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59722" w14:textId="17AFD86D" w:rsidR="00A46476" w:rsidRPr="00104227" w:rsidRDefault="00A46476" w:rsidP="003C7FF2">
      <w:pPr>
        <w:tabs>
          <w:tab w:val="left" w:pos="567"/>
        </w:tabs>
        <w:rPr>
          <w:bCs/>
          <w:spacing w:val="-4"/>
          <w:sz w:val="16"/>
          <w:szCs w:val="16"/>
        </w:rPr>
      </w:pPr>
      <w:bookmarkStart w:id="0" w:name="_Toc424834741"/>
      <w:bookmarkStart w:id="1" w:name="_Toc424834674"/>
      <w:bookmarkStart w:id="2" w:name="_Toc424834591"/>
      <w:bookmarkStart w:id="3" w:name="_Toc424833990"/>
    </w:p>
    <w:p w14:paraId="500E9CA5" w14:textId="77777777" w:rsidR="000A14CF" w:rsidRPr="00104227" w:rsidRDefault="000A14CF" w:rsidP="003C7FF2">
      <w:pPr>
        <w:tabs>
          <w:tab w:val="left" w:pos="567"/>
        </w:tabs>
        <w:rPr>
          <w:b/>
          <w:spacing w:val="-4"/>
          <w:szCs w:val="20"/>
        </w:rPr>
      </w:pPr>
    </w:p>
    <w:p w14:paraId="341F4BA4" w14:textId="77777777" w:rsidR="00A46476" w:rsidRPr="00104227" w:rsidRDefault="00A46476" w:rsidP="00B96675">
      <w:pPr>
        <w:tabs>
          <w:tab w:val="left" w:pos="567"/>
        </w:tabs>
        <w:rPr>
          <w:b/>
          <w:spacing w:val="-4"/>
          <w:szCs w:val="20"/>
        </w:rPr>
      </w:pPr>
    </w:p>
    <w:p w14:paraId="2FA5ABBE" w14:textId="024EBB8C" w:rsidR="00A46476" w:rsidRPr="00104227" w:rsidRDefault="00A46476" w:rsidP="00E4619F">
      <w:pPr>
        <w:tabs>
          <w:tab w:val="left" w:pos="567"/>
        </w:tabs>
        <w:jc w:val="center"/>
        <w:rPr>
          <w:b/>
          <w:spacing w:val="-4"/>
          <w:szCs w:val="20"/>
        </w:rPr>
      </w:pPr>
    </w:p>
    <w:p w14:paraId="217D8C8E" w14:textId="6885DAE2" w:rsidR="009A2C38" w:rsidRPr="00104227" w:rsidRDefault="009A2C38" w:rsidP="00E4619F">
      <w:pPr>
        <w:tabs>
          <w:tab w:val="left" w:pos="567"/>
        </w:tabs>
        <w:jc w:val="center"/>
        <w:rPr>
          <w:b/>
          <w:spacing w:val="-4"/>
          <w:szCs w:val="20"/>
        </w:rPr>
      </w:pPr>
    </w:p>
    <w:p w14:paraId="722B02E4" w14:textId="77777777" w:rsidR="009A2C38" w:rsidRPr="00104227" w:rsidRDefault="009A2C38" w:rsidP="00E4619F">
      <w:pPr>
        <w:tabs>
          <w:tab w:val="left" w:pos="567"/>
        </w:tabs>
        <w:jc w:val="center"/>
        <w:rPr>
          <w:b/>
          <w:spacing w:val="-4"/>
          <w:szCs w:val="20"/>
        </w:rPr>
      </w:pPr>
    </w:p>
    <w:p w14:paraId="3E4AEDB1" w14:textId="77777777" w:rsidR="00BF5241" w:rsidRPr="00104227" w:rsidRDefault="00BF5241" w:rsidP="00E4619F">
      <w:pPr>
        <w:tabs>
          <w:tab w:val="left" w:pos="567"/>
        </w:tabs>
        <w:jc w:val="center"/>
        <w:rPr>
          <w:b/>
          <w:spacing w:val="-4"/>
          <w:szCs w:val="20"/>
        </w:rPr>
      </w:pPr>
    </w:p>
    <w:p w14:paraId="698F32DE" w14:textId="77777777" w:rsidR="00A46476" w:rsidRPr="00104227" w:rsidRDefault="00A46476" w:rsidP="00E4619F">
      <w:pPr>
        <w:tabs>
          <w:tab w:val="left" w:pos="567"/>
        </w:tabs>
        <w:rPr>
          <w:b/>
          <w:spacing w:val="-4"/>
          <w:szCs w:val="20"/>
        </w:rPr>
      </w:pPr>
    </w:p>
    <w:p w14:paraId="2392E9EE" w14:textId="4C0C180D" w:rsidR="00206AA5" w:rsidRPr="00104227" w:rsidRDefault="00BF5241" w:rsidP="00E4619F">
      <w:pPr>
        <w:pStyle w:val="Ttulo"/>
        <w:tabs>
          <w:tab w:val="left" w:pos="567"/>
        </w:tabs>
        <w:rPr>
          <w:spacing w:val="-4"/>
        </w:rPr>
      </w:pPr>
      <w:r w:rsidRPr="00104227">
        <w:rPr>
          <w:spacing w:val="-4"/>
        </w:rPr>
        <w:t>INTER-AMERICAN COURT OF HUMAN RIGHTS</w:t>
      </w:r>
      <w:r w:rsidR="001D410B" w:rsidRPr="00104227">
        <w:rPr>
          <w:rStyle w:val="Refdenotaalpie"/>
          <w:spacing w:val="-4"/>
          <w:sz w:val="20"/>
          <w:szCs w:val="20"/>
        </w:rPr>
        <w:footnoteReference w:customMarkFollows="1" w:id="2"/>
        <w:t>*</w:t>
      </w:r>
    </w:p>
    <w:p w14:paraId="5625252E" w14:textId="77777777" w:rsidR="00206AA5" w:rsidRPr="00104227" w:rsidRDefault="00206AA5" w:rsidP="00E4619F">
      <w:pPr>
        <w:pStyle w:val="Ttulo"/>
        <w:tabs>
          <w:tab w:val="left" w:pos="567"/>
        </w:tabs>
        <w:rPr>
          <w:bCs/>
          <w:spacing w:val="-4"/>
        </w:rPr>
      </w:pPr>
    </w:p>
    <w:p w14:paraId="6A1027C1" w14:textId="28CB66DB" w:rsidR="00206AA5" w:rsidRPr="00104227" w:rsidRDefault="00206AA5" w:rsidP="00E4619F">
      <w:pPr>
        <w:pStyle w:val="Ttulo"/>
        <w:tabs>
          <w:tab w:val="left" w:pos="567"/>
        </w:tabs>
        <w:rPr>
          <w:bCs/>
          <w:spacing w:val="-4"/>
        </w:rPr>
      </w:pPr>
      <w:r w:rsidRPr="00104227">
        <w:rPr>
          <w:bCs/>
          <w:spacing w:val="-4"/>
        </w:rPr>
        <w:t>CAS</w:t>
      </w:r>
      <w:r w:rsidR="00BF5241" w:rsidRPr="00104227">
        <w:rPr>
          <w:bCs/>
          <w:spacing w:val="-4"/>
        </w:rPr>
        <w:t>E OF</w:t>
      </w:r>
      <w:r w:rsidRPr="00104227">
        <w:rPr>
          <w:bCs/>
          <w:spacing w:val="-4"/>
        </w:rPr>
        <w:t xml:space="preserve"> </w:t>
      </w:r>
      <w:r w:rsidR="00BF5241" w:rsidRPr="00104227">
        <w:rPr>
          <w:spacing w:val="-4"/>
        </w:rPr>
        <w:t>WOMEN VICTIMS OF SEXUAL TORTURE IN ATENCO</w:t>
      </w:r>
      <w:r w:rsidR="00E36BD8" w:rsidRPr="00104227">
        <w:rPr>
          <w:bCs/>
          <w:spacing w:val="-4"/>
        </w:rPr>
        <w:t xml:space="preserve"> </w:t>
      </w:r>
      <w:r w:rsidR="00E36BD8" w:rsidRPr="00104227">
        <w:rPr>
          <w:bCs/>
          <w:i/>
          <w:iCs/>
          <w:spacing w:val="-4"/>
        </w:rPr>
        <w:t xml:space="preserve">V. </w:t>
      </w:r>
      <w:r w:rsidR="00BF5241" w:rsidRPr="00104227">
        <w:rPr>
          <w:bCs/>
          <w:spacing w:val="-4"/>
        </w:rPr>
        <w:t>MEXICO</w:t>
      </w:r>
    </w:p>
    <w:p w14:paraId="64AE783F" w14:textId="77777777" w:rsidR="00E12489" w:rsidRPr="00104227" w:rsidRDefault="00E12489" w:rsidP="00E4619F">
      <w:pPr>
        <w:pStyle w:val="Ttulo"/>
        <w:tabs>
          <w:tab w:val="left" w:pos="567"/>
        </w:tabs>
        <w:rPr>
          <w:spacing w:val="-4"/>
        </w:rPr>
      </w:pPr>
    </w:p>
    <w:p w14:paraId="1447F84F" w14:textId="2DCD70CE" w:rsidR="00E12489" w:rsidRPr="00104227" w:rsidRDefault="00BF5241" w:rsidP="00E4619F">
      <w:pPr>
        <w:pStyle w:val="Ttulo"/>
        <w:tabs>
          <w:tab w:val="left" w:pos="567"/>
        </w:tabs>
        <w:rPr>
          <w:spacing w:val="-4"/>
        </w:rPr>
      </w:pPr>
      <w:r w:rsidRPr="00104227">
        <w:rPr>
          <w:spacing w:val="-4"/>
        </w:rPr>
        <w:t>JUDGMENT OF</w:t>
      </w:r>
      <w:r w:rsidR="00E12489" w:rsidRPr="00104227">
        <w:rPr>
          <w:spacing w:val="-4"/>
        </w:rPr>
        <w:t xml:space="preserve"> </w:t>
      </w:r>
      <w:r w:rsidRPr="00104227">
        <w:rPr>
          <w:spacing w:val="-4"/>
        </w:rPr>
        <w:t>NOVEMBER 28,</w:t>
      </w:r>
      <w:r w:rsidR="00E12489" w:rsidRPr="00104227">
        <w:rPr>
          <w:spacing w:val="-4"/>
        </w:rPr>
        <w:t xml:space="preserve"> 2018</w:t>
      </w:r>
    </w:p>
    <w:p w14:paraId="280DA600" w14:textId="77777777" w:rsidR="00E12489" w:rsidRPr="00104227" w:rsidRDefault="00E12489" w:rsidP="00E4619F">
      <w:pPr>
        <w:pStyle w:val="Ttulo"/>
        <w:tabs>
          <w:tab w:val="left" w:pos="567"/>
        </w:tabs>
        <w:rPr>
          <w:spacing w:val="-4"/>
        </w:rPr>
      </w:pPr>
    </w:p>
    <w:p w14:paraId="2EA6036D" w14:textId="547DCD6D" w:rsidR="00E12489" w:rsidRPr="00104227" w:rsidRDefault="00E12489" w:rsidP="00E4619F">
      <w:pPr>
        <w:pStyle w:val="Ttulo"/>
        <w:tabs>
          <w:tab w:val="left" w:pos="567"/>
        </w:tabs>
        <w:rPr>
          <w:rFonts w:cs="Verdana"/>
          <w:bCs/>
          <w:caps/>
          <w:snapToGrid w:val="0"/>
          <w:spacing w:val="-4"/>
          <w:lang w:eastAsia="es-ES"/>
        </w:rPr>
      </w:pPr>
      <w:r w:rsidRPr="00104227">
        <w:rPr>
          <w:spacing w:val="-4"/>
        </w:rPr>
        <w:t>(</w:t>
      </w:r>
      <w:r w:rsidR="00BF5241" w:rsidRPr="00104227">
        <w:rPr>
          <w:i/>
          <w:spacing w:val="-4"/>
        </w:rPr>
        <w:t>Preliminary objection, merits, reparations and costs</w:t>
      </w:r>
      <w:r w:rsidRPr="00104227">
        <w:rPr>
          <w:spacing w:val="-4"/>
        </w:rPr>
        <w:t>)</w:t>
      </w:r>
    </w:p>
    <w:bookmarkEnd w:id="0"/>
    <w:bookmarkEnd w:id="1"/>
    <w:bookmarkEnd w:id="2"/>
    <w:bookmarkEnd w:id="3"/>
    <w:p w14:paraId="4329324A" w14:textId="77777777" w:rsidR="00A46476" w:rsidRPr="00104227" w:rsidRDefault="00A46476" w:rsidP="00E4619F">
      <w:pPr>
        <w:pStyle w:val="Ttulo"/>
        <w:tabs>
          <w:tab w:val="left" w:pos="567"/>
        </w:tabs>
        <w:rPr>
          <w:spacing w:val="-4"/>
        </w:rPr>
      </w:pPr>
    </w:p>
    <w:p w14:paraId="1E7B1AB9" w14:textId="0C8CB3BE" w:rsidR="00A46476" w:rsidRDefault="00A46476" w:rsidP="00E4619F">
      <w:pPr>
        <w:tabs>
          <w:tab w:val="left" w:pos="567"/>
        </w:tabs>
        <w:rPr>
          <w:spacing w:val="-4"/>
        </w:rPr>
      </w:pPr>
    </w:p>
    <w:p w14:paraId="0CD835D3" w14:textId="5D95A329" w:rsidR="0080773E" w:rsidRDefault="0080773E" w:rsidP="00E4619F">
      <w:pPr>
        <w:tabs>
          <w:tab w:val="left" w:pos="567"/>
        </w:tabs>
        <w:rPr>
          <w:spacing w:val="-4"/>
        </w:rPr>
      </w:pPr>
    </w:p>
    <w:p w14:paraId="50A14EFC" w14:textId="77777777" w:rsidR="0080773E" w:rsidRPr="00104227" w:rsidRDefault="0080773E" w:rsidP="00E4619F">
      <w:pPr>
        <w:tabs>
          <w:tab w:val="left" w:pos="567"/>
        </w:tabs>
        <w:rPr>
          <w:spacing w:val="-4"/>
        </w:rPr>
      </w:pPr>
    </w:p>
    <w:p w14:paraId="38097615" w14:textId="5E03D12E" w:rsidR="00BF5241" w:rsidRPr="00104227" w:rsidRDefault="00BF5241" w:rsidP="00E4619F">
      <w:pPr>
        <w:tabs>
          <w:tab w:val="left" w:pos="567"/>
        </w:tabs>
        <w:rPr>
          <w:spacing w:val="-4"/>
        </w:rPr>
      </w:pPr>
    </w:p>
    <w:p w14:paraId="537CAB79" w14:textId="77777777" w:rsidR="00BF5241" w:rsidRPr="00104227" w:rsidRDefault="00BF5241" w:rsidP="00E4619F">
      <w:pPr>
        <w:tabs>
          <w:tab w:val="left" w:pos="567"/>
        </w:tabs>
        <w:rPr>
          <w:spacing w:val="-4"/>
        </w:rPr>
      </w:pPr>
    </w:p>
    <w:p w14:paraId="7CF84483" w14:textId="2D306536" w:rsidR="00A46476" w:rsidRPr="00104227" w:rsidRDefault="00BF5241" w:rsidP="00E4619F">
      <w:pPr>
        <w:widowControl w:val="0"/>
        <w:tabs>
          <w:tab w:val="left" w:pos="567"/>
          <w:tab w:val="left" w:pos="720"/>
        </w:tabs>
        <w:adjustRightInd w:val="0"/>
        <w:textAlignment w:val="baseline"/>
        <w:rPr>
          <w:rFonts w:cs="Verdana"/>
          <w:i/>
          <w:iCs/>
          <w:spacing w:val="-4"/>
          <w:szCs w:val="20"/>
          <w:lang w:eastAsia="es-CR"/>
        </w:rPr>
      </w:pPr>
      <w:r w:rsidRPr="00104227">
        <w:rPr>
          <w:rFonts w:cs="Verdana"/>
          <w:spacing w:val="-4"/>
          <w:szCs w:val="20"/>
          <w:lang w:eastAsia="es-CR"/>
        </w:rPr>
        <w:t>In the case of</w:t>
      </w:r>
      <w:r w:rsidR="00FB223C" w:rsidRPr="00104227">
        <w:rPr>
          <w:rFonts w:cs="Verdana"/>
          <w:i/>
          <w:iCs/>
          <w:spacing w:val="-4"/>
          <w:szCs w:val="20"/>
          <w:lang w:eastAsia="es-CR"/>
        </w:rPr>
        <w:t xml:space="preserve"> </w:t>
      </w:r>
      <w:r w:rsidRPr="00104227">
        <w:rPr>
          <w:i/>
          <w:szCs w:val="20"/>
        </w:rPr>
        <w:t>Women Victims of Sexual Torture in Atenco,</w:t>
      </w:r>
      <w:r w:rsidR="00624281" w:rsidRPr="00104227">
        <w:rPr>
          <w:rStyle w:val="Refdenotaalpie"/>
        </w:rPr>
        <w:footnoteReference w:customMarkFollows="1" w:id="3"/>
        <w:t>**</w:t>
      </w:r>
      <w:r w:rsidR="00A46476" w:rsidRPr="00104227">
        <w:rPr>
          <w:rFonts w:cs="Verdana"/>
          <w:i/>
          <w:iCs/>
          <w:spacing w:val="-4"/>
          <w:szCs w:val="20"/>
          <w:lang w:eastAsia="es-CR"/>
        </w:rPr>
        <w:t xml:space="preserve"> </w:t>
      </w:r>
    </w:p>
    <w:p w14:paraId="5B694CF3" w14:textId="77777777" w:rsidR="00A46476" w:rsidRPr="00104227" w:rsidRDefault="00A46476" w:rsidP="00E4619F">
      <w:pPr>
        <w:widowControl w:val="0"/>
        <w:tabs>
          <w:tab w:val="left" w:pos="567"/>
          <w:tab w:val="left" w:pos="720"/>
        </w:tabs>
        <w:adjustRightInd w:val="0"/>
        <w:textAlignment w:val="baseline"/>
        <w:rPr>
          <w:rFonts w:cs="Verdana"/>
          <w:spacing w:val="-4"/>
          <w:szCs w:val="20"/>
          <w:lang w:eastAsia="es-CR"/>
        </w:rPr>
      </w:pPr>
    </w:p>
    <w:p w14:paraId="71B9EDC0" w14:textId="714F8B29" w:rsidR="00A46476" w:rsidRPr="00104227" w:rsidRDefault="00BF5241" w:rsidP="00E4619F">
      <w:pPr>
        <w:widowControl w:val="0"/>
        <w:tabs>
          <w:tab w:val="left" w:pos="567"/>
          <w:tab w:val="left" w:pos="720"/>
        </w:tabs>
        <w:adjustRightInd w:val="0"/>
        <w:textAlignment w:val="baseline"/>
        <w:rPr>
          <w:rFonts w:cs="Verdana"/>
          <w:spacing w:val="-4"/>
          <w:szCs w:val="20"/>
          <w:lang w:eastAsia="es-CR"/>
        </w:rPr>
      </w:pPr>
      <w:r w:rsidRPr="00104227">
        <w:rPr>
          <w:rFonts w:cs="Verdana"/>
          <w:spacing w:val="-4"/>
          <w:szCs w:val="20"/>
          <w:lang w:eastAsia="es-CR"/>
        </w:rPr>
        <w:t>the Inter-American Court of Human Rights</w:t>
      </w:r>
      <w:r w:rsidR="00A46476" w:rsidRPr="00104227">
        <w:rPr>
          <w:rFonts w:cs="Verdana"/>
          <w:spacing w:val="-4"/>
          <w:szCs w:val="20"/>
          <w:lang w:eastAsia="es-CR"/>
        </w:rPr>
        <w:t xml:space="preserve"> (</w:t>
      </w:r>
      <w:r w:rsidRPr="00104227">
        <w:rPr>
          <w:rFonts w:cs="Verdana"/>
          <w:spacing w:val="-4"/>
          <w:szCs w:val="20"/>
          <w:lang w:eastAsia="es-CR"/>
        </w:rPr>
        <w:t>hereinafter</w:t>
      </w:r>
      <w:r w:rsidR="00A46476" w:rsidRPr="00104227">
        <w:rPr>
          <w:rFonts w:cs="Verdana"/>
          <w:spacing w:val="-4"/>
          <w:szCs w:val="20"/>
          <w:lang w:eastAsia="es-CR"/>
        </w:rPr>
        <w:t xml:space="preserve"> “</w:t>
      </w:r>
      <w:r w:rsidRPr="00104227">
        <w:rPr>
          <w:rFonts w:cs="Verdana"/>
          <w:spacing w:val="-4"/>
          <w:szCs w:val="20"/>
          <w:lang w:eastAsia="es-CR"/>
        </w:rPr>
        <w:t>the Inter-American Court</w:t>
      </w:r>
      <w:r w:rsidR="00A46476" w:rsidRPr="00104227">
        <w:rPr>
          <w:rFonts w:cs="Verdana"/>
          <w:spacing w:val="-4"/>
          <w:szCs w:val="20"/>
          <w:lang w:eastAsia="es-CR"/>
        </w:rPr>
        <w:t>”</w:t>
      </w:r>
      <w:r w:rsidRPr="00104227">
        <w:rPr>
          <w:rFonts w:cs="Verdana"/>
          <w:spacing w:val="-4"/>
          <w:szCs w:val="20"/>
          <w:lang w:eastAsia="es-CR"/>
        </w:rPr>
        <w:t xml:space="preserve"> or</w:t>
      </w:r>
      <w:r w:rsidR="00A46476" w:rsidRPr="00104227">
        <w:rPr>
          <w:rFonts w:cs="Verdana"/>
          <w:spacing w:val="-4"/>
          <w:szCs w:val="20"/>
          <w:lang w:eastAsia="es-CR"/>
        </w:rPr>
        <w:t xml:space="preserve"> “</w:t>
      </w:r>
      <w:r w:rsidRPr="00104227">
        <w:rPr>
          <w:rFonts w:cs="Verdana"/>
          <w:spacing w:val="-4"/>
          <w:szCs w:val="20"/>
          <w:lang w:eastAsia="es-CR"/>
        </w:rPr>
        <w:t>the Court</w:t>
      </w:r>
      <w:r w:rsidR="00A46476" w:rsidRPr="00104227">
        <w:rPr>
          <w:rFonts w:cs="Verdana"/>
          <w:spacing w:val="-4"/>
          <w:szCs w:val="20"/>
          <w:lang w:eastAsia="es-CR"/>
        </w:rPr>
        <w:t xml:space="preserve">”), </w:t>
      </w:r>
      <w:r w:rsidRPr="00104227">
        <w:rPr>
          <w:rFonts w:cs="Verdana"/>
          <w:spacing w:val="-4"/>
          <w:szCs w:val="20"/>
          <w:lang w:eastAsia="es-CR"/>
        </w:rPr>
        <w:t>composed of the following judges</w:t>
      </w:r>
      <w:r w:rsidR="00A46476" w:rsidRPr="00104227">
        <w:rPr>
          <w:rFonts w:cs="Verdana"/>
          <w:spacing w:val="-4"/>
          <w:szCs w:val="20"/>
          <w:lang w:eastAsia="es-CR"/>
        </w:rPr>
        <w:t>:</w:t>
      </w:r>
    </w:p>
    <w:p w14:paraId="04E2D909" w14:textId="77777777" w:rsidR="00A46476" w:rsidRPr="00104227" w:rsidRDefault="00A46476" w:rsidP="00E4619F">
      <w:pPr>
        <w:widowControl w:val="0"/>
        <w:tabs>
          <w:tab w:val="left" w:pos="567"/>
          <w:tab w:val="left" w:pos="720"/>
        </w:tabs>
        <w:adjustRightInd w:val="0"/>
        <w:textAlignment w:val="baseline"/>
        <w:rPr>
          <w:rFonts w:cs="Verdana"/>
          <w:spacing w:val="-4"/>
          <w:szCs w:val="20"/>
          <w:lang w:eastAsia="es-CR"/>
        </w:rPr>
      </w:pPr>
    </w:p>
    <w:p w14:paraId="0DACF288" w14:textId="4A92BD42" w:rsidR="00A46476" w:rsidRPr="0080773E" w:rsidRDefault="00544764" w:rsidP="00E4619F">
      <w:pPr>
        <w:pStyle w:val="citaindirecta"/>
        <w:tabs>
          <w:tab w:val="left" w:pos="567"/>
          <w:tab w:val="left" w:pos="851"/>
        </w:tabs>
        <w:ind w:left="567" w:right="-174"/>
        <w:rPr>
          <w:spacing w:val="-4"/>
          <w:lang w:val="es-CR"/>
        </w:rPr>
      </w:pPr>
      <w:r w:rsidRPr="0080773E">
        <w:rPr>
          <w:spacing w:val="-4"/>
          <w:lang w:val="es-CR"/>
        </w:rPr>
        <w:t>Eduardo Vio Grossi</w:t>
      </w:r>
      <w:r w:rsidR="00A46476" w:rsidRPr="0080773E">
        <w:rPr>
          <w:spacing w:val="-4"/>
          <w:lang w:val="es-CR"/>
        </w:rPr>
        <w:t xml:space="preserve">, </w:t>
      </w:r>
      <w:r w:rsidR="00BF5241" w:rsidRPr="0080773E">
        <w:rPr>
          <w:spacing w:val="-4"/>
          <w:lang w:val="es-CR"/>
        </w:rPr>
        <w:t>acting President</w:t>
      </w:r>
    </w:p>
    <w:p w14:paraId="121E09C1" w14:textId="7A736BC2" w:rsidR="00A46476" w:rsidRPr="0080773E" w:rsidRDefault="00A46476" w:rsidP="00E4619F">
      <w:pPr>
        <w:pStyle w:val="citaindirecta"/>
        <w:tabs>
          <w:tab w:val="left" w:pos="567"/>
          <w:tab w:val="left" w:pos="851"/>
        </w:tabs>
        <w:ind w:left="567" w:right="-174"/>
        <w:rPr>
          <w:spacing w:val="-4"/>
          <w:lang w:val="es-CR"/>
        </w:rPr>
      </w:pPr>
      <w:r w:rsidRPr="0080773E">
        <w:rPr>
          <w:spacing w:val="-4"/>
          <w:lang w:val="es-CR"/>
        </w:rPr>
        <w:t xml:space="preserve">Humberto Antonio Sierra Porto, </w:t>
      </w:r>
      <w:r w:rsidR="00BF5241" w:rsidRPr="0080773E">
        <w:rPr>
          <w:spacing w:val="-4"/>
          <w:lang w:val="es-CR"/>
        </w:rPr>
        <w:t>Judge</w:t>
      </w:r>
    </w:p>
    <w:p w14:paraId="2568E74A" w14:textId="46B13311" w:rsidR="00A46476" w:rsidRPr="0080773E" w:rsidRDefault="00A46476" w:rsidP="00E4619F">
      <w:pPr>
        <w:tabs>
          <w:tab w:val="left" w:pos="567"/>
          <w:tab w:val="left" w:pos="720"/>
          <w:tab w:val="left" w:pos="851"/>
        </w:tabs>
        <w:ind w:left="567" w:right="-174"/>
        <w:rPr>
          <w:rFonts w:cs="Verdana"/>
          <w:spacing w:val="-4"/>
          <w:szCs w:val="20"/>
          <w:lang w:val="es-CR"/>
        </w:rPr>
      </w:pPr>
      <w:r w:rsidRPr="0080773E">
        <w:rPr>
          <w:rFonts w:cs="Verdana"/>
          <w:spacing w:val="-4"/>
          <w:szCs w:val="20"/>
          <w:lang w:val="es-CR"/>
        </w:rPr>
        <w:t xml:space="preserve">Elizabeth Odio Benito, </w:t>
      </w:r>
      <w:r w:rsidR="00BF5241" w:rsidRPr="0080773E">
        <w:rPr>
          <w:spacing w:val="-4"/>
          <w:szCs w:val="20"/>
          <w:lang w:val="es-CR"/>
        </w:rPr>
        <w:t>Judge</w:t>
      </w:r>
    </w:p>
    <w:p w14:paraId="447DC1DF" w14:textId="40CE997F" w:rsidR="00A46476" w:rsidRPr="0080773E" w:rsidRDefault="00A46476" w:rsidP="00E4619F">
      <w:pPr>
        <w:tabs>
          <w:tab w:val="left" w:pos="567"/>
          <w:tab w:val="left" w:pos="720"/>
          <w:tab w:val="left" w:pos="851"/>
        </w:tabs>
        <w:ind w:left="567" w:right="-174"/>
        <w:rPr>
          <w:rFonts w:cs="Verdana"/>
          <w:spacing w:val="-4"/>
          <w:szCs w:val="20"/>
          <w:lang w:val="es-CR"/>
        </w:rPr>
      </w:pPr>
      <w:r w:rsidRPr="0080773E">
        <w:rPr>
          <w:spacing w:val="-4"/>
          <w:szCs w:val="20"/>
          <w:lang w:val="es-CR"/>
        </w:rPr>
        <w:t>Eugenio Raúl Zaffaroni,</w:t>
      </w:r>
      <w:r w:rsidRPr="0080773E">
        <w:rPr>
          <w:rFonts w:cs="Verdana"/>
          <w:spacing w:val="-4"/>
          <w:szCs w:val="20"/>
          <w:lang w:val="es-CR"/>
        </w:rPr>
        <w:t xml:space="preserve"> </w:t>
      </w:r>
      <w:r w:rsidR="00BF5241" w:rsidRPr="0080773E">
        <w:rPr>
          <w:spacing w:val="-4"/>
          <w:szCs w:val="20"/>
          <w:lang w:val="es-CR"/>
        </w:rPr>
        <w:t>Judge</w:t>
      </w:r>
      <w:r w:rsidR="00BF5241" w:rsidRPr="0080773E">
        <w:rPr>
          <w:rFonts w:cs="Verdana"/>
          <w:spacing w:val="-4"/>
          <w:szCs w:val="20"/>
          <w:lang w:val="es-CR"/>
        </w:rPr>
        <w:t>, and</w:t>
      </w:r>
    </w:p>
    <w:p w14:paraId="27836680" w14:textId="50E38403" w:rsidR="00A46476" w:rsidRPr="0080773E" w:rsidRDefault="00A46476" w:rsidP="00E4619F">
      <w:pPr>
        <w:tabs>
          <w:tab w:val="left" w:pos="567"/>
          <w:tab w:val="left" w:pos="720"/>
          <w:tab w:val="left" w:pos="851"/>
        </w:tabs>
        <w:ind w:left="567" w:right="-174"/>
        <w:rPr>
          <w:rFonts w:cs="Verdana"/>
          <w:spacing w:val="-4"/>
          <w:szCs w:val="20"/>
          <w:lang w:val="es-CR"/>
        </w:rPr>
      </w:pPr>
      <w:r w:rsidRPr="0080773E">
        <w:rPr>
          <w:spacing w:val="-4"/>
          <w:szCs w:val="20"/>
          <w:lang w:val="es-CR"/>
        </w:rPr>
        <w:t xml:space="preserve">L. Patricio Pazmiño Freire, </w:t>
      </w:r>
      <w:r w:rsidR="00BF5241" w:rsidRPr="0080773E">
        <w:rPr>
          <w:spacing w:val="-4"/>
          <w:szCs w:val="20"/>
          <w:lang w:val="es-CR"/>
        </w:rPr>
        <w:t>Judge</w:t>
      </w:r>
    </w:p>
    <w:p w14:paraId="76FFF1D9" w14:textId="77777777" w:rsidR="00A46476" w:rsidRPr="0080773E" w:rsidRDefault="00A46476" w:rsidP="00E4619F">
      <w:pPr>
        <w:widowControl w:val="0"/>
        <w:tabs>
          <w:tab w:val="left" w:pos="567"/>
          <w:tab w:val="left" w:pos="720"/>
        </w:tabs>
        <w:adjustRightInd w:val="0"/>
        <w:textAlignment w:val="baseline"/>
        <w:rPr>
          <w:rFonts w:cs="Verdana"/>
          <w:spacing w:val="-4"/>
          <w:szCs w:val="20"/>
          <w:lang w:val="es-CR" w:eastAsia="es-CR"/>
        </w:rPr>
      </w:pPr>
    </w:p>
    <w:p w14:paraId="53EDF842" w14:textId="14C4804E" w:rsidR="00A46476" w:rsidRPr="0080773E" w:rsidRDefault="00BF5241" w:rsidP="00E4619F">
      <w:pPr>
        <w:widowControl w:val="0"/>
        <w:tabs>
          <w:tab w:val="left" w:pos="567"/>
          <w:tab w:val="left" w:pos="720"/>
        </w:tabs>
        <w:adjustRightInd w:val="0"/>
        <w:textAlignment w:val="baseline"/>
        <w:rPr>
          <w:rFonts w:cs="Verdana"/>
          <w:spacing w:val="-4"/>
          <w:szCs w:val="20"/>
          <w:lang w:val="es-CR" w:eastAsia="es-CR"/>
        </w:rPr>
      </w:pPr>
      <w:r w:rsidRPr="0080773E">
        <w:rPr>
          <w:rFonts w:cs="Verdana"/>
          <w:spacing w:val="-4"/>
          <w:szCs w:val="20"/>
          <w:lang w:val="es-CR" w:eastAsia="es-CR"/>
        </w:rPr>
        <w:t>also present</w:t>
      </w:r>
      <w:r w:rsidR="00A46476" w:rsidRPr="0080773E">
        <w:rPr>
          <w:rFonts w:cs="Verdana"/>
          <w:spacing w:val="-4"/>
          <w:szCs w:val="20"/>
          <w:lang w:val="es-CR" w:eastAsia="es-CR"/>
        </w:rPr>
        <w:t>,</w:t>
      </w:r>
    </w:p>
    <w:p w14:paraId="6B59E181" w14:textId="77777777" w:rsidR="00A46476" w:rsidRPr="0080773E" w:rsidRDefault="00A46476" w:rsidP="00E4619F">
      <w:pPr>
        <w:widowControl w:val="0"/>
        <w:tabs>
          <w:tab w:val="left" w:pos="567"/>
          <w:tab w:val="left" w:pos="720"/>
        </w:tabs>
        <w:adjustRightInd w:val="0"/>
        <w:textAlignment w:val="baseline"/>
        <w:rPr>
          <w:rFonts w:cs="Verdana"/>
          <w:spacing w:val="-4"/>
          <w:szCs w:val="20"/>
          <w:lang w:val="es-CR" w:eastAsia="es-CR"/>
        </w:rPr>
      </w:pPr>
    </w:p>
    <w:p w14:paraId="722CF06C" w14:textId="3207EAAF" w:rsidR="00A46476" w:rsidRPr="0080773E" w:rsidRDefault="00A46476" w:rsidP="00E4619F">
      <w:pPr>
        <w:widowControl w:val="0"/>
        <w:tabs>
          <w:tab w:val="left" w:pos="567"/>
          <w:tab w:val="left" w:pos="720"/>
        </w:tabs>
        <w:adjustRightInd w:val="0"/>
        <w:ind w:left="567"/>
        <w:textAlignment w:val="baseline"/>
        <w:rPr>
          <w:rFonts w:cs="Verdana"/>
          <w:spacing w:val="-4"/>
          <w:szCs w:val="20"/>
          <w:lang w:val="es-CR" w:eastAsia="es-CR"/>
        </w:rPr>
      </w:pPr>
      <w:r w:rsidRPr="0080773E">
        <w:rPr>
          <w:rFonts w:cs="Verdana"/>
          <w:spacing w:val="-4"/>
          <w:szCs w:val="20"/>
          <w:lang w:val="es-CR" w:eastAsia="es-CR"/>
        </w:rPr>
        <w:t xml:space="preserve">Pablo Saavedra Alessandri, </w:t>
      </w:r>
      <w:r w:rsidR="00BF5241" w:rsidRPr="0080773E">
        <w:rPr>
          <w:rFonts w:cs="Verdana"/>
          <w:spacing w:val="-4"/>
          <w:szCs w:val="20"/>
          <w:lang w:val="es-CR" w:eastAsia="es-CR"/>
        </w:rPr>
        <w:t>Secretary,</w:t>
      </w:r>
      <w:r w:rsidRPr="0080773E">
        <w:rPr>
          <w:rFonts w:cs="Verdana"/>
          <w:spacing w:val="-4"/>
          <w:szCs w:val="20"/>
          <w:lang w:val="es-CR" w:eastAsia="es-CR"/>
        </w:rPr>
        <w:t xml:space="preserve"> </w:t>
      </w:r>
    </w:p>
    <w:p w14:paraId="27C35022" w14:textId="77777777" w:rsidR="00A46476" w:rsidRPr="0080773E" w:rsidRDefault="00A46476" w:rsidP="00E4619F">
      <w:pPr>
        <w:widowControl w:val="0"/>
        <w:tabs>
          <w:tab w:val="left" w:pos="567"/>
          <w:tab w:val="left" w:pos="720"/>
        </w:tabs>
        <w:adjustRightInd w:val="0"/>
        <w:textAlignment w:val="baseline"/>
        <w:rPr>
          <w:rFonts w:cs="Verdana"/>
          <w:spacing w:val="-4"/>
          <w:szCs w:val="20"/>
          <w:lang w:val="es-CR" w:eastAsia="es-CR"/>
        </w:rPr>
      </w:pPr>
    </w:p>
    <w:p w14:paraId="0AE5E68C" w14:textId="14A66391" w:rsidR="00A46476" w:rsidRPr="00104227" w:rsidRDefault="00BF5241" w:rsidP="00E4619F">
      <w:pPr>
        <w:widowControl w:val="0"/>
        <w:tabs>
          <w:tab w:val="left" w:pos="567"/>
          <w:tab w:val="left" w:pos="720"/>
        </w:tabs>
        <w:adjustRightInd w:val="0"/>
        <w:textAlignment w:val="baseline"/>
        <w:rPr>
          <w:rFonts w:cs="Verdana"/>
          <w:spacing w:val="-4"/>
          <w:szCs w:val="20"/>
          <w:lang w:eastAsia="es-CR"/>
        </w:rPr>
      </w:pPr>
      <w:r w:rsidRPr="00104227">
        <w:rPr>
          <w:rFonts w:cs="Verdana"/>
          <w:spacing w:val="-4"/>
          <w:szCs w:val="20"/>
          <w:lang w:eastAsia="es-CR"/>
        </w:rPr>
        <w:t>Pursuant to Articles</w:t>
      </w:r>
      <w:r w:rsidR="00A46476" w:rsidRPr="00104227">
        <w:rPr>
          <w:rFonts w:cs="Verdana"/>
          <w:spacing w:val="-4"/>
          <w:szCs w:val="20"/>
          <w:lang w:eastAsia="es-CR"/>
        </w:rPr>
        <w:t xml:space="preserve"> </w:t>
      </w:r>
      <w:r w:rsidRPr="00104227">
        <w:rPr>
          <w:rFonts w:cs="Verdana"/>
          <w:spacing w:val="-4"/>
          <w:szCs w:val="20"/>
          <w:lang w:eastAsia="es-CR"/>
        </w:rPr>
        <w:t>62(3) and 63(1) of the American Convention on Human Rights</w:t>
      </w:r>
      <w:r w:rsidR="00A46476" w:rsidRPr="00104227">
        <w:rPr>
          <w:rFonts w:cs="Verdana"/>
          <w:spacing w:val="-4"/>
          <w:szCs w:val="20"/>
          <w:lang w:eastAsia="es-CR"/>
        </w:rPr>
        <w:t xml:space="preserve"> (</w:t>
      </w:r>
      <w:r w:rsidRPr="00104227">
        <w:rPr>
          <w:rFonts w:cs="Verdana"/>
          <w:spacing w:val="-4"/>
          <w:szCs w:val="20"/>
          <w:lang w:eastAsia="es-CR"/>
        </w:rPr>
        <w:t>hereinafter</w:t>
      </w:r>
      <w:r w:rsidR="00A46476" w:rsidRPr="00104227">
        <w:rPr>
          <w:rFonts w:cs="Verdana"/>
          <w:spacing w:val="-4"/>
          <w:szCs w:val="20"/>
          <w:lang w:eastAsia="es-CR"/>
        </w:rPr>
        <w:t xml:space="preserve"> “</w:t>
      </w:r>
      <w:r w:rsidRPr="00104227">
        <w:rPr>
          <w:rFonts w:cs="Verdana"/>
          <w:spacing w:val="-4"/>
          <w:szCs w:val="20"/>
          <w:lang w:eastAsia="es-CR"/>
        </w:rPr>
        <w:t>the American Convention</w:t>
      </w:r>
      <w:r w:rsidR="00A46476" w:rsidRPr="00104227">
        <w:rPr>
          <w:rFonts w:cs="Verdana"/>
          <w:spacing w:val="-4"/>
          <w:szCs w:val="20"/>
          <w:lang w:eastAsia="es-CR"/>
        </w:rPr>
        <w:t>” o</w:t>
      </w:r>
      <w:r w:rsidRPr="00104227">
        <w:rPr>
          <w:rFonts w:cs="Verdana"/>
          <w:spacing w:val="-4"/>
          <w:szCs w:val="20"/>
          <w:lang w:eastAsia="es-CR"/>
        </w:rPr>
        <w:t>r</w:t>
      </w:r>
      <w:r w:rsidR="00A46476" w:rsidRPr="00104227">
        <w:rPr>
          <w:rFonts w:cs="Verdana"/>
          <w:spacing w:val="-4"/>
          <w:szCs w:val="20"/>
          <w:lang w:eastAsia="es-CR"/>
        </w:rPr>
        <w:t xml:space="preserve"> “</w:t>
      </w:r>
      <w:r w:rsidRPr="00104227">
        <w:rPr>
          <w:rFonts w:cs="Verdana"/>
          <w:spacing w:val="-4"/>
          <w:szCs w:val="20"/>
          <w:lang w:eastAsia="es-CR"/>
        </w:rPr>
        <w:t>the Convention</w:t>
      </w:r>
      <w:r w:rsidR="00A46476" w:rsidRPr="00104227">
        <w:rPr>
          <w:rFonts w:cs="Verdana"/>
          <w:spacing w:val="-4"/>
          <w:szCs w:val="20"/>
          <w:lang w:eastAsia="es-CR"/>
        </w:rPr>
        <w:t>”)</w:t>
      </w:r>
      <w:r w:rsidRPr="00104227">
        <w:rPr>
          <w:rFonts w:cs="Verdana"/>
          <w:spacing w:val="-4"/>
          <w:szCs w:val="20"/>
          <w:lang w:eastAsia="es-CR"/>
        </w:rPr>
        <w:t xml:space="preserve"> and</w:t>
      </w:r>
      <w:r w:rsidR="00A46476" w:rsidRPr="00104227">
        <w:rPr>
          <w:rFonts w:cs="Verdana"/>
          <w:spacing w:val="-4"/>
          <w:szCs w:val="20"/>
          <w:lang w:eastAsia="es-CR"/>
        </w:rPr>
        <w:t xml:space="preserve"> </w:t>
      </w:r>
      <w:r w:rsidRPr="00104227">
        <w:rPr>
          <w:rFonts w:cs="Verdana"/>
          <w:spacing w:val="-4"/>
          <w:szCs w:val="20"/>
          <w:lang w:eastAsia="es-CR"/>
        </w:rPr>
        <w:t>Articles</w:t>
      </w:r>
      <w:r w:rsidR="00A46476" w:rsidRPr="00104227">
        <w:rPr>
          <w:rFonts w:cs="Verdana"/>
          <w:spacing w:val="-4"/>
          <w:szCs w:val="20"/>
          <w:lang w:eastAsia="es-CR"/>
        </w:rPr>
        <w:t xml:space="preserve"> 31, 32,</w:t>
      </w:r>
      <w:r w:rsidR="001C5F57" w:rsidRPr="00104227">
        <w:rPr>
          <w:rFonts w:cs="Verdana"/>
          <w:spacing w:val="-4"/>
          <w:szCs w:val="20"/>
          <w:lang w:eastAsia="es-CR"/>
        </w:rPr>
        <w:t xml:space="preserve"> 42,</w:t>
      </w:r>
      <w:r w:rsidR="00A46476" w:rsidRPr="00104227">
        <w:rPr>
          <w:rFonts w:cs="Verdana"/>
          <w:spacing w:val="-4"/>
          <w:szCs w:val="20"/>
          <w:lang w:eastAsia="es-CR"/>
        </w:rPr>
        <w:t xml:space="preserve"> 62, 65</w:t>
      </w:r>
      <w:r w:rsidRPr="00104227">
        <w:rPr>
          <w:rFonts w:cs="Verdana"/>
          <w:spacing w:val="-4"/>
          <w:szCs w:val="20"/>
          <w:lang w:eastAsia="es-CR"/>
        </w:rPr>
        <w:t xml:space="preserve"> and </w:t>
      </w:r>
      <w:r w:rsidR="00A46476" w:rsidRPr="00104227">
        <w:rPr>
          <w:rFonts w:cs="Verdana"/>
          <w:spacing w:val="-4"/>
          <w:szCs w:val="20"/>
          <w:lang w:eastAsia="es-CR"/>
        </w:rPr>
        <w:t>67</w:t>
      </w:r>
      <w:r w:rsidRPr="00104227">
        <w:rPr>
          <w:rFonts w:cs="Verdana"/>
          <w:spacing w:val="-4"/>
          <w:szCs w:val="20"/>
          <w:lang w:eastAsia="es-CR"/>
        </w:rPr>
        <w:t xml:space="preserve"> of the Rules of Procedure of the Court</w:t>
      </w:r>
      <w:r w:rsidR="00A46476" w:rsidRPr="00104227">
        <w:rPr>
          <w:rFonts w:cs="Verdana"/>
          <w:spacing w:val="-4"/>
          <w:szCs w:val="20"/>
          <w:lang w:eastAsia="es-CR"/>
        </w:rPr>
        <w:t xml:space="preserve"> (</w:t>
      </w:r>
      <w:r w:rsidRPr="00104227">
        <w:rPr>
          <w:rFonts w:cs="Verdana"/>
          <w:spacing w:val="-4"/>
          <w:szCs w:val="20"/>
          <w:lang w:eastAsia="es-CR"/>
        </w:rPr>
        <w:t>hereinafter</w:t>
      </w:r>
      <w:r w:rsidR="00A46476" w:rsidRPr="00104227">
        <w:rPr>
          <w:rFonts w:cs="Verdana"/>
          <w:spacing w:val="-4"/>
          <w:szCs w:val="20"/>
          <w:lang w:eastAsia="es-CR"/>
        </w:rPr>
        <w:t xml:space="preserve"> “</w:t>
      </w:r>
      <w:r w:rsidRPr="00104227">
        <w:rPr>
          <w:rFonts w:cs="Verdana"/>
          <w:spacing w:val="-4"/>
          <w:szCs w:val="20"/>
          <w:lang w:eastAsia="es-CR"/>
        </w:rPr>
        <w:t>the Rules of Procedure</w:t>
      </w:r>
      <w:r w:rsidR="00A46476" w:rsidRPr="00104227">
        <w:rPr>
          <w:rFonts w:cs="Verdana"/>
          <w:spacing w:val="-4"/>
          <w:szCs w:val="20"/>
          <w:lang w:eastAsia="es-CR"/>
        </w:rPr>
        <w:t>” o</w:t>
      </w:r>
      <w:r w:rsidRPr="00104227">
        <w:rPr>
          <w:rFonts w:cs="Verdana"/>
          <w:spacing w:val="-4"/>
          <w:szCs w:val="20"/>
          <w:lang w:eastAsia="es-CR"/>
        </w:rPr>
        <w:t>r</w:t>
      </w:r>
      <w:r w:rsidR="00A46476" w:rsidRPr="00104227">
        <w:rPr>
          <w:rFonts w:cs="Verdana"/>
          <w:spacing w:val="-4"/>
          <w:szCs w:val="20"/>
          <w:lang w:eastAsia="es-CR"/>
        </w:rPr>
        <w:t xml:space="preserve"> “</w:t>
      </w:r>
      <w:r w:rsidRPr="00104227">
        <w:rPr>
          <w:rFonts w:cs="Verdana"/>
          <w:spacing w:val="-4"/>
          <w:szCs w:val="20"/>
          <w:lang w:eastAsia="es-CR"/>
        </w:rPr>
        <w:t>the Court’s Rules of Procedure</w:t>
      </w:r>
      <w:r w:rsidR="00A46476" w:rsidRPr="00104227">
        <w:rPr>
          <w:rFonts w:cs="Verdana"/>
          <w:spacing w:val="-4"/>
          <w:szCs w:val="20"/>
          <w:lang w:eastAsia="es-CR"/>
        </w:rPr>
        <w:t>”), d</w:t>
      </w:r>
      <w:r w:rsidRPr="00104227">
        <w:rPr>
          <w:rFonts w:cs="Verdana"/>
          <w:spacing w:val="-4"/>
          <w:szCs w:val="20"/>
          <w:lang w:eastAsia="es-CR"/>
        </w:rPr>
        <w:t>elivers</w:t>
      </w:r>
      <w:r w:rsidR="00A46476" w:rsidRPr="00104227">
        <w:rPr>
          <w:rFonts w:cs="Verdana"/>
          <w:spacing w:val="-4"/>
          <w:szCs w:val="20"/>
          <w:lang w:eastAsia="es-CR"/>
        </w:rPr>
        <w:t xml:space="preserve"> </w:t>
      </w:r>
      <w:r w:rsidRPr="00104227">
        <w:rPr>
          <w:rFonts w:cs="Verdana"/>
          <w:spacing w:val="-4"/>
          <w:szCs w:val="20"/>
          <w:lang w:eastAsia="es-CR"/>
        </w:rPr>
        <w:t>this judgment</w:t>
      </w:r>
      <w:r w:rsidR="00A46476" w:rsidRPr="00104227">
        <w:rPr>
          <w:rFonts w:cs="Verdana"/>
          <w:spacing w:val="-4"/>
          <w:szCs w:val="20"/>
          <w:lang w:eastAsia="es-CR"/>
        </w:rPr>
        <w:t xml:space="preserve"> </w:t>
      </w:r>
      <w:r w:rsidRPr="00104227">
        <w:rPr>
          <w:rFonts w:cs="Verdana"/>
          <w:spacing w:val="-4"/>
          <w:szCs w:val="20"/>
          <w:lang w:eastAsia="es-CR"/>
        </w:rPr>
        <w:t>structured as follows</w:t>
      </w:r>
      <w:r w:rsidR="00A46476" w:rsidRPr="00104227">
        <w:rPr>
          <w:rFonts w:cs="Verdana"/>
          <w:spacing w:val="-4"/>
          <w:szCs w:val="20"/>
          <w:lang w:eastAsia="es-CR"/>
        </w:rPr>
        <w:t>:</w:t>
      </w:r>
    </w:p>
    <w:p w14:paraId="5337B6F2" w14:textId="5562EECD" w:rsidR="004B7D94" w:rsidRPr="00104227" w:rsidRDefault="00A97997" w:rsidP="00E4619F">
      <w:pPr>
        <w:tabs>
          <w:tab w:val="left" w:pos="567"/>
        </w:tabs>
        <w:rPr>
          <w:b/>
          <w:spacing w:val="-4"/>
          <w:szCs w:val="20"/>
        </w:rPr>
      </w:pPr>
      <w:bookmarkStart w:id="4" w:name="_Toc434850389"/>
      <w:bookmarkStart w:id="5" w:name="_Toc431584601"/>
      <w:bookmarkStart w:id="6" w:name="_Toc427932784"/>
      <w:bookmarkStart w:id="7" w:name="_Toc424834678"/>
      <w:bookmarkStart w:id="8" w:name="_Toc469594897"/>
      <w:bookmarkStart w:id="9" w:name="_Toc469594794"/>
      <w:bookmarkStart w:id="10" w:name="_Toc469594531"/>
      <w:bookmarkStart w:id="11" w:name="_Toc469594429"/>
      <w:bookmarkStart w:id="12" w:name="_Toc469593446"/>
      <w:bookmarkStart w:id="13" w:name="_Toc469940913"/>
      <w:bookmarkStart w:id="14" w:name="_Toc504656566"/>
      <w:bookmarkStart w:id="15" w:name="_Toc504661187"/>
      <w:r w:rsidRPr="00104227">
        <w:rPr>
          <w:spacing w:val="-4"/>
          <w:sz w:val="18"/>
          <w:szCs w:val="18"/>
        </w:rPr>
        <w:br w:type="page"/>
      </w:r>
    </w:p>
    <w:p w14:paraId="5DF72F1E" w14:textId="35BAF8A3" w:rsidR="00827157" w:rsidRPr="00104227" w:rsidRDefault="00B851FA" w:rsidP="00E4619F">
      <w:pPr>
        <w:tabs>
          <w:tab w:val="left" w:pos="567"/>
        </w:tabs>
        <w:spacing w:line="276" w:lineRule="auto"/>
        <w:jc w:val="center"/>
        <w:rPr>
          <w:b/>
          <w:spacing w:val="-4"/>
          <w:sz w:val="18"/>
          <w:szCs w:val="18"/>
        </w:rPr>
      </w:pPr>
      <w:r w:rsidRPr="00104227">
        <w:rPr>
          <w:b/>
          <w:spacing w:val="-4"/>
          <w:sz w:val="18"/>
          <w:szCs w:val="18"/>
        </w:rPr>
        <w:lastRenderedPageBreak/>
        <w:t>TABLE OF CONTENT</w:t>
      </w:r>
    </w:p>
    <w:p w14:paraId="6A32A1A7" w14:textId="77777777" w:rsidR="003A3E4C" w:rsidRPr="00104227" w:rsidRDefault="003A3E4C" w:rsidP="00E4619F">
      <w:pPr>
        <w:tabs>
          <w:tab w:val="left" w:pos="567"/>
        </w:tabs>
        <w:spacing w:line="276" w:lineRule="auto"/>
        <w:jc w:val="center"/>
        <w:rPr>
          <w:b/>
          <w:spacing w:val="-4"/>
          <w:sz w:val="18"/>
          <w:szCs w:val="18"/>
        </w:rPr>
      </w:pPr>
    </w:p>
    <w:bookmarkEnd w:id="4"/>
    <w:bookmarkEnd w:id="5"/>
    <w:bookmarkEnd w:id="6"/>
    <w:bookmarkEnd w:id="7"/>
    <w:bookmarkEnd w:id="8"/>
    <w:bookmarkEnd w:id="9"/>
    <w:bookmarkEnd w:id="10"/>
    <w:bookmarkEnd w:id="11"/>
    <w:bookmarkEnd w:id="12"/>
    <w:bookmarkEnd w:id="13"/>
    <w:bookmarkEnd w:id="14"/>
    <w:bookmarkEnd w:id="15"/>
    <w:p w14:paraId="6EA638D8" w14:textId="079FB0B5" w:rsidR="00833F8D" w:rsidRPr="00104227" w:rsidRDefault="008D3132">
      <w:pPr>
        <w:pStyle w:val="TDC1"/>
        <w:rPr>
          <w:rFonts w:eastAsiaTheme="minorEastAsia" w:cstheme="minorBidi"/>
          <w:b w:val="0"/>
          <w:sz w:val="18"/>
          <w:szCs w:val="18"/>
          <w:bdr w:val="none" w:sz="0" w:space="0" w:color="auto"/>
          <w:lang w:val="en-US"/>
        </w:rPr>
      </w:pPr>
      <w:r w:rsidRPr="00104227">
        <w:rPr>
          <w:b w:val="0"/>
          <w:spacing w:val="-4"/>
          <w:sz w:val="18"/>
          <w:szCs w:val="18"/>
          <w:lang w:val="en-US" w:eastAsia="es-CR"/>
        </w:rPr>
        <w:fldChar w:fldCharType="begin"/>
      </w:r>
      <w:r w:rsidRPr="00104227">
        <w:rPr>
          <w:b w:val="0"/>
          <w:spacing w:val="-4"/>
          <w:sz w:val="18"/>
          <w:szCs w:val="18"/>
          <w:lang w:val="en-US" w:eastAsia="es-CR"/>
        </w:rPr>
        <w:instrText xml:space="preserve"> TOC \o "1-3" \h \z \u </w:instrText>
      </w:r>
      <w:r w:rsidRPr="00104227">
        <w:rPr>
          <w:b w:val="0"/>
          <w:spacing w:val="-4"/>
          <w:sz w:val="18"/>
          <w:szCs w:val="18"/>
          <w:lang w:val="en-US" w:eastAsia="es-CR"/>
        </w:rPr>
        <w:fldChar w:fldCharType="separate"/>
      </w:r>
      <w:hyperlink w:anchor="_Toc31290538" w:history="1">
        <w:r w:rsidR="00833F8D" w:rsidRPr="00104227">
          <w:rPr>
            <w:rStyle w:val="Hipervnculo"/>
            <w:spacing w:val="-4"/>
            <w:sz w:val="18"/>
            <w:szCs w:val="18"/>
            <w:lang w:val="en-US"/>
          </w:rPr>
          <w:t>I</w:t>
        </w:r>
        <w:r w:rsidR="00833F8D" w:rsidRPr="00104227">
          <w:rPr>
            <w:webHidden/>
            <w:sz w:val="18"/>
            <w:szCs w:val="18"/>
            <w:lang w:val="en-US"/>
          </w:rPr>
          <w:tab/>
        </w:r>
      </w:hyperlink>
      <w:hyperlink w:anchor="_Toc31290539" w:history="1">
        <w:r w:rsidR="00833F8D" w:rsidRPr="00104227">
          <w:rPr>
            <w:rStyle w:val="Hipervnculo"/>
            <w:rFonts w:eastAsia="Times New Roman"/>
            <w:spacing w:val="-4"/>
            <w:sz w:val="18"/>
            <w:szCs w:val="18"/>
            <w:lang w:val="en-US" w:eastAsia="es-ES"/>
          </w:rPr>
          <w:t>INTRODUCTION OF THE CASE AND PURPOSE OF THE DISPUTE</w:t>
        </w:r>
        <w:r w:rsidR="00833F8D" w:rsidRPr="00104227">
          <w:rPr>
            <w:webHidden/>
            <w:sz w:val="18"/>
            <w:szCs w:val="18"/>
            <w:lang w:val="en-US"/>
          </w:rPr>
          <w:tab/>
        </w:r>
        <w:r w:rsidR="00833F8D" w:rsidRPr="00104227">
          <w:rPr>
            <w:webHidden/>
            <w:sz w:val="18"/>
            <w:szCs w:val="18"/>
            <w:lang w:val="en-US"/>
          </w:rPr>
          <w:fldChar w:fldCharType="begin"/>
        </w:r>
        <w:r w:rsidR="00833F8D" w:rsidRPr="00104227">
          <w:rPr>
            <w:webHidden/>
            <w:sz w:val="18"/>
            <w:szCs w:val="18"/>
            <w:lang w:val="en-US"/>
          </w:rPr>
          <w:instrText xml:space="preserve"> PAGEREF _Toc31290539 \h </w:instrText>
        </w:r>
        <w:r w:rsidR="00833F8D" w:rsidRPr="00104227">
          <w:rPr>
            <w:webHidden/>
            <w:sz w:val="18"/>
            <w:szCs w:val="18"/>
            <w:lang w:val="en-US"/>
          </w:rPr>
        </w:r>
        <w:r w:rsidR="00833F8D" w:rsidRPr="00104227">
          <w:rPr>
            <w:webHidden/>
            <w:sz w:val="18"/>
            <w:szCs w:val="18"/>
            <w:lang w:val="en-US"/>
          </w:rPr>
          <w:fldChar w:fldCharType="separate"/>
        </w:r>
        <w:r w:rsidR="004276BD">
          <w:rPr>
            <w:webHidden/>
            <w:sz w:val="18"/>
            <w:szCs w:val="18"/>
            <w:lang w:val="en-US"/>
          </w:rPr>
          <w:t>5</w:t>
        </w:r>
        <w:r w:rsidR="00833F8D" w:rsidRPr="00104227">
          <w:rPr>
            <w:webHidden/>
            <w:sz w:val="18"/>
            <w:szCs w:val="18"/>
            <w:lang w:val="en-US"/>
          </w:rPr>
          <w:fldChar w:fldCharType="end"/>
        </w:r>
      </w:hyperlink>
    </w:p>
    <w:p w14:paraId="16F3F049" w14:textId="052304E4" w:rsidR="00833F8D" w:rsidRPr="00104227" w:rsidRDefault="004276BD">
      <w:pPr>
        <w:pStyle w:val="TDC1"/>
        <w:rPr>
          <w:rFonts w:eastAsiaTheme="minorEastAsia" w:cstheme="minorBidi"/>
          <w:b w:val="0"/>
          <w:sz w:val="18"/>
          <w:szCs w:val="18"/>
          <w:bdr w:val="none" w:sz="0" w:space="0" w:color="auto"/>
          <w:lang w:val="en-US"/>
        </w:rPr>
      </w:pPr>
      <w:hyperlink w:anchor="_Toc31290540" w:history="1">
        <w:r w:rsidR="00833F8D" w:rsidRPr="00104227">
          <w:rPr>
            <w:rStyle w:val="Hipervnculo"/>
            <w:spacing w:val="-4"/>
            <w:sz w:val="18"/>
            <w:szCs w:val="18"/>
            <w:lang w:val="en-US"/>
          </w:rPr>
          <w:t>II</w:t>
        </w:r>
        <w:r w:rsidR="00833F8D" w:rsidRPr="00104227">
          <w:rPr>
            <w:webHidden/>
            <w:sz w:val="18"/>
            <w:szCs w:val="18"/>
            <w:lang w:val="en-US"/>
          </w:rPr>
          <w:tab/>
        </w:r>
      </w:hyperlink>
      <w:hyperlink w:anchor="_Toc31290541" w:history="1">
        <w:r w:rsidR="00833F8D" w:rsidRPr="00104227">
          <w:rPr>
            <w:rStyle w:val="Hipervnculo"/>
            <w:spacing w:val="-4"/>
            <w:sz w:val="18"/>
            <w:szCs w:val="18"/>
            <w:lang w:val="en-US"/>
          </w:rPr>
          <w:t>PROCEEDINGS BEFORE THE COURT</w:t>
        </w:r>
        <w:r w:rsidR="00833F8D" w:rsidRPr="00104227">
          <w:rPr>
            <w:webHidden/>
            <w:sz w:val="18"/>
            <w:szCs w:val="18"/>
            <w:lang w:val="en-US"/>
          </w:rPr>
          <w:tab/>
        </w:r>
        <w:r w:rsidR="00833F8D" w:rsidRPr="00104227">
          <w:rPr>
            <w:webHidden/>
            <w:sz w:val="18"/>
            <w:szCs w:val="18"/>
            <w:lang w:val="en-US"/>
          </w:rPr>
          <w:fldChar w:fldCharType="begin"/>
        </w:r>
        <w:r w:rsidR="00833F8D" w:rsidRPr="00104227">
          <w:rPr>
            <w:webHidden/>
            <w:sz w:val="18"/>
            <w:szCs w:val="18"/>
            <w:lang w:val="en-US"/>
          </w:rPr>
          <w:instrText xml:space="preserve"> PAGEREF _Toc31290541 \h </w:instrText>
        </w:r>
        <w:r w:rsidR="00833F8D" w:rsidRPr="00104227">
          <w:rPr>
            <w:webHidden/>
            <w:sz w:val="18"/>
            <w:szCs w:val="18"/>
            <w:lang w:val="en-US"/>
          </w:rPr>
        </w:r>
        <w:r w:rsidR="00833F8D" w:rsidRPr="00104227">
          <w:rPr>
            <w:webHidden/>
            <w:sz w:val="18"/>
            <w:szCs w:val="18"/>
            <w:lang w:val="en-US"/>
          </w:rPr>
          <w:fldChar w:fldCharType="separate"/>
        </w:r>
        <w:r>
          <w:rPr>
            <w:webHidden/>
            <w:sz w:val="18"/>
            <w:szCs w:val="18"/>
            <w:lang w:val="en-US"/>
          </w:rPr>
          <w:t>7</w:t>
        </w:r>
        <w:r w:rsidR="00833F8D" w:rsidRPr="00104227">
          <w:rPr>
            <w:webHidden/>
            <w:sz w:val="18"/>
            <w:szCs w:val="18"/>
            <w:lang w:val="en-US"/>
          </w:rPr>
          <w:fldChar w:fldCharType="end"/>
        </w:r>
      </w:hyperlink>
    </w:p>
    <w:p w14:paraId="2405E00D" w14:textId="4C0168FA" w:rsidR="00833F8D" w:rsidRPr="00104227" w:rsidRDefault="004276BD">
      <w:pPr>
        <w:pStyle w:val="TDC1"/>
        <w:rPr>
          <w:rFonts w:eastAsiaTheme="minorEastAsia" w:cstheme="minorBidi"/>
          <w:b w:val="0"/>
          <w:sz w:val="18"/>
          <w:szCs w:val="18"/>
          <w:bdr w:val="none" w:sz="0" w:space="0" w:color="auto"/>
          <w:lang w:val="en-US"/>
        </w:rPr>
      </w:pPr>
      <w:hyperlink w:anchor="_Toc31290542" w:history="1">
        <w:r w:rsidR="00833F8D" w:rsidRPr="00104227">
          <w:rPr>
            <w:rStyle w:val="Hipervnculo"/>
            <w:snapToGrid w:val="0"/>
            <w:spacing w:val="-4"/>
            <w:sz w:val="18"/>
            <w:szCs w:val="18"/>
            <w:lang w:val="en-US"/>
          </w:rPr>
          <w:t>III</w:t>
        </w:r>
        <w:r w:rsidR="00833F8D" w:rsidRPr="00104227">
          <w:rPr>
            <w:webHidden/>
            <w:sz w:val="18"/>
            <w:szCs w:val="18"/>
            <w:lang w:val="en-US"/>
          </w:rPr>
          <w:tab/>
        </w:r>
      </w:hyperlink>
      <w:hyperlink w:anchor="_Toc31290543" w:history="1">
        <w:r w:rsidR="00833F8D" w:rsidRPr="00104227">
          <w:rPr>
            <w:rStyle w:val="Hipervnculo"/>
            <w:rFonts w:eastAsia="Times New Roman"/>
            <w:snapToGrid w:val="0"/>
            <w:spacing w:val="-4"/>
            <w:sz w:val="18"/>
            <w:szCs w:val="18"/>
            <w:lang w:val="en-US" w:eastAsia="es-ES"/>
          </w:rPr>
          <w:t>JURISDICTION</w:t>
        </w:r>
        <w:r w:rsidR="00833F8D" w:rsidRPr="00104227">
          <w:rPr>
            <w:webHidden/>
            <w:sz w:val="18"/>
            <w:szCs w:val="18"/>
            <w:lang w:val="en-US"/>
          </w:rPr>
          <w:tab/>
        </w:r>
        <w:r w:rsidR="00833F8D" w:rsidRPr="00104227">
          <w:rPr>
            <w:webHidden/>
            <w:sz w:val="18"/>
            <w:szCs w:val="18"/>
            <w:lang w:val="en-US"/>
          </w:rPr>
          <w:fldChar w:fldCharType="begin"/>
        </w:r>
        <w:r w:rsidR="00833F8D" w:rsidRPr="00104227">
          <w:rPr>
            <w:webHidden/>
            <w:sz w:val="18"/>
            <w:szCs w:val="18"/>
            <w:lang w:val="en-US"/>
          </w:rPr>
          <w:instrText xml:space="preserve"> PAGEREF _Toc31290543 \h </w:instrText>
        </w:r>
        <w:r w:rsidR="00833F8D" w:rsidRPr="00104227">
          <w:rPr>
            <w:webHidden/>
            <w:sz w:val="18"/>
            <w:szCs w:val="18"/>
            <w:lang w:val="en-US"/>
          </w:rPr>
        </w:r>
        <w:r w:rsidR="00833F8D" w:rsidRPr="00104227">
          <w:rPr>
            <w:webHidden/>
            <w:sz w:val="18"/>
            <w:szCs w:val="18"/>
            <w:lang w:val="en-US"/>
          </w:rPr>
          <w:fldChar w:fldCharType="separate"/>
        </w:r>
        <w:r>
          <w:rPr>
            <w:webHidden/>
            <w:sz w:val="18"/>
            <w:szCs w:val="18"/>
            <w:lang w:val="en-US"/>
          </w:rPr>
          <w:t>10</w:t>
        </w:r>
        <w:r w:rsidR="00833F8D" w:rsidRPr="00104227">
          <w:rPr>
            <w:webHidden/>
            <w:sz w:val="18"/>
            <w:szCs w:val="18"/>
            <w:lang w:val="en-US"/>
          </w:rPr>
          <w:fldChar w:fldCharType="end"/>
        </w:r>
      </w:hyperlink>
    </w:p>
    <w:p w14:paraId="5CD38F81" w14:textId="437A99B4" w:rsidR="00833F8D" w:rsidRPr="00104227" w:rsidRDefault="004276BD">
      <w:pPr>
        <w:pStyle w:val="TDC1"/>
        <w:rPr>
          <w:rFonts w:eastAsiaTheme="minorEastAsia" w:cstheme="minorBidi"/>
          <w:b w:val="0"/>
          <w:sz w:val="18"/>
          <w:szCs w:val="18"/>
          <w:bdr w:val="none" w:sz="0" w:space="0" w:color="auto"/>
          <w:lang w:val="en-US"/>
        </w:rPr>
      </w:pPr>
      <w:hyperlink w:anchor="_Toc31290544" w:history="1">
        <w:r w:rsidR="00833F8D" w:rsidRPr="00104227">
          <w:rPr>
            <w:rStyle w:val="Hipervnculo"/>
            <w:spacing w:val="-4"/>
            <w:sz w:val="18"/>
            <w:szCs w:val="18"/>
            <w:lang w:val="en-US"/>
          </w:rPr>
          <w:t>IV</w:t>
        </w:r>
        <w:r w:rsidR="00833F8D" w:rsidRPr="00104227">
          <w:rPr>
            <w:webHidden/>
            <w:sz w:val="18"/>
            <w:szCs w:val="18"/>
            <w:lang w:val="en-US"/>
          </w:rPr>
          <w:tab/>
        </w:r>
      </w:hyperlink>
      <w:hyperlink w:anchor="_Toc31290545" w:history="1">
        <w:r w:rsidR="00833F8D" w:rsidRPr="00104227">
          <w:rPr>
            <w:rStyle w:val="Hipervnculo"/>
            <w:spacing w:val="-4"/>
            <w:sz w:val="18"/>
            <w:szCs w:val="18"/>
            <w:lang w:val="en-US"/>
          </w:rPr>
          <w:t>PRELIMINARY OBJECTION</w:t>
        </w:r>
        <w:r w:rsidR="00833F8D" w:rsidRPr="00104227">
          <w:rPr>
            <w:webHidden/>
            <w:sz w:val="18"/>
            <w:szCs w:val="18"/>
            <w:lang w:val="en-US"/>
          </w:rPr>
          <w:tab/>
        </w:r>
        <w:r w:rsidR="00833F8D" w:rsidRPr="00104227">
          <w:rPr>
            <w:webHidden/>
            <w:sz w:val="18"/>
            <w:szCs w:val="18"/>
            <w:lang w:val="en-US"/>
          </w:rPr>
          <w:fldChar w:fldCharType="begin"/>
        </w:r>
        <w:r w:rsidR="00833F8D" w:rsidRPr="00104227">
          <w:rPr>
            <w:webHidden/>
            <w:sz w:val="18"/>
            <w:szCs w:val="18"/>
            <w:lang w:val="en-US"/>
          </w:rPr>
          <w:instrText xml:space="preserve"> PAGEREF _Toc31290545 \h </w:instrText>
        </w:r>
        <w:r w:rsidR="00833F8D" w:rsidRPr="00104227">
          <w:rPr>
            <w:webHidden/>
            <w:sz w:val="18"/>
            <w:szCs w:val="18"/>
            <w:lang w:val="en-US"/>
          </w:rPr>
        </w:r>
        <w:r w:rsidR="00833F8D" w:rsidRPr="00104227">
          <w:rPr>
            <w:webHidden/>
            <w:sz w:val="18"/>
            <w:szCs w:val="18"/>
            <w:lang w:val="en-US"/>
          </w:rPr>
          <w:fldChar w:fldCharType="separate"/>
        </w:r>
        <w:r>
          <w:rPr>
            <w:webHidden/>
            <w:sz w:val="18"/>
            <w:szCs w:val="18"/>
            <w:lang w:val="en-US"/>
          </w:rPr>
          <w:t>10</w:t>
        </w:r>
        <w:r w:rsidR="00833F8D" w:rsidRPr="00104227">
          <w:rPr>
            <w:webHidden/>
            <w:sz w:val="18"/>
            <w:szCs w:val="18"/>
            <w:lang w:val="en-US"/>
          </w:rPr>
          <w:fldChar w:fldCharType="end"/>
        </w:r>
      </w:hyperlink>
    </w:p>
    <w:p w14:paraId="3B35406C" w14:textId="0835E42D" w:rsidR="00833F8D" w:rsidRPr="00104227" w:rsidRDefault="004276BD" w:rsidP="00833F8D">
      <w:pPr>
        <w:pStyle w:val="TDC2"/>
        <w:rPr>
          <w:rFonts w:eastAsiaTheme="minorEastAsia" w:cstheme="minorBidi"/>
          <w:noProof/>
          <w:bdr w:val="none" w:sz="0" w:space="0" w:color="auto"/>
          <w:lang w:val="en-US"/>
        </w:rPr>
      </w:pPr>
      <w:hyperlink w:anchor="_Toc31290546" w:history="1">
        <w:r w:rsidR="00833F8D" w:rsidRPr="00104227">
          <w:rPr>
            <w:rStyle w:val="Hipervnculo"/>
            <w:rFonts w:ascii="Verdana" w:hAnsi="Verdana"/>
            <w:noProof/>
            <w:sz w:val="18"/>
            <w:szCs w:val="18"/>
            <w:lang w:val="en-US"/>
          </w:rPr>
          <w:t>A.</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Arguments of the parties and the Commission</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_Toc31290546 \h </w:instrText>
        </w:r>
        <w:r w:rsidR="00833F8D" w:rsidRPr="00104227">
          <w:rPr>
            <w:noProof/>
            <w:webHidden/>
            <w:lang w:val="en-US"/>
          </w:rPr>
        </w:r>
        <w:r w:rsidR="00833F8D" w:rsidRPr="00104227">
          <w:rPr>
            <w:noProof/>
            <w:webHidden/>
            <w:lang w:val="en-US"/>
          </w:rPr>
          <w:fldChar w:fldCharType="separate"/>
        </w:r>
        <w:r>
          <w:rPr>
            <w:noProof/>
            <w:webHidden/>
            <w:lang w:val="en-US"/>
          </w:rPr>
          <w:t>10</w:t>
        </w:r>
        <w:r w:rsidR="00833F8D" w:rsidRPr="00104227">
          <w:rPr>
            <w:noProof/>
            <w:webHidden/>
            <w:lang w:val="en-US"/>
          </w:rPr>
          <w:fldChar w:fldCharType="end"/>
        </w:r>
      </w:hyperlink>
    </w:p>
    <w:p w14:paraId="04F5530B" w14:textId="2D10B108" w:rsidR="00833F8D" w:rsidRPr="00104227" w:rsidRDefault="004276BD" w:rsidP="00833F8D">
      <w:pPr>
        <w:pStyle w:val="TDC2"/>
        <w:rPr>
          <w:rFonts w:eastAsiaTheme="minorEastAsia" w:cstheme="minorBidi"/>
          <w:noProof/>
          <w:bdr w:val="none" w:sz="0" w:space="0" w:color="auto"/>
          <w:lang w:val="en-US"/>
        </w:rPr>
      </w:pPr>
      <w:hyperlink w:anchor="_Toc31290547" w:history="1">
        <w:r w:rsidR="00833F8D" w:rsidRPr="00104227">
          <w:rPr>
            <w:rStyle w:val="Hipervnculo"/>
            <w:rFonts w:ascii="Verdana" w:hAnsi="Verdana"/>
            <w:noProof/>
            <w:sz w:val="18"/>
            <w:szCs w:val="18"/>
            <w:lang w:val="en-US"/>
          </w:rPr>
          <w:t>B.</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Considerations of the Court</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_Toc31290547 \h </w:instrText>
        </w:r>
        <w:r w:rsidR="00833F8D" w:rsidRPr="00104227">
          <w:rPr>
            <w:noProof/>
            <w:webHidden/>
            <w:lang w:val="en-US"/>
          </w:rPr>
        </w:r>
        <w:r w:rsidR="00833F8D" w:rsidRPr="00104227">
          <w:rPr>
            <w:noProof/>
            <w:webHidden/>
            <w:lang w:val="en-US"/>
          </w:rPr>
          <w:fldChar w:fldCharType="separate"/>
        </w:r>
        <w:r>
          <w:rPr>
            <w:noProof/>
            <w:webHidden/>
            <w:lang w:val="en-US"/>
          </w:rPr>
          <w:t>11</w:t>
        </w:r>
        <w:r w:rsidR="00833F8D" w:rsidRPr="00104227">
          <w:rPr>
            <w:noProof/>
            <w:webHidden/>
            <w:lang w:val="en-US"/>
          </w:rPr>
          <w:fldChar w:fldCharType="end"/>
        </w:r>
      </w:hyperlink>
    </w:p>
    <w:p w14:paraId="001FF741" w14:textId="45AEEA45" w:rsidR="00833F8D" w:rsidRPr="00104227" w:rsidRDefault="004276BD">
      <w:pPr>
        <w:pStyle w:val="TDC1"/>
        <w:rPr>
          <w:rFonts w:eastAsiaTheme="minorEastAsia" w:cstheme="minorBidi"/>
          <w:b w:val="0"/>
          <w:sz w:val="18"/>
          <w:szCs w:val="18"/>
          <w:bdr w:val="none" w:sz="0" w:space="0" w:color="auto"/>
          <w:lang w:val="en-US"/>
        </w:rPr>
      </w:pPr>
      <w:hyperlink w:anchor="_Toc31290548" w:history="1">
        <w:r w:rsidR="00833F8D" w:rsidRPr="00104227">
          <w:rPr>
            <w:rStyle w:val="Hipervnculo"/>
            <w:spacing w:val="-4"/>
            <w:sz w:val="18"/>
            <w:szCs w:val="18"/>
            <w:lang w:val="en-US"/>
          </w:rPr>
          <w:t>V</w:t>
        </w:r>
        <w:r w:rsidR="00833F8D" w:rsidRPr="00104227">
          <w:rPr>
            <w:webHidden/>
            <w:sz w:val="18"/>
            <w:szCs w:val="18"/>
            <w:lang w:val="en-US"/>
          </w:rPr>
          <w:tab/>
        </w:r>
      </w:hyperlink>
      <w:hyperlink w:anchor="_Toc31290549" w:history="1">
        <w:r w:rsidR="00833F8D" w:rsidRPr="00104227">
          <w:rPr>
            <w:rStyle w:val="Hipervnculo"/>
            <w:spacing w:val="-4"/>
            <w:sz w:val="18"/>
            <w:szCs w:val="18"/>
            <w:lang w:val="en-US"/>
          </w:rPr>
          <w:t>THE STATE’S ACKNOWLEDGEMENT OF RESPONSIBILITY</w:t>
        </w:r>
        <w:r w:rsidR="00833F8D" w:rsidRPr="00104227">
          <w:rPr>
            <w:webHidden/>
            <w:sz w:val="18"/>
            <w:szCs w:val="18"/>
            <w:lang w:val="en-US"/>
          </w:rPr>
          <w:tab/>
        </w:r>
        <w:r w:rsidR="00833F8D" w:rsidRPr="00104227">
          <w:rPr>
            <w:webHidden/>
            <w:sz w:val="18"/>
            <w:szCs w:val="18"/>
            <w:lang w:val="en-US"/>
          </w:rPr>
          <w:fldChar w:fldCharType="begin"/>
        </w:r>
        <w:r w:rsidR="00833F8D" w:rsidRPr="00104227">
          <w:rPr>
            <w:webHidden/>
            <w:sz w:val="18"/>
            <w:szCs w:val="18"/>
            <w:lang w:val="en-US"/>
          </w:rPr>
          <w:instrText xml:space="preserve"> PAGEREF _Toc31290549 \h </w:instrText>
        </w:r>
        <w:r w:rsidR="00833F8D" w:rsidRPr="00104227">
          <w:rPr>
            <w:webHidden/>
            <w:sz w:val="18"/>
            <w:szCs w:val="18"/>
            <w:lang w:val="en-US"/>
          </w:rPr>
        </w:r>
        <w:r w:rsidR="00833F8D" w:rsidRPr="00104227">
          <w:rPr>
            <w:webHidden/>
            <w:sz w:val="18"/>
            <w:szCs w:val="18"/>
            <w:lang w:val="en-US"/>
          </w:rPr>
          <w:fldChar w:fldCharType="separate"/>
        </w:r>
        <w:r>
          <w:rPr>
            <w:webHidden/>
            <w:sz w:val="18"/>
            <w:szCs w:val="18"/>
            <w:lang w:val="en-US"/>
          </w:rPr>
          <w:t>12</w:t>
        </w:r>
        <w:r w:rsidR="00833F8D" w:rsidRPr="00104227">
          <w:rPr>
            <w:webHidden/>
            <w:sz w:val="18"/>
            <w:szCs w:val="18"/>
            <w:lang w:val="en-US"/>
          </w:rPr>
          <w:fldChar w:fldCharType="end"/>
        </w:r>
      </w:hyperlink>
    </w:p>
    <w:p w14:paraId="655D2BF0" w14:textId="533B3B4C" w:rsidR="00833F8D" w:rsidRPr="00104227" w:rsidRDefault="004276BD" w:rsidP="00833F8D">
      <w:pPr>
        <w:pStyle w:val="TDC2"/>
        <w:rPr>
          <w:rFonts w:eastAsiaTheme="minorEastAsia" w:cstheme="minorBidi"/>
          <w:noProof/>
          <w:bdr w:val="none" w:sz="0" w:space="0" w:color="auto"/>
          <w:lang w:val="en-US"/>
        </w:rPr>
      </w:pPr>
      <w:hyperlink w:anchor="_Toc31290550" w:history="1">
        <w:r w:rsidR="00833F8D" w:rsidRPr="00104227">
          <w:rPr>
            <w:rStyle w:val="Hipervnculo"/>
            <w:rFonts w:ascii="Verdana" w:hAnsi="Verdana"/>
            <w:noProof/>
            <w:sz w:val="18"/>
            <w:szCs w:val="18"/>
            <w:lang w:val="en-US"/>
          </w:rPr>
          <w:t>A.</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The State’s acknowledgement of responsibility and observations of the Commission and the representatives</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_Toc31290550 \h </w:instrText>
        </w:r>
        <w:r w:rsidR="00833F8D" w:rsidRPr="00104227">
          <w:rPr>
            <w:noProof/>
            <w:webHidden/>
            <w:lang w:val="en-US"/>
          </w:rPr>
        </w:r>
        <w:r w:rsidR="00833F8D" w:rsidRPr="00104227">
          <w:rPr>
            <w:noProof/>
            <w:webHidden/>
            <w:lang w:val="en-US"/>
          </w:rPr>
          <w:fldChar w:fldCharType="separate"/>
        </w:r>
        <w:r>
          <w:rPr>
            <w:noProof/>
            <w:webHidden/>
            <w:lang w:val="en-US"/>
          </w:rPr>
          <w:t>12</w:t>
        </w:r>
        <w:r w:rsidR="00833F8D" w:rsidRPr="00104227">
          <w:rPr>
            <w:noProof/>
            <w:webHidden/>
            <w:lang w:val="en-US"/>
          </w:rPr>
          <w:fldChar w:fldCharType="end"/>
        </w:r>
      </w:hyperlink>
    </w:p>
    <w:p w14:paraId="426B804A" w14:textId="25BCC16F" w:rsidR="00833F8D" w:rsidRPr="00104227" w:rsidRDefault="004276BD" w:rsidP="00833F8D">
      <w:pPr>
        <w:pStyle w:val="TDC2"/>
        <w:rPr>
          <w:rFonts w:eastAsiaTheme="minorEastAsia" w:cstheme="minorBidi"/>
          <w:noProof/>
          <w:bdr w:val="none" w:sz="0" w:space="0" w:color="auto"/>
          <w:lang w:val="en-US"/>
        </w:rPr>
      </w:pPr>
      <w:hyperlink w:anchor="_Toc31290551" w:history="1">
        <w:r w:rsidR="00833F8D" w:rsidRPr="00104227">
          <w:rPr>
            <w:rStyle w:val="Hipervnculo"/>
            <w:rFonts w:ascii="Verdana" w:hAnsi="Verdana"/>
            <w:noProof/>
            <w:sz w:val="18"/>
            <w:szCs w:val="18"/>
            <w:lang w:val="en-US"/>
          </w:rPr>
          <w:t>B.</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Considerations of the Court</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_Toc31290551 \h </w:instrText>
        </w:r>
        <w:r w:rsidR="00833F8D" w:rsidRPr="00104227">
          <w:rPr>
            <w:noProof/>
            <w:webHidden/>
            <w:lang w:val="en-US"/>
          </w:rPr>
        </w:r>
        <w:r w:rsidR="00833F8D" w:rsidRPr="00104227">
          <w:rPr>
            <w:noProof/>
            <w:webHidden/>
            <w:lang w:val="en-US"/>
          </w:rPr>
          <w:fldChar w:fldCharType="separate"/>
        </w:r>
        <w:r>
          <w:rPr>
            <w:noProof/>
            <w:webHidden/>
            <w:lang w:val="en-US"/>
          </w:rPr>
          <w:t>14</w:t>
        </w:r>
        <w:r w:rsidR="00833F8D" w:rsidRPr="00104227">
          <w:rPr>
            <w:noProof/>
            <w:webHidden/>
            <w:lang w:val="en-US"/>
          </w:rPr>
          <w:fldChar w:fldCharType="end"/>
        </w:r>
      </w:hyperlink>
    </w:p>
    <w:p w14:paraId="3125608A" w14:textId="4C04DE6B" w:rsidR="00833F8D" w:rsidRPr="00104227" w:rsidRDefault="004276BD">
      <w:pPr>
        <w:pStyle w:val="TDC3"/>
        <w:rPr>
          <w:rFonts w:eastAsiaTheme="minorEastAsia" w:cstheme="minorBidi"/>
          <w:bdr w:val="none" w:sz="0" w:space="0" w:color="auto"/>
          <w:lang w:val="en-US" w:eastAsia="en-US"/>
        </w:rPr>
      </w:pPr>
      <w:hyperlink w:anchor="_Toc31290552" w:history="1">
        <w:r w:rsidR="00833F8D" w:rsidRPr="00104227">
          <w:rPr>
            <w:rStyle w:val="Hipervnculo"/>
            <w:spacing w:val="-4"/>
            <w:lang w:val="en-US" w:eastAsia="es-MX"/>
          </w:rPr>
          <w:t>B.1 Regarding the facts</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_Toc31290552 \h </w:instrText>
        </w:r>
        <w:r w:rsidR="00833F8D" w:rsidRPr="00104227">
          <w:rPr>
            <w:webHidden/>
            <w:lang w:val="en-US"/>
          </w:rPr>
        </w:r>
        <w:r w:rsidR="00833F8D" w:rsidRPr="00104227">
          <w:rPr>
            <w:webHidden/>
            <w:lang w:val="en-US"/>
          </w:rPr>
          <w:fldChar w:fldCharType="separate"/>
        </w:r>
        <w:r>
          <w:rPr>
            <w:webHidden/>
            <w:lang w:val="en-US"/>
          </w:rPr>
          <w:t>15</w:t>
        </w:r>
        <w:r w:rsidR="00833F8D" w:rsidRPr="00104227">
          <w:rPr>
            <w:webHidden/>
            <w:lang w:val="en-US"/>
          </w:rPr>
          <w:fldChar w:fldCharType="end"/>
        </w:r>
      </w:hyperlink>
    </w:p>
    <w:p w14:paraId="01F556D1" w14:textId="279443AC" w:rsidR="00833F8D" w:rsidRPr="00104227" w:rsidRDefault="004276BD">
      <w:pPr>
        <w:pStyle w:val="TDC3"/>
        <w:rPr>
          <w:rFonts w:eastAsiaTheme="minorEastAsia" w:cstheme="minorBidi"/>
          <w:bdr w:val="none" w:sz="0" w:space="0" w:color="auto"/>
          <w:lang w:val="en-US" w:eastAsia="en-US"/>
        </w:rPr>
      </w:pPr>
      <w:hyperlink w:anchor="_Toc31290553" w:history="1">
        <w:r w:rsidR="00833F8D" w:rsidRPr="00104227">
          <w:rPr>
            <w:rStyle w:val="Hipervnculo"/>
            <w:lang w:val="en-US" w:eastAsia="es-MX"/>
          </w:rPr>
          <w:t>B.2 Regarding the legal claims</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_Toc31290553 \h </w:instrText>
        </w:r>
        <w:r w:rsidR="00833F8D" w:rsidRPr="00104227">
          <w:rPr>
            <w:webHidden/>
            <w:lang w:val="en-US"/>
          </w:rPr>
        </w:r>
        <w:r w:rsidR="00833F8D" w:rsidRPr="00104227">
          <w:rPr>
            <w:webHidden/>
            <w:lang w:val="en-US"/>
          </w:rPr>
          <w:fldChar w:fldCharType="separate"/>
        </w:r>
        <w:r>
          <w:rPr>
            <w:webHidden/>
            <w:lang w:val="en-US"/>
          </w:rPr>
          <w:t>16</w:t>
        </w:r>
        <w:r w:rsidR="00833F8D" w:rsidRPr="00104227">
          <w:rPr>
            <w:webHidden/>
            <w:lang w:val="en-US"/>
          </w:rPr>
          <w:fldChar w:fldCharType="end"/>
        </w:r>
      </w:hyperlink>
    </w:p>
    <w:p w14:paraId="3C104ABF" w14:textId="3537B113" w:rsidR="00833F8D" w:rsidRPr="00104227" w:rsidRDefault="004276BD">
      <w:pPr>
        <w:pStyle w:val="TDC3"/>
        <w:rPr>
          <w:rFonts w:eastAsiaTheme="minorEastAsia" w:cstheme="minorBidi"/>
          <w:bdr w:val="none" w:sz="0" w:space="0" w:color="auto"/>
          <w:lang w:val="en-US" w:eastAsia="en-US"/>
        </w:rPr>
      </w:pPr>
      <w:hyperlink w:anchor="_Toc31290554" w:history="1">
        <w:r w:rsidR="00833F8D" w:rsidRPr="00104227">
          <w:rPr>
            <w:rStyle w:val="Hipervnculo"/>
            <w:spacing w:val="-4"/>
            <w:lang w:val="en-US"/>
          </w:rPr>
          <w:t>B.3 Regarding the reparations</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_Toc31290554 \h </w:instrText>
        </w:r>
        <w:r w:rsidR="00833F8D" w:rsidRPr="00104227">
          <w:rPr>
            <w:webHidden/>
            <w:lang w:val="en-US"/>
          </w:rPr>
        </w:r>
        <w:r w:rsidR="00833F8D" w:rsidRPr="00104227">
          <w:rPr>
            <w:webHidden/>
            <w:lang w:val="en-US"/>
          </w:rPr>
          <w:fldChar w:fldCharType="separate"/>
        </w:r>
        <w:r>
          <w:rPr>
            <w:webHidden/>
            <w:lang w:val="en-US"/>
          </w:rPr>
          <w:t>17</w:t>
        </w:r>
        <w:r w:rsidR="00833F8D" w:rsidRPr="00104227">
          <w:rPr>
            <w:webHidden/>
            <w:lang w:val="en-US"/>
          </w:rPr>
          <w:fldChar w:fldCharType="end"/>
        </w:r>
      </w:hyperlink>
    </w:p>
    <w:p w14:paraId="58104B6B" w14:textId="362F160C" w:rsidR="00833F8D" w:rsidRPr="00104227" w:rsidRDefault="004276BD">
      <w:pPr>
        <w:pStyle w:val="TDC3"/>
        <w:rPr>
          <w:rFonts w:eastAsiaTheme="minorEastAsia" w:cstheme="minorBidi"/>
          <w:bdr w:val="none" w:sz="0" w:space="0" w:color="auto"/>
          <w:lang w:val="en-US" w:eastAsia="en-US"/>
        </w:rPr>
      </w:pPr>
      <w:hyperlink w:anchor="_Toc31290555" w:history="1">
        <w:r w:rsidR="00833F8D" w:rsidRPr="00104227">
          <w:rPr>
            <w:rStyle w:val="Hipervnculo"/>
            <w:spacing w:val="-4"/>
            <w:lang w:val="en-US"/>
          </w:rPr>
          <w:t>B.4 Assessment of the acquiescence</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_Toc31290555 \h </w:instrText>
        </w:r>
        <w:r w:rsidR="00833F8D" w:rsidRPr="00104227">
          <w:rPr>
            <w:webHidden/>
            <w:lang w:val="en-US"/>
          </w:rPr>
        </w:r>
        <w:r w:rsidR="00833F8D" w:rsidRPr="00104227">
          <w:rPr>
            <w:webHidden/>
            <w:lang w:val="en-US"/>
          </w:rPr>
          <w:fldChar w:fldCharType="separate"/>
        </w:r>
        <w:r>
          <w:rPr>
            <w:webHidden/>
            <w:lang w:val="en-US"/>
          </w:rPr>
          <w:t>17</w:t>
        </w:r>
        <w:r w:rsidR="00833F8D" w:rsidRPr="00104227">
          <w:rPr>
            <w:webHidden/>
            <w:lang w:val="en-US"/>
          </w:rPr>
          <w:fldChar w:fldCharType="end"/>
        </w:r>
      </w:hyperlink>
    </w:p>
    <w:p w14:paraId="5FB530C7" w14:textId="5166EB0C" w:rsidR="00833F8D" w:rsidRPr="00104227" w:rsidRDefault="004276BD">
      <w:pPr>
        <w:pStyle w:val="TDC1"/>
        <w:rPr>
          <w:rFonts w:eastAsiaTheme="minorEastAsia" w:cstheme="minorBidi"/>
          <w:b w:val="0"/>
          <w:sz w:val="18"/>
          <w:szCs w:val="18"/>
          <w:bdr w:val="none" w:sz="0" w:space="0" w:color="auto"/>
          <w:lang w:val="en-US"/>
        </w:rPr>
      </w:pPr>
      <w:hyperlink w:anchor="_Toc31290556" w:history="1">
        <w:r w:rsidR="00833F8D" w:rsidRPr="00104227">
          <w:rPr>
            <w:rStyle w:val="Hipervnculo"/>
            <w:snapToGrid w:val="0"/>
            <w:sz w:val="18"/>
            <w:szCs w:val="18"/>
            <w:lang w:val="en-US"/>
          </w:rPr>
          <w:t>VI</w:t>
        </w:r>
        <w:r w:rsidR="00833F8D" w:rsidRPr="00104227">
          <w:rPr>
            <w:webHidden/>
            <w:sz w:val="18"/>
            <w:szCs w:val="18"/>
            <w:lang w:val="en-US"/>
          </w:rPr>
          <w:tab/>
        </w:r>
      </w:hyperlink>
      <w:hyperlink w:anchor="_Toc31290557" w:history="1">
        <w:r w:rsidR="00833F8D" w:rsidRPr="00104227">
          <w:rPr>
            <w:rStyle w:val="Hipervnculo"/>
            <w:caps/>
            <w:snapToGrid w:val="0"/>
            <w:sz w:val="18"/>
            <w:szCs w:val="18"/>
            <w:lang w:val="en-US"/>
          </w:rPr>
          <w:t>PRELIMINARY CONSIDERATIONS</w:t>
        </w:r>
        <w:r w:rsidR="00833F8D" w:rsidRPr="00104227">
          <w:rPr>
            <w:webHidden/>
            <w:sz w:val="18"/>
            <w:szCs w:val="18"/>
            <w:lang w:val="en-US"/>
          </w:rPr>
          <w:tab/>
        </w:r>
        <w:r w:rsidR="00833F8D" w:rsidRPr="00104227">
          <w:rPr>
            <w:webHidden/>
            <w:sz w:val="18"/>
            <w:szCs w:val="18"/>
            <w:lang w:val="en-US"/>
          </w:rPr>
          <w:fldChar w:fldCharType="begin"/>
        </w:r>
        <w:r w:rsidR="00833F8D" w:rsidRPr="00104227">
          <w:rPr>
            <w:webHidden/>
            <w:sz w:val="18"/>
            <w:szCs w:val="18"/>
            <w:lang w:val="en-US"/>
          </w:rPr>
          <w:instrText xml:space="preserve"> PAGEREF _Toc31290557 \h </w:instrText>
        </w:r>
        <w:r w:rsidR="00833F8D" w:rsidRPr="00104227">
          <w:rPr>
            <w:webHidden/>
            <w:sz w:val="18"/>
            <w:szCs w:val="18"/>
            <w:lang w:val="en-US"/>
          </w:rPr>
        </w:r>
        <w:r w:rsidR="00833F8D" w:rsidRPr="00104227">
          <w:rPr>
            <w:webHidden/>
            <w:sz w:val="18"/>
            <w:szCs w:val="18"/>
            <w:lang w:val="en-US"/>
          </w:rPr>
          <w:fldChar w:fldCharType="separate"/>
        </w:r>
        <w:r>
          <w:rPr>
            <w:webHidden/>
            <w:sz w:val="18"/>
            <w:szCs w:val="18"/>
            <w:lang w:val="en-US"/>
          </w:rPr>
          <w:t>18</w:t>
        </w:r>
        <w:r w:rsidR="00833F8D" w:rsidRPr="00104227">
          <w:rPr>
            <w:webHidden/>
            <w:sz w:val="18"/>
            <w:szCs w:val="18"/>
            <w:lang w:val="en-US"/>
          </w:rPr>
          <w:fldChar w:fldCharType="end"/>
        </w:r>
      </w:hyperlink>
    </w:p>
    <w:p w14:paraId="451D3562" w14:textId="57EAB518" w:rsidR="00833F8D" w:rsidRPr="00104227" w:rsidRDefault="004276BD" w:rsidP="00833F8D">
      <w:pPr>
        <w:pStyle w:val="TDC2"/>
        <w:rPr>
          <w:rFonts w:eastAsiaTheme="minorEastAsia" w:cstheme="minorBidi"/>
          <w:noProof/>
          <w:bdr w:val="none" w:sz="0" w:space="0" w:color="auto"/>
          <w:lang w:val="en-US"/>
        </w:rPr>
      </w:pPr>
      <w:hyperlink w:anchor="_Toc31290558" w:history="1">
        <w:r w:rsidR="00833F8D" w:rsidRPr="00104227">
          <w:rPr>
            <w:rStyle w:val="Hipervnculo"/>
            <w:rFonts w:ascii="Verdana" w:hAnsi="Verdana"/>
            <w:noProof/>
            <w:sz w:val="18"/>
            <w:szCs w:val="18"/>
            <w:lang w:val="en-US"/>
          </w:rPr>
          <w:t>A.</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The factual framework of the case</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_Toc31290558 \h </w:instrText>
        </w:r>
        <w:r w:rsidR="00833F8D" w:rsidRPr="00104227">
          <w:rPr>
            <w:noProof/>
            <w:webHidden/>
            <w:lang w:val="en-US"/>
          </w:rPr>
        </w:r>
        <w:r w:rsidR="00833F8D" w:rsidRPr="00104227">
          <w:rPr>
            <w:noProof/>
            <w:webHidden/>
            <w:lang w:val="en-US"/>
          </w:rPr>
          <w:fldChar w:fldCharType="separate"/>
        </w:r>
        <w:r>
          <w:rPr>
            <w:noProof/>
            <w:webHidden/>
            <w:lang w:val="en-US"/>
          </w:rPr>
          <w:t>18</w:t>
        </w:r>
        <w:r w:rsidR="00833F8D" w:rsidRPr="00104227">
          <w:rPr>
            <w:noProof/>
            <w:webHidden/>
            <w:lang w:val="en-US"/>
          </w:rPr>
          <w:fldChar w:fldCharType="end"/>
        </w:r>
      </w:hyperlink>
    </w:p>
    <w:p w14:paraId="0C95CA72" w14:textId="3AABC9BA" w:rsidR="00833F8D" w:rsidRPr="00104227" w:rsidRDefault="004276BD" w:rsidP="00833F8D">
      <w:pPr>
        <w:pStyle w:val="TDC2"/>
        <w:rPr>
          <w:rFonts w:eastAsiaTheme="minorEastAsia" w:cstheme="minorBidi"/>
          <w:noProof/>
          <w:bdr w:val="none" w:sz="0" w:space="0" w:color="auto"/>
          <w:lang w:val="en-US"/>
        </w:rPr>
      </w:pPr>
      <w:hyperlink w:anchor="_Toc31290559" w:history="1">
        <w:r w:rsidR="00833F8D" w:rsidRPr="00104227">
          <w:rPr>
            <w:rStyle w:val="Hipervnculo"/>
            <w:rFonts w:ascii="Verdana" w:hAnsi="Verdana"/>
            <w:noProof/>
            <w:sz w:val="18"/>
            <w:szCs w:val="18"/>
            <w:lang w:val="en-US"/>
          </w:rPr>
          <w:t>B.</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The presumed victims in this case</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_Toc31290559 \h </w:instrText>
        </w:r>
        <w:r w:rsidR="00833F8D" w:rsidRPr="00104227">
          <w:rPr>
            <w:noProof/>
            <w:webHidden/>
            <w:lang w:val="en-US"/>
          </w:rPr>
        </w:r>
        <w:r w:rsidR="00833F8D" w:rsidRPr="00104227">
          <w:rPr>
            <w:noProof/>
            <w:webHidden/>
            <w:lang w:val="en-US"/>
          </w:rPr>
          <w:fldChar w:fldCharType="separate"/>
        </w:r>
        <w:r>
          <w:rPr>
            <w:noProof/>
            <w:webHidden/>
            <w:lang w:val="en-US"/>
          </w:rPr>
          <w:t>19</w:t>
        </w:r>
        <w:r w:rsidR="00833F8D" w:rsidRPr="00104227">
          <w:rPr>
            <w:noProof/>
            <w:webHidden/>
            <w:lang w:val="en-US"/>
          </w:rPr>
          <w:fldChar w:fldCharType="end"/>
        </w:r>
      </w:hyperlink>
    </w:p>
    <w:p w14:paraId="0D34EC9A" w14:textId="5D257086" w:rsidR="00833F8D" w:rsidRPr="00104227" w:rsidRDefault="004276BD" w:rsidP="00833F8D">
      <w:pPr>
        <w:pStyle w:val="TDC1"/>
        <w:tabs>
          <w:tab w:val="left" w:pos="1080"/>
        </w:tabs>
        <w:rPr>
          <w:rFonts w:eastAsiaTheme="minorEastAsia" w:cstheme="minorBidi"/>
          <w:b w:val="0"/>
          <w:sz w:val="18"/>
          <w:szCs w:val="18"/>
          <w:bdr w:val="none" w:sz="0" w:space="0" w:color="auto"/>
          <w:lang w:val="en-US"/>
        </w:rPr>
      </w:pPr>
      <w:hyperlink w:anchor="_Toc31290560" w:history="1">
        <w:r w:rsidR="00833F8D" w:rsidRPr="00104227">
          <w:rPr>
            <w:rStyle w:val="Hipervnculo"/>
            <w:sz w:val="18"/>
            <w:szCs w:val="18"/>
            <w:lang w:val="en-US"/>
          </w:rPr>
          <w:t>VII</w:t>
        </w:r>
        <w:r w:rsidR="00833F8D" w:rsidRPr="00104227">
          <w:rPr>
            <w:webHidden/>
            <w:sz w:val="18"/>
            <w:szCs w:val="18"/>
            <w:lang w:val="en-US"/>
          </w:rPr>
          <w:tab/>
        </w:r>
      </w:hyperlink>
      <w:hyperlink w:anchor="_Toc31290561" w:history="1">
        <w:r w:rsidR="00833F8D" w:rsidRPr="00104227">
          <w:rPr>
            <w:rStyle w:val="Hipervnculo"/>
            <w:sz w:val="18"/>
            <w:szCs w:val="18"/>
            <w:lang w:val="en-US"/>
          </w:rPr>
          <w:t>EVIDENCE</w:t>
        </w:r>
        <w:r w:rsidR="00833F8D" w:rsidRPr="00104227">
          <w:rPr>
            <w:webHidden/>
            <w:sz w:val="18"/>
            <w:szCs w:val="18"/>
            <w:lang w:val="en-US"/>
          </w:rPr>
          <w:tab/>
        </w:r>
        <w:r w:rsidR="00833F8D" w:rsidRPr="00104227">
          <w:rPr>
            <w:webHidden/>
            <w:sz w:val="18"/>
            <w:szCs w:val="18"/>
            <w:lang w:val="en-US"/>
          </w:rPr>
          <w:fldChar w:fldCharType="begin"/>
        </w:r>
        <w:r w:rsidR="00833F8D" w:rsidRPr="00104227">
          <w:rPr>
            <w:webHidden/>
            <w:sz w:val="18"/>
            <w:szCs w:val="18"/>
            <w:lang w:val="en-US"/>
          </w:rPr>
          <w:instrText xml:space="preserve"> PAGEREF _Toc31290561 \h </w:instrText>
        </w:r>
        <w:r w:rsidR="00833F8D" w:rsidRPr="00104227">
          <w:rPr>
            <w:webHidden/>
            <w:sz w:val="18"/>
            <w:szCs w:val="18"/>
            <w:lang w:val="en-US"/>
          </w:rPr>
        </w:r>
        <w:r w:rsidR="00833F8D" w:rsidRPr="00104227">
          <w:rPr>
            <w:webHidden/>
            <w:sz w:val="18"/>
            <w:szCs w:val="18"/>
            <w:lang w:val="en-US"/>
          </w:rPr>
          <w:fldChar w:fldCharType="separate"/>
        </w:r>
        <w:r>
          <w:rPr>
            <w:webHidden/>
            <w:sz w:val="18"/>
            <w:szCs w:val="18"/>
            <w:lang w:val="en-US"/>
          </w:rPr>
          <w:t>19</w:t>
        </w:r>
        <w:r w:rsidR="00833F8D" w:rsidRPr="00104227">
          <w:rPr>
            <w:webHidden/>
            <w:sz w:val="18"/>
            <w:szCs w:val="18"/>
            <w:lang w:val="en-US"/>
          </w:rPr>
          <w:fldChar w:fldCharType="end"/>
        </w:r>
      </w:hyperlink>
    </w:p>
    <w:p w14:paraId="426577CF" w14:textId="344E6EA3" w:rsidR="00833F8D" w:rsidRPr="00104227" w:rsidRDefault="004276BD" w:rsidP="00833F8D">
      <w:pPr>
        <w:pStyle w:val="TDC2"/>
        <w:rPr>
          <w:rFonts w:eastAsiaTheme="minorEastAsia" w:cstheme="minorBidi"/>
          <w:noProof/>
          <w:bdr w:val="none" w:sz="0" w:space="0" w:color="auto"/>
          <w:lang w:val="en-US"/>
        </w:rPr>
      </w:pPr>
      <w:hyperlink w:anchor="_Toc31290562" w:history="1">
        <w:r w:rsidR="00833F8D" w:rsidRPr="00104227">
          <w:rPr>
            <w:rStyle w:val="Hipervnculo"/>
            <w:rFonts w:ascii="Verdana" w:hAnsi="Verdana"/>
            <w:noProof/>
            <w:sz w:val="18"/>
            <w:szCs w:val="18"/>
            <w:lang w:val="en-US"/>
          </w:rPr>
          <w:t>A.</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Admission of the documentary evidence</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_Toc31290562 \h </w:instrText>
        </w:r>
        <w:r w:rsidR="00833F8D" w:rsidRPr="00104227">
          <w:rPr>
            <w:noProof/>
            <w:webHidden/>
            <w:lang w:val="en-US"/>
          </w:rPr>
        </w:r>
        <w:r w:rsidR="00833F8D" w:rsidRPr="00104227">
          <w:rPr>
            <w:noProof/>
            <w:webHidden/>
            <w:lang w:val="en-US"/>
          </w:rPr>
          <w:fldChar w:fldCharType="separate"/>
        </w:r>
        <w:r>
          <w:rPr>
            <w:noProof/>
            <w:webHidden/>
            <w:lang w:val="en-US"/>
          </w:rPr>
          <w:t>19</w:t>
        </w:r>
        <w:r w:rsidR="00833F8D" w:rsidRPr="00104227">
          <w:rPr>
            <w:noProof/>
            <w:webHidden/>
            <w:lang w:val="en-US"/>
          </w:rPr>
          <w:fldChar w:fldCharType="end"/>
        </w:r>
      </w:hyperlink>
    </w:p>
    <w:p w14:paraId="49B20BF4" w14:textId="0AFF615F" w:rsidR="00833F8D" w:rsidRPr="00104227" w:rsidRDefault="004276BD" w:rsidP="00833F8D">
      <w:pPr>
        <w:pStyle w:val="TDC2"/>
        <w:rPr>
          <w:rFonts w:eastAsiaTheme="minorEastAsia" w:cstheme="minorBidi"/>
          <w:noProof/>
          <w:bdr w:val="none" w:sz="0" w:space="0" w:color="auto"/>
          <w:lang w:val="en-US"/>
        </w:rPr>
      </w:pPr>
      <w:hyperlink w:anchor="_Toc31290563" w:history="1">
        <w:r w:rsidR="00833F8D" w:rsidRPr="00104227">
          <w:rPr>
            <w:rStyle w:val="Hipervnculo"/>
            <w:rFonts w:ascii="Verdana" w:hAnsi="Verdana"/>
            <w:noProof/>
            <w:sz w:val="18"/>
            <w:szCs w:val="18"/>
            <w:lang w:val="en-US"/>
          </w:rPr>
          <w:t>B.</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Admission of the testimonial and expert evidence</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_Toc31290563 \h </w:instrText>
        </w:r>
        <w:r w:rsidR="00833F8D" w:rsidRPr="00104227">
          <w:rPr>
            <w:noProof/>
            <w:webHidden/>
            <w:lang w:val="en-US"/>
          </w:rPr>
        </w:r>
        <w:r w:rsidR="00833F8D" w:rsidRPr="00104227">
          <w:rPr>
            <w:noProof/>
            <w:webHidden/>
            <w:lang w:val="en-US"/>
          </w:rPr>
          <w:fldChar w:fldCharType="separate"/>
        </w:r>
        <w:r>
          <w:rPr>
            <w:noProof/>
            <w:webHidden/>
            <w:lang w:val="en-US"/>
          </w:rPr>
          <w:t>20</w:t>
        </w:r>
        <w:r w:rsidR="00833F8D" w:rsidRPr="00104227">
          <w:rPr>
            <w:noProof/>
            <w:webHidden/>
            <w:lang w:val="en-US"/>
          </w:rPr>
          <w:fldChar w:fldCharType="end"/>
        </w:r>
      </w:hyperlink>
    </w:p>
    <w:p w14:paraId="53A49D48" w14:textId="00D7A91A" w:rsidR="00833F8D" w:rsidRPr="00104227" w:rsidRDefault="004276BD">
      <w:pPr>
        <w:pStyle w:val="TDC1"/>
        <w:rPr>
          <w:rFonts w:eastAsiaTheme="minorEastAsia" w:cstheme="minorBidi"/>
          <w:b w:val="0"/>
          <w:sz w:val="18"/>
          <w:szCs w:val="18"/>
          <w:bdr w:val="none" w:sz="0" w:space="0" w:color="auto"/>
          <w:lang w:val="en-US"/>
        </w:rPr>
      </w:pPr>
      <w:hyperlink w:anchor="_Toc31290564" w:history="1">
        <w:r w:rsidR="00833F8D" w:rsidRPr="00104227">
          <w:rPr>
            <w:rStyle w:val="Hipervnculo"/>
            <w:spacing w:val="-4"/>
            <w:sz w:val="18"/>
            <w:szCs w:val="18"/>
            <w:lang w:val="en-US"/>
          </w:rPr>
          <w:t>VIII</w:t>
        </w:r>
        <w:r w:rsidR="00833F8D" w:rsidRPr="00104227">
          <w:rPr>
            <w:webHidden/>
            <w:sz w:val="18"/>
            <w:szCs w:val="18"/>
            <w:lang w:val="en-US"/>
          </w:rPr>
          <w:tab/>
        </w:r>
      </w:hyperlink>
      <w:hyperlink w:anchor="_Toc31290565" w:history="1">
        <w:r w:rsidR="00833F8D" w:rsidRPr="00104227">
          <w:rPr>
            <w:rStyle w:val="Hipervnculo"/>
            <w:spacing w:val="-4"/>
            <w:sz w:val="18"/>
            <w:szCs w:val="18"/>
            <w:lang w:val="en-US"/>
          </w:rPr>
          <w:t>FACTS</w:t>
        </w:r>
        <w:r w:rsidR="00833F8D" w:rsidRPr="00104227">
          <w:rPr>
            <w:webHidden/>
            <w:sz w:val="18"/>
            <w:szCs w:val="18"/>
            <w:lang w:val="en-US"/>
          </w:rPr>
          <w:tab/>
        </w:r>
        <w:r w:rsidR="00833F8D" w:rsidRPr="00104227">
          <w:rPr>
            <w:webHidden/>
            <w:sz w:val="18"/>
            <w:szCs w:val="18"/>
            <w:lang w:val="en-US"/>
          </w:rPr>
          <w:fldChar w:fldCharType="begin"/>
        </w:r>
        <w:r w:rsidR="00833F8D" w:rsidRPr="00104227">
          <w:rPr>
            <w:webHidden/>
            <w:sz w:val="18"/>
            <w:szCs w:val="18"/>
            <w:lang w:val="en-US"/>
          </w:rPr>
          <w:instrText xml:space="preserve"> PAGEREF _Toc31290565 \h </w:instrText>
        </w:r>
        <w:r w:rsidR="00833F8D" w:rsidRPr="00104227">
          <w:rPr>
            <w:webHidden/>
            <w:sz w:val="18"/>
            <w:szCs w:val="18"/>
            <w:lang w:val="en-US"/>
          </w:rPr>
        </w:r>
        <w:r w:rsidR="00833F8D" w:rsidRPr="00104227">
          <w:rPr>
            <w:webHidden/>
            <w:sz w:val="18"/>
            <w:szCs w:val="18"/>
            <w:lang w:val="en-US"/>
          </w:rPr>
          <w:fldChar w:fldCharType="separate"/>
        </w:r>
        <w:r>
          <w:rPr>
            <w:webHidden/>
            <w:sz w:val="18"/>
            <w:szCs w:val="18"/>
            <w:lang w:val="en-US"/>
          </w:rPr>
          <w:t>21</w:t>
        </w:r>
        <w:r w:rsidR="00833F8D" w:rsidRPr="00104227">
          <w:rPr>
            <w:webHidden/>
            <w:sz w:val="18"/>
            <w:szCs w:val="18"/>
            <w:lang w:val="en-US"/>
          </w:rPr>
          <w:fldChar w:fldCharType="end"/>
        </w:r>
      </w:hyperlink>
    </w:p>
    <w:p w14:paraId="6D32A7AC" w14:textId="5EA0F23F" w:rsidR="00833F8D" w:rsidRPr="00104227" w:rsidRDefault="004276BD" w:rsidP="00833F8D">
      <w:pPr>
        <w:pStyle w:val="TDC2"/>
        <w:rPr>
          <w:rFonts w:eastAsiaTheme="minorEastAsia" w:cstheme="minorBidi"/>
          <w:noProof/>
          <w:bdr w:val="none" w:sz="0" w:space="0" w:color="auto"/>
          <w:lang w:val="en-US"/>
        </w:rPr>
      </w:pPr>
      <w:hyperlink w:anchor="_Toc31290566" w:history="1">
        <w:r w:rsidR="00833F8D" w:rsidRPr="00104227">
          <w:rPr>
            <w:rStyle w:val="Hipervnculo"/>
            <w:rFonts w:ascii="Verdana" w:hAnsi="Verdana"/>
            <w:noProof/>
            <w:sz w:val="18"/>
            <w:szCs w:val="18"/>
            <w:lang w:val="en-US"/>
          </w:rPr>
          <w:t>A.</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Context</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_Toc31290566 \h </w:instrText>
        </w:r>
        <w:r w:rsidR="00833F8D" w:rsidRPr="00104227">
          <w:rPr>
            <w:noProof/>
            <w:webHidden/>
            <w:lang w:val="en-US"/>
          </w:rPr>
        </w:r>
        <w:r w:rsidR="00833F8D" w:rsidRPr="00104227">
          <w:rPr>
            <w:noProof/>
            <w:webHidden/>
            <w:lang w:val="en-US"/>
          </w:rPr>
          <w:fldChar w:fldCharType="separate"/>
        </w:r>
        <w:r>
          <w:rPr>
            <w:noProof/>
            <w:webHidden/>
            <w:lang w:val="en-US"/>
          </w:rPr>
          <w:t>21</w:t>
        </w:r>
        <w:r w:rsidR="00833F8D" w:rsidRPr="00104227">
          <w:rPr>
            <w:noProof/>
            <w:webHidden/>
            <w:lang w:val="en-US"/>
          </w:rPr>
          <w:fldChar w:fldCharType="end"/>
        </w:r>
      </w:hyperlink>
    </w:p>
    <w:p w14:paraId="4B576D7E" w14:textId="71D1EC5F" w:rsidR="00833F8D" w:rsidRPr="00104227" w:rsidRDefault="004276BD">
      <w:pPr>
        <w:pStyle w:val="TDC3"/>
        <w:rPr>
          <w:rFonts w:eastAsiaTheme="minorEastAsia" w:cstheme="minorBidi"/>
          <w:bdr w:val="none" w:sz="0" w:space="0" w:color="auto"/>
          <w:lang w:val="en-US" w:eastAsia="en-US"/>
        </w:rPr>
      </w:pPr>
      <w:hyperlink w:anchor="_Toc31290567" w:history="1">
        <w:r w:rsidR="00833F8D" w:rsidRPr="00104227">
          <w:rPr>
            <w:rStyle w:val="Hipervnculo"/>
            <w:lang w:val="en-US"/>
          </w:rPr>
          <w:t>A.1 Preliminary considerations</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_Toc31290567 \h </w:instrText>
        </w:r>
        <w:r w:rsidR="00833F8D" w:rsidRPr="00104227">
          <w:rPr>
            <w:webHidden/>
            <w:lang w:val="en-US"/>
          </w:rPr>
        </w:r>
        <w:r w:rsidR="00833F8D" w:rsidRPr="00104227">
          <w:rPr>
            <w:webHidden/>
            <w:lang w:val="en-US"/>
          </w:rPr>
          <w:fldChar w:fldCharType="separate"/>
        </w:r>
        <w:r>
          <w:rPr>
            <w:webHidden/>
            <w:lang w:val="en-US"/>
          </w:rPr>
          <w:t>21</w:t>
        </w:r>
        <w:r w:rsidR="00833F8D" w:rsidRPr="00104227">
          <w:rPr>
            <w:webHidden/>
            <w:lang w:val="en-US"/>
          </w:rPr>
          <w:fldChar w:fldCharType="end"/>
        </w:r>
      </w:hyperlink>
    </w:p>
    <w:p w14:paraId="741045EC" w14:textId="6C429361" w:rsidR="00833F8D" w:rsidRPr="00104227" w:rsidRDefault="004276BD">
      <w:pPr>
        <w:pStyle w:val="TDC3"/>
        <w:rPr>
          <w:rFonts w:eastAsiaTheme="minorEastAsia" w:cstheme="minorBidi"/>
          <w:bdr w:val="none" w:sz="0" w:space="0" w:color="auto"/>
          <w:lang w:val="en-US" w:eastAsia="en-US"/>
        </w:rPr>
      </w:pPr>
      <w:hyperlink w:anchor="_Toc31290568" w:history="1">
        <w:r w:rsidR="00833F8D" w:rsidRPr="00104227">
          <w:rPr>
            <w:rStyle w:val="Hipervnculo"/>
            <w:lang w:val="en-US"/>
          </w:rPr>
          <w:t>A.2 Background to the operation conducted on May 3 and 4, 2006, in the municipalities of Texcoco and San Salvador Atenco, state of Mexico</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_Toc31290568 \h </w:instrText>
        </w:r>
        <w:r w:rsidR="00833F8D" w:rsidRPr="00104227">
          <w:rPr>
            <w:webHidden/>
            <w:lang w:val="en-US"/>
          </w:rPr>
        </w:r>
        <w:r w:rsidR="00833F8D" w:rsidRPr="00104227">
          <w:rPr>
            <w:webHidden/>
            <w:lang w:val="en-US"/>
          </w:rPr>
          <w:fldChar w:fldCharType="separate"/>
        </w:r>
        <w:r>
          <w:rPr>
            <w:webHidden/>
            <w:lang w:val="en-US"/>
          </w:rPr>
          <w:t>22</w:t>
        </w:r>
        <w:r w:rsidR="00833F8D" w:rsidRPr="00104227">
          <w:rPr>
            <w:webHidden/>
            <w:lang w:val="en-US"/>
          </w:rPr>
          <w:fldChar w:fldCharType="end"/>
        </w:r>
      </w:hyperlink>
    </w:p>
    <w:p w14:paraId="2F57760E" w14:textId="5D245D86" w:rsidR="00833F8D" w:rsidRPr="00104227" w:rsidRDefault="004276BD">
      <w:pPr>
        <w:pStyle w:val="TDC3"/>
        <w:rPr>
          <w:rFonts w:eastAsiaTheme="minorEastAsia" w:cstheme="minorBidi"/>
          <w:bdr w:val="none" w:sz="0" w:space="0" w:color="auto"/>
          <w:lang w:val="en-US" w:eastAsia="en-US"/>
        </w:rPr>
      </w:pPr>
      <w:hyperlink w:anchor="_Toc31290569" w:history="1">
        <w:r w:rsidR="00833F8D" w:rsidRPr="00104227">
          <w:rPr>
            <w:rStyle w:val="Hipervnculo"/>
            <w:lang w:val="en-US"/>
          </w:rPr>
          <w:t>A.3 The operation of May 3, 2006</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_Toc31290569 \h </w:instrText>
        </w:r>
        <w:r w:rsidR="00833F8D" w:rsidRPr="00104227">
          <w:rPr>
            <w:webHidden/>
            <w:lang w:val="en-US"/>
          </w:rPr>
        </w:r>
        <w:r w:rsidR="00833F8D" w:rsidRPr="00104227">
          <w:rPr>
            <w:webHidden/>
            <w:lang w:val="en-US"/>
          </w:rPr>
          <w:fldChar w:fldCharType="separate"/>
        </w:r>
        <w:r>
          <w:rPr>
            <w:webHidden/>
            <w:lang w:val="en-US"/>
          </w:rPr>
          <w:t>23</w:t>
        </w:r>
        <w:r w:rsidR="00833F8D" w:rsidRPr="00104227">
          <w:rPr>
            <w:webHidden/>
            <w:lang w:val="en-US"/>
          </w:rPr>
          <w:fldChar w:fldCharType="end"/>
        </w:r>
      </w:hyperlink>
    </w:p>
    <w:p w14:paraId="4958D2B9" w14:textId="3A3631BC" w:rsidR="00833F8D" w:rsidRPr="00104227" w:rsidRDefault="004276BD">
      <w:pPr>
        <w:pStyle w:val="TDC3"/>
        <w:rPr>
          <w:rFonts w:eastAsiaTheme="minorEastAsia" w:cstheme="minorBidi"/>
          <w:bdr w:val="none" w:sz="0" w:space="0" w:color="auto"/>
          <w:lang w:val="en-US" w:eastAsia="en-US"/>
        </w:rPr>
      </w:pPr>
      <w:hyperlink w:anchor="_Toc31290570" w:history="1">
        <w:r w:rsidR="00833F8D" w:rsidRPr="00104227">
          <w:rPr>
            <w:rStyle w:val="Hipervnculo"/>
            <w:lang w:val="en-US"/>
          </w:rPr>
          <w:t>A.4 The operation of May 4, 2006</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_Toc31290570 \h </w:instrText>
        </w:r>
        <w:r w:rsidR="00833F8D" w:rsidRPr="00104227">
          <w:rPr>
            <w:webHidden/>
            <w:lang w:val="en-US"/>
          </w:rPr>
        </w:r>
        <w:r w:rsidR="00833F8D" w:rsidRPr="00104227">
          <w:rPr>
            <w:webHidden/>
            <w:lang w:val="en-US"/>
          </w:rPr>
          <w:fldChar w:fldCharType="separate"/>
        </w:r>
        <w:r>
          <w:rPr>
            <w:webHidden/>
            <w:lang w:val="en-US"/>
          </w:rPr>
          <w:t>25</w:t>
        </w:r>
        <w:r w:rsidR="00833F8D" w:rsidRPr="00104227">
          <w:rPr>
            <w:webHidden/>
            <w:lang w:val="en-US"/>
          </w:rPr>
          <w:fldChar w:fldCharType="end"/>
        </w:r>
      </w:hyperlink>
    </w:p>
    <w:p w14:paraId="6F98E2AA" w14:textId="53FBA9E1" w:rsidR="00833F8D" w:rsidRPr="00104227" w:rsidRDefault="004276BD">
      <w:pPr>
        <w:pStyle w:val="TDC3"/>
        <w:rPr>
          <w:rFonts w:eastAsiaTheme="minorEastAsia" w:cstheme="minorBidi"/>
          <w:bdr w:val="none" w:sz="0" w:space="0" w:color="auto"/>
          <w:lang w:val="en-US" w:eastAsia="en-US"/>
        </w:rPr>
      </w:pPr>
      <w:hyperlink w:anchor="_Toc31290571" w:history="1">
        <w:r w:rsidR="00833F8D" w:rsidRPr="00104227">
          <w:rPr>
            <w:rStyle w:val="Hipervnculo"/>
            <w:lang w:val="en-US"/>
          </w:rPr>
          <w:t>A.5 Reports of police abuse during the operations on May 3 and 4, 2006, in Texcoco and San Salvador Atenco, state of Mexico</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_Toc31290571 \h </w:instrText>
        </w:r>
        <w:r w:rsidR="00833F8D" w:rsidRPr="00104227">
          <w:rPr>
            <w:webHidden/>
            <w:lang w:val="en-US"/>
          </w:rPr>
        </w:r>
        <w:r w:rsidR="00833F8D" w:rsidRPr="00104227">
          <w:rPr>
            <w:webHidden/>
            <w:lang w:val="en-US"/>
          </w:rPr>
          <w:fldChar w:fldCharType="separate"/>
        </w:r>
        <w:r>
          <w:rPr>
            <w:webHidden/>
            <w:lang w:val="en-US"/>
          </w:rPr>
          <w:t>26</w:t>
        </w:r>
        <w:r w:rsidR="00833F8D" w:rsidRPr="00104227">
          <w:rPr>
            <w:webHidden/>
            <w:lang w:val="en-US"/>
          </w:rPr>
          <w:fldChar w:fldCharType="end"/>
        </w:r>
      </w:hyperlink>
    </w:p>
    <w:p w14:paraId="573C7D55" w14:textId="39F2E64A" w:rsidR="00833F8D" w:rsidRPr="00104227" w:rsidRDefault="004276BD">
      <w:pPr>
        <w:pStyle w:val="TDC3"/>
        <w:rPr>
          <w:rFonts w:eastAsiaTheme="minorEastAsia" w:cstheme="minorBidi"/>
          <w:bdr w:val="none" w:sz="0" w:space="0" w:color="auto"/>
          <w:lang w:val="en-US" w:eastAsia="en-US"/>
        </w:rPr>
      </w:pPr>
      <w:hyperlink w:anchor="_Toc31290572" w:history="1">
        <w:r w:rsidR="00833F8D" w:rsidRPr="00104227">
          <w:rPr>
            <w:rStyle w:val="Hipervnculo"/>
            <w:lang w:val="en-US"/>
          </w:rPr>
          <w:t>A.6 Initial statements of senior state officials on the report of sexual violence in the context of the operations of May 3 and 4, 2006</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_Toc31290572 \h </w:instrText>
        </w:r>
        <w:r w:rsidR="00833F8D" w:rsidRPr="00104227">
          <w:rPr>
            <w:webHidden/>
            <w:lang w:val="en-US"/>
          </w:rPr>
        </w:r>
        <w:r w:rsidR="00833F8D" w:rsidRPr="00104227">
          <w:rPr>
            <w:webHidden/>
            <w:lang w:val="en-US"/>
          </w:rPr>
          <w:fldChar w:fldCharType="separate"/>
        </w:r>
        <w:r>
          <w:rPr>
            <w:webHidden/>
            <w:lang w:val="en-US"/>
          </w:rPr>
          <w:t>27</w:t>
        </w:r>
        <w:r w:rsidR="00833F8D" w:rsidRPr="00104227">
          <w:rPr>
            <w:webHidden/>
            <w:lang w:val="en-US"/>
          </w:rPr>
          <w:fldChar w:fldCharType="end"/>
        </w:r>
      </w:hyperlink>
    </w:p>
    <w:p w14:paraId="46A0FD2C" w14:textId="6CA0A0A7" w:rsidR="00833F8D" w:rsidRPr="00104227" w:rsidRDefault="004276BD" w:rsidP="00833F8D">
      <w:pPr>
        <w:pStyle w:val="TDC2"/>
        <w:rPr>
          <w:rFonts w:eastAsiaTheme="minorEastAsia" w:cstheme="minorBidi"/>
          <w:noProof/>
          <w:bdr w:val="none" w:sz="0" w:space="0" w:color="auto"/>
          <w:lang w:val="en-US"/>
        </w:rPr>
      </w:pPr>
      <w:hyperlink w:anchor="_Toc31290573" w:history="1">
        <w:r w:rsidR="00833F8D" w:rsidRPr="00104227">
          <w:rPr>
            <w:rStyle w:val="Hipervnculo"/>
            <w:rFonts w:ascii="Verdana" w:hAnsi="Verdana"/>
            <w:noProof/>
            <w:sz w:val="18"/>
            <w:szCs w:val="18"/>
            <w:lang w:val="en-US"/>
          </w:rPr>
          <w:t>B.</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The facts with regard to the eleven women</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_Toc31290573 \h </w:instrText>
        </w:r>
        <w:r w:rsidR="00833F8D" w:rsidRPr="00104227">
          <w:rPr>
            <w:noProof/>
            <w:webHidden/>
            <w:lang w:val="en-US"/>
          </w:rPr>
        </w:r>
        <w:r w:rsidR="00833F8D" w:rsidRPr="00104227">
          <w:rPr>
            <w:noProof/>
            <w:webHidden/>
            <w:lang w:val="en-US"/>
          </w:rPr>
          <w:fldChar w:fldCharType="separate"/>
        </w:r>
        <w:r>
          <w:rPr>
            <w:noProof/>
            <w:webHidden/>
            <w:lang w:val="en-US"/>
          </w:rPr>
          <w:t>28</w:t>
        </w:r>
        <w:r w:rsidR="00833F8D" w:rsidRPr="00104227">
          <w:rPr>
            <w:noProof/>
            <w:webHidden/>
            <w:lang w:val="en-US"/>
          </w:rPr>
          <w:fldChar w:fldCharType="end"/>
        </w:r>
      </w:hyperlink>
    </w:p>
    <w:p w14:paraId="291D4BEA" w14:textId="5DAA048D" w:rsidR="00833F8D" w:rsidRPr="00104227" w:rsidRDefault="004276BD">
      <w:pPr>
        <w:pStyle w:val="TDC3"/>
        <w:rPr>
          <w:rFonts w:eastAsiaTheme="minorEastAsia" w:cstheme="minorBidi"/>
          <w:bdr w:val="none" w:sz="0" w:space="0" w:color="auto"/>
          <w:lang w:val="en-US" w:eastAsia="en-US"/>
        </w:rPr>
      </w:pPr>
      <w:hyperlink w:anchor="_Toc31290574" w:history="1">
        <w:r w:rsidR="00833F8D" w:rsidRPr="00104227">
          <w:rPr>
            <w:rStyle w:val="Hipervnculo"/>
            <w:lang w:val="en-US"/>
          </w:rPr>
          <w:t>B.1 The initial detentions</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_Toc31290574 \h </w:instrText>
        </w:r>
        <w:r w:rsidR="00833F8D" w:rsidRPr="00104227">
          <w:rPr>
            <w:webHidden/>
            <w:lang w:val="en-US"/>
          </w:rPr>
        </w:r>
        <w:r w:rsidR="00833F8D" w:rsidRPr="00104227">
          <w:rPr>
            <w:webHidden/>
            <w:lang w:val="en-US"/>
          </w:rPr>
          <w:fldChar w:fldCharType="separate"/>
        </w:r>
        <w:r>
          <w:rPr>
            <w:webHidden/>
            <w:lang w:val="en-US"/>
          </w:rPr>
          <w:t>28</w:t>
        </w:r>
        <w:r w:rsidR="00833F8D" w:rsidRPr="00104227">
          <w:rPr>
            <w:webHidden/>
            <w:lang w:val="en-US"/>
          </w:rPr>
          <w:fldChar w:fldCharType="end"/>
        </w:r>
      </w:hyperlink>
    </w:p>
    <w:p w14:paraId="63F61C0F" w14:textId="0D2EA995" w:rsidR="00833F8D" w:rsidRPr="00104227" w:rsidRDefault="004276BD">
      <w:pPr>
        <w:pStyle w:val="TDC3"/>
        <w:rPr>
          <w:rFonts w:eastAsiaTheme="minorEastAsia" w:cstheme="minorBidi"/>
          <w:bdr w:val="none" w:sz="0" w:space="0" w:color="auto"/>
          <w:lang w:val="en-US" w:eastAsia="en-US"/>
        </w:rPr>
      </w:pPr>
      <w:hyperlink w:anchor="_Toc31290575" w:history="1">
        <w:r w:rsidR="00833F8D" w:rsidRPr="00104227">
          <w:rPr>
            <w:rStyle w:val="Hipervnculo"/>
            <w:lang w:val="en-US"/>
          </w:rPr>
          <w:t>B.2 The transfers</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_Toc31290575 \h </w:instrText>
        </w:r>
        <w:r w:rsidR="00833F8D" w:rsidRPr="00104227">
          <w:rPr>
            <w:webHidden/>
            <w:lang w:val="en-US"/>
          </w:rPr>
        </w:r>
        <w:r w:rsidR="00833F8D" w:rsidRPr="00104227">
          <w:rPr>
            <w:webHidden/>
            <w:lang w:val="en-US"/>
          </w:rPr>
          <w:fldChar w:fldCharType="separate"/>
        </w:r>
        <w:r>
          <w:rPr>
            <w:webHidden/>
            <w:lang w:val="en-US"/>
          </w:rPr>
          <w:t>32</w:t>
        </w:r>
        <w:r w:rsidR="00833F8D" w:rsidRPr="00104227">
          <w:rPr>
            <w:webHidden/>
            <w:lang w:val="en-US"/>
          </w:rPr>
          <w:fldChar w:fldCharType="end"/>
        </w:r>
      </w:hyperlink>
    </w:p>
    <w:p w14:paraId="739F534C" w14:textId="0EAB1856" w:rsidR="00833F8D" w:rsidRPr="00104227" w:rsidRDefault="004276BD">
      <w:pPr>
        <w:pStyle w:val="TDC3"/>
        <w:rPr>
          <w:rFonts w:eastAsiaTheme="minorEastAsia" w:cstheme="minorBidi"/>
          <w:bdr w:val="none" w:sz="0" w:space="0" w:color="auto"/>
          <w:lang w:val="en-US" w:eastAsia="en-US"/>
        </w:rPr>
      </w:pPr>
      <w:hyperlink w:anchor="_Toc31290576" w:history="1">
        <w:r w:rsidR="00833F8D" w:rsidRPr="00104227">
          <w:rPr>
            <w:rStyle w:val="Hipervnculo"/>
            <w:lang w:val="en-US"/>
          </w:rPr>
          <w:t>B.3 The arrival at CEPRESO</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_Toc31290576 \h </w:instrText>
        </w:r>
        <w:r w:rsidR="00833F8D" w:rsidRPr="00104227">
          <w:rPr>
            <w:webHidden/>
            <w:lang w:val="en-US"/>
          </w:rPr>
        </w:r>
        <w:r w:rsidR="00833F8D" w:rsidRPr="00104227">
          <w:rPr>
            <w:webHidden/>
            <w:lang w:val="en-US"/>
          </w:rPr>
          <w:fldChar w:fldCharType="separate"/>
        </w:r>
        <w:r>
          <w:rPr>
            <w:webHidden/>
            <w:lang w:val="en-US"/>
          </w:rPr>
          <w:t>36</w:t>
        </w:r>
        <w:r w:rsidR="00833F8D" w:rsidRPr="00104227">
          <w:rPr>
            <w:webHidden/>
            <w:lang w:val="en-US"/>
          </w:rPr>
          <w:fldChar w:fldCharType="end"/>
        </w:r>
      </w:hyperlink>
    </w:p>
    <w:p w14:paraId="424B815F" w14:textId="7CB75B29" w:rsidR="00833F8D" w:rsidRPr="00104227" w:rsidRDefault="004276BD">
      <w:pPr>
        <w:pStyle w:val="TDC3"/>
        <w:rPr>
          <w:rFonts w:eastAsiaTheme="minorEastAsia" w:cstheme="minorBidi"/>
          <w:bdr w:val="none" w:sz="0" w:space="0" w:color="auto"/>
          <w:lang w:val="en-US" w:eastAsia="en-US"/>
        </w:rPr>
      </w:pPr>
      <w:hyperlink w:anchor="_Toc31290577" w:history="1">
        <w:r w:rsidR="00833F8D" w:rsidRPr="00104227">
          <w:rPr>
            <w:rStyle w:val="Hipervnculo"/>
            <w:lang w:val="en-US"/>
          </w:rPr>
          <w:t>B.4 Medical examinations and expert appraisals performed on the women</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_Toc31290577 \h </w:instrText>
        </w:r>
        <w:r w:rsidR="00833F8D" w:rsidRPr="00104227">
          <w:rPr>
            <w:webHidden/>
            <w:lang w:val="en-US"/>
          </w:rPr>
        </w:r>
        <w:r w:rsidR="00833F8D" w:rsidRPr="00104227">
          <w:rPr>
            <w:webHidden/>
            <w:lang w:val="en-US"/>
          </w:rPr>
          <w:fldChar w:fldCharType="separate"/>
        </w:r>
        <w:r>
          <w:rPr>
            <w:webHidden/>
            <w:lang w:val="en-US"/>
          </w:rPr>
          <w:t>39</w:t>
        </w:r>
        <w:r w:rsidR="00833F8D" w:rsidRPr="00104227">
          <w:rPr>
            <w:webHidden/>
            <w:lang w:val="en-US"/>
          </w:rPr>
          <w:fldChar w:fldCharType="end"/>
        </w:r>
      </w:hyperlink>
    </w:p>
    <w:p w14:paraId="65AEEF9A" w14:textId="74EDF42D" w:rsidR="00833F8D" w:rsidRPr="00104227" w:rsidRDefault="004276BD">
      <w:pPr>
        <w:pStyle w:val="TDC3"/>
        <w:rPr>
          <w:rFonts w:eastAsiaTheme="minorEastAsia" w:cstheme="minorBidi"/>
          <w:bdr w:val="none" w:sz="0" w:space="0" w:color="auto"/>
          <w:lang w:val="en-US" w:eastAsia="en-US"/>
        </w:rPr>
      </w:pPr>
      <w:hyperlink w:anchor="_Toc31290578" w:history="1">
        <w:r w:rsidR="00833F8D" w:rsidRPr="00104227">
          <w:rPr>
            <w:rStyle w:val="Hipervnculo"/>
            <w:lang w:val="en-US"/>
          </w:rPr>
          <w:t>B.5 The proceedings against the women</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_Toc31290578 \h </w:instrText>
        </w:r>
        <w:r w:rsidR="00833F8D" w:rsidRPr="00104227">
          <w:rPr>
            <w:webHidden/>
            <w:lang w:val="en-US"/>
          </w:rPr>
        </w:r>
        <w:r w:rsidR="00833F8D" w:rsidRPr="00104227">
          <w:rPr>
            <w:webHidden/>
            <w:lang w:val="en-US"/>
          </w:rPr>
          <w:fldChar w:fldCharType="separate"/>
        </w:r>
        <w:r>
          <w:rPr>
            <w:webHidden/>
            <w:lang w:val="en-US"/>
          </w:rPr>
          <w:t>42</w:t>
        </w:r>
        <w:r w:rsidR="00833F8D" w:rsidRPr="00104227">
          <w:rPr>
            <w:webHidden/>
            <w:lang w:val="en-US"/>
          </w:rPr>
          <w:fldChar w:fldCharType="end"/>
        </w:r>
      </w:hyperlink>
    </w:p>
    <w:p w14:paraId="032ADBD6" w14:textId="6801A6F7" w:rsidR="00833F8D" w:rsidRPr="00104227" w:rsidRDefault="004276BD" w:rsidP="00833F8D">
      <w:pPr>
        <w:pStyle w:val="TDC2"/>
        <w:rPr>
          <w:rFonts w:eastAsiaTheme="minorEastAsia" w:cstheme="minorBidi"/>
          <w:noProof/>
          <w:bdr w:val="none" w:sz="0" w:space="0" w:color="auto"/>
          <w:lang w:val="en-US"/>
        </w:rPr>
      </w:pPr>
      <w:hyperlink w:anchor="_Toc31290579" w:history="1">
        <w:r w:rsidR="00833F8D" w:rsidRPr="00104227">
          <w:rPr>
            <w:rStyle w:val="Hipervnculo"/>
            <w:rFonts w:ascii="Verdana" w:hAnsi="Verdana"/>
            <w:noProof/>
            <w:sz w:val="18"/>
            <w:szCs w:val="18"/>
            <w:lang w:val="en-US"/>
          </w:rPr>
          <w:t>C.</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The domestic proceedings on the facts alleged to the detriment of the 11 women</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_Toc31290579 \h </w:instrText>
        </w:r>
        <w:r w:rsidR="00833F8D" w:rsidRPr="00104227">
          <w:rPr>
            <w:noProof/>
            <w:webHidden/>
            <w:lang w:val="en-US"/>
          </w:rPr>
        </w:r>
        <w:r w:rsidR="00833F8D" w:rsidRPr="00104227">
          <w:rPr>
            <w:noProof/>
            <w:webHidden/>
            <w:lang w:val="en-US"/>
          </w:rPr>
          <w:fldChar w:fldCharType="separate"/>
        </w:r>
        <w:r>
          <w:rPr>
            <w:noProof/>
            <w:webHidden/>
            <w:lang w:val="en-US"/>
          </w:rPr>
          <w:t>43</w:t>
        </w:r>
        <w:r w:rsidR="00833F8D" w:rsidRPr="00104227">
          <w:rPr>
            <w:noProof/>
            <w:webHidden/>
            <w:lang w:val="en-US"/>
          </w:rPr>
          <w:fldChar w:fldCharType="end"/>
        </w:r>
      </w:hyperlink>
    </w:p>
    <w:p w14:paraId="1E406202" w14:textId="1FA4DDAB" w:rsidR="00833F8D" w:rsidRPr="00104227" w:rsidRDefault="004276BD">
      <w:pPr>
        <w:pStyle w:val="TDC3"/>
        <w:rPr>
          <w:rFonts w:eastAsiaTheme="minorEastAsia" w:cstheme="minorBidi"/>
          <w:bdr w:val="none" w:sz="0" w:space="0" w:color="auto"/>
          <w:lang w:val="en-US" w:eastAsia="en-US"/>
        </w:rPr>
      </w:pPr>
      <w:hyperlink w:anchor="_Toc31290580" w:history="1">
        <w:r w:rsidR="00833F8D" w:rsidRPr="00104227">
          <w:rPr>
            <w:rStyle w:val="Hipervnculo"/>
            <w:lang w:val="en-US"/>
          </w:rPr>
          <w:t>C.1 Investigation conducted by the CNDH</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_Toc31290580 \h </w:instrText>
        </w:r>
        <w:r w:rsidR="00833F8D" w:rsidRPr="00104227">
          <w:rPr>
            <w:webHidden/>
            <w:lang w:val="en-US"/>
          </w:rPr>
        </w:r>
        <w:r w:rsidR="00833F8D" w:rsidRPr="00104227">
          <w:rPr>
            <w:webHidden/>
            <w:lang w:val="en-US"/>
          </w:rPr>
          <w:fldChar w:fldCharType="separate"/>
        </w:r>
        <w:r>
          <w:rPr>
            <w:webHidden/>
            <w:lang w:val="en-US"/>
          </w:rPr>
          <w:t>43</w:t>
        </w:r>
        <w:r w:rsidR="00833F8D" w:rsidRPr="00104227">
          <w:rPr>
            <w:webHidden/>
            <w:lang w:val="en-US"/>
          </w:rPr>
          <w:fldChar w:fldCharType="end"/>
        </w:r>
      </w:hyperlink>
    </w:p>
    <w:p w14:paraId="26FCA239" w14:textId="1CEDB4E2" w:rsidR="00833F8D" w:rsidRPr="00104227" w:rsidRDefault="004276BD">
      <w:pPr>
        <w:pStyle w:val="TDC3"/>
        <w:rPr>
          <w:rFonts w:eastAsiaTheme="minorEastAsia" w:cstheme="minorBidi"/>
          <w:bdr w:val="none" w:sz="0" w:space="0" w:color="auto"/>
          <w:lang w:val="en-US" w:eastAsia="en-US"/>
        </w:rPr>
      </w:pPr>
      <w:hyperlink w:anchor="_Toc31290581" w:history="1">
        <w:r w:rsidR="00833F8D" w:rsidRPr="00104227">
          <w:rPr>
            <w:rStyle w:val="Hipervnculo"/>
            <w:lang w:val="en-US"/>
          </w:rPr>
          <w:t>C.2 Investigation conducted by the SCJN</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_Toc31290581 \h </w:instrText>
        </w:r>
        <w:r w:rsidR="00833F8D" w:rsidRPr="00104227">
          <w:rPr>
            <w:webHidden/>
            <w:lang w:val="en-US"/>
          </w:rPr>
        </w:r>
        <w:r w:rsidR="00833F8D" w:rsidRPr="00104227">
          <w:rPr>
            <w:webHidden/>
            <w:lang w:val="en-US"/>
          </w:rPr>
          <w:fldChar w:fldCharType="separate"/>
        </w:r>
        <w:r>
          <w:rPr>
            <w:webHidden/>
            <w:lang w:val="en-US"/>
          </w:rPr>
          <w:t>45</w:t>
        </w:r>
        <w:r w:rsidR="00833F8D" w:rsidRPr="00104227">
          <w:rPr>
            <w:webHidden/>
            <w:lang w:val="en-US"/>
          </w:rPr>
          <w:fldChar w:fldCharType="end"/>
        </w:r>
      </w:hyperlink>
    </w:p>
    <w:p w14:paraId="44E837BA" w14:textId="676D05AA" w:rsidR="00833F8D" w:rsidRPr="00104227" w:rsidRDefault="004276BD">
      <w:pPr>
        <w:pStyle w:val="TDC3"/>
        <w:rPr>
          <w:rFonts w:eastAsiaTheme="minorEastAsia" w:cstheme="minorBidi"/>
          <w:bdr w:val="none" w:sz="0" w:space="0" w:color="auto"/>
          <w:lang w:val="en-US" w:eastAsia="en-US"/>
        </w:rPr>
      </w:pPr>
      <w:hyperlink w:anchor="_Toc31290582" w:history="1">
        <w:r w:rsidR="00833F8D" w:rsidRPr="00104227">
          <w:rPr>
            <w:rStyle w:val="Hipervnculo"/>
            <w:lang w:val="en-US"/>
          </w:rPr>
          <w:t>C.3 Investigations and criminal proceedings in the state of Mexico</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_Toc31290582 \h </w:instrText>
        </w:r>
        <w:r w:rsidR="00833F8D" w:rsidRPr="00104227">
          <w:rPr>
            <w:webHidden/>
            <w:lang w:val="en-US"/>
          </w:rPr>
        </w:r>
        <w:r w:rsidR="00833F8D" w:rsidRPr="00104227">
          <w:rPr>
            <w:webHidden/>
            <w:lang w:val="en-US"/>
          </w:rPr>
          <w:fldChar w:fldCharType="separate"/>
        </w:r>
        <w:r>
          <w:rPr>
            <w:webHidden/>
            <w:lang w:val="en-US"/>
          </w:rPr>
          <w:t>47</w:t>
        </w:r>
        <w:r w:rsidR="00833F8D" w:rsidRPr="00104227">
          <w:rPr>
            <w:webHidden/>
            <w:lang w:val="en-US"/>
          </w:rPr>
          <w:fldChar w:fldCharType="end"/>
        </w:r>
      </w:hyperlink>
    </w:p>
    <w:p w14:paraId="1BAEBE4D" w14:textId="18FE8177" w:rsidR="00833F8D" w:rsidRPr="00104227" w:rsidRDefault="004276BD">
      <w:pPr>
        <w:pStyle w:val="TDC3"/>
        <w:rPr>
          <w:rFonts w:eastAsiaTheme="minorEastAsia" w:cstheme="minorBidi"/>
          <w:bdr w:val="none" w:sz="0" w:space="0" w:color="auto"/>
          <w:lang w:val="en-US" w:eastAsia="en-US"/>
        </w:rPr>
      </w:pPr>
      <w:hyperlink w:anchor="_Toc31290583" w:history="1">
        <w:r w:rsidR="00833F8D" w:rsidRPr="00104227">
          <w:rPr>
            <w:rStyle w:val="Hipervnculo"/>
            <w:lang w:val="en-US"/>
          </w:rPr>
          <w:t>C.4 Preliminary inquiry at the federal level before the FEVIM</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_Toc31290583 \h </w:instrText>
        </w:r>
        <w:r w:rsidR="00833F8D" w:rsidRPr="00104227">
          <w:rPr>
            <w:webHidden/>
            <w:lang w:val="en-US"/>
          </w:rPr>
        </w:r>
        <w:r w:rsidR="00833F8D" w:rsidRPr="00104227">
          <w:rPr>
            <w:webHidden/>
            <w:lang w:val="en-US"/>
          </w:rPr>
          <w:fldChar w:fldCharType="separate"/>
        </w:r>
        <w:r>
          <w:rPr>
            <w:webHidden/>
            <w:lang w:val="en-US"/>
          </w:rPr>
          <w:t>55</w:t>
        </w:r>
        <w:r w:rsidR="00833F8D" w:rsidRPr="00104227">
          <w:rPr>
            <w:webHidden/>
            <w:lang w:val="en-US"/>
          </w:rPr>
          <w:fldChar w:fldCharType="end"/>
        </w:r>
      </w:hyperlink>
    </w:p>
    <w:p w14:paraId="10D751E3" w14:textId="452018A7" w:rsidR="00833F8D" w:rsidRPr="00104227" w:rsidRDefault="004276BD">
      <w:pPr>
        <w:pStyle w:val="TDC1"/>
        <w:rPr>
          <w:rFonts w:eastAsiaTheme="minorEastAsia" w:cstheme="minorBidi"/>
          <w:b w:val="0"/>
          <w:sz w:val="18"/>
          <w:szCs w:val="18"/>
          <w:bdr w:val="none" w:sz="0" w:space="0" w:color="auto"/>
          <w:lang w:val="en-US"/>
        </w:rPr>
      </w:pPr>
      <w:hyperlink w:anchor="_Toc31290584" w:history="1">
        <w:r w:rsidR="00833F8D" w:rsidRPr="00104227">
          <w:rPr>
            <w:rStyle w:val="Hipervnculo"/>
            <w:spacing w:val="-4"/>
            <w:sz w:val="18"/>
            <w:szCs w:val="18"/>
            <w:lang w:val="en-US"/>
          </w:rPr>
          <w:t>IX</w:t>
        </w:r>
        <w:r w:rsidR="00833F8D" w:rsidRPr="00104227">
          <w:rPr>
            <w:webHidden/>
            <w:sz w:val="18"/>
            <w:szCs w:val="18"/>
            <w:lang w:val="en-US"/>
          </w:rPr>
          <w:tab/>
        </w:r>
      </w:hyperlink>
      <w:hyperlink w:anchor="_Toc31290585" w:history="1">
        <w:r w:rsidR="00833F8D" w:rsidRPr="00104227">
          <w:rPr>
            <w:rStyle w:val="Hipervnculo"/>
            <w:spacing w:val="-4"/>
            <w:sz w:val="18"/>
            <w:szCs w:val="18"/>
            <w:lang w:val="en-US"/>
          </w:rPr>
          <w:t>MERITS</w:t>
        </w:r>
        <w:r w:rsidR="00833F8D" w:rsidRPr="00104227">
          <w:rPr>
            <w:webHidden/>
            <w:sz w:val="18"/>
            <w:szCs w:val="18"/>
            <w:lang w:val="en-US"/>
          </w:rPr>
          <w:tab/>
        </w:r>
        <w:r w:rsidR="00833F8D" w:rsidRPr="00104227">
          <w:rPr>
            <w:webHidden/>
            <w:sz w:val="18"/>
            <w:szCs w:val="18"/>
            <w:lang w:val="en-US"/>
          </w:rPr>
          <w:fldChar w:fldCharType="begin"/>
        </w:r>
        <w:r w:rsidR="00833F8D" w:rsidRPr="00104227">
          <w:rPr>
            <w:webHidden/>
            <w:sz w:val="18"/>
            <w:szCs w:val="18"/>
            <w:lang w:val="en-US"/>
          </w:rPr>
          <w:instrText xml:space="preserve"> PAGEREF _Toc31290585 \h </w:instrText>
        </w:r>
        <w:r w:rsidR="00833F8D" w:rsidRPr="00104227">
          <w:rPr>
            <w:webHidden/>
            <w:sz w:val="18"/>
            <w:szCs w:val="18"/>
            <w:lang w:val="en-US"/>
          </w:rPr>
        </w:r>
        <w:r w:rsidR="00833F8D" w:rsidRPr="00104227">
          <w:rPr>
            <w:webHidden/>
            <w:sz w:val="18"/>
            <w:szCs w:val="18"/>
            <w:lang w:val="en-US"/>
          </w:rPr>
          <w:fldChar w:fldCharType="separate"/>
        </w:r>
        <w:r>
          <w:rPr>
            <w:webHidden/>
            <w:sz w:val="18"/>
            <w:szCs w:val="18"/>
            <w:lang w:val="en-US"/>
          </w:rPr>
          <w:t>56</w:t>
        </w:r>
        <w:r w:rsidR="00833F8D" w:rsidRPr="00104227">
          <w:rPr>
            <w:webHidden/>
            <w:sz w:val="18"/>
            <w:szCs w:val="18"/>
            <w:lang w:val="en-US"/>
          </w:rPr>
          <w:fldChar w:fldCharType="end"/>
        </w:r>
      </w:hyperlink>
    </w:p>
    <w:p w14:paraId="091AE422" w14:textId="78BCB17F" w:rsidR="00833F8D" w:rsidRPr="00104227" w:rsidRDefault="004276BD">
      <w:pPr>
        <w:pStyle w:val="TDC1"/>
        <w:rPr>
          <w:rFonts w:eastAsiaTheme="minorEastAsia" w:cstheme="minorBidi"/>
          <w:b w:val="0"/>
          <w:sz w:val="18"/>
          <w:szCs w:val="18"/>
          <w:bdr w:val="none" w:sz="0" w:space="0" w:color="auto"/>
          <w:lang w:val="en-US"/>
        </w:rPr>
      </w:pPr>
      <w:hyperlink w:anchor="_Toc31290586" w:history="1">
        <w:r w:rsidR="00833F8D" w:rsidRPr="00104227">
          <w:rPr>
            <w:rStyle w:val="Hipervnculo"/>
            <w:spacing w:val="-4"/>
            <w:sz w:val="18"/>
            <w:szCs w:val="18"/>
            <w:lang w:val="en-US"/>
          </w:rPr>
          <w:t>IX-1</w:t>
        </w:r>
        <w:r w:rsidR="00833F8D" w:rsidRPr="00104227">
          <w:rPr>
            <w:webHidden/>
            <w:sz w:val="18"/>
            <w:szCs w:val="18"/>
            <w:lang w:val="en-US"/>
          </w:rPr>
          <w:tab/>
        </w:r>
      </w:hyperlink>
      <w:hyperlink w:anchor="_Toc31290587" w:history="1">
        <w:r w:rsidR="00833F8D" w:rsidRPr="00104227">
          <w:rPr>
            <w:rStyle w:val="Hipervnculo"/>
            <w:spacing w:val="-4"/>
            <w:sz w:val="18"/>
            <w:szCs w:val="18"/>
            <w:lang w:val="en-US"/>
          </w:rPr>
          <w:t>RIGHTS TO PERSONAL INTEGRITY, DIGNITY AND PRIVACY, PROHIBITION OF TORTURE AND RIGHT OF ASSEMBLY, IN RELATION TO THE OBLIGATION TO RESPECT AND GUARANTEE THESE RIGHTS WITHOUT DISCRIMINATION</w:t>
        </w:r>
        <w:r w:rsidR="00833F8D" w:rsidRPr="00104227">
          <w:rPr>
            <w:webHidden/>
            <w:sz w:val="18"/>
            <w:szCs w:val="18"/>
            <w:lang w:val="en-US"/>
          </w:rPr>
          <w:tab/>
        </w:r>
        <w:r w:rsidR="00833F8D" w:rsidRPr="00104227">
          <w:rPr>
            <w:webHidden/>
            <w:sz w:val="18"/>
            <w:szCs w:val="18"/>
            <w:lang w:val="en-US"/>
          </w:rPr>
          <w:fldChar w:fldCharType="begin"/>
        </w:r>
        <w:r w:rsidR="00833F8D" w:rsidRPr="00104227">
          <w:rPr>
            <w:webHidden/>
            <w:sz w:val="18"/>
            <w:szCs w:val="18"/>
            <w:lang w:val="en-US"/>
          </w:rPr>
          <w:instrText xml:space="preserve"> PAGEREF _Toc31290587 \h </w:instrText>
        </w:r>
        <w:r w:rsidR="00833F8D" w:rsidRPr="00104227">
          <w:rPr>
            <w:webHidden/>
            <w:sz w:val="18"/>
            <w:szCs w:val="18"/>
            <w:lang w:val="en-US"/>
          </w:rPr>
        </w:r>
        <w:r w:rsidR="00833F8D" w:rsidRPr="00104227">
          <w:rPr>
            <w:webHidden/>
            <w:sz w:val="18"/>
            <w:szCs w:val="18"/>
            <w:lang w:val="en-US"/>
          </w:rPr>
          <w:fldChar w:fldCharType="separate"/>
        </w:r>
        <w:r>
          <w:rPr>
            <w:webHidden/>
            <w:sz w:val="18"/>
            <w:szCs w:val="18"/>
            <w:lang w:val="en-US"/>
          </w:rPr>
          <w:t>57</w:t>
        </w:r>
        <w:r w:rsidR="00833F8D" w:rsidRPr="00104227">
          <w:rPr>
            <w:webHidden/>
            <w:sz w:val="18"/>
            <w:szCs w:val="18"/>
            <w:lang w:val="en-US"/>
          </w:rPr>
          <w:fldChar w:fldCharType="end"/>
        </w:r>
      </w:hyperlink>
    </w:p>
    <w:p w14:paraId="67AE95DC" w14:textId="6008C4A1" w:rsidR="00833F8D" w:rsidRPr="00104227" w:rsidRDefault="004276BD" w:rsidP="00833F8D">
      <w:pPr>
        <w:pStyle w:val="TDC2"/>
        <w:rPr>
          <w:rFonts w:eastAsiaTheme="minorEastAsia" w:cstheme="minorBidi"/>
          <w:noProof/>
          <w:bdr w:val="none" w:sz="0" w:space="0" w:color="auto"/>
          <w:lang w:val="en-US"/>
        </w:rPr>
      </w:pPr>
      <w:hyperlink w:anchor="_Toc31290588" w:history="1">
        <w:r w:rsidR="00833F8D" w:rsidRPr="00104227">
          <w:rPr>
            <w:rStyle w:val="Hipervnculo"/>
            <w:rFonts w:ascii="Verdana" w:hAnsi="Verdana"/>
            <w:noProof/>
            <w:sz w:val="18"/>
            <w:szCs w:val="18"/>
            <w:lang w:val="en-US"/>
          </w:rPr>
          <w:t>A.</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Arguments of the parties and of the Commission</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_Toc31290588 \h </w:instrText>
        </w:r>
        <w:r w:rsidR="00833F8D" w:rsidRPr="00104227">
          <w:rPr>
            <w:noProof/>
            <w:webHidden/>
            <w:lang w:val="en-US"/>
          </w:rPr>
        </w:r>
        <w:r w:rsidR="00833F8D" w:rsidRPr="00104227">
          <w:rPr>
            <w:noProof/>
            <w:webHidden/>
            <w:lang w:val="en-US"/>
          </w:rPr>
          <w:fldChar w:fldCharType="separate"/>
        </w:r>
        <w:r>
          <w:rPr>
            <w:noProof/>
            <w:webHidden/>
            <w:lang w:val="en-US"/>
          </w:rPr>
          <w:t>57</w:t>
        </w:r>
        <w:r w:rsidR="00833F8D" w:rsidRPr="00104227">
          <w:rPr>
            <w:noProof/>
            <w:webHidden/>
            <w:lang w:val="en-US"/>
          </w:rPr>
          <w:fldChar w:fldCharType="end"/>
        </w:r>
      </w:hyperlink>
    </w:p>
    <w:p w14:paraId="2FB80AE4" w14:textId="107F1B16" w:rsidR="00833F8D" w:rsidRPr="00104227" w:rsidRDefault="004276BD" w:rsidP="00833F8D">
      <w:pPr>
        <w:pStyle w:val="TDC2"/>
        <w:rPr>
          <w:rFonts w:eastAsiaTheme="minorEastAsia" w:cstheme="minorBidi"/>
          <w:noProof/>
          <w:bdr w:val="none" w:sz="0" w:space="0" w:color="auto"/>
          <w:lang w:val="en-US"/>
        </w:rPr>
      </w:pPr>
      <w:hyperlink w:anchor="_Toc31290589" w:history="1">
        <w:r w:rsidR="00833F8D" w:rsidRPr="00104227">
          <w:rPr>
            <w:rStyle w:val="Hipervnculo"/>
            <w:rFonts w:ascii="Verdana" w:hAnsi="Verdana"/>
            <w:noProof/>
            <w:sz w:val="18"/>
            <w:szCs w:val="18"/>
            <w:lang w:val="en-US"/>
          </w:rPr>
          <w:t>B.</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Considerations of the Court</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_Toc31290589 \h </w:instrText>
        </w:r>
        <w:r w:rsidR="00833F8D" w:rsidRPr="00104227">
          <w:rPr>
            <w:noProof/>
            <w:webHidden/>
            <w:lang w:val="en-US"/>
          </w:rPr>
        </w:r>
        <w:r w:rsidR="00833F8D" w:rsidRPr="00104227">
          <w:rPr>
            <w:noProof/>
            <w:webHidden/>
            <w:lang w:val="en-US"/>
          </w:rPr>
          <w:fldChar w:fldCharType="separate"/>
        </w:r>
        <w:r>
          <w:rPr>
            <w:noProof/>
            <w:webHidden/>
            <w:lang w:val="en-US"/>
          </w:rPr>
          <w:t>59</w:t>
        </w:r>
        <w:r w:rsidR="00833F8D" w:rsidRPr="00104227">
          <w:rPr>
            <w:noProof/>
            <w:webHidden/>
            <w:lang w:val="en-US"/>
          </w:rPr>
          <w:fldChar w:fldCharType="end"/>
        </w:r>
      </w:hyperlink>
    </w:p>
    <w:p w14:paraId="42868ADE" w14:textId="41DF481B" w:rsidR="00833F8D" w:rsidRPr="00104227" w:rsidRDefault="004276BD">
      <w:pPr>
        <w:pStyle w:val="TDC3"/>
        <w:rPr>
          <w:rFonts w:eastAsiaTheme="minorEastAsia" w:cstheme="minorBidi"/>
          <w:bdr w:val="none" w:sz="0" w:space="0" w:color="auto"/>
          <w:lang w:val="en-US" w:eastAsia="en-US"/>
        </w:rPr>
      </w:pPr>
      <w:hyperlink w:anchor="_Toc31290590" w:history="1">
        <w:r w:rsidR="00833F8D" w:rsidRPr="00104227">
          <w:rPr>
            <w:rStyle w:val="Hipervnculo"/>
            <w:lang w:val="en-US"/>
          </w:rPr>
          <w:t>B.1 Use of force and right of assembly</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_Toc31290590 \h </w:instrText>
        </w:r>
        <w:r w:rsidR="00833F8D" w:rsidRPr="00104227">
          <w:rPr>
            <w:webHidden/>
            <w:lang w:val="en-US"/>
          </w:rPr>
        </w:r>
        <w:r w:rsidR="00833F8D" w:rsidRPr="00104227">
          <w:rPr>
            <w:webHidden/>
            <w:lang w:val="en-US"/>
          </w:rPr>
          <w:fldChar w:fldCharType="separate"/>
        </w:r>
        <w:r>
          <w:rPr>
            <w:webHidden/>
            <w:lang w:val="en-US"/>
          </w:rPr>
          <w:t>59</w:t>
        </w:r>
        <w:r w:rsidR="00833F8D" w:rsidRPr="00104227">
          <w:rPr>
            <w:webHidden/>
            <w:lang w:val="en-US"/>
          </w:rPr>
          <w:fldChar w:fldCharType="end"/>
        </w:r>
      </w:hyperlink>
    </w:p>
    <w:p w14:paraId="3E8A4FC6" w14:textId="3D36CE86" w:rsidR="00833F8D" w:rsidRPr="00104227" w:rsidRDefault="004276BD">
      <w:pPr>
        <w:pStyle w:val="TDC3"/>
        <w:rPr>
          <w:rFonts w:eastAsiaTheme="minorEastAsia" w:cstheme="minorBidi"/>
          <w:bdr w:val="none" w:sz="0" w:space="0" w:color="auto"/>
          <w:lang w:val="en-US" w:eastAsia="en-US"/>
        </w:rPr>
      </w:pPr>
      <w:hyperlink w:anchor="_Toc31290591" w:history="1">
        <w:r w:rsidR="00833F8D" w:rsidRPr="00104227">
          <w:rPr>
            <w:rStyle w:val="Hipervnculo"/>
            <w:lang w:val="en-US"/>
          </w:rPr>
          <w:t>B.2 The sexual violence and rape committed against the eleven women and its classification as torture in this case</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_Toc31290591 \h </w:instrText>
        </w:r>
        <w:r w:rsidR="00833F8D" w:rsidRPr="00104227">
          <w:rPr>
            <w:webHidden/>
            <w:lang w:val="en-US"/>
          </w:rPr>
        </w:r>
        <w:r w:rsidR="00833F8D" w:rsidRPr="00104227">
          <w:rPr>
            <w:webHidden/>
            <w:lang w:val="en-US"/>
          </w:rPr>
          <w:fldChar w:fldCharType="separate"/>
        </w:r>
        <w:r>
          <w:rPr>
            <w:webHidden/>
            <w:lang w:val="en-US"/>
          </w:rPr>
          <w:t>66</w:t>
        </w:r>
        <w:r w:rsidR="00833F8D" w:rsidRPr="00104227">
          <w:rPr>
            <w:webHidden/>
            <w:lang w:val="en-US"/>
          </w:rPr>
          <w:fldChar w:fldCharType="end"/>
        </w:r>
      </w:hyperlink>
    </w:p>
    <w:p w14:paraId="5B2332B3" w14:textId="13941C74" w:rsidR="00833F8D" w:rsidRPr="00104227" w:rsidRDefault="004276BD">
      <w:pPr>
        <w:pStyle w:val="TDC3"/>
        <w:rPr>
          <w:rFonts w:eastAsiaTheme="minorEastAsia" w:cstheme="minorBidi"/>
          <w:bdr w:val="none" w:sz="0" w:space="0" w:color="auto"/>
          <w:lang w:val="en-US" w:eastAsia="en-US"/>
        </w:rPr>
      </w:pPr>
      <w:hyperlink w:anchor="_Toc31290592" w:history="1">
        <w:r w:rsidR="00833F8D" w:rsidRPr="00104227">
          <w:rPr>
            <w:rStyle w:val="Hipervnculo"/>
            <w:lang w:val="en-US"/>
          </w:rPr>
          <w:t>B.3 Gender-based discrimination and verbal violence based on discriminatory female stereotypes</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_Toc31290592 \h </w:instrText>
        </w:r>
        <w:r w:rsidR="00833F8D" w:rsidRPr="00104227">
          <w:rPr>
            <w:webHidden/>
            <w:lang w:val="en-US"/>
          </w:rPr>
        </w:r>
        <w:r w:rsidR="00833F8D" w:rsidRPr="00104227">
          <w:rPr>
            <w:webHidden/>
            <w:lang w:val="en-US"/>
          </w:rPr>
          <w:fldChar w:fldCharType="separate"/>
        </w:r>
        <w:r>
          <w:rPr>
            <w:webHidden/>
            <w:lang w:val="en-US"/>
          </w:rPr>
          <w:t>77</w:t>
        </w:r>
        <w:r w:rsidR="00833F8D" w:rsidRPr="00104227">
          <w:rPr>
            <w:webHidden/>
            <w:lang w:val="en-US"/>
          </w:rPr>
          <w:fldChar w:fldCharType="end"/>
        </w:r>
      </w:hyperlink>
    </w:p>
    <w:p w14:paraId="705CD9B6" w14:textId="0AA9FF1B" w:rsidR="00833F8D" w:rsidRPr="00104227" w:rsidRDefault="004276BD">
      <w:pPr>
        <w:pStyle w:val="TDC3"/>
        <w:rPr>
          <w:rFonts w:eastAsiaTheme="minorEastAsia" w:cstheme="minorBidi"/>
          <w:bdr w:val="none" w:sz="0" w:space="0" w:color="auto"/>
          <w:lang w:val="en-US" w:eastAsia="en-US"/>
        </w:rPr>
      </w:pPr>
      <w:hyperlink w:anchor="_Toc31290593" w:history="1">
        <w:r w:rsidR="00833F8D" w:rsidRPr="00104227">
          <w:rPr>
            <w:rStyle w:val="Hipervnculo"/>
            <w:lang w:val="en-US"/>
          </w:rPr>
          <w:t>B.4 Conclusion</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_Toc31290593 \h </w:instrText>
        </w:r>
        <w:r w:rsidR="00833F8D" w:rsidRPr="00104227">
          <w:rPr>
            <w:webHidden/>
            <w:lang w:val="en-US"/>
          </w:rPr>
        </w:r>
        <w:r w:rsidR="00833F8D" w:rsidRPr="00104227">
          <w:rPr>
            <w:webHidden/>
            <w:lang w:val="en-US"/>
          </w:rPr>
          <w:fldChar w:fldCharType="separate"/>
        </w:r>
        <w:r>
          <w:rPr>
            <w:webHidden/>
            <w:lang w:val="en-US"/>
          </w:rPr>
          <w:t>82</w:t>
        </w:r>
        <w:r w:rsidR="00833F8D" w:rsidRPr="00104227">
          <w:rPr>
            <w:webHidden/>
            <w:lang w:val="en-US"/>
          </w:rPr>
          <w:fldChar w:fldCharType="end"/>
        </w:r>
      </w:hyperlink>
    </w:p>
    <w:p w14:paraId="1D70DF07" w14:textId="0DD6211C" w:rsidR="00833F8D" w:rsidRPr="00104227" w:rsidRDefault="004276BD">
      <w:pPr>
        <w:pStyle w:val="TDC1"/>
        <w:rPr>
          <w:rFonts w:eastAsiaTheme="minorEastAsia" w:cstheme="minorBidi"/>
          <w:b w:val="0"/>
          <w:sz w:val="18"/>
          <w:szCs w:val="18"/>
          <w:bdr w:val="none" w:sz="0" w:space="0" w:color="auto"/>
          <w:lang w:val="en-US"/>
        </w:rPr>
      </w:pPr>
      <w:hyperlink w:anchor="_Toc31290594" w:history="1">
        <w:r w:rsidR="00833F8D" w:rsidRPr="00104227">
          <w:rPr>
            <w:rStyle w:val="Hipervnculo"/>
            <w:spacing w:val="-4"/>
            <w:sz w:val="18"/>
            <w:szCs w:val="18"/>
            <w:lang w:val="en-US"/>
          </w:rPr>
          <w:t>IX-2</w:t>
        </w:r>
        <w:r w:rsidR="00833F8D" w:rsidRPr="00104227">
          <w:rPr>
            <w:webHidden/>
            <w:sz w:val="18"/>
            <w:szCs w:val="18"/>
            <w:lang w:val="en-US"/>
          </w:rPr>
          <w:tab/>
        </w:r>
      </w:hyperlink>
      <w:hyperlink w:anchor="_Toc31290595" w:history="1">
        <w:r w:rsidR="00833F8D" w:rsidRPr="00104227">
          <w:rPr>
            <w:rStyle w:val="Hipervnculo"/>
            <w:sz w:val="18"/>
            <w:szCs w:val="18"/>
            <w:lang w:val="en-US"/>
          </w:rPr>
          <w:t>RIGHTS TO PERSONAL LIBERTY AND TO JUDICIAL</w:t>
        </w:r>
        <w:r w:rsidR="00833F8D" w:rsidRPr="00104227">
          <w:rPr>
            <w:rStyle w:val="Hipervnculo"/>
            <w:spacing w:val="-4"/>
            <w:sz w:val="18"/>
            <w:szCs w:val="18"/>
            <w:lang w:val="en-US"/>
          </w:rPr>
          <w:t xml:space="preserve"> GUARANTEES,</w:t>
        </w:r>
        <w:r w:rsidR="00833F8D" w:rsidRPr="00104227">
          <w:rPr>
            <w:rStyle w:val="Hipervnculo"/>
            <w:sz w:val="18"/>
            <w:szCs w:val="18"/>
            <w:lang w:val="en-US"/>
          </w:rPr>
          <w:t xml:space="preserve"> IN RELATION TO THE OBLIGATION TO RESPECT AND TO ENSURE THESE RIGHTS, WITH REGARD TO THE DETENTIONS ON MAY 3 AND 4, 2006</w:t>
        </w:r>
        <w:r w:rsidR="00833F8D" w:rsidRPr="00104227">
          <w:rPr>
            <w:webHidden/>
            <w:sz w:val="18"/>
            <w:szCs w:val="18"/>
            <w:lang w:val="en-US"/>
          </w:rPr>
          <w:tab/>
        </w:r>
        <w:r w:rsidR="00833F8D" w:rsidRPr="00104227">
          <w:rPr>
            <w:webHidden/>
            <w:sz w:val="18"/>
            <w:szCs w:val="18"/>
            <w:lang w:val="en-US"/>
          </w:rPr>
          <w:fldChar w:fldCharType="begin"/>
        </w:r>
        <w:r w:rsidR="00833F8D" w:rsidRPr="00104227">
          <w:rPr>
            <w:webHidden/>
            <w:sz w:val="18"/>
            <w:szCs w:val="18"/>
            <w:lang w:val="en-US"/>
          </w:rPr>
          <w:instrText xml:space="preserve"> PAGEREF _Toc31290595 \h </w:instrText>
        </w:r>
        <w:r w:rsidR="00833F8D" w:rsidRPr="00104227">
          <w:rPr>
            <w:webHidden/>
            <w:sz w:val="18"/>
            <w:szCs w:val="18"/>
            <w:lang w:val="en-US"/>
          </w:rPr>
        </w:r>
        <w:r w:rsidR="00833F8D" w:rsidRPr="00104227">
          <w:rPr>
            <w:webHidden/>
            <w:sz w:val="18"/>
            <w:szCs w:val="18"/>
            <w:lang w:val="en-US"/>
          </w:rPr>
          <w:fldChar w:fldCharType="separate"/>
        </w:r>
        <w:r>
          <w:rPr>
            <w:webHidden/>
            <w:sz w:val="18"/>
            <w:szCs w:val="18"/>
            <w:lang w:val="en-US"/>
          </w:rPr>
          <w:t>83</w:t>
        </w:r>
        <w:r w:rsidR="00833F8D" w:rsidRPr="00104227">
          <w:rPr>
            <w:webHidden/>
            <w:sz w:val="18"/>
            <w:szCs w:val="18"/>
            <w:lang w:val="en-US"/>
          </w:rPr>
          <w:fldChar w:fldCharType="end"/>
        </w:r>
      </w:hyperlink>
    </w:p>
    <w:p w14:paraId="0E28C5A5" w14:textId="052B4753" w:rsidR="00833F8D" w:rsidRPr="00104227" w:rsidRDefault="004276BD" w:rsidP="00833F8D">
      <w:pPr>
        <w:pStyle w:val="TDC2"/>
        <w:rPr>
          <w:rFonts w:eastAsiaTheme="minorEastAsia" w:cstheme="minorBidi"/>
          <w:noProof/>
          <w:bdr w:val="none" w:sz="0" w:space="0" w:color="auto"/>
          <w:lang w:val="en-US"/>
        </w:rPr>
      </w:pPr>
      <w:hyperlink w:anchor="_Toc31290596" w:history="1">
        <w:r w:rsidR="00833F8D" w:rsidRPr="00104227">
          <w:rPr>
            <w:rStyle w:val="Hipervnculo"/>
            <w:rFonts w:ascii="Verdana" w:hAnsi="Verdana"/>
            <w:noProof/>
            <w:sz w:val="18"/>
            <w:szCs w:val="18"/>
            <w:lang w:val="en-US"/>
          </w:rPr>
          <w:t>A.</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Arguments of the parties and of the Commission</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_Toc31290596 \h </w:instrText>
        </w:r>
        <w:r w:rsidR="00833F8D" w:rsidRPr="00104227">
          <w:rPr>
            <w:noProof/>
            <w:webHidden/>
            <w:lang w:val="en-US"/>
          </w:rPr>
        </w:r>
        <w:r w:rsidR="00833F8D" w:rsidRPr="00104227">
          <w:rPr>
            <w:noProof/>
            <w:webHidden/>
            <w:lang w:val="en-US"/>
          </w:rPr>
          <w:fldChar w:fldCharType="separate"/>
        </w:r>
        <w:r>
          <w:rPr>
            <w:noProof/>
            <w:webHidden/>
            <w:lang w:val="en-US"/>
          </w:rPr>
          <w:t>83</w:t>
        </w:r>
        <w:r w:rsidR="00833F8D" w:rsidRPr="00104227">
          <w:rPr>
            <w:noProof/>
            <w:webHidden/>
            <w:lang w:val="en-US"/>
          </w:rPr>
          <w:fldChar w:fldCharType="end"/>
        </w:r>
      </w:hyperlink>
    </w:p>
    <w:p w14:paraId="4D3303F6" w14:textId="2A90A025" w:rsidR="00833F8D" w:rsidRPr="00104227" w:rsidRDefault="004276BD" w:rsidP="00833F8D">
      <w:pPr>
        <w:pStyle w:val="TDC2"/>
        <w:rPr>
          <w:rFonts w:eastAsiaTheme="minorEastAsia" w:cstheme="minorBidi"/>
          <w:noProof/>
          <w:bdr w:val="none" w:sz="0" w:space="0" w:color="auto"/>
          <w:lang w:val="en-US"/>
        </w:rPr>
      </w:pPr>
      <w:hyperlink w:anchor="_Toc31290597" w:history="1">
        <w:r w:rsidR="00833F8D" w:rsidRPr="00104227">
          <w:rPr>
            <w:rStyle w:val="Hipervnculo"/>
            <w:rFonts w:ascii="Verdana" w:hAnsi="Verdana"/>
            <w:noProof/>
            <w:sz w:val="18"/>
            <w:szCs w:val="18"/>
            <w:lang w:val="en-US"/>
          </w:rPr>
          <w:t>B.</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Considerations of the Court</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_Toc31290597 \h </w:instrText>
        </w:r>
        <w:r w:rsidR="00833F8D" w:rsidRPr="00104227">
          <w:rPr>
            <w:noProof/>
            <w:webHidden/>
            <w:lang w:val="en-US"/>
          </w:rPr>
        </w:r>
        <w:r w:rsidR="00833F8D" w:rsidRPr="00104227">
          <w:rPr>
            <w:noProof/>
            <w:webHidden/>
            <w:lang w:val="en-US"/>
          </w:rPr>
          <w:fldChar w:fldCharType="separate"/>
        </w:r>
        <w:r>
          <w:rPr>
            <w:noProof/>
            <w:webHidden/>
            <w:lang w:val="en-US"/>
          </w:rPr>
          <w:t>84</w:t>
        </w:r>
        <w:r w:rsidR="00833F8D" w:rsidRPr="00104227">
          <w:rPr>
            <w:noProof/>
            <w:webHidden/>
            <w:lang w:val="en-US"/>
          </w:rPr>
          <w:fldChar w:fldCharType="end"/>
        </w:r>
      </w:hyperlink>
    </w:p>
    <w:p w14:paraId="392BD6F9" w14:textId="39951951" w:rsidR="00833F8D" w:rsidRPr="00104227" w:rsidRDefault="004276BD">
      <w:pPr>
        <w:pStyle w:val="TDC3"/>
        <w:rPr>
          <w:rFonts w:eastAsiaTheme="minorEastAsia" w:cstheme="minorBidi"/>
          <w:bdr w:val="none" w:sz="0" w:space="0" w:color="auto"/>
          <w:lang w:val="en-US" w:eastAsia="en-US"/>
        </w:rPr>
      </w:pPr>
      <w:hyperlink w:anchor="_Toc31290598" w:history="1">
        <w:r w:rsidR="00833F8D" w:rsidRPr="00104227">
          <w:rPr>
            <w:rStyle w:val="Hipervnculo"/>
            <w:lang w:val="en-US" w:eastAsia="es-MX"/>
          </w:rPr>
          <w:t>B.1. Unlawfulness and arbitrariness of the initial detentions of the eleven women victims in this case</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_Toc31290598 \h </w:instrText>
        </w:r>
        <w:r w:rsidR="00833F8D" w:rsidRPr="00104227">
          <w:rPr>
            <w:webHidden/>
            <w:lang w:val="en-US"/>
          </w:rPr>
        </w:r>
        <w:r w:rsidR="00833F8D" w:rsidRPr="00104227">
          <w:rPr>
            <w:webHidden/>
            <w:lang w:val="en-US"/>
          </w:rPr>
          <w:fldChar w:fldCharType="separate"/>
        </w:r>
        <w:r>
          <w:rPr>
            <w:webHidden/>
            <w:lang w:val="en-US"/>
          </w:rPr>
          <w:t>85</w:t>
        </w:r>
        <w:r w:rsidR="00833F8D" w:rsidRPr="00104227">
          <w:rPr>
            <w:webHidden/>
            <w:lang w:val="en-US"/>
          </w:rPr>
          <w:fldChar w:fldCharType="end"/>
        </w:r>
      </w:hyperlink>
    </w:p>
    <w:p w14:paraId="61E2E9CB" w14:textId="18E85042" w:rsidR="00833F8D" w:rsidRPr="00104227" w:rsidRDefault="004276BD">
      <w:pPr>
        <w:pStyle w:val="TDC3"/>
        <w:rPr>
          <w:rFonts w:eastAsiaTheme="minorEastAsia" w:cstheme="minorBidi"/>
          <w:bdr w:val="none" w:sz="0" w:space="0" w:color="auto"/>
          <w:lang w:val="en-US" w:eastAsia="en-US"/>
        </w:rPr>
      </w:pPr>
      <w:hyperlink w:anchor="_Toc31290599" w:history="1">
        <w:r w:rsidR="00833F8D" w:rsidRPr="00104227">
          <w:rPr>
            <w:rStyle w:val="Hipervnculo"/>
            <w:lang w:val="en-US" w:eastAsia="es-MX"/>
          </w:rPr>
          <w:t>B.2 Notification of the reasons for the detention and the right of defense</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_Toc31290599 \h </w:instrText>
        </w:r>
        <w:r w:rsidR="00833F8D" w:rsidRPr="00104227">
          <w:rPr>
            <w:webHidden/>
            <w:lang w:val="en-US"/>
          </w:rPr>
        </w:r>
        <w:r w:rsidR="00833F8D" w:rsidRPr="00104227">
          <w:rPr>
            <w:webHidden/>
            <w:lang w:val="en-US"/>
          </w:rPr>
          <w:fldChar w:fldCharType="separate"/>
        </w:r>
        <w:r>
          <w:rPr>
            <w:webHidden/>
            <w:lang w:val="en-US"/>
          </w:rPr>
          <w:t>89</w:t>
        </w:r>
        <w:r w:rsidR="00833F8D" w:rsidRPr="00104227">
          <w:rPr>
            <w:webHidden/>
            <w:lang w:val="en-US"/>
          </w:rPr>
          <w:fldChar w:fldCharType="end"/>
        </w:r>
      </w:hyperlink>
    </w:p>
    <w:p w14:paraId="592FFAB2" w14:textId="0F6A50D9" w:rsidR="00833F8D" w:rsidRPr="00104227" w:rsidRDefault="004276BD">
      <w:pPr>
        <w:pStyle w:val="TDC3"/>
        <w:rPr>
          <w:rFonts w:eastAsiaTheme="minorEastAsia" w:cstheme="minorBidi"/>
          <w:bdr w:val="none" w:sz="0" w:space="0" w:color="auto"/>
          <w:lang w:val="en-US" w:eastAsia="en-US"/>
        </w:rPr>
      </w:pPr>
      <w:hyperlink w:anchor="_Toc31290600" w:history="1">
        <w:r w:rsidR="00833F8D" w:rsidRPr="00104227">
          <w:rPr>
            <w:rStyle w:val="Hipervnculo"/>
            <w:lang w:val="en-US" w:eastAsia="es-MX"/>
          </w:rPr>
          <w:t>B.3 The arbitrary nature of the preventive detention</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_Toc31290600 \h </w:instrText>
        </w:r>
        <w:r w:rsidR="00833F8D" w:rsidRPr="00104227">
          <w:rPr>
            <w:webHidden/>
            <w:lang w:val="en-US"/>
          </w:rPr>
        </w:r>
        <w:r w:rsidR="00833F8D" w:rsidRPr="00104227">
          <w:rPr>
            <w:webHidden/>
            <w:lang w:val="en-US"/>
          </w:rPr>
          <w:fldChar w:fldCharType="separate"/>
        </w:r>
        <w:r>
          <w:rPr>
            <w:webHidden/>
            <w:lang w:val="en-US"/>
          </w:rPr>
          <w:t>91</w:t>
        </w:r>
        <w:r w:rsidR="00833F8D" w:rsidRPr="00104227">
          <w:rPr>
            <w:webHidden/>
            <w:lang w:val="en-US"/>
          </w:rPr>
          <w:fldChar w:fldCharType="end"/>
        </w:r>
      </w:hyperlink>
    </w:p>
    <w:p w14:paraId="20B1525C" w14:textId="7A97F6C3" w:rsidR="00833F8D" w:rsidRPr="00104227" w:rsidRDefault="004276BD">
      <w:pPr>
        <w:pStyle w:val="TDC3"/>
        <w:rPr>
          <w:rFonts w:eastAsiaTheme="minorEastAsia" w:cstheme="minorBidi"/>
          <w:bdr w:val="none" w:sz="0" w:space="0" w:color="auto"/>
          <w:lang w:val="en-US" w:eastAsia="en-US"/>
        </w:rPr>
      </w:pPr>
      <w:hyperlink w:anchor="_Toc31290601" w:history="1">
        <w:r w:rsidR="00833F8D" w:rsidRPr="00104227">
          <w:rPr>
            <w:rStyle w:val="Hipervnculo"/>
            <w:lang w:val="en-US" w:eastAsia="es-MX"/>
          </w:rPr>
          <w:t>B.4 Conclusion</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_Toc31290601 \h </w:instrText>
        </w:r>
        <w:r w:rsidR="00833F8D" w:rsidRPr="00104227">
          <w:rPr>
            <w:webHidden/>
            <w:lang w:val="en-US"/>
          </w:rPr>
        </w:r>
        <w:r w:rsidR="00833F8D" w:rsidRPr="00104227">
          <w:rPr>
            <w:webHidden/>
            <w:lang w:val="en-US"/>
          </w:rPr>
          <w:fldChar w:fldCharType="separate"/>
        </w:r>
        <w:r>
          <w:rPr>
            <w:webHidden/>
            <w:lang w:val="en-US"/>
          </w:rPr>
          <w:t>93</w:t>
        </w:r>
        <w:r w:rsidR="00833F8D" w:rsidRPr="00104227">
          <w:rPr>
            <w:webHidden/>
            <w:lang w:val="en-US"/>
          </w:rPr>
          <w:fldChar w:fldCharType="end"/>
        </w:r>
      </w:hyperlink>
    </w:p>
    <w:p w14:paraId="2A1B5C20" w14:textId="382B655E" w:rsidR="00833F8D" w:rsidRPr="00104227" w:rsidRDefault="004276BD">
      <w:pPr>
        <w:pStyle w:val="TDC1"/>
        <w:rPr>
          <w:rFonts w:eastAsiaTheme="minorEastAsia" w:cstheme="minorBidi"/>
          <w:b w:val="0"/>
          <w:sz w:val="18"/>
          <w:szCs w:val="18"/>
          <w:bdr w:val="none" w:sz="0" w:space="0" w:color="auto"/>
          <w:lang w:val="en-US"/>
        </w:rPr>
      </w:pPr>
      <w:hyperlink w:anchor="_Toc31290602" w:history="1">
        <w:r w:rsidR="00833F8D" w:rsidRPr="00104227">
          <w:rPr>
            <w:rStyle w:val="Hipervnculo"/>
            <w:sz w:val="18"/>
            <w:szCs w:val="18"/>
            <w:lang w:val="en-US"/>
          </w:rPr>
          <w:t>IX-3</w:t>
        </w:r>
        <w:r w:rsidR="00833F8D" w:rsidRPr="00104227">
          <w:rPr>
            <w:webHidden/>
            <w:sz w:val="18"/>
            <w:szCs w:val="18"/>
            <w:lang w:val="en-US"/>
          </w:rPr>
          <w:tab/>
        </w:r>
      </w:hyperlink>
      <w:hyperlink w:anchor="_Toc31290603" w:history="1">
        <w:r w:rsidR="00833F8D" w:rsidRPr="00104227">
          <w:rPr>
            <w:rStyle w:val="Hipervnculo"/>
            <w:sz w:val="18"/>
            <w:szCs w:val="18"/>
            <w:lang w:val="en-US"/>
          </w:rPr>
          <w:t xml:space="preserve">RIGHTS TO JUDICIAL GUARANTEES AND JUDICIAL PROTECTION, </w:t>
        </w:r>
        <w:r w:rsidR="00833F8D" w:rsidRPr="00104227">
          <w:rPr>
            <w:rStyle w:val="Hipervnculo"/>
            <w:spacing w:val="-4"/>
            <w:sz w:val="18"/>
            <w:szCs w:val="18"/>
            <w:lang w:val="en-US"/>
          </w:rPr>
          <w:t>IN RELATION TO THE OBLIGATION TO RESPECT AND TO ENSURE THESE RIGHTS</w:t>
        </w:r>
        <w:r w:rsidR="00833F8D" w:rsidRPr="00104227">
          <w:rPr>
            <w:webHidden/>
            <w:sz w:val="18"/>
            <w:szCs w:val="18"/>
            <w:lang w:val="en-US"/>
          </w:rPr>
          <w:tab/>
        </w:r>
        <w:r w:rsidR="00833F8D" w:rsidRPr="00104227">
          <w:rPr>
            <w:webHidden/>
            <w:sz w:val="18"/>
            <w:szCs w:val="18"/>
            <w:lang w:val="en-US"/>
          </w:rPr>
          <w:fldChar w:fldCharType="begin"/>
        </w:r>
        <w:r w:rsidR="00833F8D" w:rsidRPr="00104227">
          <w:rPr>
            <w:webHidden/>
            <w:sz w:val="18"/>
            <w:szCs w:val="18"/>
            <w:lang w:val="en-US"/>
          </w:rPr>
          <w:instrText xml:space="preserve"> PAGEREF _Toc31290603 \h </w:instrText>
        </w:r>
        <w:r w:rsidR="00833F8D" w:rsidRPr="00104227">
          <w:rPr>
            <w:webHidden/>
            <w:sz w:val="18"/>
            <w:szCs w:val="18"/>
            <w:lang w:val="en-US"/>
          </w:rPr>
        </w:r>
        <w:r w:rsidR="00833F8D" w:rsidRPr="00104227">
          <w:rPr>
            <w:webHidden/>
            <w:sz w:val="18"/>
            <w:szCs w:val="18"/>
            <w:lang w:val="en-US"/>
          </w:rPr>
          <w:fldChar w:fldCharType="separate"/>
        </w:r>
        <w:r>
          <w:rPr>
            <w:webHidden/>
            <w:sz w:val="18"/>
            <w:szCs w:val="18"/>
            <w:lang w:val="en-US"/>
          </w:rPr>
          <w:t>94</w:t>
        </w:r>
        <w:r w:rsidR="00833F8D" w:rsidRPr="00104227">
          <w:rPr>
            <w:webHidden/>
            <w:sz w:val="18"/>
            <w:szCs w:val="18"/>
            <w:lang w:val="en-US"/>
          </w:rPr>
          <w:fldChar w:fldCharType="end"/>
        </w:r>
      </w:hyperlink>
    </w:p>
    <w:p w14:paraId="76AA0D7D" w14:textId="70051381" w:rsidR="00833F8D" w:rsidRPr="00104227" w:rsidRDefault="004276BD" w:rsidP="00833F8D">
      <w:pPr>
        <w:pStyle w:val="TDC2"/>
        <w:rPr>
          <w:rFonts w:eastAsiaTheme="minorEastAsia" w:cstheme="minorBidi"/>
          <w:noProof/>
          <w:bdr w:val="none" w:sz="0" w:space="0" w:color="auto"/>
          <w:lang w:val="en-US"/>
        </w:rPr>
      </w:pPr>
      <w:hyperlink w:anchor="_Toc31290604" w:history="1">
        <w:r w:rsidR="00833F8D" w:rsidRPr="00104227">
          <w:rPr>
            <w:rStyle w:val="Hipervnculo"/>
            <w:rFonts w:ascii="Verdana" w:hAnsi="Verdana"/>
            <w:noProof/>
            <w:sz w:val="18"/>
            <w:szCs w:val="18"/>
            <w:lang w:val="en-US"/>
          </w:rPr>
          <w:t>A.</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Arguments of the parties and of the Commission</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_Toc31290604 \h </w:instrText>
        </w:r>
        <w:r w:rsidR="00833F8D" w:rsidRPr="00104227">
          <w:rPr>
            <w:noProof/>
            <w:webHidden/>
            <w:lang w:val="en-US"/>
          </w:rPr>
        </w:r>
        <w:r w:rsidR="00833F8D" w:rsidRPr="00104227">
          <w:rPr>
            <w:noProof/>
            <w:webHidden/>
            <w:lang w:val="en-US"/>
          </w:rPr>
          <w:fldChar w:fldCharType="separate"/>
        </w:r>
        <w:r>
          <w:rPr>
            <w:noProof/>
            <w:webHidden/>
            <w:lang w:val="en-US"/>
          </w:rPr>
          <w:t>94</w:t>
        </w:r>
        <w:r w:rsidR="00833F8D" w:rsidRPr="00104227">
          <w:rPr>
            <w:noProof/>
            <w:webHidden/>
            <w:lang w:val="en-US"/>
          </w:rPr>
          <w:fldChar w:fldCharType="end"/>
        </w:r>
      </w:hyperlink>
    </w:p>
    <w:p w14:paraId="74D47AC1" w14:textId="21A5F2FA" w:rsidR="00833F8D" w:rsidRPr="00104227" w:rsidRDefault="004276BD" w:rsidP="00833F8D">
      <w:pPr>
        <w:pStyle w:val="TDC2"/>
        <w:rPr>
          <w:rFonts w:eastAsiaTheme="minorEastAsia" w:cstheme="minorBidi"/>
          <w:noProof/>
          <w:bdr w:val="none" w:sz="0" w:space="0" w:color="auto"/>
          <w:lang w:val="en-US"/>
        </w:rPr>
      </w:pPr>
      <w:hyperlink w:anchor="_Toc31290605" w:history="1">
        <w:r w:rsidR="00833F8D" w:rsidRPr="00104227">
          <w:rPr>
            <w:rStyle w:val="Hipervnculo"/>
            <w:rFonts w:ascii="Verdana" w:hAnsi="Verdana"/>
            <w:noProof/>
            <w:sz w:val="18"/>
            <w:szCs w:val="18"/>
            <w:lang w:val="en-US"/>
          </w:rPr>
          <w:t>B.</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Considerations of the Court</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_Toc31290605 \h </w:instrText>
        </w:r>
        <w:r w:rsidR="00833F8D" w:rsidRPr="00104227">
          <w:rPr>
            <w:noProof/>
            <w:webHidden/>
            <w:lang w:val="en-US"/>
          </w:rPr>
        </w:r>
        <w:r w:rsidR="00833F8D" w:rsidRPr="00104227">
          <w:rPr>
            <w:noProof/>
            <w:webHidden/>
            <w:lang w:val="en-US"/>
          </w:rPr>
          <w:fldChar w:fldCharType="separate"/>
        </w:r>
        <w:r>
          <w:rPr>
            <w:noProof/>
            <w:webHidden/>
            <w:lang w:val="en-US"/>
          </w:rPr>
          <w:t>95</w:t>
        </w:r>
        <w:r w:rsidR="00833F8D" w:rsidRPr="00104227">
          <w:rPr>
            <w:noProof/>
            <w:webHidden/>
            <w:lang w:val="en-US"/>
          </w:rPr>
          <w:fldChar w:fldCharType="end"/>
        </w:r>
      </w:hyperlink>
    </w:p>
    <w:p w14:paraId="1676322E" w14:textId="6F792BA0" w:rsidR="00833F8D" w:rsidRPr="00104227" w:rsidRDefault="004276BD">
      <w:pPr>
        <w:pStyle w:val="TDC3"/>
        <w:rPr>
          <w:rFonts w:eastAsiaTheme="minorEastAsia" w:cstheme="minorBidi"/>
          <w:bdr w:val="none" w:sz="0" w:space="0" w:color="auto"/>
          <w:lang w:val="en-US" w:eastAsia="en-US"/>
        </w:rPr>
      </w:pPr>
      <w:hyperlink w:anchor="_Toc31290606" w:history="1">
        <w:r w:rsidR="00833F8D" w:rsidRPr="00104227">
          <w:rPr>
            <w:rStyle w:val="Hipervnculo"/>
            <w:lang w:val="en-US"/>
          </w:rPr>
          <w:t>B.1 Due diligence in the investigation and processing of the complaint of rape</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_Toc31290606 \h </w:instrText>
        </w:r>
        <w:r w:rsidR="00833F8D" w:rsidRPr="00104227">
          <w:rPr>
            <w:webHidden/>
            <w:lang w:val="en-US"/>
          </w:rPr>
        </w:r>
        <w:r w:rsidR="00833F8D" w:rsidRPr="00104227">
          <w:rPr>
            <w:webHidden/>
            <w:lang w:val="en-US"/>
          </w:rPr>
          <w:fldChar w:fldCharType="separate"/>
        </w:r>
        <w:r>
          <w:rPr>
            <w:webHidden/>
            <w:lang w:val="en-US"/>
          </w:rPr>
          <w:t>96</w:t>
        </w:r>
        <w:r w:rsidR="00833F8D" w:rsidRPr="00104227">
          <w:rPr>
            <w:webHidden/>
            <w:lang w:val="en-US"/>
          </w:rPr>
          <w:fldChar w:fldCharType="end"/>
        </w:r>
      </w:hyperlink>
    </w:p>
    <w:p w14:paraId="4F6FD01F" w14:textId="04ED789C" w:rsidR="00833F8D" w:rsidRPr="00104227" w:rsidRDefault="004276BD">
      <w:pPr>
        <w:pStyle w:val="TDC3"/>
        <w:rPr>
          <w:rFonts w:eastAsiaTheme="minorEastAsia" w:cstheme="minorBidi"/>
          <w:bdr w:val="none" w:sz="0" w:space="0" w:color="auto"/>
          <w:lang w:val="en-US" w:eastAsia="en-US"/>
        </w:rPr>
      </w:pPr>
      <w:hyperlink w:anchor="_Toc31290607" w:history="1">
        <w:r w:rsidR="00833F8D" w:rsidRPr="00104227">
          <w:rPr>
            <w:rStyle w:val="Hipervnculo"/>
            <w:lang w:val="en-US"/>
          </w:rPr>
          <w:t>B.2 Reasonable time</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_Toc31290607 \h </w:instrText>
        </w:r>
        <w:r w:rsidR="00833F8D" w:rsidRPr="00104227">
          <w:rPr>
            <w:webHidden/>
            <w:lang w:val="en-US"/>
          </w:rPr>
        </w:r>
        <w:r w:rsidR="00833F8D" w:rsidRPr="00104227">
          <w:rPr>
            <w:webHidden/>
            <w:lang w:val="en-US"/>
          </w:rPr>
          <w:fldChar w:fldCharType="separate"/>
        </w:r>
        <w:r>
          <w:rPr>
            <w:webHidden/>
            <w:lang w:val="en-US"/>
          </w:rPr>
          <w:t>109</w:t>
        </w:r>
        <w:r w:rsidR="00833F8D" w:rsidRPr="00104227">
          <w:rPr>
            <w:webHidden/>
            <w:lang w:val="en-US"/>
          </w:rPr>
          <w:fldChar w:fldCharType="end"/>
        </w:r>
      </w:hyperlink>
    </w:p>
    <w:p w14:paraId="0F90250F" w14:textId="0BEE8B6F" w:rsidR="00833F8D" w:rsidRPr="00104227" w:rsidRDefault="004276BD">
      <w:pPr>
        <w:pStyle w:val="TDC3"/>
        <w:rPr>
          <w:rFonts w:eastAsiaTheme="minorEastAsia" w:cstheme="minorBidi"/>
          <w:bdr w:val="none" w:sz="0" w:space="0" w:color="auto"/>
          <w:lang w:val="en-US" w:eastAsia="en-US"/>
        </w:rPr>
      </w:pPr>
      <w:hyperlink w:anchor="_Toc31290608" w:history="1">
        <w:r w:rsidR="00833F8D" w:rsidRPr="00104227">
          <w:rPr>
            <w:rStyle w:val="Hipervnculo"/>
            <w:lang w:val="en-US"/>
          </w:rPr>
          <w:t>B.3 Gender-based discrimination based on the flaws in the investigation</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_Toc31290608 \h </w:instrText>
        </w:r>
        <w:r w:rsidR="00833F8D" w:rsidRPr="00104227">
          <w:rPr>
            <w:webHidden/>
            <w:lang w:val="en-US"/>
          </w:rPr>
        </w:r>
        <w:r w:rsidR="00833F8D" w:rsidRPr="00104227">
          <w:rPr>
            <w:webHidden/>
            <w:lang w:val="en-US"/>
          </w:rPr>
          <w:fldChar w:fldCharType="separate"/>
        </w:r>
        <w:r>
          <w:rPr>
            <w:webHidden/>
            <w:lang w:val="en-US"/>
          </w:rPr>
          <w:t>110</w:t>
        </w:r>
        <w:r w:rsidR="00833F8D" w:rsidRPr="00104227">
          <w:rPr>
            <w:webHidden/>
            <w:lang w:val="en-US"/>
          </w:rPr>
          <w:fldChar w:fldCharType="end"/>
        </w:r>
      </w:hyperlink>
    </w:p>
    <w:p w14:paraId="27EA643A" w14:textId="014CD7C6" w:rsidR="00833F8D" w:rsidRPr="00104227" w:rsidRDefault="004276BD">
      <w:pPr>
        <w:pStyle w:val="TDC3"/>
        <w:rPr>
          <w:rFonts w:eastAsiaTheme="minorEastAsia" w:cstheme="minorBidi"/>
          <w:bdr w:val="none" w:sz="0" w:space="0" w:color="auto"/>
          <w:lang w:val="en-US" w:eastAsia="en-US"/>
        </w:rPr>
      </w:pPr>
      <w:hyperlink w:anchor="_Toc31290609" w:history="1">
        <w:r w:rsidR="00833F8D" w:rsidRPr="00104227">
          <w:rPr>
            <w:rStyle w:val="Hipervnculo"/>
            <w:lang w:val="en-US"/>
          </w:rPr>
          <w:t>B.4 General conclusion</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_Toc31290609 \h </w:instrText>
        </w:r>
        <w:r w:rsidR="00833F8D" w:rsidRPr="00104227">
          <w:rPr>
            <w:webHidden/>
            <w:lang w:val="en-US"/>
          </w:rPr>
        </w:r>
        <w:r w:rsidR="00833F8D" w:rsidRPr="00104227">
          <w:rPr>
            <w:webHidden/>
            <w:lang w:val="en-US"/>
          </w:rPr>
          <w:fldChar w:fldCharType="separate"/>
        </w:r>
        <w:r>
          <w:rPr>
            <w:webHidden/>
            <w:lang w:val="en-US"/>
          </w:rPr>
          <w:t>113</w:t>
        </w:r>
        <w:r w:rsidR="00833F8D" w:rsidRPr="00104227">
          <w:rPr>
            <w:webHidden/>
            <w:lang w:val="en-US"/>
          </w:rPr>
          <w:fldChar w:fldCharType="end"/>
        </w:r>
      </w:hyperlink>
    </w:p>
    <w:p w14:paraId="208FA285" w14:textId="6EFDBEAE" w:rsidR="00833F8D" w:rsidRPr="00104227" w:rsidRDefault="004276BD">
      <w:pPr>
        <w:pStyle w:val="TDC1"/>
        <w:rPr>
          <w:rFonts w:eastAsiaTheme="minorEastAsia" w:cstheme="minorBidi"/>
          <w:b w:val="0"/>
          <w:sz w:val="18"/>
          <w:szCs w:val="18"/>
          <w:bdr w:val="none" w:sz="0" w:space="0" w:color="auto"/>
          <w:lang w:val="en-US"/>
        </w:rPr>
      </w:pPr>
      <w:hyperlink w:anchor="_Toc31290610" w:history="1">
        <w:r w:rsidR="00833F8D" w:rsidRPr="00104227">
          <w:rPr>
            <w:rStyle w:val="Hipervnculo"/>
            <w:spacing w:val="-4"/>
            <w:sz w:val="18"/>
            <w:szCs w:val="18"/>
            <w:lang w:val="en-US"/>
          </w:rPr>
          <w:t>IX-4</w:t>
        </w:r>
        <w:r w:rsidR="00833F8D" w:rsidRPr="00104227">
          <w:rPr>
            <w:webHidden/>
            <w:sz w:val="18"/>
            <w:szCs w:val="18"/>
            <w:lang w:val="en-US"/>
          </w:rPr>
          <w:tab/>
        </w:r>
      </w:hyperlink>
      <w:hyperlink w:anchor="_Toc31290611" w:history="1">
        <w:r w:rsidR="00833F8D" w:rsidRPr="00104227">
          <w:rPr>
            <w:rStyle w:val="Hipervnculo"/>
            <w:spacing w:val="-4"/>
            <w:sz w:val="18"/>
            <w:szCs w:val="18"/>
            <w:lang w:val="en-US"/>
          </w:rPr>
          <w:t xml:space="preserve">RIGHT TO PERSONAL INTEGRITY OF THE NEXT OF KIN, </w:t>
        </w:r>
        <w:r w:rsidR="00833F8D" w:rsidRPr="00104227">
          <w:rPr>
            <w:rStyle w:val="Hipervnculo"/>
            <w:spacing w:val="-4"/>
            <w:sz w:val="18"/>
            <w:szCs w:val="18"/>
            <w:lang w:val="en-US" w:eastAsia="es-ES"/>
          </w:rPr>
          <w:t>IN RELATION TO THE OBLIGATION TO RESPECT AND TO ENSURE THESE RIGHTS</w:t>
        </w:r>
        <w:r w:rsidR="00833F8D" w:rsidRPr="00104227">
          <w:rPr>
            <w:webHidden/>
            <w:sz w:val="18"/>
            <w:szCs w:val="18"/>
            <w:lang w:val="en-US"/>
          </w:rPr>
          <w:tab/>
        </w:r>
        <w:r w:rsidR="00833F8D" w:rsidRPr="00104227">
          <w:rPr>
            <w:webHidden/>
            <w:sz w:val="18"/>
            <w:szCs w:val="18"/>
            <w:lang w:val="en-US"/>
          </w:rPr>
          <w:fldChar w:fldCharType="begin"/>
        </w:r>
        <w:r w:rsidR="00833F8D" w:rsidRPr="00104227">
          <w:rPr>
            <w:webHidden/>
            <w:sz w:val="18"/>
            <w:szCs w:val="18"/>
            <w:lang w:val="en-US"/>
          </w:rPr>
          <w:instrText xml:space="preserve"> PAGEREF _Toc31290611 \h </w:instrText>
        </w:r>
        <w:r w:rsidR="00833F8D" w:rsidRPr="00104227">
          <w:rPr>
            <w:webHidden/>
            <w:sz w:val="18"/>
            <w:szCs w:val="18"/>
            <w:lang w:val="en-US"/>
          </w:rPr>
        </w:r>
        <w:r w:rsidR="00833F8D" w:rsidRPr="00104227">
          <w:rPr>
            <w:webHidden/>
            <w:sz w:val="18"/>
            <w:szCs w:val="18"/>
            <w:lang w:val="en-US"/>
          </w:rPr>
          <w:fldChar w:fldCharType="separate"/>
        </w:r>
        <w:r>
          <w:rPr>
            <w:webHidden/>
            <w:sz w:val="18"/>
            <w:szCs w:val="18"/>
            <w:lang w:val="en-US"/>
          </w:rPr>
          <w:t>113</w:t>
        </w:r>
        <w:r w:rsidR="00833F8D" w:rsidRPr="00104227">
          <w:rPr>
            <w:webHidden/>
            <w:sz w:val="18"/>
            <w:szCs w:val="18"/>
            <w:lang w:val="en-US"/>
          </w:rPr>
          <w:fldChar w:fldCharType="end"/>
        </w:r>
      </w:hyperlink>
    </w:p>
    <w:p w14:paraId="415A980A" w14:textId="01F145A3" w:rsidR="00833F8D" w:rsidRPr="00104227" w:rsidRDefault="004276BD" w:rsidP="00833F8D">
      <w:pPr>
        <w:pStyle w:val="TDC2"/>
        <w:rPr>
          <w:rFonts w:eastAsiaTheme="minorEastAsia" w:cstheme="minorBidi"/>
          <w:noProof/>
          <w:bdr w:val="none" w:sz="0" w:space="0" w:color="auto"/>
          <w:lang w:val="en-US"/>
        </w:rPr>
      </w:pPr>
      <w:hyperlink w:anchor="_Toc31290612" w:history="1">
        <w:r w:rsidR="00833F8D" w:rsidRPr="00104227">
          <w:rPr>
            <w:rStyle w:val="Hipervnculo"/>
            <w:rFonts w:ascii="Verdana" w:hAnsi="Verdana"/>
            <w:noProof/>
            <w:sz w:val="18"/>
            <w:szCs w:val="18"/>
            <w:lang w:val="en-US"/>
          </w:rPr>
          <w:t>A.</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Arguments of the parties and of the Commission</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_Toc31290612 \h </w:instrText>
        </w:r>
        <w:r w:rsidR="00833F8D" w:rsidRPr="00104227">
          <w:rPr>
            <w:noProof/>
            <w:webHidden/>
            <w:lang w:val="en-US"/>
          </w:rPr>
        </w:r>
        <w:r w:rsidR="00833F8D" w:rsidRPr="00104227">
          <w:rPr>
            <w:noProof/>
            <w:webHidden/>
            <w:lang w:val="en-US"/>
          </w:rPr>
          <w:fldChar w:fldCharType="separate"/>
        </w:r>
        <w:r>
          <w:rPr>
            <w:noProof/>
            <w:webHidden/>
            <w:lang w:val="en-US"/>
          </w:rPr>
          <w:t>113</w:t>
        </w:r>
        <w:r w:rsidR="00833F8D" w:rsidRPr="00104227">
          <w:rPr>
            <w:noProof/>
            <w:webHidden/>
            <w:lang w:val="en-US"/>
          </w:rPr>
          <w:fldChar w:fldCharType="end"/>
        </w:r>
      </w:hyperlink>
    </w:p>
    <w:p w14:paraId="4B879BA9" w14:textId="1CB2BA3E" w:rsidR="00833F8D" w:rsidRPr="00104227" w:rsidRDefault="004276BD" w:rsidP="00833F8D">
      <w:pPr>
        <w:pStyle w:val="TDC2"/>
        <w:rPr>
          <w:rFonts w:eastAsiaTheme="minorEastAsia" w:cstheme="minorBidi"/>
          <w:noProof/>
          <w:bdr w:val="none" w:sz="0" w:space="0" w:color="auto"/>
          <w:lang w:val="en-US"/>
        </w:rPr>
      </w:pPr>
      <w:hyperlink w:anchor="_Toc31290613" w:history="1">
        <w:r w:rsidR="00833F8D" w:rsidRPr="00104227">
          <w:rPr>
            <w:rStyle w:val="Hipervnculo"/>
            <w:rFonts w:ascii="Verdana" w:hAnsi="Verdana"/>
            <w:noProof/>
            <w:sz w:val="18"/>
            <w:szCs w:val="18"/>
            <w:lang w:val="en-US"/>
          </w:rPr>
          <w:t>B.</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Considerations of the Court</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_Toc31290613 \h </w:instrText>
        </w:r>
        <w:r w:rsidR="00833F8D" w:rsidRPr="00104227">
          <w:rPr>
            <w:noProof/>
            <w:webHidden/>
            <w:lang w:val="en-US"/>
          </w:rPr>
        </w:r>
        <w:r w:rsidR="00833F8D" w:rsidRPr="00104227">
          <w:rPr>
            <w:noProof/>
            <w:webHidden/>
            <w:lang w:val="en-US"/>
          </w:rPr>
          <w:fldChar w:fldCharType="separate"/>
        </w:r>
        <w:r>
          <w:rPr>
            <w:noProof/>
            <w:webHidden/>
            <w:lang w:val="en-US"/>
          </w:rPr>
          <w:t>113</w:t>
        </w:r>
        <w:r w:rsidR="00833F8D" w:rsidRPr="00104227">
          <w:rPr>
            <w:noProof/>
            <w:webHidden/>
            <w:lang w:val="en-US"/>
          </w:rPr>
          <w:fldChar w:fldCharType="end"/>
        </w:r>
      </w:hyperlink>
    </w:p>
    <w:p w14:paraId="355B5B02" w14:textId="7B40F52E" w:rsidR="00833F8D" w:rsidRPr="00104227" w:rsidRDefault="004276BD">
      <w:pPr>
        <w:pStyle w:val="TDC1"/>
        <w:rPr>
          <w:rFonts w:eastAsiaTheme="minorEastAsia" w:cstheme="minorBidi"/>
          <w:b w:val="0"/>
          <w:sz w:val="18"/>
          <w:szCs w:val="18"/>
          <w:bdr w:val="none" w:sz="0" w:space="0" w:color="auto"/>
          <w:lang w:val="en-US"/>
        </w:rPr>
      </w:pPr>
      <w:hyperlink w:anchor="_Toc31290614" w:history="1">
        <w:r w:rsidR="00833F8D" w:rsidRPr="00104227">
          <w:rPr>
            <w:rStyle w:val="Hipervnculo"/>
            <w:spacing w:val="-4"/>
            <w:sz w:val="18"/>
            <w:szCs w:val="18"/>
            <w:lang w:val="en-US"/>
          </w:rPr>
          <w:t>X</w:t>
        </w:r>
        <w:r w:rsidR="00833F8D" w:rsidRPr="00104227">
          <w:rPr>
            <w:webHidden/>
            <w:sz w:val="18"/>
            <w:szCs w:val="18"/>
            <w:lang w:val="en-US"/>
          </w:rPr>
          <w:tab/>
        </w:r>
      </w:hyperlink>
      <w:hyperlink w:anchor="_Toc31290615" w:history="1">
        <w:r w:rsidR="00833F8D" w:rsidRPr="00104227">
          <w:rPr>
            <w:rStyle w:val="Hipervnculo"/>
            <w:spacing w:val="-4"/>
            <w:sz w:val="18"/>
            <w:szCs w:val="18"/>
            <w:lang w:val="en-US"/>
          </w:rPr>
          <w:t>REPARATIONS</w:t>
        </w:r>
        <w:r w:rsidR="00833F8D" w:rsidRPr="00104227">
          <w:rPr>
            <w:webHidden/>
            <w:sz w:val="18"/>
            <w:szCs w:val="18"/>
            <w:lang w:val="en-US"/>
          </w:rPr>
          <w:tab/>
        </w:r>
        <w:r w:rsidR="00833F8D" w:rsidRPr="00104227">
          <w:rPr>
            <w:webHidden/>
            <w:sz w:val="18"/>
            <w:szCs w:val="18"/>
            <w:lang w:val="en-US"/>
          </w:rPr>
          <w:fldChar w:fldCharType="begin"/>
        </w:r>
        <w:r w:rsidR="00833F8D" w:rsidRPr="00104227">
          <w:rPr>
            <w:webHidden/>
            <w:sz w:val="18"/>
            <w:szCs w:val="18"/>
            <w:lang w:val="en-US"/>
          </w:rPr>
          <w:instrText xml:space="preserve"> PAGEREF _Toc31290615 \h </w:instrText>
        </w:r>
        <w:r w:rsidR="00833F8D" w:rsidRPr="00104227">
          <w:rPr>
            <w:webHidden/>
            <w:sz w:val="18"/>
            <w:szCs w:val="18"/>
            <w:lang w:val="en-US"/>
          </w:rPr>
        </w:r>
        <w:r w:rsidR="00833F8D" w:rsidRPr="00104227">
          <w:rPr>
            <w:webHidden/>
            <w:sz w:val="18"/>
            <w:szCs w:val="18"/>
            <w:lang w:val="en-US"/>
          </w:rPr>
          <w:fldChar w:fldCharType="separate"/>
        </w:r>
        <w:r>
          <w:rPr>
            <w:webHidden/>
            <w:sz w:val="18"/>
            <w:szCs w:val="18"/>
            <w:lang w:val="en-US"/>
          </w:rPr>
          <w:t>116</w:t>
        </w:r>
        <w:r w:rsidR="00833F8D" w:rsidRPr="00104227">
          <w:rPr>
            <w:webHidden/>
            <w:sz w:val="18"/>
            <w:szCs w:val="18"/>
            <w:lang w:val="en-US"/>
          </w:rPr>
          <w:fldChar w:fldCharType="end"/>
        </w:r>
      </w:hyperlink>
    </w:p>
    <w:p w14:paraId="0CBF368B" w14:textId="6B56D16D" w:rsidR="00833F8D" w:rsidRPr="00104227" w:rsidRDefault="004276BD" w:rsidP="00833F8D">
      <w:pPr>
        <w:pStyle w:val="TDC2"/>
        <w:rPr>
          <w:rFonts w:eastAsiaTheme="minorEastAsia" w:cstheme="minorBidi"/>
          <w:noProof/>
          <w:bdr w:val="none" w:sz="0" w:space="0" w:color="auto"/>
          <w:lang w:val="en-US"/>
        </w:rPr>
      </w:pPr>
      <w:hyperlink w:anchor="_Toc31290616" w:history="1">
        <w:r w:rsidR="00833F8D" w:rsidRPr="00104227">
          <w:rPr>
            <w:rStyle w:val="Hipervnculo"/>
            <w:rFonts w:ascii="Verdana" w:hAnsi="Verdana"/>
            <w:noProof/>
            <w:sz w:val="18"/>
            <w:szCs w:val="18"/>
            <w:lang w:val="en-US"/>
          </w:rPr>
          <w:t>A.</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Injured party</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_Toc31290616 \h </w:instrText>
        </w:r>
        <w:r w:rsidR="00833F8D" w:rsidRPr="00104227">
          <w:rPr>
            <w:noProof/>
            <w:webHidden/>
            <w:lang w:val="en-US"/>
          </w:rPr>
        </w:r>
        <w:r w:rsidR="00833F8D" w:rsidRPr="00104227">
          <w:rPr>
            <w:noProof/>
            <w:webHidden/>
            <w:lang w:val="en-US"/>
          </w:rPr>
          <w:fldChar w:fldCharType="separate"/>
        </w:r>
        <w:r>
          <w:rPr>
            <w:noProof/>
            <w:webHidden/>
            <w:lang w:val="en-US"/>
          </w:rPr>
          <w:t>117</w:t>
        </w:r>
        <w:r w:rsidR="00833F8D" w:rsidRPr="00104227">
          <w:rPr>
            <w:noProof/>
            <w:webHidden/>
            <w:lang w:val="en-US"/>
          </w:rPr>
          <w:fldChar w:fldCharType="end"/>
        </w:r>
      </w:hyperlink>
    </w:p>
    <w:p w14:paraId="1E9C2BAB" w14:textId="198496B7" w:rsidR="00833F8D" w:rsidRPr="00104227" w:rsidRDefault="004276BD" w:rsidP="00833F8D">
      <w:pPr>
        <w:pStyle w:val="TDC2"/>
        <w:rPr>
          <w:rFonts w:eastAsiaTheme="minorEastAsia" w:cstheme="minorBidi"/>
          <w:noProof/>
          <w:bdr w:val="none" w:sz="0" w:space="0" w:color="auto"/>
          <w:lang w:val="en-US"/>
        </w:rPr>
      </w:pPr>
      <w:hyperlink w:anchor="_Toc31290617" w:history="1">
        <w:r w:rsidR="00833F8D" w:rsidRPr="00104227">
          <w:rPr>
            <w:rStyle w:val="Hipervnculo"/>
            <w:rFonts w:ascii="Verdana" w:hAnsi="Verdana"/>
            <w:noProof/>
            <w:sz w:val="18"/>
            <w:szCs w:val="18"/>
            <w:lang w:val="en-US"/>
          </w:rPr>
          <w:t>B.</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Preliminary considerations concerning reparations</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_Toc31290617 \h </w:instrText>
        </w:r>
        <w:r w:rsidR="00833F8D" w:rsidRPr="00104227">
          <w:rPr>
            <w:noProof/>
            <w:webHidden/>
            <w:lang w:val="en-US"/>
          </w:rPr>
        </w:r>
        <w:r w:rsidR="00833F8D" w:rsidRPr="00104227">
          <w:rPr>
            <w:noProof/>
            <w:webHidden/>
            <w:lang w:val="en-US"/>
          </w:rPr>
          <w:fldChar w:fldCharType="separate"/>
        </w:r>
        <w:r>
          <w:rPr>
            <w:noProof/>
            <w:webHidden/>
            <w:lang w:val="en-US"/>
          </w:rPr>
          <w:t>118</w:t>
        </w:r>
        <w:r w:rsidR="00833F8D" w:rsidRPr="00104227">
          <w:rPr>
            <w:noProof/>
            <w:webHidden/>
            <w:lang w:val="en-US"/>
          </w:rPr>
          <w:fldChar w:fldCharType="end"/>
        </w:r>
      </w:hyperlink>
    </w:p>
    <w:p w14:paraId="6844094C" w14:textId="432B1231" w:rsidR="00833F8D" w:rsidRPr="00104227" w:rsidRDefault="004276BD">
      <w:pPr>
        <w:pStyle w:val="TDC3"/>
        <w:rPr>
          <w:rFonts w:eastAsiaTheme="minorEastAsia" w:cstheme="minorBidi"/>
          <w:bdr w:val="none" w:sz="0" w:space="0" w:color="auto"/>
          <w:lang w:val="en-US" w:eastAsia="en-US"/>
        </w:rPr>
      </w:pPr>
      <w:hyperlink w:anchor="_Toc31290618" w:history="1">
        <w:r w:rsidR="00833F8D" w:rsidRPr="00104227">
          <w:rPr>
            <w:rStyle w:val="Hipervnculo"/>
            <w:lang w:val="en-US"/>
          </w:rPr>
          <w:t>B.1 Arguments of the parties and of the Commission</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_Toc31290618 \h </w:instrText>
        </w:r>
        <w:r w:rsidR="00833F8D" w:rsidRPr="00104227">
          <w:rPr>
            <w:webHidden/>
            <w:lang w:val="en-US"/>
          </w:rPr>
        </w:r>
        <w:r w:rsidR="00833F8D" w:rsidRPr="00104227">
          <w:rPr>
            <w:webHidden/>
            <w:lang w:val="en-US"/>
          </w:rPr>
          <w:fldChar w:fldCharType="separate"/>
        </w:r>
        <w:r>
          <w:rPr>
            <w:webHidden/>
            <w:lang w:val="en-US"/>
          </w:rPr>
          <w:t>118</w:t>
        </w:r>
        <w:r w:rsidR="00833F8D" w:rsidRPr="00104227">
          <w:rPr>
            <w:webHidden/>
            <w:lang w:val="en-US"/>
          </w:rPr>
          <w:fldChar w:fldCharType="end"/>
        </w:r>
      </w:hyperlink>
    </w:p>
    <w:p w14:paraId="1525A212" w14:textId="6A437892" w:rsidR="00833F8D" w:rsidRPr="00104227" w:rsidRDefault="004276BD">
      <w:pPr>
        <w:pStyle w:val="TDC3"/>
        <w:rPr>
          <w:rFonts w:eastAsiaTheme="minorEastAsia" w:cstheme="minorBidi"/>
          <w:bdr w:val="none" w:sz="0" w:space="0" w:color="auto"/>
          <w:lang w:val="en-US" w:eastAsia="en-US"/>
        </w:rPr>
      </w:pPr>
      <w:hyperlink w:anchor="_Toc31290619" w:history="1">
        <w:r w:rsidR="00833F8D" w:rsidRPr="00104227">
          <w:rPr>
            <w:rStyle w:val="Hipervnculo"/>
            <w:lang w:val="en-US" w:eastAsia="es-MX"/>
          </w:rPr>
          <w:t>B.2 Considerations of the Court</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_Toc31290619 \h </w:instrText>
        </w:r>
        <w:r w:rsidR="00833F8D" w:rsidRPr="00104227">
          <w:rPr>
            <w:webHidden/>
            <w:lang w:val="en-US"/>
          </w:rPr>
        </w:r>
        <w:r w:rsidR="00833F8D" w:rsidRPr="00104227">
          <w:rPr>
            <w:webHidden/>
            <w:lang w:val="en-US"/>
          </w:rPr>
          <w:fldChar w:fldCharType="separate"/>
        </w:r>
        <w:r>
          <w:rPr>
            <w:webHidden/>
            <w:lang w:val="en-US"/>
          </w:rPr>
          <w:t>118</w:t>
        </w:r>
        <w:r w:rsidR="00833F8D" w:rsidRPr="00104227">
          <w:rPr>
            <w:webHidden/>
            <w:lang w:val="en-US"/>
          </w:rPr>
          <w:fldChar w:fldCharType="end"/>
        </w:r>
      </w:hyperlink>
    </w:p>
    <w:p w14:paraId="5FC750DF" w14:textId="6AB91131" w:rsidR="00833F8D" w:rsidRPr="00104227" w:rsidRDefault="004276BD" w:rsidP="00833F8D">
      <w:pPr>
        <w:pStyle w:val="TDC2"/>
        <w:rPr>
          <w:rFonts w:eastAsiaTheme="minorEastAsia" w:cstheme="minorBidi"/>
          <w:noProof/>
          <w:bdr w:val="none" w:sz="0" w:space="0" w:color="auto"/>
          <w:lang w:val="en-US"/>
        </w:rPr>
      </w:pPr>
      <w:hyperlink w:anchor="_Toc31290620" w:history="1">
        <w:r w:rsidR="00833F8D" w:rsidRPr="00104227">
          <w:rPr>
            <w:rStyle w:val="Hipervnculo"/>
            <w:rFonts w:ascii="Verdana" w:hAnsi="Verdana"/>
            <w:noProof/>
            <w:sz w:val="18"/>
            <w:szCs w:val="18"/>
            <w:lang w:val="en-US"/>
          </w:rPr>
          <w:t>C.</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Obligation to investigate</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_Toc31290620 \h </w:instrText>
        </w:r>
        <w:r w:rsidR="00833F8D" w:rsidRPr="00104227">
          <w:rPr>
            <w:noProof/>
            <w:webHidden/>
            <w:lang w:val="en-US"/>
          </w:rPr>
        </w:r>
        <w:r w:rsidR="00833F8D" w:rsidRPr="00104227">
          <w:rPr>
            <w:noProof/>
            <w:webHidden/>
            <w:lang w:val="en-US"/>
          </w:rPr>
          <w:fldChar w:fldCharType="separate"/>
        </w:r>
        <w:r>
          <w:rPr>
            <w:noProof/>
            <w:webHidden/>
            <w:lang w:val="en-US"/>
          </w:rPr>
          <w:t>119</w:t>
        </w:r>
        <w:r w:rsidR="00833F8D" w:rsidRPr="00104227">
          <w:rPr>
            <w:noProof/>
            <w:webHidden/>
            <w:lang w:val="en-US"/>
          </w:rPr>
          <w:fldChar w:fldCharType="end"/>
        </w:r>
      </w:hyperlink>
    </w:p>
    <w:p w14:paraId="7C766E06" w14:textId="124B09D0" w:rsidR="00833F8D" w:rsidRPr="00104227" w:rsidRDefault="004276BD" w:rsidP="00833F8D">
      <w:pPr>
        <w:pStyle w:val="TDC2"/>
        <w:rPr>
          <w:rFonts w:eastAsiaTheme="minorEastAsia" w:cstheme="minorBidi"/>
          <w:noProof/>
          <w:bdr w:val="none" w:sz="0" w:space="0" w:color="auto"/>
          <w:lang w:val="en-US"/>
        </w:rPr>
      </w:pPr>
      <w:hyperlink w:anchor="_Toc31290621" w:history="1">
        <w:r w:rsidR="00833F8D" w:rsidRPr="00104227">
          <w:rPr>
            <w:rStyle w:val="Hipervnculo"/>
            <w:rFonts w:ascii="Verdana" w:hAnsi="Verdana"/>
            <w:noProof/>
            <w:sz w:val="18"/>
            <w:szCs w:val="18"/>
            <w:lang w:val="en-US"/>
          </w:rPr>
          <w:t>D.</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Measures of rehabilitation and satisfaction, and guarantees of non-repetition</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_Toc31290621 \h </w:instrText>
        </w:r>
        <w:r w:rsidR="00833F8D" w:rsidRPr="00104227">
          <w:rPr>
            <w:noProof/>
            <w:webHidden/>
            <w:lang w:val="en-US"/>
          </w:rPr>
        </w:r>
        <w:r w:rsidR="00833F8D" w:rsidRPr="00104227">
          <w:rPr>
            <w:noProof/>
            <w:webHidden/>
            <w:lang w:val="en-US"/>
          </w:rPr>
          <w:fldChar w:fldCharType="separate"/>
        </w:r>
        <w:r>
          <w:rPr>
            <w:noProof/>
            <w:webHidden/>
            <w:lang w:val="en-US"/>
          </w:rPr>
          <w:t>120</w:t>
        </w:r>
        <w:r w:rsidR="00833F8D" w:rsidRPr="00104227">
          <w:rPr>
            <w:noProof/>
            <w:webHidden/>
            <w:lang w:val="en-US"/>
          </w:rPr>
          <w:fldChar w:fldCharType="end"/>
        </w:r>
      </w:hyperlink>
    </w:p>
    <w:p w14:paraId="6667D569" w14:textId="7A4ABB66" w:rsidR="00833F8D" w:rsidRPr="00104227" w:rsidRDefault="004276BD">
      <w:pPr>
        <w:pStyle w:val="TDC3"/>
        <w:rPr>
          <w:rFonts w:eastAsiaTheme="minorEastAsia" w:cstheme="minorBidi"/>
          <w:bdr w:val="none" w:sz="0" w:space="0" w:color="auto"/>
          <w:lang w:val="en-US" w:eastAsia="en-US"/>
        </w:rPr>
      </w:pPr>
      <w:hyperlink w:anchor="_Toc31290622" w:history="1">
        <w:r w:rsidR="00833F8D" w:rsidRPr="00104227">
          <w:rPr>
            <w:rStyle w:val="Hipervnculo"/>
            <w:lang w:val="en-US"/>
          </w:rPr>
          <w:t>D.1 Measure of rehabilitation</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_Toc31290622 \h </w:instrText>
        </w:r>
        <w:r w:rsidR="00833F8D" w:rsidRPr="00104227">
          <w:rPr>
            <w:webHidden/>
            <w:lang w:val="en-US"/>
          </w:rPr>
        </w:r>
        <w:r w:rsidR="00833F8D" w:rsidRPr="00104227">
          <w:rPr>
            <w:webHidden/>
            <w:lang w:val="en-US"/>
          </w:rPr>
          <w:fldChar w:fldCharType="separate"/>
        </w:r>
        <w:r>
          <w:rPr>
            <w:webHidden/>
            <w:lang w:val="en-US"/>
          </w:rPr>
          <w:t>120</w:t>
        </w:r>
        <w:r w:rsidR="00833F8D" w:rsidRPr="00104227">
          <w:rPr>
            <w:webHidden/>
            <w:lang w:val="en-US"/>
          </w:rPr>
          <w:fldChar w:fldCharType="end"/>
        </w:r>
      </w:hyperlink>
    </w:p>
    <w:p w14:paraId="38731974" w14:textId="5DFD4191" w:rsidR="00833F8D" w:rsidRPr="00104227" w:rsidRDefault="004276BD">
      <w:pPr>
        <w:pStyle w:val="TDC3"/>
        <w:rPr>
          <w:rFonts w:eastAsiaTheme="minorEastAsia" w:cstheme="minorBidi"/>
          <w:bdr w:val="none" w:sz="0" w:space="0" w:color="auto"/>
          <w:lang w:val="en-US" w:eastAsia="en-US"/>
        </w:rPr>
      </w:pPr>
      <w:hyperlink w:anchor="_Toc31290623" w:history="1">
        <w:r w:rsidR="00833F8D" w:rsidRPr="00104227">
          <w:rPr>
            <w:rStyle w:val="Hipervnculo"/>
            <w:lang w:val="en-US"/>
          </w:rPr>
          <w:t>D.2 Measures of satisfaction</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_Toc31290623 \h </w:instrText>
        </w:r>
        <w:r w:rsidR="00833F8D" w:rsidRPr="00104227">
          <w:rPr>
            <w:webHidden/>
            <w:lang w:val="en-US"/>
          </w:rPr>
        </w:r>
        <w:r w:rsidR="00833F8D" w:rsidRPr="00104227">
          <w:rPr>
            <w:webHidden/>
            <w:lang w:val="en-US"/>
          </w:rPr>
          <w:fldChar w:fldCharType="separate"/>
        </w:r>
        <w:r>
          <w:rPr>
            <w:webHidden/>
            <w:lang w:val="en-US"/>
          </w:rPr>
          <w:t>121</w:t>
        </w:r>
        <w:r w:rsidR="00833F8D" w:rsidRPr="00104227">
          <w:rPr>
            <w:webHidden/>
            <w:lang w:val="en-US"/>
          </w:rPr>
          <w:fldChar w:fldCharType="end"/>
        </w:r>
      </w:hyperlink>
    </w:p>
    <w:p w14:paraId="32A437BB" w14:textId="5CE7C1D7" w:rsidR="00833F8D" w:rsidRPr="00104227" w:rsidRDefault="004276BD">
      <w:pPr>
        <w:pStyle w:val="TDC3"/>
        <w:rPr>
          <w:rFonts w:eastAsiaTheme="minorEastAsia" w:cstheme="minorBidi"/>
          <w:bdr w:val="none" w:sz="0" w:space="0" w:color="auto"/>
          <w:lang w:val="en-US" w:eastAsia="en-US"/>
        </w:rPr>
      </w:pPr>
      <w:hyperlink w:anchor="_Toc31290624" w:history="1">
        <w:r w:rsidR="00833F8D" w:rsidRPr="00104227">
          <w:rPr>
            <w:rStyle w:val="Hipervnculo"/>
            <w:lang w:val="en-US"/>
          </w:rPr>
          <w:t>D.3 Guarantees of non-repetition</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_Toc31290624 \h </w:instrText>
        </w:r>
        <w:r w:rsidR="00833F8D" w:rsidRPr="00104227">
          <w:rPr>
            <w:webHidden/>
            <w:lang w:val="en-US"/>
          </w:rPr>
        </w:r>
        <w:r w:rsidR="00833F8D" w:rsidRPr="00104227">
          <w:rPr>
            <w:webHidden/>
            <w:lang w:val="en-US"/>
          </w:rPr>
          <w:fldChar w:fldCharType="separate"/>
        </w:r>
        <w:r>
          <w:rPr>
            <w:webHidden/>
            <w:lang w:val="en-US"/>
          </w:rPr>
          <w:t>124</w:t>
        </w:r>
        <w:r w:rsidR="00833F8D" w:rsidRPr="00104227">
          <w:rPr>
            <w:webHidden/>
            <w:lang w:val="en-US"/>
          </w:rPr>
          <w:fldChar w:fldCharType="end"/>
        </w:r>
      </w:hyperlink>
    </w:p>
    <w:p w14:paraId="60FACA70" w14:textId="359DEAAE" w:rsidR="00833F8D" w:rsidRPr="00104227" w:rsidRDefault="004276BD" w:rsidP="00833F8D">
      <w:pPr>
        <w:pStyle w:val="TDC2"/>
        <w:rPr>
          <w:rFonts w:eastAsiaTheme="minorEastAsia" w:cstheme="minorBidi"/>
          <w:noProof/>
          <w:bdr w:val="none" w:sz="0" w:space="0" w:color="auto"/>
          <w:lang w:val="en-US"/>
        </w:rPr>
      </w:pPr>
      <w:hyperlink w:anchor="_Toc31290625" w:history="1">
        <w:r w:rsidR="00833F8D" w:rsidRPr="00104227">
          <w:rPr>
            <w:rStyle w:val="Hipervnculo"/>
            <w:rFonts w:ascii="Verdana" w:hAnsi="Verdana"/>
            <w:noProof/>
            <w:sz w:val="18"/>
            <w:szCs w:val="18"/>
            <w:lang w:val="en-US"/>
          </w:rPr>
          <w:t>E.</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Other measures requested</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_Toc31290625 \h </w:instrText>
        </w:r>
        <w:r w:rsidR="00833F8D" w:rsidRPr="00104227">
          <w:rPr>
            <w:noProof/>
            <w:webHidden/>
            <w:lang w:val="en-US"/>
          </w:rPr>
        </w:r>
        <w:r w:rsidR="00833F8D" w:rsidRPr="00104227">
          <w:rPr>
            <w:noProof/>
            <w:webHidden/>
            <w:lang w:val="en-US"/>
          </w:rPr>
          <w:fldChar w:fldCharType="separate"/>
        </w:r>
        <w:r>
          <w:rPr>
            <w:noProof/>
            <w:webHidden/>
            <w:lang w:val="en-US"/>
          </w:rPr>
          <w:t>126</w:t>
        </w:r>
        <w:r w:rsidR="00833F8D" w:rsidRPr="00104227">
          <w:rPr>
            <w:noProof/>
            <w:webHidden/>
            <w:lang w:val="en-US"/>
          </w:rPr>
          <w:fldChar w:fldCharType="end"/>
        </w:r>
      </w:hyperlink>
    </w:p>
    <w:p w14:paraId="10350BCC" w14:textId="057B67C0" w:rsidR="00833F8D" w:rsidRPr="00104227" w:rsidRDefault="004276BD" w:rsidP="00833F8D">
      <w:pPr>
        <w:pStyle w:val="TDC2"/>
        <w:rPr>
          <w:rFonts w:eastAsiaTheme="minorEastAsia" w:cstheme="minorBidi"/>
          <w:noProof/>
          <w:bdr w:val="none" w:sz="0" w:space="0" w:color="auto"/>
          <w:lang w:val="en-US"/>
        </w:rPr>
      </w:pPr>
      <w:hyperlink w:anchor="_Toc31290626" w:history="1">
        <w:r w:rsidR="00833F8D" w:rsidRPr="00104227">
          <w:rPr>
            <w:rStyle w:val="Hipervnculo"/>
            <w:rFonts w:ascii="Verdana" w:hAnsi="Verdana"/>
            <w:noProof/>
            <w:sz w:val="18"/>
            <w:szCs w:val="18"/>
            <w:lang w:val="en-US"/>
          </w:rPr>
          <w:t>F.</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Compensation</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_Toc31290626 \h </w:instrText>
        </w:r>
        <w:r w:rsidR="00833F8D" w:rsidRPr="00104227">
          <w:rPr>
            <w:noProof/>
            <w:webHidden/>
            <w:lang w:val="en-US"/>
          </w:rPr>
        </w:r>
        <w:r w:rsidR="00833F8D" w:rsidRPr="00104227">
          <w:rPr>
            <w:noProof/>
            <w:webHidden/>
            <w:lang w:val="en-US"/>
          </w:rPr>
          <w:fldChar w:fldCharType="separate"/>
        </w:r>
        <w:r>
          <w:rPr>
            <w:noProof/>
            <w:webHidden/>
            <w:lang w:val="en-US"/>
          </w:rPr>
          <w:t>127</w:t>
        </w:r>
        <w:r w:rsidR="00833F8D" w:rsidRPr="00104227">
          <w:rPr>
            <w:noProof/>
            <w:webHidden/>
            <w:lang w:val="en-US"/>
          </w:rPr>
          <w:fldChar w:fldCharType="end"/>
        </w:r>
      </w:hyperlink>
    </w:p>
    <w:p w14:paraId="5E12542B" w14:textId="62FCF763" w:rsidR="00833F8D" w:rsidRPr="00104227" w:rsidRDefault="004276BD">
      <w:pPr>
        <w:pStyle w:val="TDC3"/>
        <w:rPr>
          <w:rFonts w:eastAsiaTheme="minorEastAsia" w:cstheme="minorBidi"/>
          <w:bdr w:val="none" w:sz="0" w:space="0" w:color="auto"/>
          <w:lang w:val="en-US" w:eastAsia="en-US"/>
        </w:rPr>
      </w:pPr>
      <w:hyperlink w:anchor="_Toc31290627" w:history="1">
        <w:r w:rsidR="00833F8D" w:rsidRPr="00104227">
          <w:rPr>
            <w:rStyle w:val="Hipervnculo"/>
            <w:lang w:val="en-US" w:eastAsia="es-MX"/>
          </w:rPr>
          <w:t>F.1 Pecuniary damage</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_Toc31290627 \h </w:instrText>
        </w:r>
        <w:r w:rsidR="00833F8D" w:rsidRPr="00104227">
          <w:rPr>
            <w:webHidden/>
            <w:lang w:val="en-US"/>
          </w:rPr>
        </w:r>
        <w:r w:rsidR="00833F8D" w:rsidRPr="00104227">
          <w:rPr>
            <w:webHidden/>
            <w:lang w:val="en-US"/>
          </w:rPr>
          <w:fldChar w:fldCharType="separate"/>
        </w:r>
        <w:r>
          <w:rPr>
            <w:webHidden/>
            <w:lang w:val="en-US"/>
          </w:rPr>
          <w:t>128</w:t>
        </w:r>
        <w:r w:rsidR="00833F8D" w:rsidRPr="00104227">
          <w:rPr>
            <w:webHidden/>
            <w:lang w:val="en-US"/>
          </w:rPr>
          <w:fldChar w:fldCharType="end"/>
        </w:r>
      </w:hyperlink>
    </w:p>
    <w:p w14:paraId="0033E545" w14:textId="57326FB8" w:rsidR="00833F8D" w:rsidRPr="00104227" w:rsidRDefault="004276BD">
      <w:pPr>
        <w:pStyle w:val="TDC3"/>
        <w:rPr>
          <w:rFonts w:eastAsiaTheme="minorEastAsia" w:cstheme="minorBidi"/>
          <w:bdr w:val="none" w:sz="0" w:space="0" w:color="auto"/>
          <w:lang w:val="en-US" w:eastAsia="en-US"/>
        </w:rPr>
      </w:pPr>
      <w:hyperlink w:anchor="_Toc31290628" w:history="1">
        <w:r w:rsidR="00833F8D" w:rsidRPr="00104227">
          <w:rPr>
            <w:rStyle w:val="Hipervnculo"/>
            <w:lang w:val="en-US" w:eastAsia="es-MX"/>
          </w:rPr>
          <w:t>F.2 Non-pecuniary damage</w:t>
        </w:r>
        <w:r w:rsidR="00833F8D" w:rsidRPr="00104227">
          <w:rPr>
            <w:webHidden/>
            <w:lang w:val="en-US"/>
          </w:rPr>
          <w:tab/>
        </w:r>
        <w:r w:rsidR="00833F8D" w:rsidRPr="00104227">
          <w:rPr>
            <w:webHidden/>
            <w:lang w:val="en-US"/>
          </w:rPr>
          <w:fldChar w:fldCharType="begin"/>
        </w:r>
        <w:r w:rsidR="00833F8D" w:rsidRPr="00104227">
          <w:rPr>
            <w:webHidden/>
            <w:lang w:val="en-US"/>
          </w:rPr>
          <w:instrText xml:space="preserve"> PAGEREF _Toc31290628 \h </w:instrText>
        </w:r>
        <w:r w:rsidR="00833F8D" w:rsidRPr="00104227">
          <w:rPr>
            <w:webHidden/>
            <w:lang w:val="en-US"/>
          </w:rPr>
        </w:r>
        <w:r w:rsidR="00833F8D" w:rsidRPr="00104227">
          <w:rPr>
            <w:webHidden/>
            <w:lang w:val="en-US"/>
          </w:rPr>
          <w:fldChar w:fldCharType="separate"/>
        </w:r>
        <w:r>
          <w:rPr>
            <w:webHidden/>
            <w:lang w:val="en-US"/>
          </w:rPr>
          <w:t>129</w:t>
        </w:r>
        <w:r w:rsidR="00833F8D" w:rsidRPr="00104227">
          <w:rPr>
            <w:webHidden/>
            <w:lang w:val="en-US"/>
          </w:rPr>
          <w:fldChar w:fldCharType="end"/>
        </w:r>
      </w:hyperlink>
    </w:p>
    <w:p w14:paraId="61EF2DE7" w14:textId="7CF1882A" w:rsidR="00833F8D" w:rsidRPr="00104227" w:rsidRDefault="004276BD" w:rsidP="00833F8D">
      <w:pPr>
        <w:pStyle w:val="TDC2"/>
        <w:rPr>
          <w:rFonts w:eastAsiaTheme="minorEastAsia" w:cstheme="minorBidi"/>
          <w:noProof/>
          <w:bdr w:val="none" w:sz="0" w:space="0" w:color="auto"/>
          <w:lang w:val="en-US"/>
        </w:rPr>
      </w:pPr>
      <w:hyperlink w:anchor="_Toc31290629" w:history="1">
        <w:r w:rsidR="00833F8D" w:rsidRPr="00104227">
          <w:rPr>
            <w:rStyle w:val="Hipervnculo"/>
            <w:rFonts w:ascii="Verdana" w:hAnsi="Verdana"/>
            <w:noProof/>
            <w:sz w:val="18"/>
            <w:szCs w:val="18"/>
            <w:lang w:val="en-US"/>
          </w:rPr>
          <w:t>G.</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Costs and expenses</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_Toc31290629 \h </w:instrText>
        </w:r>
        <w:r w:rsidR="00833F8D" w:rsidRPr="00104227">
          <w:rPr>
            <w:noProof/>
            <w:webHidden/>
            <w:lang w:val="en-US"/>
          </w:rPr>
        </w:r>
        <w:r w:rsidR="00833F8D" w:rsidRPr="00104227">
          <w:rPr>
            <w:noProof/>
            <w:webHidden/>
            <w:lang w:val="en-US"/>
          </w:rPr>
          <w:fldChar w:fldCharType="separate"/>
        </w:r>
        <w:r>
          <w:rPr>
            <w:noProof/>
            <w:webHidden/>
            <w:lang w:val="en-US"/>
          </w:rPr>
          <w:t>130</w:t>
        </w:r>
        <w:r w:rsidR="00833F8D" w:rsidRPr="00104227">
          <w:rPr>
            <w:noProof/>
            <w:webHidden/>
            <w:lang w:val="en-US"/>
          </w:rPr>
          <w:fldChar w:fldCharType="end"/>
        </w:r>
      </w:hyperlink>
    </w:p>
    <w:p w14:paraId="2FC0ECB5" w14:textId="30F56B8D" w:rsidR="00833F8D" w:rsidRPr="00104227" w:rsidRDefault="004276BD" w:rsidP="00833F8D">
      <w:pPr>
        <w:pStyle w:val="TDC2"/>
        <w:rPr>
          <w:rFonts w:eastAsiaTheme="minorEastAsia" w:cstheme="minorBidi"/>
          <w:noProof/>
          <w:bdr w:val="none" w:sz="0" w:space="0" w:color="auto"/>
          <w:lang w:val="en-US"/>
        </w:rPr>
      </w:pPr>
      <w:hyperlink w:anchor="_Toc31290630" w:history="1">
        <w:r w:rsidR="00833F8D" w:rsidRPr="00104227">
          <w:rPr>
            <w:rStyle w:val="Hipervnculo"/>
            <w:rFonts w:ascii="Verdana" w:hAnsi="Verdana"/>
            <w:noProof/>
            <w:sz w:val="18"/>
            <w:szCs w:val="18"/>
            <w:lang w:val="en-US"/>
          </w:rPr>
          <w:t>H.</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Reimbursement of expenses to the Victims’ Legal Assistance Fund</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_Toc31290630 \h </w:instrText>
        </w:r>
        <w:r w:rsidR="00833F8D" w:rsidRPr="00104227">
          <w:rPr>
            <w:noProof/>
            <w:webHidden/>
            <w:lang w:val="en-US"/>
          </w:rPr>
        </w:r>
        <w:r w:rsidR="00833F8D" w:rsidRPr="00104227">
          <w:rPr>
            <w:noProof/>
            <w:webHidden/>
            <w:lang w:val="en-US"/>
          </w:rPr>
          <w:fldChar w:fldCharType="separate"/>
        </w:r>
        <w:r>
          <w:rPr>
            <w:noProof/>
            <w:webHidden/>
            <w:lang w:val="en-US"/>
          </w:rPr>
          <w:t>131</w:t>
        </w:r>
        <w:r w:rsidR="00833F8D" w:rsidRPr="00104227">
          <w:rPr>
            <w:noProof/>
            <w:webHidden/>
            <w:lang w:val="en-US"/>
          </w:rPr>
          <w:fldChar w:fldCharType="end"/>
        </w:r>
      </w:hyperlink>
    </w:p>
    <w:p w14:paraId="1745B24D" w14:textId="736E369E" w:rsidR="00833F8D" w:rsidRPr="00104227" w:rsidRDefault="004276BD" w:rsidP="00833F8D">
      <w:pPr>
        <w:pStyle w:val="TDC2"/>
        <w:rPr>
          <w:rFonts w:eastAsiaTheme="minorEastAsia" w:cstheme="minorBidi"/>
          <w:noProof/>
          <w:bdr w:val="none" w:sz="0" w:space="0" w:color="auto"/>
          <w:lang w:val="en-US"/>
        </w:rPr>
      </w:pPr>
      <w:hyperlink w:anchor="_Toc31290631" w:history="1">
        <w:r w:rsidR="00833F8D" w:rsidRPr="00104227">
          <w:rPr>
            <w:rStyle w:val="Hipervnculo"/>
            <w:rFonts w:ascii="Verdana" w:hAnsi="Verdana"/>
            <w:noProof/>
            <w:sz w:val="18"/>
            <w:szCs w:val="18"/>
            <w:lang w:val="en-US"/>
          </w:rPr>
          <w:t>I.</w:t>
        </w:r>
        <w:r w:rsidR="00833F8D" w:rsidRPr="00104227">
          <w:rPr>
            <w:rFonts w:eastAsiaTheme="minorEastAsia" w:cstheme="minorBidi"/>
            <w:noProof/>
            <w:bdr w:val="none" w:sz="0" w:space="0" w:color="auto"/>
            <w:lang w:val="en-US"/>
          </w:rPr>
          <w:tab/>
        </w:r>
        <w:r w:rsidR="00833F8D" w:rsidRPr="00104227">
          <w:rPr>
            <w:rStyle w:val="Hipervnculo"/>
            <w:rFonts w:ascii="Verdana" w:hAnsi="Verdana"/>
            <w:noProof/>
            <w:sz w:val="18"/>
            <w:szCs w:val="18"/>
            <w:lang w:val="en-US"/>
          </w:rPr>
          <w:t>Method of compliance with the payments ordered</w:t>
        </w:r>
        <w:r w:rsidR="00833F8D" w:rsidRPr="00104227">
          <w:rPr>
            <w:noProof/>
            <w:webHidden/>
            <w:lang w:val="en-US"/>
          </w:rPr>
          <w:tab/>
        </w:r>
        <w:r w:rsidR="00833F8D" w:rsidRPr="00104227">
          <w:rPr>
            <w:noProof/>
            <w:webHidden/>
            <w:lang w:val="en-US"/>
          </w:rPr>
          <w:fldChar w:fldCharType="begin"/>
        </w:r>
        <w:r w:rsidR="00833F8D" w:rsidRPr="00104227">
          <w:rPr>
            <w:noProof/>
            <w:webHidden/>
            <w:lang w:val="en-US"/>
          </w:rPr>
          <w:instrText xml:space="preserve"> PAGEREF _Toc31290631 \h </w:instrText>
        </w:r>
        <w:r w:rsidR="00833F8D" w:rsidRPr="00104227">
          <w:rPr>
            <w:noProof/>
            <w:webHidden/>
            <w:lang w:val="en-US"/>
          </w:rPr>
        </w:r>
        <w:r w:rsidR="00833F8D" w:rsidRPr="00104227">
          <w:rPr>
            <w:noProof/>
            <w:webHidden/>
            <w:lang w:val="en-US"/>
          </w:rPr>
          <w:fldChar w:fldCharType="separate"/>
        </w:r>
        <w:r>
          <w:rPr>
            <w:noProof/>
            <w:webHidden/>
            <w:lang w:val="en-US"/>
          </w:rPr>
          <w:t>131</w:t>
        </w:r>
        <w:r w:rsidR="00833F8D" w:rsidRPr="00104227">
          <w:rPr>
            <w:noProof/>
            <w:webHidden/>
            <w:lang w:val="en-US"/>
          </w:rPr>
          <w:fldChar w:fldCharType="end"/>
        </w:r>
      </w:hyperlink>
    </w:p>
    <w:p w14:paraId="67D5DF94" w14:textId="2F8BA726" w:rsidR="00833F8D" w:rsidRPr="00104227" w:rsidRDefault="004276BD">
      <w:pPr>
        <w:pStyle w:val="TDC1"/>
        <w:rPr>
          <w:rFonts w:eastAsiaTheme="minorEastAsia" w:cstheme="minorBidi"/>
          <w:b w:val="0"/>
          <w:sz w:val="18"/>
          <w:szCs w:val="18"/>
          <w:bdr w:val="none" w:sz="0" w:space="0" w:color="auto"/>
          <w:lang w:val="en-US"/>
        </w:rPr>
      </w:pPr>
      <w:hyperlink w:anchor="_Toc31290632" w:history="1">
        <w:r w:rsidR="00833F8D" w:rsidRPr="00104227">
          <w:rPr>
            <w:rStyle w:val="Hipervnculo"/>
            <w:snapToGrid w:val="0"/>
            <w:spacing w:val="-4"/>
            <w:sz w:val="18"/>
            <w:szCs w:val="18"/>
            <w:lang w:val="en-US"/>
          </w:rPr>
          <w:t>XI OPERATIVE PARAGRAPHS</w:t>
        </w:r>
        <w:r w:rsidR="00833F8D" w:rsidRPr="00104227">
          <w:rPr>
            <w:webHidden/>
            <w:sz w:val="18"/>
            <w:szCs w:val="18"/>
            <w:lang w:val="en-US"/>
          </w:rPr>
          <w:tab/>
        </w:r>
        <w:r w:rsidR="00833F8D" w:rsidRPr="00104227">
          <w:rPr>
            <w:webHidden/>
            <w:sz w:val="18"/>
            <w:szCs w:val="18"/>
            <w:lang w:val="en-US"/>
          </w:rPr>
          <w:fldChar w:fldCharType="begin"/>
        </w:r>
        <w:r w:rsidR="00833F8D" w:rsidRPr="00104227">
          <w:rPr>
            <w:webHidden/>
            <w:sz w:val="18"/>
            <w:szCs w:val="18"/>
            <w:lang w:val="en-US"/>
          </w:rPr>
          <w:instrText xml:space="preserve"> PAGEREF _Toc31290632 \h </w:instrText>
        </w:r>
        <w:r w:rsidR="00833F8D" w:rsidRPr="00104227">
          <w:rPr>
            <w:webHidden/>
            <w:sz w:val="18"/>
            <w:szCs w:val="18"/>
            <w:lang w:val="en-US"/>
          </w:rPr>
        </w:r>
        <w:r w:rsidR="00833F8D" w:rsidRPr="00104227">
          <w:rPr>
            <w:webHidden/>
            <w:sz w:val="18"/>
            <w:szCs w:val="18"/>
            <w:lang w:val="en-US"/>
          </w:rPr>
          <w:fldChar w:fldCharType="separate"/>
        </w:r>
        <w:r>
          <w:rPr>
            <w:webHidden/>
            <w:sz w:val="18"/>
            <w:szCs w:val="18"/>
            <w:lang w:val="en-US"/>
          </w:rPr>
          <w:t>132</w:t>
        </w:r>
        <w:r w:rsidR="00833F8D" w:rsidRPr="00104227">
          <w:rPr>
            <w:webHidden/>
            <w:sz w:val="18"/>
            <w:szCs w:val="18"/>
            <w:lang w:val="en-US"/>
          </w:rPr>
          <w:fldChar w:fldCharType="end"/>
        </w:r>
      </w:hyperlink>
    </w:p>
    <w:p w14:paraId="16F26F28" w14:textId="7B92BEA5" w:rsidR="008D3132" w:rsidRPr="00104227" w:rsidRDefault="008D3132" w:rsidP="00E4619F">
      <w:pPr>
        <w:tabs>
          <w:tab w:val="left" w:pos="567"/>
          <w:tab w:val="right" w:leader="dot" w:pos="9923"/>
        </w:tabs>
        <w:spacing w:line="276" w:lineRule="auto"/>
        <w:rPr>
          <w:b/>
          <w:spacing w:val="-4"/>
          <w:sz w:val="18"/>
          <w:szCs w:val="18"/>
          <w:lang w:eastAsia="es-CR"/>
        </w:rPr>
      </w:pPr>
      <w:r w:rsidRPr="00104227">
        <w:rPr>
          <w:b/>
          <w:spacing w:val="-4"/>
          <w:sz w:val="18"/>
          <w:szCs w:val="18"/>
          <w:lang w:eastAsia="es-CR"/>
        </w:rPr>
        <w:fldChar w:fldCharType="end"/>
      </w:r>
    </w:p>
    <w:p w14:paraId="6D9F163D" w14:textId="77777777" w:rsidR="008D3132" w:rsidRPr="00104227" w:rsidRDefault="008D3132" w:rsidP="00E4619F">
      <w:pPr>
        <w:tabs>
          <w:tab w:val="left" w:pos="567"/>
        </w:tabs>
        <w:spacing w:after="200" w:line="276" w:lineRule="auto"/>
        <w:jc w:val="left"/>
        <w:rPr>
          <w:b/>
          <w:spacing w:val="-4"/>
          <w:lang w:eastAsia="es-CR"/>
        </w:rPr>
      </w:pPr>
      <w:bookmarkStart w:id="16" w:name="_Toc527464866"/>
      <w:r w:rsidRPr="00104227">
        <w:rPr>
          <w:spacing w:val="-4"/>
        </w:rPr>
        <w:br w:type="page"/>
      </w:r>
    </w:p>
    <w:p w14:paraId="0B251D29" w14:textId="77777777" w:rsidR="008D3132" w:rsidRPr="00104227" w:rsidRDefault="008D3132" w:rsidP="00E4619F">
      <w:pPr>
        <w:pStyle w:val="Ttulo1"/>
        <w:tabs>
          <w:tab w:val="left" w:pos="567"/>
        </w:tabs>
        <w:rPr>
          <w:spacing w:val="-4"/>
        </w:rPr>
      </w:pPr>
      <w:bookmarkStart w:id="17" w:name="_Toc31290538"/>
      <w:r w:rsidRPr="00104227">
        <w:rPr>
          <w:spacing w:val="-4"/>
        </w:rPr>
        <w:lastRenderedPageBreak/>
        <w:t>I</w:t>
      </w:r>
      <w:bookmarkEnd w:id="16"/>
      <w:bookmarkEnd w:id="17"/>
    </w:p>
    <w:p w14:paraId="29DC547C" w14:textId="57ECFC5D" w:rsidR="008D3132" w:rsidRPr="00104227" w:rsidRDefault="00AC3BFC" w:rsidP="00E4619F">
      <w:pPr>
        <w:pStyle w:val="Ttulo1"/>
        <w:tabs>
          <w:tab w:val="left" w:pos="567"/>
        </w:tabs>
        <w:rPr>
          <w:rFonts w:eastAsia="Times New Roman" w:cs="Times New Roman"/>
          <w:spacing w:val="-4"/>
          <w:lang w:eastAsia="es-ES"/>
        </w:rPr>
      </w:pPr>
      <w:bookmarkStart w:id="18" w:name="_Toc31290539"/>
      <w:r w:rsidRPr="00104227">
        <w:rPr>
          <w:rFonts w:eastAsia="Times New Roman" w:cs="Times New Roman"/>
          <w:spacing w:val="-4"/>
          <w:lang w:eastAsia="es-ES"/>
        </w:rPr>
        <w:t>INTRODUCTION OF THE CASE AND PURPOSE OF THE DISPUTE</w:t>
      </w:r>
      <w:bookmarkEnd w:id="18"/>
    </w:p>
    <w:p w14:paraId="04A1E16E" w14:textId="77777777" w:rsidR="008D3132" w:rsidRPr="00104227" w:rsidRDefault="008D3132" w:rsidP="00E4619F">
      <w:pPr>
        <w:tabs>
          <w:tab w:val="left" w:pos="567"/>
        </w:tabs>
        <w:rPr>
          <w:spacing w:val="-4"/>
          <w:lang w:eastAsia="es-ES"/>
        </w:rPr>
      </w:pPr>
    </w:p>
    <w:p w14:paraId="5151FE45" w14:textId="34D29027" w:rsidR="008D3132" w:rsidRPr="00104227" w:rsidRDefault="00AC3BFC" w:rsidP="002826A6">
      <w:pPr>
        <w:pStyle w:val="Numberedparagraphs"/>
        <w:tabs>
          <w:tab w:val="left" w:pos="567"/>
        </w:tabs>
        <w:rPr>
          <w:lang w:val="en-US"/>
        </w:rPr>
      </w:pPr>
      <w:bookmarkStart w:id="19" w:name="_Ref499809886"/>
      <w:r w:rsidRPr="00104227">
        <w:rPr>
          <w:i/>
          <w:lang w:val="en-US"/>
        </w:rPr>
        <w:t>The case submitted to</w:t>
      </w:r>
      <w:r w:rsidR="008D3132" w:rsidRPr="00104227">
        <w:rPr>
          <w:i/>
          <w:lang w:val="en-US"/>
        </w:rPr>
        <w:t xml:space="preserve"> </w:t>
      </w:r>
      <w:r w:rsidR="00BF5241" w:rsidRPr="00104227">
        <w:rPr>
          <w:i/>
          <w:lang w:val="en-US"/>
        </w:rPr>
        <w:t>the Court</w:t>
      </w:r>
      <w:r w:rsidR="008D3132" w:rsidRPr="00104227">
        <w:rPr>
          <w:i/>
          <w:lang w:val="en-US"/>
        </w:rPr>
        <w:t>.</w:t>
      </w:r>
      <w:r w:rsidR="00D517F5" w:rsidRPr="00104227">
        <w:rPr>
          <w:lang w:val="en-US"/>
        </w:rPr>
        <w:t xml:space="preserve"> </w:t>
      </w:r>
      <w:r w:rsidRPr="00104227">
        <w:rPr>
          <w:lang w:val="en-US"/>
        </w:rPr>
        <w:t xml:space="preserve">On September 17, </w:t>
      </w:r>
      <w:r w:rsidR="00D517F5" w:rsidRPr="00104227">
        <w:rPr>
          <w:lang w:val="en-US"/>
        </w:rPr>
        <w:t>2016,</w:t>
      </w:r>
      <w:r w:rsidR="008D3132" w:rsidRPr="00104227">
        <w:rPr>
          <w:b/>
          <w:lang w:val="en-US"/>
        </w:rPr>
        <w:t xml:space="preserve"> </w:t>
      </w:r>
      <w:r w:rsidRPr="00104227">
        <w:rPr>
          <w:lang w:val="en-US"/>
        </w:rPr>
        <w:t xml:space="preserve">under the provisions of </w:t>
      </w:r>
      <w:r w:rsidR="00BF5241" w:rsidRPr="00104227">
        <w:rPr>
          <w:lang w:val="en-US"/>
        </w:rPr>
        <w:t>Articles</w:t>
      </w:r>
      <w:r w:rsidR="008D3132" w:rsidRPr="00104227">
        <w:rPr>
          <w:lang w:val="en-US"/>
        </w:rPr>
        <w:t xml:space="preserve"> 51</w:t>
      </w:r>
      <w:r w:rsidR="00BF5241" w:rsidRPr="00104227">
        <w:rPr>
          <w:lang w:val="en-US"/>
        </w:rPr>
        <w:t xml:space="preserve"> and </w:t>
      </w:r>
      <w:r w:rsidR="008D3132" w:rsidRPr="00104227">
        <w:rPr>
          <w:lang w:val="en-US"/>
        </w:rPr>
        <w:t>61</w:t>
      </w:r>
      <w:r w:rsidR="00BF5241" w:rsidRPr="00104227">
        <w:rPr>
          <w:lang w:val="en-US"/>
        </w:rPr>
        <w:t xml:space="preserve"> of the American Convention and Article</w:t>
      </w:r>
      <w:r w:rsidR="008D3132" w:rsidRPr="00104227">
        <w:rPr>
          <w:lang w:val="en-US"/>
        </w:rPr>
        <w:t xml:space="preserve"> 35</w:t>
      </w:r>
      <w:r w:rsidR="00BF5241" w:rsidRPr="00104227">
        <w:rPr>
          <w:lang w:val="en-US"/>
        </w:rPr>
        <w:t xml:space="preserve"> of the </w:t>
      </w:r>
      <w:r w:rsidRPr="00104227">
        <w:rPr>
          <w:lang w:val="en-US"/>
        </w:rPr>
        <w:t xml:space="preserve">Court’s </w:t>
      </w:r>
      <w:r w:rsidR="00BF5241" w:rsidRPr="00104227">
        <w:rPr>
          <w:lang w:val="en-US"/>
        </w:rPr>
        <w:t>Rules of Procedure</w:t>
      </w:r>
      <w:r w:rsidR="008D3132" w:rsidRPr="00104227">
        <w:rPr>
          <w:lang w:val="en-US"/>
        </w:rPr>
        <w:t xml:space="preserve">, </w:t>
      </w:r>
      <w:r w:rsidR="00BF5241" w:rsidRPr="00104227">
        <w:rPr>
          <w:lang w:val="en-US"/>
        </w:rPr>
        <w:t>the Inter-American Commission on Human Rights</w:t>
      </w:r>
      <w:r w:rsidR="002334ED" w:rsidRPr="00104227">
        <w:rPr>
          <w:lang w:val="en-US"/>
        </w:rPr>
        <w:t xml:space="preserve"> (</w:t>
      </w:r>
      <w:r w:rsidR="00BF5241" w:rsidRPr="00104227">
        <w:rPr>
          <w:lang w:val="en-US"/>
        </w:rPr>
        <w:t>hereinafter</w:t>
      </w:r>
      <w:r w:rsidR="008D3132" w:rsidRPr="00104227">
        <w:rPr>
          <w:lang w:val="en-US"/>
        </w:rPr>
        <w:t xml:space="preserve"> “</w:t>
      </w:r>
      <w:r w:rsidR="00BF5241" w:rsidRPr="00104227">
        <w:rPr>
          <w:lang w:val="en-US"/>
        </w:rPr>
        <w:t>the Inter-American Commission</w:t>
      </w:r>
      <w:r w:rsidR="008D3132" w:rsidRPr="00104227">
        <w:rPr>
          <w:lang w:val="en-US"/>
        </w:rPr>
        <w:t>” o</w:t>
      </w:r>
      <w:r w:rsidRPr="00104227">
        <w:rPr>
          <w:lang w:val="en-US"/>
        </w:rPr>
        <w:t>r</w:t>
      </w:r>
      <w:r w:rsidR="008D3132" w:rsidRPr="00104227">
        <w:rPr>
          <w:lang w:val="en-US"/>
        </w:rPr>
        <w:t xml:space="preserve"> “</w:t>
      </w:r>
      <w:r w:rsidR="00BF5241" w:rsidRPr="00104227">
        <w:rPr>
          <w:lang w:val="en-US"/>
        </w:rPr>
        <w:t>the Commission</w:t>
      </w:r>
      <w:r w:rsidR="008D3132" w:rsidRPr="00104227">
        <w:rPr>
          <w:lang w:val="en-US"/>
        </w:rPr>
        <w:t>”) s</w:t>
      </w:r>
      <w:r w:rsidRPr="00104227">
        <w:rPr>
          <w:lang w:val="en-US"/>
        </w:rPr>
        <w:t>ubmitted the case of</w:t>
      </w:r>
      <w:r w:rsidR="008D3132" w:rsidRPr="00104227">
        <w:rPr>
          <w:lang w:val="en-US"/>
        </w:rPr>
        <w:t xml:space="preserve"> </w:t>
      </w:r>
      <w:r w:rsidR="00BF5241" w:rsidRPr="00104227">
        <w:rPr>
          <w:i/>
          <w:lang w:val="en-US"/>
        </w:rPr>
        <w:t>Women Victims of Sexual Torture in Atenco</w:t>
      </w:r>
      <w:r w:rsidR="008D3132" w:rsidRPr="00104227">
        <w:rPr>
          <w:i/>
          <w:lang w:val="en-US"/>
        </w:rPr>
        <w:t xml:space="preserve"> </w:t>
      </w:r>
      <w:r w:rsidRPr="00104227">
        <w:rPr>
          <w:i/>
          <w:lang w:val="en-US"/>
        </w:rPr>
        <w:t>against</w:t>
      </w:r>
      <w:r w:rsidR="008D3132" w:rsidRPr="00104227">
        <w:rPr>
          <w:i/>
          <w:lang w:val="en-US"/>
        </w:rPr>
        <w:t xml:space="preserve"> </w:t>
      </w:r>
      <w:r w:rsidRPr="00104227">
        <w:rPr>
          <w:i/>
          <w:lang w:val="en-US"/>
        </w:rPr>
        <w:t>the United Mexican States</w:t>
      </w:r>
      <w:r w:rsidR="008D3132" w:rsidRPr="00104227">
        <w:rPr>
          <w:i/>
          <w:lang w:val="en-US"/>
        </w:rPr>
        <w:t xml:space="preserve"> </w:t>
      </w:r>
      <w:r w:rsidR="008D3132" w:rsidRPr="00104227">
        <w:rPr>
          <w:lang w:val="en-US"/>
        </w:rPr>
        <w:t>(</w:t>
      </w:r>
      <w:r w:rsidR="00BF5241" w:rsidRPr="00104227">
        <w:rPr>
          <w:lang w:val="en-US"/>
        </w:rPr>
        <w:t>hereinafter</w:t>
      </w:r>
      <w:r w:rsidR="008D3132" w:rsidRPr="00104227">
        <w:rPr>
          <w:lang w:val="en-US"/>
        </w:rPr>
        <w:t xml:space="preserve"> “</w:t>
      </w:r>
      <w:r w:rsidRPr="00104227">
        <w:rPr>
          <w:lang w:val="en-US"/>
        </w:rPr>
        <w:t>the State,</w:t>
      </w:r>
      <w:r w:rsidR="008D3132" w:rsidRPr="00104227">
        <w:rPr>
          <w:lang w:val="en-US"/>
        </w:rPr>
        <w:t>” “</w:t>
      </w:r>
      <w:r w:rsidRPr="00104227">
        <w:rPr>
          <w:lang w:val="en-US"/>
        </w:rPr>
        <w:t>the Mexican State</w:t>
      </w:r>
      <w:r w:rsidR="008D3132" w:rsidRPr="00104227">
        <w:rPr>
          <w:lang w:val="en-US"/>
        </w:rPr>
        <w:t>” o</w:t>
      </w:r>
      <w:r w:rsidRPr="00104227">
        <w:rPr>
          <w:lang w:val="en-US"/>
        </w:rPr>
        <w:t>r</w:t>
      </w:r>
      <w:r w:rsidR="008D3132" w:rsidRPr="00104227">
        <w:rPr>
          <w:lang w:val="en-US"/>
        </w:rPr>
        <w:t xml:space="preserve"> “</w:t>
      </w:r>
      <w:r w:rsidR="00BF5241" w:rsidRPr="00104227">
        <w:rPr>
          <w:lang w:val="en-US"/>
        </w:rPr>
        <w:t>Mexico</w:t>
      </w:r>
      <w:r w:rsidR="008D3132" w:rsidRPr="00104227">
        <w:rPr>
          <w:lang w:val="en-US"/>
        </w:rPr>
        <w:t>”)</w:t>
      </w:r>
      <w:r w:rsidR="00BD6A38" w:rsidRPr="00104227">
        <w:rPr>
          <w:lang w:val="en-US"/>
        </w:rPr>
        <w:t xml:space="preserve"> to the jurisdiction of the Inter-American Court</w:t>
      </w:r>
      <w:r w:rsidR="008D3132" w:rsidRPr="00104227">
        <w:rPr>
          <w:lang w:val="en-US"/>
        </w:rPr>
        <w:t xml:space="preserve">. </w:t>
      </w:r>
      <w:r w:rsidRPr="00104227">
        <w:rPr>
          <w:lang w:val="en-US"/>
        </w:rPr>
        <w:t xml:space="preserve">According to </w:t>
      </w:r>
      <w:r w:rsidR="00BF5241" w:rsidRPr="00104227">
        <w:rPr>
          <w:lang w:val="en-US"/>
        </w:rPr>
        <w:t>the Commission</w:t>
      </w:r>
      <w:r w:rsidR="008D3132" w:rsidRPr="00104227">
        <w:rPr>
          <w:lang w:val="en-US"/>
        </w:rPr>
        <w:t xml:space="preserve">, </w:t>
      </w:r>
      <w:r w:rsidRPr="00104227">
        <w:rPr>
          <w:lang w:val="en-US"/>
        </w:rPr>
        <w:t xml:space="preserve">the case relates to a series of </w:t>
      </w:r>
      <w:r w:rsidR="009A2C38" w:rsidRPr="00104227">
        <w:rPr>
          <w:lang w:val="en-US"/>
        </w:rPr>
        <w:t>violations</w:t>
      </w:r>
      <w:r w:rsidRPr="00104227">
        <w:rPr>
          <w:lang w:val="en-US"/>
        </w:rPr>
        <w:t xml:space="preserve"> committed against </w:t>
      </w:r>
      <w:r w:rsidR="008D3132" w:rsidRPr="00104227">
        <w:rPr>
          <w:lang w:val="en-US"/>
        </w:rPr>
        <w:t>Mariana Selvas Gómez, Georgina Edith Rosales Gutiérrez, María Patricia R</w:t>
      </w:r>
      <w:r w:rsidR="005F79F8" w:rsidRPr="00104227">
        <w:rPr>
          <w:lang w:val="en-US"/>
        </w:rPr>
        <w:t>omero Hernández, Norma Aidé Jimé</w:t>
      </w:r>
      <w:r w:rsidR="008D3132" w:rsidRPr="00104227">
        <w:rPr>
          <w:lang w:val="en-US"/>
        </w:rPr>
        <w:t>nez Osorio, Claudia Hernández Martínez</w:t>
      </w:r>
      <w:r w:rsidR="008D3132" w:rsidRPr="00104227">
        <w:rPr>
          <w:rStyle w:val="Refdenotaalpie"/>
          <w:lang w:val="en-US"/>
        </w:rPr>
        <w:footnoteReference w:id="4"/>
      </w:r>
      <w:r w:rsidR="008D3132" w:rsidRPr="00104227">
        <w:rPr>
          <w:lang w:val="en-US"/>
        </w:rPr>
        <w:t xml:space="preserve">, Bárbara ltalia Méndez Moreno, Ana María Velasco Rodríguez, Yolanda Muñoz Diosdada, </w:t>
      </w:r>
      <w:r w:rsidR="0053506B" w:rsidRPr="00104227">
        <w:rPr>
          <w:lang w:val="en-US"/>
        </w:rPr>
        <w:t xml:space="preserve">María </w:t>
      </w:r>
      <w:r w:rsidR="008D3132" w:rsidRPr="00104227">
        <w:rPr>
          <w:lang w:val="en-US"/>
        </w:rPr>
        <w:t xml:space="preserve">Cristina Sánchez Hernández, </w:t>
      </w:r>
      <w:r w:rsidR="0047539E" w:rsidRPr="00104227">
        <w:rPr>
          <w:lang w:val="en-US"/>
        </w:rPr>
        <w:t>Angélica Patricia Torres</w:t>
      </w:r>
      <w:r w:rsidR="008D3132" w:rsidRPr="00104227">
        <w:rPr>
          <w:lang w:val="en-US"/>
        </w:rPr>
        <w:t xml:space="preserve"> Linares</w:t>
      </w:r>
      <w:r w:rsidR="00BF5241" w:rsidRPr="00104227">
        <w:rPr>
          <w:lang w:val="en-US"/>
        </w:rPr>
        <w:t xml:space="preserve"> and </w:t>
      </w:r>
      <w:r w:rsidR="008D3132" w:rsidRPr="00104227">
        <w:rPr>
          <w:lang w:val="en-US"/>
        </w:rPr>
        <w:t>Suhelen Gabriela Cuevas Jaramillo,</w:t>
      </w:r>
      <w:r w:rsidR="002826A6" w:rsidRPr="00104227">
        <w:rPr>
          <w:lang w:val="en-US"/>
        </w:rPr>
        <w:t xml:space="preserve"> in the context of their arrest and transfer by police agents in the municipalities of Texcoco and San Salvador Atenco on May 3 and 4, 2006, respectively. The Commission determined that the detention of these eleven women on the days mentioned was illegal and arbitrary</w:t>
      </w:r>
      <w:r w:rsidR="009A2C38" w:rsidRPr="00104227">
        <w:rPr>
          <w:lang w:val="en-US"/>
        </w:rPr>
        <w:t>;</w:t>
      </w:r>
      <w:r w:rsidR="002826A6" w:rsidRPr="00104227">
        <w:rPr>
          <w:lang w:val="en-US"/>
        </w:rPr>
        <w:t xml:space="preserve"> that they had not been informed of the reasons for their arrest or the respective charges, and</w:t>
      </w:r>
      <w:r w:rsidR="00B95314" w:rsidRPr="00104227">
        <w:rPr>
          <w:lang w:val="en-US"/>
        </w:rPr>
        <w:t xml:space="preserve"> that</w:t>
      </w:r>
      <w:r w:rsidR="002826A6" w:rsidRPr="00104227">
        <w:rPr>
          <w:lang w:val="en-US"/>
        </w:rPr>
        <w:t xml:space="preserve"> this </w:t>
      </w:r>
      <w:r w:rsidR="009A2C38" w:rsidRPr="00104227">
        <w:rPr>
          <w:lang w:val="en-US"/>
        </w:rPr>
        <w:t>situation persisted</w:t>
      </w:r>
      <w:r w:rsidR="002826A6" w:rsidRPr="00104227">
        <w:rPr>
          <w:lang w:val="en-US"/>
        </w:rPr>
        <w:t xml:space="preserve"> when they gave their first statement, without legal assistance. The Commission also determined that the eleven women were victims of different forms of physical, psychological and sexual torture in the course of their arrest, transfer and</w:t>
      </w:r>
      <w:r w:rsidR="00051BEF" w:rsidRPr="00104227">
        <w:rPr>
          <w:lang w:val="en-US"/>
        </w:rPr>
        <w:t xml:space="preserve"> arrival at</w:t>
      </w:r>
      <w:r w:rsidR="002826A6" w:rsidRPr="00104227">
        <w:rPr>
          <w:lang w:val="en-US"/>
        </w:rPr>
        <w:t xml:space="preserve"> the detention center, and that the State failed to comply with its obligation to investigate these </w:t>
      </w:r>
      <w:r w:rsidR="00B95314" w:rsidRPr="00104227">
        <w:rPr>
          <w:lang w:val="en-US"/>
        </w:rPr>
        <w:t>facts</w:t>
      </w:r>
      <w:r w:rsidR="002826A6" w:rsidRPr="00104227">
        <w:rPr>
          <w:lang w:val="en-US"/>
        </w:rPr>
        <w:t xml:space="preserve"> with due diligence and within a reasonable time. Lastly, the Commission determined that the State had violated the mental and moral integrity of the next of kin of these eleven women. The presumed victims in this case are the eleven women mentioned above and their family groups described in Chapter</w:t>
      </w:r>
      <w:bookmarkEnd w:id="19"/>
      <w:r w:rsidR="002826A6" w:rsidRPr="00104227">
        <w:rPr>
          <w:lang w:val="en-US"/>
        </w:rPr>
        <w:t xml:space="preserve"> </w:t>
      </w:r>
      <w:r w:rsidR="000D2A00" w:rsidRPr="00104227">
        <w:rPr>
          <w:lang w:val="en-US"/>
        </w:rPr>
        <w:t>IX-4</w:t>
      </w:r>
      <w:r w:rsidR="008D3132" w:rsidRPr="00104227">
        <w:rPr>
          <w:i/>
          <w:lang w:val="en-US"/>
        </w:rPr>
        <w:t xml:space="preserve"> infra.</w:t>
      </w:r>
    </w:p>
    <w:p w14:paraId="51947794" w14:textId="77777777" w:rsidR="008D3132" w:rsidRPr="00104227" w:rsidRDefault="008D3132" w:rsidP="00E4619F">
      <w:pPr>
        <w:tabs>
          <w:tab w:val="left" w:pos="567"/>
        </w:tabs>
        <w:rPr>
          <w:spacing w:val="-4"/>
          <w:lang w:eastAsia="es-ES"/>
        </w:rPr>
      </w:pPr>
    </w:p>
    <w:p w14:paraId="47BC52CA" w14:textId="453E1132" w:rsidR="008D3132" w:rsidRPr="00104227" w:rsidRDefault="002826A6" w:rsidP="00E4619F">
      <w:pPr>
        <w:pStyle w:val="Numberedparagraphs"/>
        <w:tabs>
          <w:tab w:val="left" w:pos="567"/>
        </w:tabs>
        <w:rPr>
          <w:lang w:val="en-US"/>
        </w:rPr>
      </w:pPr>
      <w:bookmarkStart w:id="20" w:name="_Ref499651530"/>
      <w:r w:rsidRPr="00104227">
        <w:rPr>
          <w:i/>
          <w:lang w:val="en-US"/>
        </w:rPr>
        <w:t>Procedure before</w:t>
      </w:r>
      <w:r w:rsidR="008D3132" w:rsidRPr="00104227">
        <w:rPr>
          <w:i/>
          <w:lang w:val="en-US"/>
        </w:rPr>
        <w:t xml:space="preserve"> </w:t>
      </w:r>
      <w:r w:rsidR="00BF5241" w:rsidRPr="00104227">
        <w:rPr>
          <w:i/>
          <w:lang w:val="en-US"/>
        </w:rPr>
        <w:t>the Commission</w:t>
      </w:r>
      <w:r w:rsidR="008D3132" w:rsidRPr="00104227">
        <w:rPr>
          <w:i/>
          <w:lang w:val="en-US"/>
        </w:rPr>
        <w:t>.</w:t>
      </w:r>
      <w:r w:rsidR="008D3132" w:rsidRPr="00104227">
        <w:rPr>
          <w:lang w:val="en-US"/>
        </w:rPr>
        <w:t xml:space="preserve"> </w:t>
      </w:r>
      <w:r w:rsidRPr="00104227">
        <w:rPr>
          <w:lang w:val="en-US"/>
        </w:rPr>
        <w:t xml:space="preserve">The procedure before </w:t>
      </w:r>
      <w:r w:rsidR="00BF5241" w:rsidRPr="00104227">
        <w:rPr>
          <w:lang w:val="en-US"/>
        </w:rPr>
        <w:t>the Commission</w:t>
      </w:r>
      <w:r w:rsidR="008D3132" w:rsidRPr="00104227">
        <w:rPr>
          <w:lang w:val="en-US"/>
        </w:rPr>
        <w:t xml:space="preserve"> </w:t>
      </w:r>
      <w:r w:rsidRPr="00104227">
        <w:rPr>
          <w:lang w:val="en-US"/>
        </w:rPr>
        <w:t>was as follows</w:t>
      </w:r>
      <w:r w:rsidR="008D3132" w:rsidRPr="00104227">
        <w:rPr>
          <w:lang w:val="en-US"/>
        </w:rPr>
        <w:t>:</w:t>
      </w:r>
      <w:bookmarkEnd w:id="20"/>
    </w:p>
    <w:p w14:paraId="1EC0EA0C" w14:textId="77777777" w:rsidR="008D3132" w:rsidRPr="00104227" w:rsidRDefault="008D3132" w:rsidP="00E4619F">
      <w:pPr>
        <w:tabs>
          <w:tab w:val="left" w:pos="567"/>
        </w:tabs>
        <w:rPr>
          <w:spacing w:val="-4"/>
          <w:lang w:eastAsia="es-ES"/>
        </w:rPr>
      </w:pPr>
    </w:p>
    <w:p w14:paraId="69DF9FF4" w14:textId="3BB056AE" w:rsidR="008D3132" w:rsidRPr="00104227" w:rsidRDefault="008D3132" w:rsidP="00E4619F">
      <w:pPr>
        <w:pStyle w:val="Prrafodelista"/>
        <w:numPr>
          <w:ilvl w:val="0"/>
          <w:numId w:val="3"/>
        </w:numPr>
        <w:tabs>
          <w:tab w:val="left" w:pos="567"/>
        </w:tabs>
        <w:contextualSpacing/>
        <w:rPr>
          <w:b/>
          <w:spacing w:val="-4"/>
          <w:lang w:eastAsia="es-ES"/>
        </w:rPr>
      </w:pPr>
      <w:r w:rsidRPr="00104227">
        <w:rPr>
          <w:i/>
          <w:spacing w:val="-4"/>
          <w:lang w:eastAsia="es-ES"/>
        </w:rPr>
        <w:t>Peti</w:t>
      </w:r>
      <w:r w:rsidR="002826A6" w:rsidRPr="00104227">
        <w:rPr>
          <w:i/>
          <w:spacing w:val="-4"/>
          <w:lang w:eastAsia="es-ES"/>
        </w:rPr>
        <w:t>tio</w:t>
      </w:r>
      <w:r w:rsidRPr="00104227">
        <w:rPr>
          <w:i/>
          <w:spacing w:val="-4"/>
          <w:lang w:eastAsia="es-ES"/>
        </w:rPr>
        <w:t>n.</w:t>
      </w:r>
      <w:r w:rsidRPr="00104227">
        <w:rPr>
          <w:spacing w:val="-4"/>
          <w:lang w:eastAsia="es-ES"/>
        </w:rPr>
        <w:t xml:space="preserve"> </w:t>
      </w:r>
      <w:r w:rsidR="002826A6" w:rsidRPr="00104227">
        <w:rPr>
          <w:spacing w:val="-4"/>
          <w:lang w:eastAsia="es-ES"/>
        </w:rPr>
        <w:t>On April 29,</w:t>
      </w:r>
      <w:r w:rsidRPr="00104227">
        <w:rPr>
          <w:spacing w:val="-4"/>
          <w:lang w:eastAsia="es-ES"/>
        </w:rPr>
        <w:t xml:space="preserve"> 2008</w:t>
      </w:r>
      <w:r w:rsidR="002826A6" w:rsidRPr="00104227">
        <w:rPr>
          <w:spacing w:val="-4"/>
          <w:lang w:eastAsia="es-ES"/>
        </w:rPr>
        <w:t>,</w:t>
      </w:r>
      <w:r w:rsidRPr="00104227">
        <w:rPr>
          <w:spacing w:val="-4"/>
          <w:lang w:eastAsia="es-ES"/>
        </w:rPr>
        <w:t xml:space="preserve"> </w:t>
      </w:r>
      <w:r w:rsidR="002826A6" w:rsidRPr="00104227">
        <w:rPr>
          <w:spacing w:val="-4"/>
          <w:lang w:eastAsia="es-ES"/>
        </w:rPr>
        <w:t>the</w:t>
      </w:r>
      <w:r w:rsidRPr="00104227">
        <w:rPr>
          <w:spacing w:val="-4"/>
          <w:lang w:eastAsia="es-ES"/>
        </w:rPr>
        <w:t xml:space="preserve"> </w:t>
      </w:r>
      <w:r w:rsidRPr="00104227">
        <w:rPr>
          <w:i/>
          <w:iCs/>
          <w:spacing w:val="-4"/>
          <w:lang w:eastAsia="es-ES"/>
        </w:rPr>
        <w:t>Centro de los Derechos Humanos Miguel Agustín Pro Juárez</w:t>
      </w:r>
      <w:r w:rsidR="002826A6" w:rsidRPr="00104227">
        <w:rPr>
          <w:i/>
          <w:iCs/>
          <w:spacing w:val="-4"/>
          <w:lang w:eastAsia="es-ES"/>
        </w:rPr>
        <w:t xml:space="preserve"> </w:t>
      </w:r>
      <w:r w:rsidRPr="00104227">
        <w:rPr>
          <w:i/>
          <w:iCs/>
          <w:spacing w:val="-4"/>
          <w:lang w:eastAsia="es-ES"/>
        </w:rPr>
        <w:t>A.C. (</w:t>
      </w:r>
      <w:r w:rsidRPr="00104227">
        <w:rPr>
          <w:spacing w:val="-4"/>
          <w:lang w:eastAsia="es-ES"/>
        </w:rPr>
        <w:t>PRODH)</w:t>
      </w:r>
      <w:r w:rsidR="00BF5241" w:rsidRPr="00104227">
        <w:rPr>
          <w:spacing w:val="-4"/>
          <w:lang w:eastAsia="es-ES"/>
        </w:rPr>
        <w:t xml:space="preserve"> and </w:t>
      </w:r>
      <w:r w:rsidR="002826A6" w:rsidRPr="00104227">
        <w:rPr>
          <w:spacing w:val="-4"/>
          <w:lang w:eastAsia="es-ES"/>
        </w:rPr>
        <w:t xml:space="preserve">the Center for Justice and International Law </w:t>
      </w:r>
      <w:r w:rsidR="007A5928" w:rsidRPr="00104227">
        <w:rPr>
          <w:spacing w:val="-4"/>
          <w:lang w:eastAsia="es-ES"/>
        </w:rPr>
        <w:t>(CEJIL), (</w:t>
      </w:r>
      <w:r w:rsidR="00BF5241" w:rsidRPr="00104227">
        <w:rPr>
          <w:spacing w:val="-4"/>
          <w:lang w:eastAsia="es-ES"/>
        </w:rPr>
        <w:t>hereinafter</w:t>
      </w:r>
      <w:r w:rsidRPr="00104227">
        <w:rPr>
          <w:spacing w:val="-4"/>
          <w:lang w:eastAsia="es-ES"/>
        </w:rPr>
        <w:t xml:space="preserve"> “</w:t>
      </w:r>
      <w:r w:rsidR="002826A6" w:rsidRPr="00104227">
        <w:rPr>
          <w:spacing w:val="-4"/>
          <w:lang w:eastAsia="es-ES"/>
        </w:rPr>
        <w:t>the representatives</w:t>
      </w:r>
      <w:r w:rsidRPr="00104227">
        <w:rPr>
          <w:spacing w:val="-4"/>
          <w:lang w:eastAsia="es-ES"/>
        </w:rPr>
        <w:t xml:space="preserve">”) </w:t>
      </w:r>
      <w:r w:rsidR="002826A6" w:rsidRPr="00104227">
        <w:rPr>
          <w:spacing w:val="-4"/>
          <w:lang w:eastAsia="es-ES"/>
        </w:rPr>
        <w:t>lodged the initial petition in representation of the eleven women presumed victims named above.</w:t>
      </w:r>
    </w:p>
    <w:p w14:paraId="43084C6D" w14:textId="77777777" w:rsidR="008D3132" w:rsidRPr="00104227" w:rsidRDefault="008D3132" w:rsidP="00E4619F">
      <w:pPr>
        <w:pStyle w:val="Prrafodelista"/>
        <w:numPr>
          <w:ilvl w:val="0"/>
          <w:numId w:val="0"/>
        </w:numPr>
        <w:tabs>
          <w:tab w:val="left" w:pos="567"/>
        </w:tabs>
        <w:rPr>
          <w:spacing w:val="-4"/>
          <w:lang w:eastAsia="es-ES"/>
        </w:rPr>
      </w:pPr>
    </w:p>
    <w:p w14:paraId="3D389E49" w14:textId="2A3FB3D3" w:rsidR="008D3132" w:rsidRPr="00104227" w:rsidRDefault="002826A6" w:rsidP="00043B1C">
      <w:pPr>
        <w:pStyle w:val="Prrafodelista"/>
        <w:widowControl/>
        <w:numPr>
          <w:ilvl w:val="0"/>
          <w:numId w:val="3"/>
        </w:numPr>
        <w:tabs>
          <w:tab w:val="left" w:pos="567"/>
        </w:tabs>
        <w:autoSpaceDE/>
        <w:autoSpaceDN/>
        <w:adjustRightInd/>
        <w:ind w:right="0"/>
        <w:contextualSpacing/>
        <w:rPr>
          <w:spacing w:val="-4"/>
          <w:lang w:eastAsia="es-ES"/>
        </w:rPr>
      </w:pPr>
      <w:r w:rsidRPr="00104227">
        <w:rPr>
          <w:i/>
          <w:spacing w:val="-4"/>
          <w:lang w:eastAsia="es-ES"/>
        </w:rPr>
        <w:t>Admissibility Report</w:t>
      </w:r>
      <w:r w:rsidR="008D3132" w:rsidRPr="00104227">
        <w:rPr>
          <w:i/>
          <w:spacing w:val="-4"/>
          <w:lang w:eastAsia="es-ES"/>
        </w:rPr>
        <w:t>.</w:t>
      </w:r>
      <w:r w:rsidR="007A5928" w:rsidRPr="00104227">
        <w:rPr>
          <w:spacing w:val="-4"/>
          <w:lang w:eastAsia="es-ES"/>
        </w:rPr>
        <w:t xml:space="preserve"> </w:t>
      </w:r>
      <w:r w:rsidRPr="00104227">
        <w:rPr>
          <w:spacing w:val="-4"/>
          <w:lang w:eastAsia="es-ES"/>
        </w:rPr>
        <w:t>On November 2,</w:t>
      </w:r>
      <w:r w:rsidR="008D3132" w:rsidRPr="00104227">
        <w:rPr>
          <w:spacing w:val="-4"/>
          <w:lang w:eastAsia="es-ES"/>
        </w:rPr>
        <w:t xml:space="preserve"> 2011</w:t>
      </w:r>
      <w:r w:rsidRPr="00104227">
        <w:rPr>
          <w:spacing w:val="-4"/>
          <w:lang w:eastAsia="es-ES"/>
        </w:rPr>
        <w:t>,</w:t>
      </w:r>
      <w:r w:rsidR="008D3132" w:rsidRPr="00104227">
        <w:rPr>
          <w:spacing w:val="-4"/>
          <w:lang w:eastAsia="es-ES"/>
        </w:rPr>
        <w:t xml:space="preserve"> </w:t>
      </w:r>
      <w:r w:rsidR="00BF5241" w:rsidRPr="00104227">
        <w:rPr>
          <w:spacing w:val="-4"/>
          <w:lang w:eastAsia="es-ES"/>
        </w:rPr>
        <w:t>the Commission</w:t>
      </w:r>
      <w:r w:rsidR="008D3132" w:rsidRPr="00104227">
        <w:rPr>
          <w:spacing w:val="-4"/>
          <w:lang w:eastAsia="es-ES"/>
        </w:rPr>
        <w:t xml:space="preserve"> </w:t>
      </w:r>
      <w:r w:rsidRPr="00104227">
        <w:rPr>
          <w:spacing w:val="-4"/>
          <w:lang w:eastAsia="es-ES"/>
        </w:rPr>
        <w:t>adopted</w:t>
      </w:r>
      <w:r w:rsidR="008D3132" w:rsidRPr="00104227">
        <w:rPr>
          <w:spacing w:val="-4"/>
          <w:lang w:eastAsia="es-ES"/>
        </w:rPr>
        <w:t xml:space="preserve"> </w:t>
      </w:r>
      <w:r w:rsidRPr="00104227">
        <w:rPr>
          <w:spacing w:val="-4"/>
          <w:lang w:eastAsia="es-ES"/>
        </w:rPr>
        <w:t>Admissibility Report</w:t>
      </w:r>
      <w:r w:rsidR="008D3132" w:rsidRPr="00104227">
        <w:rPr>
          <w:spacing w:val="-4"/>
          <w:lang w:eastAsia="es-ES"/>
        </w:rPr>
        <w:t xml:space="preserve"> No. 158/11</w:t>
      </w:r>
      <w:r w:rsidRPr="00104227">
        <w:rPr>
          <w:spacing w:val="-4"/>
          <w:lang w:eastAsia="es-ES"/>
        </w:rPr>
        <w:t>.</w:t>
      </w:r>
      <w:r w:rsidR="008D3132" w:rsidRPr="00104227">
        <w:rPr>
          <w:rStyle w:val="Refdenotaalpie"/>
          <w:spacing w:val="-4"/>
          <w:lang w:eastAsia="es-ES"/>
        </w:rPr>
        <w:footnoteReference w:id="5"/>
      </w:r>
    </w:p>
    <w:p w14:paraId="412AC898" w14:textId="20D2FF7F" w:rsidR="00A46476" w:rsidRPr="00104227" w:rsidRDefault="00A46476" w:rsidP="00E4619F">
      <w:pPr>
        <w:pStyle w:val="Prrafodelista"/>
        <w:numPr>
          <w:ilvl w:val="0"/>
          <w:numId w:val="0"/>
        </w:numPr>
        <w:tabs>
          <w:tab w:val="left" w:pos="567"/>
        </w:tabs>
        <w:rPr>
          <w:spacing w:val="-4"/>
          <w:lang w:eastAsia="es-ES"/>
        </w:rPr>
      </w:pPr>
    </w:p>
    <w:p w14:paraId="5B1FE272" w14:textId="7855BEFE" w:rsidR="000C63B8" w:rsidRPr="00104227" w:rsidRDefault="002826A6" w:rsidP="00E4619F">
      <w:pPr>
        <w:pStyle w:val="Prrafodelista"/>
        <w:widowControl/>
        <w:numPr>
          <w:ilvl w:val="0"/>
          <w:numId w:val="3"/>
        </w:numPr>
        <w:tabs>
          <w:tab w:val="left" w:pos="567"/>
        </w:tabs>
        <w:autoSpaceDE/>
        <w:autoSpaceDN/>
        <w:adjustRightInd/>
        <w:ind w:right="0"/>
        <w:contextualSpacing/>
        <w:rPr>
          <w:spacing w:val="-4"/>
          <w:lang w:eastAsia="es-ES"/>
        </w:rPr>
      </w:pPr>
      <w:r w:rsidRPr="00104227">
        <w:rPr>
          <w:i/>
          <w:spacing w:val="-4"/>
          <w:lang w:eastAsia="es-ES"/>
        </w:rPr>
        <w:t>Merits Report</w:t>
      </w:r>
      <w:r w:rsidR="00A46476" w:rsidRPr="00104227">
        <w:rPr>
          <w:i/>
          <w:spacing w:val="-4"/>
          <w:lang w:eastAsia="es-ES"/>
        </w:rPr>
        <w:t>.</w:t>
      </w:r>
      <w:r w:rsidR="00A46476" w:rsidRPr="00104227">
        <w:rPr>
          <w:spacing w:val="-4"/>
          <w:lang w:eastAsia="es-ES"/>
        </w:rPr>
        <w:t xml:space="preserve"> </w:t>
      </w:r>
      <w:r w:rsidRPr="00104227">
        <w:rPr>
          <w:spacing w:val="-4"/>
          <w:lang w:eastAsia="es-ES"/>
        </w:rPr>
        <w:t>On Octobe</w:t>
      </w:r>
      <w:r w:rsidR="00C2124F" w:rsidRPr="00104227">
        <w:rPr>
          <w:spacing w:val="-4"/>
          <w:lang w:eastAsia="es-ES"/>
        </w:rPr>
        <w:t>r</w:t>
      </w:r>
      <w:r w:rsidRPr="00104227">
        <w:rPr>
          <w:spacing w:val="-4"/>
          <w:lang w:eastAsia="es-ES"/>
        </w:rPr>
        <w:t xml:space="preserve"> 28,</w:t>
      </w:r>
      <w:r w:rsidR="00A46476" w:rsidRPr="00104227">
        <w:rPr>
          <w:spacing w:val="-4"/>
          <w:lang w:eastAsia="es-ES"/>
        </w:rPr>
        <w:t xml:space="preserve"> 2015</w:t>
      </w:r>
      <w:r w:rsidRPr="00104227">
        <w:rPr>
          <w:spacing w:val="-4"/>
          <w:lang w:eastAsia="es-ES"/>
        </w:rPr>
        <w:t>,</w:t>
      </w:r>
      <w:r w:rsidR="00A46476" w:rsidRPr="00104227">
        <w:rPr>
          <w:spacing w:val="-4"/>
          <w:lang w:eastAsia="es-ES"/>
        </w:rPr>
        <w:t xml:space="preserve"> </w:t>
      </w:r>
      <w:r w:rsidR="00BF5241" w:rsidRPr="00104227">
        <w:rPr>
          <w:spacing w:val="-4"/>
          <w:lang w:eastAsia="es-ES"/>
        </w:rPr>
        <w:t>the Commission</w:t>
      </w:r>
      <w:r w:rsidR="00A46476" w:rsidRPr="00104227">
        <w:rPr>
          <w:spacing w:val="-4"/>
          <w:lang w:eastAsia="es-ES"/>
        </w:rPr>
        <w:t xml:space="preserve"> </w:t>
      </w:r>
      <w:r w:rsidRPr="00104227">
        <w:rPr>
          <w:spacing w:val="-4"/>
          <w:lang w:eastAsia="es-ES"/>
        </w:rPr>
        <w:t>adopted</w:t>
      </w:r>
      <w:r w:rsidR="001C02FA" w:rsidRPr="00104227">
        <w:rPr>
          <w:spacing w:val="-4"/>
          <w:lang w:eastAsia="es-ES"/>
        </w:rPr>
        <w:t xml:space="preserve"> </w:t>
      </w:r>
      <w:r w:rsidRPr="00104227">
        <w:rPr>
          <w:spacing w:val="-4"/>
          <w:lang w:eastAsia="es-ES"/>
        </w:rPr>
        <w:t>Merits Report</w:t>
      </w:r>
      <w:r w:rsidR="001C02FA" w:rsidRPr="00104227">
        <w:rPr>
          <w:spacing w:val="-4"/>
          <w:lang w:eastAsia="es-ES"/>
        </w:rPr>
        <w:t xml:space="preserve"> No. 74</w:t>
      </w:r>
      <w:r w:rsidR="007A5928" w:rsidRPr="00104227">
        <w:rPr>
          <w:spacing w:val="-4"/>
          <w:lang w:eastAsia="es-ES"/>
        </w:rPr>
        <w:t>/15</w:t>
      </w:r>
      <w:r w:rsidR="00A46476" w:rsidRPr="00104227">
        <w:rPr>
          <w:spacing w:val="-4"/>
          <w:lang w:eastAsia="es-ES"/>
        </w:rPr>
        <w:t xml:space="preserve">, </w:t>
      </w:r>
      <w:r w:rsidRPr="00104227">
        <w:rPr>
          <w:spacing w:val="-4"/>
          <w:lang w:eastAsia="es-ES"/>
        </w:rPr>
        <w:t>in which it reached a series of conclusions</w:t>
      </w:r>
      <w:r w:rsidR="000C63B8" w:rsidRPr="00104227">
        <w:rPr>
          <w:rStyle w:val="Refdenotaalpie"/>
          <w:spacing w:val="-4"/>
          <w:lang w:eastAsia="es-ES"/>
        </w:rPr>
        <w:footnoteReference w:id="6"/>
      </w:r>
      <w:r w:rsidR="00BF5241" w:rsidRPr="00104227">
        <w:rPr>
          <w:spacing w:val="-4"/>
          <w:lang w:eastAsia="es-ES"/>
        </w:rPr>
        <w:t xml:space="preserve"> and </w:t>
      </w:r>
      <w:r w:rsidRPr="00104227">
        <w:rPr>
          <w:spacing w:val="-4"/>
          <w:lang w:eastAsia="es-ES"/>
        </w:rPr>
        <w:t>made various recommendations</w:t>
      </w:r>
      <w:r w:rsidR="000C63B8" w:rsidRPr="00104227">
        <w:rPr>
          <w:rStyle w:val="Refdenotaalpie"/>
          <w:spacing w:val="-4"/>
          <w:lang w:eastAsia="es-ES"/>
        </w:rPr>
        <w:footnoteReference w:id="7"/>
      </w:r>
      <w:r w:rsidR="00A46476" w:rsidRPr="00104227">
        <w:rPr>
          <w:spacing w:val="-4"/>
          <w:lang w:eastAsia="es-ES"/>
        </w:rPr>
        <w:t xml:space="preserve"> </w:t>
      </w:r>
      <w:r w:rsidRPr="00104227">
        <w:rPr>
          <w:spacing w:val="-4"/>
          <w:lang w:eastAsia="es-ES"/>
        </w:rPr>
        <w:t>to the State</w:t>
      </w:r>
      <w:r w:rsidR="000C63B8" w:rsidRPr="00104227">
        <w:rPr>
          <w:spacing w:val="-4"/>
          <w:lang w:eastAsia="es-ES"/>
        </w:rPr>
        <w:t>.</w:t>
      </w:r>
      <w:r w:rsidR="00A46476" w:rsidRPr="00104227">
        <w:rPr>
          <w:spacing w:val="-4"/>
          <w:lang w:eastAsia="es-ES"/>
        </w:rPr>
        <w:t xml:space="preserve"> </w:t>
      </w:r>
    </w:p>
    <w:p w14:paraId="301BD0F3" w14:textId="6F969A08" w:rsidR="00DD10CD" w:rsidRPr="00104227" w:rsidRDefault="00A46476" w:rsidP="00E4619F">
      <w:pPr>
        <w:pStyle w:val="Prrafodelista"/>
        <w:widowControl/>
        <w:numPr>
          <w:ilvl w:val="0"/>
          <w:numId w:val="3"/>
        </w:numPr>
        <w:tabs>
          <w:tab w:val="left" w:pos="567"/>
        </w:tabs>
        <w:autoSpaceDE/>
        <w:autoSpaceDN/>
        <w:adjustRightInd/>
        <w:ind w:right="0"/>
        <w:contextualSpacing/>
        <w:rPr>
          <w:rFonts w:ascii="Times New Roman" w:eastAsia="Times New Roman" w:hAnsi="Times New Roman" w:cs="Times New Roman"/>
          <w:sz w:val="24"/>
          <w:szCs w:val="24"/>
          <w:lang w:eastAsia="es-ES_tradnl"/>
        </w:rPr>
      </w:pPr>
      <w:r w:rsidRPr="00104227">
        <w:rPr>
          <w:i/>
          <w:spacing w:val="-4"/>
          <w:lang w:eastAsia="es-ES"/>
        </w:rPr>
        <w:lastRenderedPageBreak/>
        <w:t>Notifica</w:t>
      </w:r>
      <w:r w:rsidR="0094395C" w:rsidRPr="00104227">
        <w:rPr>
          <w:i/>
          <w:spacing w:val="-4"/>
          <w:lang w:eastAsia="es-ES"/>
        </w:rPr>
        <w:t>tion of the</w:t>
      </w:r>
      <w:r w:rsidRPr="00104227">
        <w:rPr>
          <w:i/>
          <w:spacing w:val="-4"/>
          <w:lang w:eastAsia="es-ES"/>
        </w:rPr>
        <w:t xml:space="preserve"> </w:t>
      </w:r>
      <w:r w:rsidR="002826A6" w:rsidRPr="00104227">
        <w:rPr>
          <w:i/>
          <w:spacing w:val="-4"/>
          <w:lang w:eastAsia="es-ES"/>
        </w:rPr>
        <w:t>Merits Report</w:t>
      </w:r>
      <w:r w:rsidRPr="00104227">
        <w:rPr>
          <w:i/>
          <w:spacing w:val="-4"/>
          <w:lang w:eastAsia="es-ES"/>
        </w:rPr>
        <w:t>.</w:t>
      </w:r>
      <w:r w:rsidRPr="00104227">
        <w:rPr>
          <w:spacing w:val="-4"/>
          <w:lang w:eastAsia="es-ES"/>
        </w:rPr>
        <w:t xml:space="preserve"> </w:t>
      </w:r>
      <w:r w:rsidR="0094395C" w:rsidRPr="00104227">
        <w:rPr>
          <w:spacing w:val="-4"/>
          <w:lang w:eastAsia="es-ES"/>
        </w:rPr>
        <w:t>The</w:t>
      </w:r>
      <w:r w:rsidRPr="00104227">
        <w:rPr>
          <w:spacing w:val="-4"/>
          <w:lang w:eastAsia="es-ES"/>
        </w:rPr>
        <w:t xml:space="preserve"> </w:t>
      </w:r>
      <w:r w:rsidR="002826A6" w:rsidRPr="00104227">
        <w:rPr>
          <w:spacing w:val="-4"/>
          <w:lang w:eastAsia="es-ES"/>
        </w:rPr>
        <w:t>Merits Report</w:t>
      </w:r>
      <w:r w:rsidRPr="00104227">
        <w:rPr>
          <w:spacing w:val="-4"/>
          <w:lang w:eastAsia="es-ES"/>
        </w:rPr>
        <w:t xml:space="preserve"> </w:t>
      </w:r>
      <w:r w:rsidR="0094395C" w:rsidRPr="00104227">
        <w:rPr>
          <w:spacing w:val="-4"/>
          <w:lang w:eastAsia="es-ES"/>
        </w:rPr>
        <w:t>was notified</w:t>
      </w:r>
      <w:r w:rsidRPr="00104227">
        <w:rPr>
          <w:spacing w:val="-4"/>
          <w:lang w:eastAsia="es-ES"/>
        </w:rPr>
        <w:t xml:space="preserve"> </w:t>
      </w:r>
      <w:r w:rsidR="0094395C" w:rsidRPr="00104227">
        <w:rPr>
          <w:spacing w:val="-4"/>
          <w:lang w:eastAsia="es-ES"/>
        </w:rPr>
        <w:t>to the State</w:t>
      </w:r>
      <w:r w:rsidRPr="00104227">
        <w:rPr>
          <w:spacing w:val="-4"/>
          <w:lang w:eastAsia="es-ES"/>
        </w:rPr>
        <w:t xml:space="preserve"> </w:t>
      </w:r>
      <w:r w:rsidR="0094395C" w:rsidRPr="00104227">
        <w:rPr>
          <w:spacing w:val="-4"/>
        </w:rPr>
        <w:t>on December 17,</w:t>
      </w:r>
      <w:r w:rsidRPr="00104227">
        <w:rPr>
          <w:spacing w:val="-4"/>
          <w:lang w:eastAsia="es-ES"/>
        </w:rPr>
        <w:t xml:space="preserve"> 2015</w:t>
      </w:r>
      <w:r w:rsidR="0094395C" w:rsidRPr="00104227">
        <w:rPr>
          <w:spacing w:val="-4"/>
          <w:lang w:eastAsia="es-ES"/>
        </w:rPr>
        <w:t>, granting it two months to report on compliance with the recommendations. Mexico provided information on some actions</w:t>
      </w:r>
      <w:r w:rsidR="00B95314" w:rsidRPr="00104227">
        <w:rPr>
          <w:spacing w:val="-4"/>
          <w:lang w:eastAsia="es-ES"/>
        </w:rPr>
        <w:t xml:space="preserve"> taken</w:t>
      </w:r>
      <w:r w:rsidR="0094395C" w:rsidRPr="00104227">
        <w:rPr>
          <w:spacing w:val="-4"/>
          <w:lang w:eastAsia="es-ES"/>
        </w:rPr>
        <w:t xml:space="preserve"> and also on the status of the </w:t>
      </w:r>
      <w:r w:rsidR="000A14CF" w:rsidRPr="00104227">
        <w:rPr>
          <w:spacing w:val="-4"/>
          <w:lang w:eastAsia="es-ES"/>
        </w:rPr>
        <w:t>investigations</w:t>
      </w:r>
      <w:r w:rsidR="0094395C" w:rsidRPr="00104227">
        <w:rPr>
          <w:spacing w:val="-4"/>
          <w:lang w:eastAsia="es-ES"/>
        </w:rPr>
        <w:t xml:space="preserve"> described and analyzed in the </w:t>
      </w:r>
      <w:bookmarkStart w:id="21" w:name="_Ref499811364"/>
      <w:r w:rsidR="002826A6" w:rsidRPr="00104227">
        <w:rPr>
          <w:rFonts w:eastAsia="Times New Roman" w:cs="Times New Roman"/>
          <w:lang w:eastAsia="es-ES_tradnl"/>
        </w:rPr>
        <w:t>Merits Report</w:t>
      </w:r>
      <w:r w:rsidR="0094395C" w:rsidRPr="00104227">
        <w:rPr>
          <w:rFonts w:eastAsia="Times New Roman" w:cs="Times New Roman"/>
          <w:lang w:eastAsia="es-ES_tradnl"/>
        </w:rPr>
        <w:t xml:space="preserve"> but, following four extensions, </w:t>
      </w:r>
      <w:r w:rsidR="00BF5241" w:rsidRPr="00104227">
        <w:rPr>
          <w:rFonts w:eastAsia="Times New Roman" w:cs="Times New Roman"/>
          <w:lang w:eastAsia="es-ES_tradnl"/>
        </w:rPr>
        <w:t>the Commission</w:t>
      </w:r>
      <w:r w:rsidR="00BD3F3A" w:rsidRPr="00104227">
        <w:rPr>
          <w:rFonts w:eastAsia="Times New Roman" w:cs="Times New Roman"/>
          <w:lang w:eastAsia="es-ES_tradnl"/>
        </w:rPr>
        <w:t xml:space="preserve"> consider</w:t>
      </w:r>
      <w:r w:rsidR="0094395C" w:rsidRPr="00104227">
        <w:rPr>
          <w:rFonts w:eastAsia="Times New Roman" w:cs="Times New Roman"/>
          <w:lang w:eastAsia="es-ES_tradnl"/>
        </w:rPr>
        <w:t>ed that</w:t>
      </w:r>
      <w:r w:rsidR="00BD3F3A" w:rsidRPr="00104227">
        <w:rPr>
          <w:rFonts w:eastAsia="Times New Roman" w:cs="Times New Roman"/>
          <w:lang w:eastAsia="es-ES_tradnl"/>
        </w:rPr>
        <w:t xml:space="preserve"> </w:t>
      </w:r>
      <w:r w:rsidR="00AC3BFC" w:rsidRPr="00104227">
        <w:t>the State</w:t>
      </w:r>
      <w:r w:rsidR="00BD3F3A" w:rsidRPr="00104227">
        <w:t xml:space="preserve"> </w:t>
      </w:r>
      <w:r w:rsidR="0094395C" w:rsidRPr="00104227">
        <w:t>had made no comprehensive and substantive progress in complying with the recommendations.</w:t>
      </w:r>
      <w:r w:rsidR="00DD10CD" w:rsidRPr="00104227">
        <w:rPr>
          <w:rFonts w:eastAsia="Times New Roman" w:cs="Times New Roman"/>
          <w:lang w:eastAsia="es-ES_tradnl"/>
        </w:rPr>
        <w:t xml:space="preserve"> </w:t>
      </w:r>
    </w:p>
    <w:p w14:paraId="6F1BEBB8" w14:textId="77777777" w:rsidR="00DD10CD" w:rsidRPr="00104227" w:rsidRDefault="00DD10CD" w:rsidP="00E4619F">
      <w:pPr>
        <w:pStyle w:val="Prrafodelista"/>
        <w:numPr>
          <w:ilvl w:val="0"/>
          <w:numId w:val="0"/>
        </w:numPr>
        <w:tabs>
          <w:tab w:val="left" w:pos="567"/>
        </w:tabs>
        <w:ind w:left="720"/>
        <w:jc w:val="left"/>
        <w:rPr>
          <w:rFonts w:ascii="Times New Roman" w:eastAsia="Times New Roman" w:hAnsi="Times New Roman" w:cs="Times New Roman"/>
          <w:sz w:val="24"/>
          <w:szCs w:val="24"/>
          <w:lang w:eastAsia="es-ES_tradnl"/>
        </w:rPr>
      </w:pPr>
    </w:p>
    <w:p w14:paraId="0DA26221" w14:textId="378C4854" w:rsidR="00A46476" w:rsidRPr="00104227" w:rsidRDefault="00A46476" w:rsidP="00E4619F">
      <w:pPr>
        <w:pStyle w:val="Numberedparagraphs"/>
        <w:tabs>
          <w:tab w:val="left" w:pos="567"/>
        </w:tabs>
        <w:rPr>
          <w:lang w:val="en-US" w:eastAsia="es-ES"/>
        </w:rPr>
      </w:pPr>
      <w:r w:rsidRPr="00104227">
        <w:rPr>
          <w:i/>
          <w:lang w:val="en-US"/>
        </w:rPr>
        <w:t>S</w:t>
      </w:r>
      <w:r w:rsidR="00076029" w:rsidRPr="00104227">
        <w:rPr>
          <w:i/>
          <w:lang w:val="en-US"/>
        </w:rPr>
        <w:t xml:space="preserve">ubmission to </w:t>
      </w:r>
      <w:r w:rsidR="00BF5241" w:rsidRPr="00104227">
        <w:rPr>
          <w:i/>
          <w:lang w:val="en-US"/>
        </w:rPr>
        <w:t>the Court</w:t>
      </w:r>
      <w:r w:rsidRPr="00104227">
        <w:rPr>
          <w:i/>
          <w:lang w:val="en-US"/>
        </w:rPr>
        <w:t xml:space="preserve">. </w:t>
      </w:r>
      <w:r w:rsidR="00076029" w:rsidRPr="00104227">
        <w:rPr>
          <w:lang w:val="en-US"/>
        </w:rPr>
        <w:t>On September 17,</w:t>
      </w:r>
      <w:r w:rsidRPr="00104227">
        <w:rPr>
          <w:lang w:val="en-US"/>
        </w:rPr>
        <w:t xml:space="preserve"> 2016</w:t>
      </w:r>
      <w:r w:rsidR="00076029" w:rsidRPr="00104227">
        <w:rPr>
          <w:lang w:val="en-US"/>
        </w:rPr>
        <w:t>,</w:t>
      </w:r>
      <w:r w:rsidRPr="00104227">
        <w:rPr>
          <w:lang w:val="en-US"/>
        </w:rPr>
        <w:t xml:space="preserve"> </w:t>
      </w:r>
      <w:r w:rsidR="00BF5241" w:rsidRPr="00104227">
        <w:rPr>
          <w:lang w:val="en-US"/>
        </w:rPr>
        <w:t>the Commission</w:t>
      </w:r>
      <w:r w:rsidRPr="00104227">
        <w:rPr>
          <w:lang w:val="en-US"/>
        </w:rPr>
        <w:t xml:space="preserve"> </w:t>
      </w:r>
      <w:r w:rsidR="00076029" w:rsidRPr="00104227">
        <w:rPr>
          <w:lang w:val="en-US"/>
        </w:rPr>
        <w:t>submitted this case to</w:t>
      </w:r>
      <w:r w:rsidRPr="00104227">
        <w:rPr>
          <w:lang w:val="en-US"/>
        </w:rPr>
        <w:t xml:space="preserve"> </w:t>
      </w:r>
      <w:r w:rsidR="00BF5241" w:rsidRPr="00104227">
        <w:rPr>
          <w:lang w:val="en-US"/>
        </w:rPr>
        <w:t>the Court</w:t>
      </w:r>
      <w:r w:rsidRPr="00104227">
        <w:rPr>
          <w:lang w:val="en-US"/>
        </w:rPr>
        <w:t xml:space="preserve"> “</w:t>
      </w:r>
      <w:r w:rsidR="00076029" w:rsidRPr="00104227">
        <w:rPr>
          <w:lang w:val="en-US"/>
        </w:rPr>
        <w:t xml:space="preserve">owing to the need to obtain justice for the victims.” </w:t>
      </w:r>
      <w:r w:rsidR="00BF5241" w:rsidRPr="00104227">
        <w:rPr>
          <w:lang w:val="en-US"/>
        </w:rPr>
        <w:t>The Commission</w:t>
      </w:r>
      <w:r w:rsidRPr="00104227">
        <w:rPr>
          <w:lang w:val="en-US"/>
        </w:rPr>
        <w:t xml:space="preserve"> </w:t>
      </w:r>
      <w:r w:rsidR="00076029" w:rsidRPr="00104227">
        <w:rPr>
          <w:lang w:val="en-US"/>
        </w:rPr>
        <w:t>designated</w:t>
      </w:r>
      <w:r w:rsidRPr="00104227">
        <w:rPr>
          <w:lang w:val="en-US"/>
        </w:rPr>
        <w:t xml:space="preserve"> </w:t>
      </w:r>
      <w:r w:rsidR="00076029" w:rsidRPr="00104227">
        <w:rPr>
          <w:lang w:val="en-US"/>
        </w:rPr>
        <w:t>Commissioner</w:t>
      </w:r>
      <w:r w:rsidRPr="00104227">
        <w:rPr>
          <w:lang w:val="en-US"/>
        </w:rPr>
        <w:t xml:space="preserve"> Enrique Gil Botero</w:t>
      </w:r>
      <w:r w:rsidR="00BF5241" w:rsidRPr="00104227">
        <w:rPr>
          <w:lang w:val="en-US"/>
        </w:rPr>
        <w:t xml:space="preserve"> and</w:t>
      </w:r>
      <w:r w:rsidRPr="00104227">
        <w:rPr>
          <w:lang w:val="en-US"/>
        </w:rPr>
        <w:t xml:space="preserve"> </w:t>
      </w:r>
      <w:r w:rsidR="00076029" w:rsidRPr="00104227">
        <w:rPr>
          <w:lang w:val="en-US"/>
        </w:rPr>
        <w:t xml:space="preserve">Executive </w:t>
      </w:r>
      <w:r w:rsidR="00BF5241" w:rsidRPr="00104227">
        <w:rPr>
          <w:lang w:val="en-US"/>
        </w:rPr>
        <w:t>Secretary</w:t>
      </w:r>
      <w:r w:rsidRPr="00104227">
        <w:rPr>
          <w:lang w:val="en-US"/>
        </w:rPr>
        <w:t xml:space="preserve"> </w:t>
      </w:r>
      <w:r w:rsidR="00532C53" w:rsidRPr="00104227">
        <w:rPr>
          <w:lang w:val="en-US"/>
        </w:rPr>
        <w:t>Paulo Abrão</w:t>
      </w:r>
      <w:r w:rsidR="00076029" w:rsidRPr="00104227">
        <w:rPr>
          <w:lang w:val="en-US"/>
        </w:rPr>
        <w:t xml:space="preserve"> as its delegates, and </w:t>
      </w:r>
      <w:r w:rsidRPr="00104227">
        <w:rPr>
          <w:lang w:val="en-US"/>
        </w:rPr>
        <w:t xml:space="preserve">Elizabeth Abi-Mershed, </w:t>
      </w:r>
      <w:r w:rsidR="00076029" w:rsidRPr="00104227">
        <w:rPr>
          <w:lang w:val="en-US"/>
        </w:rPr>
        <w:t xml:space="preserve">Deputy Executive </w:t>
      </w:r>
      <w:r w:rsidRPr="00104227">
        <w:rPr>
          <w:lang w:val="en-US"/>
        </w:rPr>
        <w:t>Secretar</w:t>
      </w:r>
      <w:r w:rsidR="00076029" w:rsidRPr="00104227">
        <w:rPr>
          <w:lang w:val="en-US"/>
        </w:rPr>
        <w:t xml:space="preserve">y </w:t>
      </w:r>
      <w:r w:rsidR="00BF5241" w:rsidRPr="00104227">
        <w:rPr>
          <w:lang w:val="en-US"/>
        </w:rPr>
        <w:t xml:space="preserve">and </w:t>
      </w:r>
      <w:r w:rsidRPr="00104227">
        <w:rPr>
          <w:lang w:val="en-US"/>
        </w:rPr>
        <w:t xml:space="preserve">Silvia Serrano Guzmán </w:t>
      </w:r>
      <w:r w:rsidR="00076029" w:rsidRPr="00104227">
        <w:rPr>
          <w:lang w:val="en-US"/>
        </w:rPr>
        <w:t>as legal advisers.</w:t>
      </w:r>
      <w:bookmarkEnd w:id="21"/>
    </w:p>
    <w:p w14:paraId="42E75506" w14:textId="47FAC4E6" w:rsidR="00A46476" w:rsidRPr="00104227" w:rsidRDefault="00076029" w:rsidP="00E4619F">
      <w:pPr>
        <w:pStyle w:val="Numberedparagraphs"/>
        <w:tabs>
          <w:tab w:val="left" w:pos="567"/>
        </w:tabs>
        <w:rPr>
          <w:b/>
          <w:lang w:val="en-US"/>
        </w:rPr>
      </w:pPr>
      <w:r w:rsidRPr="00104227">
        <w:rPr>
          <w:i/>
          <w:lang w:val="en-US"/>
        </w:rPr>
        <w:lastRenderedPageBreak/>
        <w:t>Requests</w:t>
      </w:r>
      <w:r w:rsidR="00BF5241" w:rsidRPr="00104227">
        <w:rPr>
          <w:i/>
          <w:lang w:val="en-US"/>
        </w:rPr>
        <w:t xml:space="preserve"> of the Inter-American Commission</w:t>
      </w:r>
      <w:r w:rsidR="00A46476" w:rsidRPr="00104227">
        <w:rPr>
          <w:i/>
          <w:lang w:val="en-US"/>
        </w:rPr>
        <w:t>.</w:t>
      </w:r>
      <w:r w:rsidR="00A46476" w:rsidRPr="00104227">
        <w:rPr>
          <w:lang w:val="en-US"/>
        </w:rPr>
        <w:t xml:space="preserve"> </w:t>
      </w:r>
      <w:r w:rsidRPr="00104227">
        <w:rPr>
          <w:lang w:val="en-US"/>
        </w:rPr>
        <w:t>Based on the foregoing,</w:t>
      </w:r>
      <w:r w:rsidR="00A46476" w:rsidRPr="00104227">
        <w:rPr>
          <w:lang w:val="en-US"/>
        </w:rPr>
        <w:t xml:space="preserve"> </w:t>
      </w:r>
      <w:r w:rsidR="00BF5241" w:rsidRPr="00104227">
        <w:rPr>
          <w:lang w:val="en-US"/>
        </w:rPr>
        <w:t>the Inter-American Commission</w:t>
      </w:r>
      <w:r w:rsidR="00A46476" w:rsidRPr="00104227">
        <w:rPr>
          <w:lang w:val="en-US"/>
        </w:rPr>
        <w:t xml:space="preserve"> </w:t>
      </w:r>
      <w:r w:rsidRPr="00104227">
        <w:rPr>
          <w:lang w:val="en-US"/>
        </w:rPr>
        <w:t>asked</w:t>
      </w:r>
      <w:r w:rsidR="00A46476" w:rsidRPr="00104227">
        <w:rPr>
          <w:lang w:val="en-US"/>
        </w:rPr>
        <w:t xml:space="preserve"> </w:t>
      </w:r>
      <w:r w:rsidR="00BF5241" w:rsidRPr="00104227">
        <w:rPr>
          <w:lang w:val="en-US"/>
        </w:rPr>
        <w:t>th</w:t>
      </w:r>
      <w:r w:rsidRPr="00104227">
        <w:rPr>
          <w:lang w:val="en-US"/>
        </w:rPr>
        <w:t>e</w:t>
      </w:r>
      <w:r w:rsidR="00BF5241" w:rsidRPr="00104227">
        <w:rPr>
          <w:lang w:val="en-US"/>
        </w:rPr>
        <w:t xml:space="preserve"> Court</w:t>
      </w:r>
      <w:r w:rsidR="00A46476" w:rsidRPr="00104227">
        <w:rPr>
          <w:lang w:val="en-US"/>
        </w:rPr>
        <w:t xml:space="preserve"> </w:t>
      </w:r>
      <w:r w:rsidRPr="00104227">
        <w:rPr>
          <w:lang w:val="en-US"/>
        </w:rPr>
        <w:t xml:space="preserve">to conclude and declare the international responsibility </w:t>
      </w:r>
      <w:r w:rsidR="002826A6" w:rsidRPr="00104227">
        <w:rPr>
          <w:lang w:val="en-US"/>
        </w:rPr>
        <w:t xml:space="preserve">of the </w:t>
      </w:r>
      <w:r w:rsidR="00AC3BFC" w:rsidRPr="00104227">
        <w:rPr>
          <w:lang w:val="en-US"/>
        </w:rPr>
        <w:t>Mexican State</w:t>
      </w:r>
      <w:r w:rsidR="00A46476" w:rsidRPr="00104227">
        <w:rPr>
          <w:lang w:val="en-US"/>
        </w:rPr>
        <w:t xml:space="preserve"> </w:t>
      </w:r>
      <w:r w:rsidRPr="00104227">
        <w:rPr>
          <w:lang w:val="en-US"/>
        </w:rPr>
        <w:t xml:space="preserve">for the violations contained in its </w:t>
      </w:r>
      <w:r w:rsidR="00AA3133" w:rsidRPr="00104227">
        <w:rPr>
          <w:lang w:val="en-US"/>
        </w:rPr>
        <w:t>M</w:t>
      </w:r>
      <w:r w:rsidR="002826A6" w:rsidRPr="00104227">
        <w:rPr>
          <w:lang w:val="en-US"/>
        </w:rPr>
        <w:t>erits Report</w:t>
      </w:r>
      <w:r w:rsidR="00BF5241" w:rsidRPr="00104227">
        <w:rPr>
          <w:lang w:val="en-US"/>
        </w:rPr>
        <w:t xml:space="preserve"> and</w:t>
      </w:r>
      <w:r w:rsidRPr="00104227">
        <w:rPr>
          <w:lang w:val="en-US"/>
        </w:rPr>
        <w:t>, as measures of reparation,</w:t>
      </w:r>
      <w:r w:rsidR="00A46476" w:rsidRPr="00104227">
        <w:rPr>
          <w:lang w:val="en-US"/>
        </w:rPr>
        <w:t xml:space="preserve"> </w:t>
      </w:r>
      <w:r w:rsidR="0094395C" w:rsidRPr="00104227">
        <w:rPr>
          <w:lang w:val="en-US"/>
        </w:rPr>
        <w:t xml:space="preserve">to </w:t>
      </w:r>
      <w:r w:rsidRPr="00104227">
        <w:rPr>
          <w:lang w:val="en-US"/>
        </w:rPr>
        <w:t xml:space="preserve">require </w:t>
      </w:r>
      <w:r w:rsidR="0094395C" w:rsidRPr="00104227">
        <w:rPr>
          <w:lang w:val="en-US"/>
        </w:rPr>
        <w:t>the State</w:t>
      </w:r>
      <w:r w:rsidRPr="00104227">
        <w:rPr>
          <w:lang w:val="en-US"/>
        </w:rPr>
        <w:t xml:space="preserve"> to comply with the recommendations made in the said report</w:t>
      </w:r>
      <w:r w:rsidR="00AA3133" w:rsidRPr="00104227">
        <w:rPr>
          <w:lang w:val="en-US"/>
        </w:rPr>
        <w:t xml:space="preserve"> </w:t>
      </w:r>
      <w:r w:rsidR="00A46476" w:rsidRPr="00104227">
        <w:rPr>
          <w:lang w:val="en-US"/>
        </w:rPr>
        <w:t>(</w:t>
      </w:r>
      <w:r w:rsidR="00A46476" w:rsidRPr="00104227">
        <w:rPr>
          <w:i/>
          <w:lang w:val="en-US"/>
        </w:rPr>
        <w:t>supra</w:t>
      </w:r>
      <w:r w:rsidR="00A46476" w:rsidRPr="00104227">
        <w:rPr>
          <w:lang w:val="en-US"/>
        </w:rPr>
        <w:t xml:space="preserve"> </w:t>
      </w:r>
      <w:r w:rsidR="00BF5241" w:rsidRPr="00104227">
        <w:rPr>
          <w:lang w:val="en-US"/>
        </w:rPr>
        <w:t>para.</w:t>
      </w:r>
      <w:r w:rsidR="00A46476" w:rsidRPr="00104227">
        <w:rPr>
          <w:lang w:val="en-US"/>
        </w:rPr>
        <w:t xml:space="preserve"> </w:t>
      </w:r>
      <w:r w:rsidR="00431446" w:rsidRPr="00104227">
        <w:rPr>
          <w:lang w:val="en-US"/>
        </w:rPr>
        <w:fldChar w:fldCharType="begin"/>
      </w:r>
      <w:r w:rsidR="00431446" w:rsidRPr="00104227">
        <w:rPr>
          <w:lang w:val="en-US"/>
        </w:rPr>
        <w:instrText xml:space="preserve"> REF _Ref499651530 \r \h </w:instrText>
      </w:r>
      <w:r w:rsidR="006E365C" w:rsidRPr="00104227">
        <w:rPr>
          <w:lang w:val="en-US"/>
        </w:rPr>
        <w:instrText xml:space="preserve"> \* MERGEFORMAT </w:instrText>
      </w:r>
      <w:r w:rsidR="00431446" w:rsidRPr="00104227">
        <w:rPr>
          <w:lang w:val="en-US"/>
        </w:rPr>
      </w:r>
      <w:r w:rsidR="00431446" w:rsidRPr="00104227">
        <w:rPr>
          <w:lang w:val="en-US"/>
        </w:rPr>
        <w:fldChar w:fldCharType="separate"/>
      </w:r>
      <w:r w:rsidR="004276BD">
        <w:rPr>
          <w:lang w:val="en-US"/>
        </w:rPr>
        <w:t>2</w:t>
      </w:r>
      <w:r w:rsidR="00431446" w:rsidRPr="00104227">
        <w:rPr>
          <w:lang w:val="en-US"/>
        </w:rPr>
        <w:fldChar w:fldCharType="end"/>
      </w:r>
      <w:r w:rsidR="00965EE7" w:rsidRPr="00104227">
        <w:rPr>
          <w:lang w:val="en-US"/>
        </w:rPr>
        <w:t>.c</w:t>
      </w:r>
      <w:r w:rsidR="00B07B57" w:rsidRPr="00104227">
        <w:rPr>
          <w:lang w:val="en-US"/>
        </w:rPr>
        <w:t>).</w:t>
      </w:r>
    </w:p>
    <w:p w14:paraId="5E80C247" w14:textId="77777777" w:rsidR="006D5D6D" w:rsidRPr="00104227" w:rsidRDefault="006D5D6D" w:rsidP="00E4619F">
      <w:pPr>
        <w:tabs>
          <w:tab w:val="left" w:pos="567"/>
        </w:tabs>
        <w:rPr>
          <w:lang w:eastAsia="es-MX"/>
        </w:rPr>
      </w:pPr>
    </w:p>
    <w:p w14:paraId="373C7F7D" w14:textId="77777777" w:rsidR="00A46476" w:rsidRPr="00104227" w:rsidRDefault="00A46476" w:rsidP="00E4619F">
      <w:pPr>
        <w:pStyle w:val="Ttulo1"/>
        <w:tabs>
          <w:tab w:val="left" w:pos="567"/>
        </w:tabs>
        <w:rPr>
          <w:bCs/>
          <w:spacing w:val="-4"/>
        </w:rPr>
      </w:pPr>
      <w:bookmarkStart w:id="22" w:name="_Toc469940915"/>
      <w:bookmarkStart w:id="23" w:name="_Toc469594899"/>
      <w:bookmarkStart w:id="24" w:name="_Toc469594796"/>
      <w:bookmarkStart w:id="25" w:name="_Toc469594533"/>
      <w:bookmarkStart w:id="26" w:name="_Toc469594431"/>
      <w:bookmarkStart w:id="27" w:name="_Toc469593448"/>
      <w:bookmarkStart w:id="28" w:name="_Toc434850391"/>
      <w:bookmarkStart w:id="29" w:name="_Toc431584603"/>
      <w:bookmarkStart w:id="30" w:name="_Toc427932786"/>
      <w:bookmarkStart w:id="31" w:name="_Toc424834680"/>
      <w:bookmarkStart w:id="32" w:name="_Toc504661189"/>
      <w:bookmarkStart w:id="33" w:name="_Toc527464868"/>
      <w:bookmarkStart w:id="34" w:name="_Toc31290540"/>
      <w:r w:rsidRPr="00104227">
        <w:rPr>
          <w:spacing w:val="-4"/>
        </w:rPr>
        <w:t>II</w:t>
      </w:r>
      <w:bookmarkEnd w:id="22"/>
      <w:bookmarkEnd w:id="23"/>
      <w:bookmarkEnd w:id="24"/>
      <w:bookmarkEnd w:id="25"/>
      <w:bookmarkEnd w:id="26"/>
      <w:bookmarkEnd w:id="27"/>
      <w:bookmarkEnd w:id="28"/>
      <w:bookmarkEnd w:id="29"/>
      <w:bookmarkEnd w:id="30"/>
      <w:bookmarkEnd w:id="31"/>
      <w:bookmarkEnd w:id="32"/>
      <w:bookmarkEnd w:id="33"/>
      <w:bookmarkEnd w:id="34"/>
    </w:p>
    <w:p w14:paraId="26F3A61E" w14:textId="4BD59F53" w:rsidR="00A46476" w:rsidRPr="00104227" w:rsidRDefault="00AA3133" w:rsidP="00E4619F">
      <w:pPr>
        <w:pStyle w:val="Ttulo1"/>
        <w:tabs>
          <w:tab w:val="left" w:pos="567"/>
        </w:tabs>
        <w:rPr>
          <w:bCs/>
          <w:spacing w:val="-4"/>
        </w:rPr>
      </w:pPr>
      <w:bookmarkStart w:id="35" w:name="_Toc469940916"/>
      <w:bookmarkStart w:id="36" w:name="_Toc469664471"/>
      <w:bookmarkStart w:id="37" w:name="_Toc469664209"/>
      <w:bookmarkStart w:id="38" w:name="_Toc469594900"/>
      <w:bookmarkStart w:id="39" w:name="_Toc434850392"/>
      <w:bookmarkStart w:id="40" w:name="_Toc434849913"/>
      <w:bookmarkStart w:id="41" w:name="_Toc308538146"/>
      <w:bookmarkStart w:id="42" w:name="_Toc308537926"/>
      <w:bookmarkStart w:id="43" w:name="_Toc431834621"/>
      <w:bookmarkStart w:id="44" w:name="_Toc431834525"/>
      <w:bookmarkStart w:id="45" w:name="_Toc431646542"/>
      <w:bookmarkStart w:id="46" w:name="_Toc431585025"/>
      <w:bookmarkStart w:id="47" w:name="_Toc431584720"/>
      <w:bookmarkStart w:id="48" w:name="_Toc431584604"/>
      <w:bookmarkStart w:id="49" w:name="_Toc427943724"/>
      <w:bookmarkStart w:id="50" w:name="_Toc427943550"/>
      <w:bookmarkStart w:id="51" w:name="_Toc427932787"/>
      <w:bookmarkStart w:id="52" w:name="_Toc427663811"/>
      <w:bookmarkStart w:id="53" w:name="_Toc427342825"/>
      <w:bookmarkStart w:id="54" w:name="_Toc424834748"/>
      <w:bookmarkStart w:id="55" w:name="_Toc424834681"/>
      <w:bookmarkStart w:id="56" w:name="_Toc424833997"/>
      <w:bookmarkStart w:id="57" w:name="_Toc501802099"/>
      <w:bookmarkStart w:id="58" w:name="_Toc502022994"/>
      <w:bookmarkStart w:id="59" w:name="_Toc502885881"/>
      <w:bookmarkStart w:id="60" w:name="_Toc502891541"/>
      <w:bookmarkStart w:id="61" w:name="_Toc503594837"/>
      <w:bookmarkStart w:id="62" w:name="_Toc504656569"/>
      <w:bookmarkStart w:id="63" w:name="_Toc504661190"/>
      <w:bookmarkStart w:id="64" w:name="_Toc527464869"/>
      <w:bookmarkStart w:id="65" w:name="_Toc527465061"/>
      <w:bookmarkStart w:id="66" w:name="_Toc528937185"/>
      <w:bookmarkStart w:id="67" w:name="_Toc529790085"/>
      <w:bookmarkStart w:id="68" w:name="_Toc531162200"/>
      <w:bookmarkStart w:id="69" w:name="_Toc531171513"/>
      <w:bookmarkStart w:id="70" w:name="_Toc531172496"/>
      <w:bookmarkStart w:id="71" w:name="_Toc31290541"/>
      <w:r w:rsidRPr="00104227">
        <w:rPr>
          <w:spacing w:val="-4"/>
        </w:rPr>
        <w:t>PROCEEDINGS BEFORE</w:t>
      </w:r>
      <w:r w:rsidR="00A46476" w:rsidRPr="00104227">
        <w:rPr>
          <w:spacing w:val="-4"/>
        </w:rPr>
        <w:t xml:space="preserve"> </w:t>
      </w:r>
      <w:r w:rsidR="00BF5241" w:rsidRPr="00104227">
        <w:rPr>
          <w:spacing w:val="-4"/>
        </w:rPr>
        <w:t>THE COURT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C38A037" w14:textId="77777777" w:rsidR="00A46476" w:rsidRPr="00104227" w:rsidRDefault="00A46476" w:rsidP="00E4619F">
      <w:pPr>
        <w:tabs>
          <w:tab w:val="left" w:pos="567"/>
        </w:tabs>
        <w:rPr>
          <w:spacing w:val="-4"/>
        </w:rPr>
      </w:pPr>
    </w:p>
    <w:p w14:paraId="53675D95" w14:textId="426E4ADF" w:rsidR="00A46476" w:rsidRPr="00104227" w:rsidRDefault="00A46476" w:rsidP="00E4619F">
      <w:pPr>
        <w:pStyle w:val="Numberedparagraphs"/>
        <w:tabs>
          <w:tab w:val="left" w:pos="567"/>
        </w:tabs>
        <w:rPr>
          <w:b/>
          <w:lang w:val="en-US"/>
        </w:rPr>
      </w:pPr>
      <w:r w:rsidRPr="00104227">
        <w:rPr>
          <w:i/>
          <w:lang w:val="en-US"/>
        </w:rPr>
        <w:t>Notifica</w:t>
      </w:r>
      <w:r w:rsidR="00AA3133" w:rsidRPr="00104227">
        <w:rPr>
          <w:i/>
          <w:lang w:val="en-US"/>
        </w:rPr>
        <w:t>tio</w:t>
      </w:r>
      <w:r w:rsidRPr="00104227">
        <w:rPr>
          <w:i/>
          <w:lang w:val="en-US"/>
        </w:rPr>
        <w:t xml:space="preserve">n </w:t>
      </w:r>
      <w:r w:rsidR="0094395C" w:rsidRPr="00104227">
        <w:rPr>
          <w:i/>
          <w:lang w:val="en-US"/>
        </w:rPr>
        <w:t>to the State</w:t>
      </w:r>
      <w:r w:rsidR="00BF5241" w:rsidRPr="00104227">
        <w:rPr>
          <w:i/>
          <w:lang w:val="en-US"/>
        </w:rPr>
        <w:t xml:space="preserve"> and </w:t>
      </w:r>
      <w:r w:rsidR="00AA3133" w:rsidRPr="00104227">
        <w:rPr>
          <w:i/>
          <w:lang w:val="en-US"/>
        </w:rPr>
        <w:t>to</w:t>
      </w:r>
      <w:r w:rsidRPr="00104227">
        <w:rPr>
          <w:i/>
          <w:lang w:val="en-US"/>
        </w:rPr>
        <w:t xml:space="preserve"> </w:t>
      </w:r>
      <w:r w:rsidR="002826A6" w:rsidRPr="00104227">
        <w:rPr>
          <w:i/>
          <w:lang w:val="en-US"/>
        </w:rPr>
        <w:t>the representatives</w:t>
      </w:r>
      <w:r w:rsidRPr="00104227">
        <w:rPr>
          <w:i/>
          <w:lang w:val="en-US"/>
        </w:rPr>
        <w:t>.</w:t>
      </w:r>
      <w:r w:rsidRPr="00104227">
        <w:rPr>
          <w:lang w:val="en-US"/>
        </w:rPr>
        <w:t xml:space="preserve"> </w:t>
      </w:r>
      <w:r w:rsidR="00AA3133" w:rsidRPr="00104227">
        <w:rPr>
          <w:lang w:val="en-US"/>
        </w:rPr>
        <w:t>T</w:t>
      </w:r>
      <w:r w:rsidR="002826A6" w:rsidRPr="00104227">
        <w:rPr>
          <w:lang w:val="en-US"/>
        </w:rPr>
        <w:t>he representatives</w:t>
      </w:r>
      <w:r w:rsidRPr="00104227">
        <w:rPr>
          <w:lang w:val="en-US"/>
        </w:rPr>
        <w:t xml:space="preserve"> </w:t>
      </w:r>
      <w:r w:rsidR="00AA3133" w:rsidRPr="00104227">
        <w:rPr>
          <w:lang w:val="en-US"/>
        </w:rPr>
        <w:t xml:space="preserve">of the presumed victims and the State were notified of the submission of the case on November </w:t>
      </w:r>
      <w:r w:rsidR="00BF7A3D" w:rsidRPr="00104227">
        <w:rPr>
          <w:lang w:val="en-US"/>
        </w:rPr>
        <w:t>11</w:t>
      </w:r>
      <w:r w:rsidR="00BF5241" w:rsidRPr="00104227">
        <w:rPr>
          <w:lang w:val="en-US"/>
        </w:rPr>
        <w:t xml:space="preserve"> and </w:t>
      </w:r>
      <w:r w:rsidR="00570658" w:rsidRPr="00104227">
        <w:rPr>
          <w:lang w:val="en-US"/>
        </w:rPr>
        <w:t>14</w:t>
      </w:r>
      <w:r w:rsidR="00AA3133" w:rsidRPr="00104227">
        <w:rPr>
          <w:lang w:val="en-US"/>
        </w:rPr>
        <w:t xml:space="preserve">, </w:t>
      </w:r>
      <w:r w:rsidR="00570658" w:rsidRPr="00104227">
        <w:rPr>
          <w:lang w:val="en-US"/>
        </w:rPr>
        <w:t>2016, respectiv</w:t>
      </w:r>
      <w:r w:rsidR="00AA3133" w:rsidRPr="00104227">
        <w:rPr>
          <w:lang w:val="en-US"/>
        </w:rPr>
        <w:t>ely</w:t>
      </w:r>
      <w:r w:rsidR="00B07B57" w:rsidRPr="00104227">
        <w:rPr>
          <w:lang w:val="en-US"/>
        </w:rPr>
        <w:t>.</w:t>
      </w:r>
    </w:p>
    <w:p w14:paraId="2F083012" w14:textId="77777777" w:rsidR="00AA3133" w:rsidRPr="00104227" w:rsidRDefault="00AA3133" w:rsidP="00AA3133">
      <w:pPr>
        <w:pStyle w:val="Numberedparagraphs"/>
        <w:numPr>
          <w:ilvl w:val="0"/>
          <w:numId w:val="0"/>
        </w:numPr>
        <w:tabs>
          <w:tab w:val="left" w:pos="567"/>
        </w:tabs>
        <w:rPr>
          <w:b/>
          <w:lang w:val="en-US"/>
        </w:rPr>
      </w:pPr>
    </w:p>
    <w:p w14:paraId="6066C385" w14:textId="38AFD4B3" w:rsidR="00A46476" w:rsidRPr="00104227" w:rsidRDefault="009E0044" w:rsidP="00E4619F">
      <w:pPr>
        <w:pStyle w:val="Numberedparagraphs"/>
        <w:tabs>
          <w:tab w:val="left" w:pos="567"/>
        </w:tabs>
        <w:rPr>
          <w:b/>
          <w:lang w:val="en-US"/>
        </w:rPr>
      </w:pPr>
      <w:bookmarkStart w:id="72" w:name="_Ref499811376"/>
      <w:r w:rsidRPr="00104227">
        <w:rPr>
          <w:i/>
          <w:lang w:val="en-US"/>
        </w:rPr>
        <w:t>Brief with motions, pleadings and evidence</w:t>
      </w:r>
      <w:r w:rsidR="00A46476" w:rsidRPr="00104227">
        <w:rPr>
          <w:i/>
          <w:lang w:val="en-US"/>
        </w:rPr>
        <w:t>.</w:t>
      </w:r>
      <w:r w:rsidR="00C245B5" w:rsidRPr="00104227">
        <w:rPr>
          <w:lang w:val="en-US"/>
        </w:rPr>
        <w:t xml:space="preserve"> </w:t>
      </w:r>
      <w:r w:rsidR="00AA3133" w:rsidRPr="00104227">
        <w:rPr>
          <w:lang w:val="en-US"/>
        </w:rPr>
        <w:t>On January 16,</w:t>
      </w:r>
      <w:r w:rsidR="00C245B5" w:rsidRPr="00104227">
        <w:rPr>
          <w:lang w:val="en-US"/>
        </w:rPr>
        <w:t xml:space="preserve"> 2017</w:t>
      </w:r>
      <w:r w:rsidR="00AA3133" w:rsidRPr="00104227">
        <w:rPr>
          <w:lang w:val="en-US"/>
        </w:rPr>
        <w:t>,</w:t>
      </w:r>
      <w:r w:rsidR="00C245B5" w:rsidRPr="00104227">
        <w:rPr>
          <w:lang w:val="en-US"/>
        </w:rPr>
        <w:t xml:space="preserve"> </w:t>
      </w:r>
      <w:r w:rsidR="002826A6" w:rsidRPr="00104227">
        <w:rPr>
          <w:lang w:val="en-US"/>
        </w:rPr>
        <w:t>the representatives</w:t>
      </w:r>
      <w:r w:rsidR="00570658" w:rsidRPr="00104227">
        <w:rPr>
          <w:lang w:val="en-US"/>
        </w:rPr>
        <w:t xml:space="preserve"> </w:t>
      </w:r>
      <w:r w:rsidR="00A46476" w:rsidRPr="00104227">
        <w:rPr>
          <w:lang w:val="en-US"/>
        </w:rPr>
        <w:t>present</w:t>
      </w:r>
      <w:r w:rsidR="00AA3133" w:rsidRPr="00104227">
        <w:rPr>
          <w:lang w:val="en-US"/>
        </w:rPr>
        <w:t>ed their</w:t>
      </w:r>
      <w:r w:rsidR="00A46476" w:rsidRPr="00104227">
        <w:rPr>
          <w:lang w:val="en-US"/>
        </w:rPr>
        <w:t xml:space="preserve"> </w:t>
      </w:r>
      <w:r w:rsidRPr="00104227">
        <w:rPr>
          <w:lang w:val="en-US"/>
        </w:rPr>
        <w:t>brief with motions, pleadings and evidence</w:t>
      </w:r>
      <w:r w:rsidR="00A46476" w:rsidRPr="00104227">
        <w:rPr>
          <w:lang w:val="en-US"/>
        </w:rPr>
        <w:t xml:space="preserve"> (</w:t>
      </w:r>
      <w:r w:rsidR="00BF5241" w:rsidRPr="00104227">
        <w:rPr>
          <w:lang w:val="en-US"/>
        </w:rPr>
        <w:t>hereinafter</w:t>
      </w:r>
      <w:r w:rsidR="00A46476" w:rsidRPr="00104227">
        <w:rPr>
          <w:lang w:val="en-US"/>
        </w:rPr>
        <w:t xml:space="preserve"> “</w:t>
      </w:r>
      <w:r w:rsidR="00AA3133" w:rsidRPr="00104227">
        <w:rPr>
          <w:lang w:val="en-US"/>
        </w:rPr>
        <w:t>motions and pleadings brief</w:t>
      </w:r>
      <w:r w:rsidR="00A46476" w:rsidRPr="00104227">
        <w:rPr>
          <w:lang w:val="en-US"/>
        </w:rPr>
        <w:t xml:space="preserve">”), </w:t>
      </w:r>
      <w:r w:rsidR="00AA3133" w:rsidRPr="00104227">
        <w:rPr>
          <w:lang w:val="en-US"/>
        </w:rPr>
        <w:t>pursuant to</w:t>
      </w:r>
      <w:r w:rsidR="00A46476" w:rsidRPr="00104227">
        <w:rPr>
          <w:lang w:val="en-US"/>
        </w:rPr>
        <w:t xml:space="preserve"> </w:t>
      </w:r>
      <w:r w:rsidR="00BF5241" w:rsidRPr="00104227">
        <w:rPr>
          <w:lang w:val="en-US"/>
        </w:rPr>
        <w:t>Articles</w:t>
      </w:r>
      <w:r w:rsidR="00A46476" w:rsidRPr="00104227">
        <w:rPr>
          <w:lang w:val="en-US"/>
        </w:rPr>
        <w:t xml:space="preserve"> 25</w:t>
      </w:r>
      <w:r w:rsidR="00BF5241" w:rsidRPr="00104227">
        <w:rPr>
          <w:lang w:val="en-US"/>
        </w:rPr>
        <w:t xml:space="preserve"> and </w:t>
      </w:r>
      <w:r w:rsidR="00A46476" w:rsidRPr="00104227">
        <w:rPr>
          <w:lang w:val="en-US"/>
        </w:rPr>
        <w:t>40</w:t>
      </w:r>
      <w:r w:rsidR="00BF5241" w:rsidRPr="00104227">
        <w:rPr>
          <w:lang w:val="en-US"/>
        </w:rPr>
        <w:t xml:space="preserve"> of the </w:t>
      </w:r>
      <w:r w:rsidR="00AA3133" w:rsidRPr="00104227">
        <w:rPr>
          <w:lang w:val="en-US"/>
        </w:rPr>
        <w:t xml:space="preserve">Court’s </w:t>
      </w:r>
      <w:r w:rsidR="00BF5241" w:rsidRPr="00104227">
        <w:rPr>
          <w:lang w:val="en-US"/>
        </w:rPr>
        <w:t>Rules of Procedure</w:t>
      </w:r>
      <w:r w:rsidR="00A46476" w:rsidRPr="00104227">
        <w:rPr>
          <w:lang w:val="en-US"/>
        </w:rPr>
        <w:t xml:space="preserve">. </w:t>
      </w:r>
      <w:r w:rsidR="002826A6" w:rsidRPr="00104227">
        <w:rPr>
          <w:lang w:val="en-US"/>
        </w:rPr>
        <w:t>The representatives</w:t>
      </w:r>
      <w:r w:rsidR="00A46476" w:rsidRPr="00104227">
        <w:rPr>
          <w:lang w:val="en-US"/>
        </w:rPr>
        <w:t xml:space="preserve"> </w:t>
      </w:r>
      <w:r w:rsidR="00AA3133" w:rsidRPr="00104227">
        <w:rPr>
          <w:lang w:val="en-US"/>
        </w:rPr>
        <w:t xml:space="preserve">agreed substantially with the allegations </w:t>
      </w:r>
      <w:r w:rsidR="00BF5241" w:rsidRPr="00104227">
        <w:rPr>
          <w:lang w:val="en-US"/>
        </w:rPr>
        <w:t xml:space="preserve">of the Commission and </w:t>
      </w:r>
      <w:r w:rsidR="00AA3133" w:rsidRPr="00104227">
        <w:rPr>
          <w:lang w:val="en-US"/>
        </w:rPr>
        <w:t>asked</w:t>
      </w:r>
      <w:r w:rsidR="008F1A57" w:rsidRPr="00104227">
        <w:rPr>
          <w:lang w:val="en-US"/>
        </w:rPr>
        <w:t xml:space="preserve"> </w:t>
      </w:r>
      <w:r w:rsidR="00BF5241" w:rsidRPr="00104227">
        <w:rPr>
          <w:lang w:val="en-US"/>
        </w:rPr>
        <w:t>the Court</w:t>
      </w:r>
      <w:r w:rsidR="008F1A57" w:rsidRPr="00104227">
        <w:rPr>
          <w:lang w:val="en-US"/>
        </w:rPr>
        <w:t xml:space="preserve"> </w:t>
      </w:r>
      <w:r w:rsidR="00AA3133" w:rsidRPr="00104227">
        <w:rPr>
          <w:lang w:val="en-US"/>
        </w:rPr>
        <w:t>to declare that the State was internationally responsible for the same</w:t>
      </w:r>
      <w:r w:rsidR="008F1A57" w:rsidRPr="00104227">
        <w:rPr>
          <w:lang w:val="en-US"/>
        </w:rPr>
        <w:t xml:space="preserve"> </w:t>
      </w:r>
      <w:r w:rsidR="00AA3133" w:rsidRPr="00104227">
        <w:rPr>
          <w:lang w:val="en-US"/>
        </w:rPr>
        <w:t>a</w:t>
      </w:r>
      <w:r w:rsidR="00BF5241" w:rsidRPr="00104227">
        <w:rPr>
          <w:lang w:val="en-US"/>
        </w:rPr>
        <w:t>rticle</w:t>
      </w:r>
      <w:r w:rsidR="008F1A57" w:rsidRPr="00104227">
        <w:rPr>
          <w:lang w:val="en-US"/>
        </w:rPr>
        <w:t>s</w:t>
      </w:r>
      <w:r w:rsidR="00BF5241" w:rsidRPr="00104227">
        <w:rPr>
          <w:lang w:val="en-US"/>
        </w:rPr>
        <w:t xml:space="preserve"> of the American Convention</w:t>
      </w:r>
      <w:r w:rsidR="00AA3133" w:rsidRPr="00104227">
        <w:rPr>
          <w:lang w:val="en-US"/>
        </w:rPr>
        <w:t xml:space="preserve"> alleged by</w:t>
      </w:r>
      <w:r w:rsidR="008F1A57" w:rsidRPr="00104227">
        <w:rPr>
          <w:lang w:val="en-US"/>
        </w:rPr>
        <w:t xml:space="preserve"> </w:t>
      </w:r>
      <w:r w:rsidR="00BF5241" w:rsidRPr="00104227">
        <w:rPr>
          <w:lang w:val="en-US"/>
        </w:rPr>
        <w:t>the Commission</w:t>
      </w:r>
      <w:r w:rsidR="008F1A57" w:rsidRPr="00104227">
        <w:rPr>
          <w:lang w:val="en-US"/>
        </w:rPr>
        <w:t xml:space="preserve">. </w:t>
      </w:r>
      <w:r w:rsidR="00AA3133" w:rsidRPr="00104227">
        <w:rPr>
          <w:lang w:val="en-US"/>
        </w:rPr>
        <w:t>In addition, they alleged the violation of the obligation to adopt domestic le</w:t>
      </w:r>
      <w:r w:rsidR="00B95314" w:rsidRPr="00104227">
        <w:rPr>
          <w:lang w:val="en-US"/>
        </w:rPr>
        <w:t>ga</w:t>
      </w:r>
      <w:r w:rsidR="00AA3133" w:rsidRPr="00104227">
        <w:rPr>
          <w:lang w:val="en-US"/>
        </w:rPr>
        <w:t xml:space="preserve">l provisions </w:t>
      </w:r>
      <w:r w:rsidR="00B03535" w:rsidRPr="00104227">
        <w:rPr>
          <w:lang w:val="en-US"/>
        </w:rPr>
        <w:t>(</w:t>
      </w:r>
      <w:r w:rsidR="00BF5241" w:rsidRPr="00104227">
        <w:rPr>
          <w:lang w:val="en-US"/>
        </w:rPr>
        <w:t>Article</w:t>
      </w:r>
      <w:r w:rsidR="00B03535" w:rsidRPr="00104227">
        <w:rPr>
          <w:lang w:val="en-US"/>
        </w:rPr>
        <w:t xml:space="preserve"> 2</w:t>
      </w:r>
      <w:r w:rsidR="00BF5241" w:rsidRPr="00104227">
        <w:rPr>
          <w:lang w:val="en-US"/>
        </w:rPr>
        <w:t xml:space="preserve"> of the Convention</w:t>
      </w:r>
      <w:r w:rsidR="00B03535" w:rsidRPr="00104227">
        <w:rPr>
          <w:lang w:val="en-US"/>
        </w:rPr>
        <w:t>)</w:t>
      </w:r>
      <w:r w:rsidR="00AA3133" w:rsidRPr="00104227">
        <w:rPr>
          <w:lang w:val="en-US"/>
        </w:rPr>
        <w:t xml:space="preserve"> for different reasons. Lastly, they asked the Court </w:t>
      </w:r>
      <w:r w:rsidR="00881B70" w:rsidRPr="00104227">
        <w:rPr>
          <w:lang w:val="en-US"/>
        </w:rPr>
        <w:t>to require</w:t>
      </w:r>
      <w:r w:rsidR="00AA3133" w:rsidRPr="00104227">
        <w:rPr>
          <w:lang w:val="en-US"/>
        </w:rPr>
        <w:t xml:space="preserve"> the State to adopt different measures of reparation and to reimburse specific</w:t>
      </w:r>
      <w:r w:rsidR="00A46476" w:rsidRPr="00104227">
        <w:rPr>
          <w:lang w:val="en-US"/>
        </w:rPr>
        <w:t xml:space="preserve"> </w:t>
      </w:r>
      <w:r w:rsidR="00AA3133" w:rsidRPr="00104227">
        <w:rPr>
          <w:lang w:val="en-US"/>
        </w:rPr>
        <w:t>costs and expenses</w:t>
      </w:r>
      <w:r w:rsidR="00A46476" w:rsidRPr="00104227">
        <w:rPr>
          <w:lang w:val="en-US"/>
        </w:rPr>
        <w:t>.</w:t>
      </w:r>
      <w:bookmarkEnd w:id="72"/>
      <w:r w:rsidR="00A46476" w:rsidRPr="00104227">
        <w:rPr>
          <w:b/>
          <w:lang w:val="en-US"/>
        </w:rPr>
        <w:t xml:space="preserve"> </w:t>
      </w:r>
    </w:p>
    <w:p w14:paraId="6167B2C9" w14:textId="77777777" w:rsidR="00EF7C7F" w:rsidRPr="00104227" w:rsidRDefault="00EF7C7F" w:rsidP="00E4619F">
      <w:pPr>
        <w:tabs>
          <w:tab w:val="left" w:pos="567"/>
        </w:tabs>
        <w:rPr>
          <w:spacing w:val="-4"/>
        </w:rPr>
      </w:pPr>
    </w:p>
    <w:p w14:paraId="65002AAE" w14:textId="08FF9126" w:rsidR="00AF2BE7" w:rsidRPr="00104227" w:rsidRDefault="00AA3133" w:rsidP="00E4619F">
      <w:pPr>
        <w:pStyle w:val="Numberedparagraphs"/>
        <w:tabs>
          <w:tab w:val="left" w:pos="567"/>
        </w:tabs>
        <w:rPr>
          <w:b/>
          <w:lang w:val="en-US"/>
        </w:rPr>
      </w:pPr>
      <w:bookmarkStart w:id="73" w:name="_Ref499811389"/>
      <w:r w:rsidRPr="00104227">
        <w:rPr>
          <w:i/>
          <w:lang w:val="en-US"/>
        </w:rPr>
        <w:t>Answering brief</w:t>
      </w:r>
      <w:r w:rsidR="00AF2BE7" w:rsidRPr="00104227">
        <w:rPr>
          <w:i/>
          <w:lang w:val="en-US"/>
        </w:rPr>
        <w:t xml:space="preserve">. </w:t>
      </w:r>
      <w:r w:rsidRPr="00104227">
        <w:rPr>
          <w:lang w:val="en-US"/>
        </w:rPr>
        <w:t>On May 10,</w:t>
      </w:r>
      <w:r w:rsidR="00AF2BE7" w:rsidRPr="00104227">
        <w:rPr>
          <w:lang w:val="en-US"/>
        </w:rPr>
        <w:t xml:space="preserve"> 2017</w:t>
      </w:r>
      <w:r w:rsidRPr="00104227">
        <w:rPr>
          <w:lang w:val="en-US"/>
        </w:rPr>
        <w:t>,</w:t>
      </w:r>
      <w:r w:rsidR="00AF2BE7" w:rsidRPr="00104227">
        <w:rPr>
          <w:lang w:val="en-US"/>
        </w:rPr>
        <w:t xml:space="preserve"> </w:t>
      </w:r>
      <w:r w:rsidR="00AC3BFC" w:rsidRPr="00104227">
        <w:rPr>
          <w:lang w:val="en-US"/>
        </w:rPr>
        <w:t>the State</w:t>
      </w:r>
      <w:r w:rsidR="00AF2BE7" w:rsidRPr="00104227">
        <w:rPr>
          <w:lang w:val="en-US"/>
        </w:rPr>
        <w:t xml:space="preserve"> </w:t>
      </w:r>
      <w:r w:rsidRPr="00104227">
        <w:rPr>
          <w:lang w:val="en-US"/>
        </w:rPr>
        <w:t>submitted to</w:t>
      </w:r>
      <w:r w:rsidR="00AF2BE7" w:rsidRPr="00104227">
        <w:rPr>
          <w:lang w:val="en-US"/>
        </w:rPr>
        <w:t xml:space="preserve"> </w:t>
      </w:r>
      <w:r w:rsidR="00BF5241" w:rsidRPr="00104227">
        <w:rPr>
          <w:lang w:val="en-US"/>
        </w:rPr>
        <w:t>the Court</w:t>
      </w:r>
      <w:r w:rsidR="00AF2BE7" w:rsidRPr="00104227">
        <w:rPr>
          <w:lang w:val="en-US"/>
        </w:rPr>
        <w:t xml:space="preserve"> </w:t>
      </w:r>
      <w:r w:rsidRPr="00104227">
        <w:rPr>
          <w:lang w:val="en-US"/>
        </w:rPr>
        <w:t>its brief answering the submission of the case by</w:t>
      </w:r>
      <w:r w:rsidR="00BF5241" w:rsidRPr="00104227">
        <w:rPr>
          <w:lang w:val="en-US"/>
        </w:rPr>
        <w:t xml:space="preserve"> the Commission and </w:t>
      </w:r>
      <w:r w:rsidRPr="00104227">
        <w:rPr>
          <w:lang w:val="en-US"/>
        </w:rPr>
        <w:t>with observations on the motions and pleadings brief</w:t>
      </w:r>
      <w:r w:rsidR="00AF2BE7" w:rsidRPr="00104227">
        <w:rPr>
          <w:lang w:val="en-US"/>
        </w:rPr>
        <w:t xml:space="preserve"> (</w:t>
      </w:r>
      <w:r w:rsidR="00BF5241" w:rsidRPr="00104227">
        <w:rPr>
          <w:lang w:val="en-US"/>
        </w:rPr>
        <w:t>hereinafter</w:t>
      </w:r>
      <w:r w:rsidR="00AF2BE7" w:rsidRPr="00104227">
        <w:rPr>
          <w:lang w:val="en-US"/>
        </w:rPr>
        <w:t xml:space="preserve"> “</w:t>
      </w:r>
      <w:r w:rsidRPr="00104227">
        <w:rPr>
          <w:lang w:val="en-US"/>
        </w:rPr>
        <w:t>answering brief</w:t>
      </w:r>
      <w:r w:rsidR="00AF2BE7" w:rsidRPr="00104227">
        <w:rPr>
          <w:lang w:val="en-US"/>
        </w:rPr>
        <w:t>”)</w:t>
      </w:r>
      <w:r w:rsidRPr="00104227">
        <w:rPr>
          <w:lang w:val="en-US"/>
        </w:rPr>
        <w:t>.</w:t>
      </w:r>
      <w:r w:rsidR="00AF2BE7" w:rsidRPr="00104227">
        <w:rPr>
          <w:rStyle w:val="Refdenotaalpie"/>
          <w:lang w:val="en-US"/>
        </w:rPr>
        <w:footnoteReference w:id="8"/>
      </w:r>
      <w:r w:rsidR="00AF2BE7" w:rsidRPr="00104227">
        <w:rPr>
          <w:lang w:val="en-US"/>
        </w:rPr>
        <w:t xml:space="preserve"> </w:t>
      </w:r>
      <w:r w:rsidRPr="00104227">
        <w:rPr>
          <w:lang w:val="en-US"/>
        </w:rPr>
        <w:t>In this brief</w:t>
      </w:r>
      <w:r w:rsidR="00AF2BE7" w:rsidRPr="00104227">
        <w:rPr>
          <w:lang w:val="en-US"/>
        </w:rPr>
        <w:t xml:space="preserve">, </w:t>
      </w:r>
      <w:r w:rsidR="00AC3BFC" w:rsidRPr="00104227">
        <w:rPr>
          <w:lang w:val="en-US"/>
        </w:rPr>
        <w:t>the State</w:t>
      </w:r>
      <w:r w:rsidR="00AF2BE7" w:rsidRPr="00104227">
        <w:rPr>
          <w:lang w:val="en-US"/>
        </w:rPr>
        <w:t xml:space="preserve"> </w:t>
      </w:r>
      <w:r w:rsidR="00881B70" w:rsidRPr="00104227">
        <w:rPr>
          <w:lang w:val="en-US"/>
        </w:rPr>
        <w:t>filed</w:t>
      </w:r>
      <w:r w:rsidR="00AF2BE7" w:rsidRPr="00104227">
        <w:rPr>
          <w:lang w:val="en-US"/>
        </w:rPr>
        <w:t xml:space="preserve"> </w:t>
      </w:r>
      <w:r w:rsidRPr="00104227">
        <w:rPr>
          <w:lang w:val="en-US"/>
        </w:rPr>
        <w:t>a preliminary objection</w:t>
      </w:r>
      <w:r w:rsidR="00AF2BE7" w:rsidRPr="00104227">
        <w:rPr>
          <w:lang w:val="en-US"/>
        </w:rPr>
        <w:t xml:space="preserve">, </w:t>
      </w:r>
      <w:r w:rsidRPr="00104227">
        <w:rPr>
          <w:lang w:val="en-US"/>
        </w:rPr>
        <w:t xml:space="preserve">acknowledged some of the alleged violations, although not all the </w:t>
      </w:r>
      <w:r w:rsidR="00881B70" w:rsidRPr="00104227">
        <w:rPr>
          <w:lang w:val="en-US"/>
        </w:rPr>
        <w:t>respective</w:t>
      </w:r>
      <w:r w:rsidRPr="00104227">
        <w:rPr>
          <w:lang w:val="en-US"/>
        </w:rPr>
        <w:t xml:space="preserve"> facts that were indicated by </w:t>
      </w:r>
      <w:r w:rsidR="002826A6" w:rsidRPr="00104227">
        <w:rPr>
          <w:lang w:val="en-US"/>
        </w:rPr>
        <w:t>the representatives</w:t>
      </w:r>
      <w:r w:rsidR="00BF5241" w:rsidRPr="00104227">
        <w:rPr>
          <w:lang w:val="en-US"/>
        </w:rPr>
        <w:t xml:space="preserve"> and the Commission</w:t>
      </w:r>
      <w:r w:rsidR="00AF2BE7" w:rsidRPr="00104227">
        <w:rPr>
          <w:lang w:val="en-US"/>
        </w:rPr>
        <w:t xml:space="preserve">, </w:t>
      </w:r>
      <w:r w:rsidRPr="00104227">
        <w:rPr>
          <w:lang w:val="en-US"/>
        </w:rPr>
        <w:t>and responded to the requests for reparations.</w:t>
      </w:r>
      <w:bookmarkEnd w:id="73"/>
    </w:p>
    <w:p w14:paraId="75D40C28" w14:textId="77777777" w:rsidR="00AF2BE7" w:rsidRPr="00104227" w:rsidRDefault="00AF2BE7" w:rsidP="00E4619F">
      <w:pPr>
        <w:tabs>
          <w:tab w:val="left" w:pos="567"/>
        </w:tabs>
        <w:rPr>
          <w:lang w:eastAsia="es-MX"/>
        </w:rPr>
      </w:pPr>
    </w:p>
    <w:p w14:paraId="6242B151" w14:textId="2658EA15" w:rsidR="00EF7C7F" w:rsidRPr="00104227" w:rsidRDefault="00AA3133" w:rsidP="00E4619F">
      <w:pPr>
        <w:pStyle w:val="Numberedparagraphs"/>
        <w:tabs>
          <w:tab w:val="left" w:pos="567"/>
        </w:tabs>
        <w:rPr>
          <w:b/>
          <w:lang w:val="en-US"/>
        </w:rPr>
      </w:pPr>
      <w:r w:rsidRPr="00104227">
        <w:rPr>
          <w:i/>
          <w:lang w:val="en-US"/>
        </w:rPr>
        <w:t>Legal Assistance Fund</w:t>
      </w:r>
      <w:r w:rsidR="00EE50E8" w:rsidRPr="00104227">
        <w:rPr>
          <w:lang w:val="en-US"/>
        </w:rPr>
        <w:t xml:space="preserve">. </w:t>
      </w:r>
      <w:r w:rsidRPr="00104227">
        <w:rPr>
          <w:lang w:val="en-US"/>
        </w:rPr>
        <w:t>In an order of May</w:t>
      </w:r>
      <w:r w:rsidR="00EE50E8" w:rsidRPr="00104227">
        <w:rPr>
          <w:lang w:val="en-US"/>
        </w:rPr>
        <w:t xml:space="preserve"> 21</w:t>
      </w:r>
      <w:r w:rsidRPr="00104227">
        <w:rPr>
          <w:lang w:val="en-US"/>
        </w:rPr>
        <w:t xml:space="preserve">, </w:t>
      </w:r>
      <w:r w:rsidR="00EE50E8" w:rsidRPr="00104227">
        <w:rPr>
          <w:lang w:val="en-US"/>
        </w:rPr>
        <w:t>2017</w:t>
      </w:r>
      <w:r w:rsidRPr="00104227">
        <w:rPr>
          <w:lang w:val="en-US"/>
        </w:rPr>
        <w:t>,</w:t>
      </w:r>
      <w:r w:rsidR="00EF7C7F" w:rsidRPr="00104227">
        <w:rPr>
          <w:lang w:val="en-US"/>
        </w:rPr>
        <w:t xml:space="preserve"> </w:t>
      </w:r>
      <w:r w:rsidRPr="00104227">
        <w:rPr>
          <w:lang w:val="en-US"/>
        </w:rPr>
        <w:t>the President</w:t>
      </w:r>
      <w:r w:rsidR="00BF5241" w:rsidRPr="00104227">
        <w:rPr>
          <w:lang w:val="en-US"/>
        </w:rPr>
        <w:t xml:space="preserve"> of the Court</w:t>
      </w:r>
      <w:r w:rsidR="00EF7C7F" w:rsidRPr="00104227">
        <w:rPr>
          <w:lang w:val="en-US"/>
        </w:rPr>
        <w:t xml:space="preserve"> declar</w:t>
      </w:r>
      <w:r w:rsidRPr="00104227">
        <w:rPr>
          <w:lang w:val="en-US"/>
        </w:rPr>
        <w:t xml:space="preserve">ed </w:t>
      </w:r>
      <w:r w:rsidR="00881B70" w:rsidRPr="00104227">
        <w:rPr>
          <w:lang w:val="en-US"/>
        </w:rPr>
        <w:t>admissible</w:t>
      </w:r>
      <w:r w:rsidRPr="00104227">
        <w:rPr>
          <w:lang w:val="en-US"/>
        </w:rPr>
        <w:t xml:space="preserve"> the request filed by</w:t>
      </w:r>
      <w:r w:rsidR="00EF7C7F" w:rsidRPr="00104227">
        <w:rPr>
          <w:lang w:val="en-US"/>
        </w:rPr>
        <w:t xml:space="preserve"> </w:t>
      </w:r>
      <w:r w:rsidRPr="00104227">
        <w:rPr>
          <w:lang w:val="en-US"/>
        </w:rPr>
        <w:t>the presumed victims</w:t>
      </w:r>
      <w:r w:rsidR="00EF7C7F" w:rsidRPr="00104227">
        <w:rPr>
          <w:lang w:val="en-US"/>
        </w:rPr>
        <w:t xml:space="preserve">, </w:t>
      </w:r>
      <w:r w:rsidRPr="00104227">
        <w:rPr>
          <w:lang w:val="en-US"/>
        </w:rPr>
        <w:t>through their representatives, to access the Legal Assistance Fund</w:t>
      </w:r>
      <w:r w:rsidR="00BF5241" w:rsidRPr="00104227">
        <w:rPr>
          <w:lang w:val="en-US"/>
        </w:rPr>
        <w:t xml:space="preserve"> of the Court</w:t>
      </w:r>
      <w:r w:rsidRPr="00104227">
        <w:rPr>
          <w:lang w:val="en-US"/>
        </w:rPr>
        <w:t>.</w:t>
      </w:r>
      <w:r w:rsidR="00EF7C7F" w:rsidRPr="00104227">
        <w:rPr>
          <w:rStyle w:val="Refdenotaalpie"/>
          <w:lang w:val="en-US"/>
        </w:rPr>
        <w:footnoteReference w:id="9"/>
      </w:r>
      <w:r w:rsidR="00EF7C7F" w:rsidRPr="00104227">
        <w:rPr>
          <w:lang w:val="en-US"/>
        </w:rPr>
        <w:t xml:space="preserve"> </w:t>
      </w:r>
    </w:p>
    <w:p w14:paraId="5892C108" w14:textId="77777777" w:rsidR="0060321F" w:rsidRPr="00104227" w:rsidRDefault="0060321F" w:rsidP="00E4619F">
      <w:pPr>
        <w:tabs>
          <w:tab w:val="left" w:pos="567"/>
        </w:tabs>
        <w:rPr>
          <w:spacing w:val="-4"/>
          <w:lang w:eastAsia="es-MX"/>
        </w:rPr>
      </w:pPr>
    </w:p>
    <w:p w14:paraId="11042687" w14:textId="76B82590" w:rsidR="0060321F" w:rsidRPr="00104227" w:rsidRDefault="0060321F" w:rsidP="00E4619F">
      <w:pPr>
        <w:pStyle w:val="Numberedparagraphs"/>
        <w:tabs>
          <w:tab w:val="left" w:pos="567"/>
        </w:tabs>
        <w:rPr>
          <w:lang w:val="en-US"/>
        </w:rPr>
      </w:pPr>
      <w:r w:rsidRPr="00104227">
        <w:rPr>
          <w:i/>
          <w:lang w:val="en-US"/>
        </w:rPr>
        <w:t>Ob</w:t>
      </w:r>
      <w:r w:rsidR="00C14AB1" w:rsidRPr="00104227">
        <w:rPr>
          <w:i/>
          <w:lang w:val="en-US"/>
        </w:rPr>
        <w:t>serva</w:t>
      </w:r>
      <w:r w:rsidR="00AA3133" w:rsidRPr="00104227">
        <w:rPr>
          <w:i/>
          <w:lang w:val="en-US"/>
        </w:rPr>
        <w:t>tions on the preliminary objection</w:t>
      </w:r>
      <w:r w:rsidR="00BF5241" w:rsidRPr="00104227">
        <w:rPr>
          <w:i/>
          <w:lang w:val="en-US"/>
        </w:rPr>
        <w:t xml:space="preserve"> and </w:t>
      </w:r>
      <w:r w:rsidR="00AA3133" w:rsidRPr="00104227">
        <w:rPr>
          <w:i/>
          <w:lang w:val="en-US"/>
        </w:rPr>
        <w:t>the acknowledgement of responsibility</w:t>
      </w:r>
      <w:r w:rsidRPr="00104227">
        <w:rPr>
          <w:i/>
          <w:lang w:val="en-US"/>
        </w:rPr>
        <w:t>.</w:t>
      </w:r>
      <w:r w:rsidR="00C14AB1" w:rsidRPr="00104227">
        <w:rPr>
          <w:lang w:val="en-US"/>
        </w:rPr>
        <w:t xml:space="preserve"> </w:t>
      </w:r>
      <w:r w:rsidR="00AA3133" w:rsidRPr="00104227">
        <w:rPr>
          <w:lang w:val="en-US"/>
        </w:rPr>
        <w:t xml:space="preserve">On July 27, </w:t>
      </w:r>
      <w:r w:rsidRPr="00104227">
        <w:rPr>
          <w:lang w:val="en-US"/>
        </w:rPr>
        <w:t>2017</w:t>
      </w:r>
      <w:r w:rsidR="00AA3133" w:rsidRPr="00104227">
        <w:rPr>
          <w:lang w:val="en-US"/>
        </w:rPr>
        <w:t>,</w:t>
      </w:r>
      <w:r w:rsidRPr="00104227">
        <w:rPr>
          <w:lang w:val="en-US"/>
        </w:rPr>
        <w:t xml:space="preserve"> </w:t>
      </w:r>
      <w:r w:rsidR="00BF5241" w:rsidRPr="00104227">
        <w:rPr>
          <w:lang w:val="en-US"/>
        </w:rPr>
        <w:t xml:space="preserve">the Commission and </w:t>
      </w:r>
      <w:r w:rsidR="002826A6" w:rsidRPr="00104227">
        <w:rPr>
          <w:lang w:val="en-US"/>
        </w:rPr>
        <w:t>the representatives</w:t>
      </w:r>
      <w:r w:rsidRPr="00104227">
        <w:rPr>
          <w:lang w:val="en-US"/>
        </w:rPr>
        <w:t xml:space="preserve"> </w:t>
      </w:r>
      <w:r w:rsidR="00C14AB1" w:rsidRPr="00104227">
        <w:rPr>
          <w:lang w:val="en-US"/>
        </w:rPr>
        <w:t>present</w:t>
      </w:r>
      <w:r w:rsidR="00AA3133" w:rsidRPr="00104227">
        <w:rPr>
          <w:lang w:val="en-US"/>
        </w:rPr>
        <w:t>ed their observations on the preliminary objection</w:t>
      </w:r>
      <w:r w:rsidR="00BF5241" w:rsidRPr="00104227">
        <w:rPr>
          <w:lang w:val="en-US"/>
        </w:rPr>
        <w:t xml:space="preserve"> and </w:t>
      </w:r>
      <w:r w:rsidR="00AA3133" w:rsidRPr="00104227">
        <w:rPr>
          <w:lang w:val="en-US"/>
        </w:rPr>
        <w:t xml:space="preserve">the acknowledgement of responsibility made by </w:t>
      </w:r>
      <w:r w:rsidR="00AC3BFC" w:rsidRPr="00104227">
        <w:rPr>
          <w:lang w:val="en-US"/>
        </w:rPr>
        <w:t>the State</w:t>
      </w:r>
      <w:r w:rsidR="001057AD" w:rsidRPr="00104227">
        <w:rPr>
          <w:lang w:val="en-US"/>
        </w:rPr>
        <w:t>.</w:t>
      </w:r>
    </w:p>
    <w:p w14:paraId="6746BB9E" w14:textId="77777777" w:rsidR="00AC1F68" w:rsidRPr="00104227" w:rsidRDefault="00AC1F68" w:rsidP="00E4619F">
      <w:pPr>
        <w:tabs>
          <w:tab w:val="left" w:pos="567"/>
        </w:tabs>
        <w:rPr>
          <w:spacing w:val="-4"/>
          <w:lang w:eastAsia="es-MX"/>
        </w:rPr>
      </w:pPr>
    </w:p>
    <w:p w14:paraId="1F988D8B" w14:textId="516A640F" w:rsidR="00A46476" w:rsidRPr="00104227" w:rsidRDefault="00AA3133" w:rsidP="00AA3133">
      <w:pPr>
        <w:pStyle w:val="Numberedparagraphs"/>
        <w:tabs>
          <w:tab w:val="left" w:pos="567"/>
        </w:tabs>
        <w:rPr>
          <w:lang w:val="en-US"/>
        </w:rPr>
      </w:pPr>
      <w:r w:rsidRPr="00104227">
        <w:rPr>
          <w:i/>
          <w:lang w:val="en-US"/>
        </w:rPr>
        <w:t>Public hearing</w:t>
      </w:r>
      <w:r w:rsidR="00A46476" w:rsidRPr="00104227">
        <w:rPr>
          <w:i/>
          <w:lang w:val="en-US"/>
        </w:rPr>
        <w:t xml:space="preserve">. </w:t>
      </w:r>
      <w:r w:rsidRPr="00104227">
        <w:rPr>
          <w:lang w:val="en-US"/>
        </w:rPr>
        <w:t>On October 18,</w:t>
      </w:r>
      <w:r w:rsidR="00A46476" w:rsidRPr="00104227">
        <w:rPr>
          <w:lang w:val="en-US"/>
        </w:rPr>
        <w:t xml:space="preserve"> 2017</w:t>
      </w:r>
      <w:r w:rsidRPr="00104227">
        <w:rPr>
          <w:lang w:val="en-US"/>
        </w:rPr>
        <w:t>,</w:t>
      </w:r>
      <w:r w:rsidR="00A46476" w:rsidRPr="00104227">
        <w:rPr>
          <w:lang w:val="en-US"/>
        </w:rPr>
        <w:t xml:space="preserve"> </w:t>
      </w:r>
      <w:r w:rsidRPr="00104227">
        <w:rPr>
          <w:lang w:val="en-US"/>
        </w:rPr>
        <w:t>the President</w:t>
      </w:r>
      <w:r w:rsidR="00A46476" w:rsidRPr="00104227">
        <w:rPr>
          <w:lang w:val="en-US"/>
        </w:rPr>
        <w:t xml:space="preserve"> </w:t>
      </w:r>
      <w:r w:rsidRPr="00104227">
        <w:rPr>
          <w:lang w:val="en-US"/>
        </w:rPr>
        <w:t xml:space="preserve">issued an order calling </w:t>
      </w:r>
      <w:r w:rsidR="0094395C" w:rsidRPr="00104227">
        <w:rPr>
          <w:lang w:val="en-US"/>
        </w:rPr>
        <w:t>the State</w:t>
      </w:r>
      <w:r w:rsidR="00A46476" w:rsidRPr="00104227">
        <w:rPr>
          <w:lang w:val="en-US"/>
        </w:rPr>
        <w:t>,</w:t>
      </w:r>
      <w:r w:rsidR="0060321F" w:rsidRPr="00104227">
        <w:rPr>
          <w:lang w:val="en-US"/>
        </w:rPr>
        <w:t xml:space="preserve"> </w:t>
      </w:r>
      <w:r w:rsidR="002826A6" w:rsidRPr="00104227">
        <w:rPr>
          <w:lang w:val="en-US"/>
        </w:rPr>
        <w:t>the representatives</w:t>
      </w:r>
      <w:r w:rsidR="00BF5241" w:rsidRPr="00104227">
        <w:rPr>
          <w:lang w:val="en-US"/>
        </w:rPr>
        <w:t xml:space="preserve"> and</w:t>
      </w:r>
      <w:r w:rsidR="00A46476" w:rsidRPr="00104227">
        <w:rPr>
          <w:lang w:val="en-US"/>
        </w:rPr>
        <w:t xml:space="preserve"> </w:t>
      </w:r>
      <w:r w:rsidR="00BF5241" w:rsidRPr="00104227">
        <w:rPr>
          <w:lang w:val="en-US"/>
        </w:rPr>
        <w:t>the Inter-American Commission</w:t>
      </w:r>
      <w:r w:rsidR="00A46476" w:rsidRPr="00104227">
        <w:rPr>
          <w:lang w:val="en-US"/>
        </w:rPr>
        <w:t xml:space="preserve"> </w:t>
      </w:r>
      <w:r w:rsidRPr="00104227">
        <w:rPr>
          <w:lang w:val="en-US"/>
        </w:rPr>
        <w:t>to a</w:t>
      </w:r>
      <w:r w:rsidR="00A46476" w:rsidRPr="00104227">
        <w:rPr>
          <w:lang w:val="en-US"/>
        </w:rPr>
        <w:t xml:space="preserve"> </w:t>
      </w:r>
      <w:r w:rsidRPr="00104227">
        <w:rPr>
          <w:lang w:val="en-US"/>
        </w:rPr>
        <w:t>public hearing</w:t>
      </w:r>
      <w:r w:rsidR="00BF1517" w:rsidRPr="00104227">
        <w:rPr>
          <w:lang w:val="en-US"/>
        </w:rPr>
        <w:t xml:space="preserve"> </w:t>
      </w:r>
      <w:r w:rsidRPr="00104227">
        <w:rPr>
          <w:lang w:val="en-US"/>
        </w:rPr>
        <w:t>on the</w:t>
      </w:r>
      <w:r w:rsidR="00BF1517" w:rsidRPr="00104227">
        <w:rPr>
          <w:lang w:val="en-US"/>
        </w:rPr>
        <w:t xml:space="preserve"> </w:t>
      </w:r>
      <w:r w:rsidRPr="00104227">
        <w:rPr>
          <w:lang w:val="en-US"/>
        </w:rPr>
        <w:t>preliminary objection</w:t>
      </w:r>
      <w:r w:rsidR="00BF5241" w:rsidRPr="00104227">
        <w:rPr>
          <w:lang w:val="en-US"/>
        </w:rPr>
        <w:t xml:space="preserve"> and </w:t>
      </w:r>
      <w:r w:rsidR="00BF1517" w:rsidRPr="00104227">
        <w:rPr>
          <w:lang w:val="en-US"/>
        </w:rPr>
        <w:t>eventual</w:t>
      </w:r>
      <w:r w:rsidR="00A46476" w:rsidRPr="00104227">
        <w:rPr>
          <w:lang w:val="en-US"/>
        </w:rPr>
        <w:t xml:space="preserve"> </w:t>
      </w:r>
      <w:r w:rsidRPr="00104227">
        <w:rPr>
          <w:lang w:val="en-US"/>
        </w:rPr>
        <w:t>m</w:t>
      </w:r>
      <w:r w:rsidR="00BF5241" w:rsidRPr="00104227">
        <w:rPr>
          <w:lang w:val="en-US"/>
        </w:rPr>
        <w:t>erits, reparations and costs</w:t>
      </w:r>
      <w:r w:rsidR="00A46476" w:rsidRPr="00104227">
        <w:rPr>
          <w:lang w:val="en-US"/>
        </w:rPr>
        <w:t xml:space="preserve">, </w:t>
      </w:r>
      <w:r w:rsidRPr="00104227">
        <w:rPr>
          <w:lang w:val="en-US"/>
        </w:rPr>
        <w:t xml:space="preserve">to receive </w:t>
      </w:r>
      <w:r w:rsidR="00881B70" w:rsidRPr="00104227">
        <w:rPr>
          <w:lang w:val="en-US"/>
        </w:rPr>
        <w:t>t</w:t>
      </w:r>
      <w:r w:rsidRPr="00104227">
        <w:rPr>
          <w:lang w:val="en-US"/>
        </w:rPr>
        <w:t xml:space="preserve">he final oral arguments of the parties and the final oral observations </w:t>
      </w:r>
      <w:r w:rsidR="00BF5241" w:rsidRPr="00104227">
        <w:rPr>
          <w:lang w:val="en-US"/>
        </w:rPr>
        <w:t>of the Commission</w:t>
      </w:r>
      <w:r w:rsidR="00A46476" w:rsidRPr="00104227">
        <w:rPr>
          <w:lang w:val="en-US"/>
        </w:rPr>
        <w:t xml:space="preserve"> </w:t>
      </w:r>
      <w:bookmarkStart w:id="74" w:name="_Ref499811592"/>
      <w:r w:rsidRPr="00104227">
        <w:rPr>
          <w:lang w:val="en-US"/>
        </w:rPr>
        <w:t>on those issues.</w:t>
      </w:r>
      <w:r w:rsidR="0060321F" w:rsidRPr="00104227">
        <w:rPr>
          <w:rStyle w:val="Refdenotaalpie"/>
          <w:lang w:val="en-US"/>
        </w:rPr>
        <w:footnoteReference w:id="10"/>
      </w:r>
      <w:bookmarkEnd w:id="74"/>
      <w:r w:rsidR="0060321F" w:rsidRPr="00104227">
        <w:rPr>
          <w:lang w:val="en-US"/>
        </w:rPr>
        <w:t xml:space="preserve"> </w:t>
      </w:r>
      <w:r w:rsidRPr="00104227">
        <w:rPr>
          <w:lang w:val="en-US"/>
        </w:rPr>
        <w:t xml:space="preserve">Also, in this order, he required that the statements of six presumed victims and eight expert witnesses be received by affidavit. The affidavits were presented by </w:t>
      </w:r>
      <w:r w:rsidR="002826A6" w:rsidRPr="00104227">
        <w:rPr>
          <w:lang w:val="en-US"/>
        </w:rPr>
        <w:t>the representatives</w:t>
      </w:r>
      <w:r w:rsidR="008968A8" w:rsidRPr="00104227">
        <w:rPr>
          <w:lang w:val="en-US"/>
        </w:rPr>
        <w:t xml:space="preserve"> </w:t>
      </w:r>
      <w:r w:rsidRPr="00104227">
        <w:rPr>
          <w:lang w:val="en-US"/>
        </w:rPr>
        <w:t>on November 2,</w:t>
      </w:r>
      <w:r w:rsidR="008968A8" w:rsidRPr="00104227">
        <w:rPr>
          <w:lang w:val="en-US"/>
        </w:rPr>
        <w:t xml:space="preserve"> 2017</w:t>
      </w:r>
      <w:r w:rsidR="00C75F2B" w:rsidRPr="00104227">
        <w:rPr>
          <w:lang w:val="en-US"/>
        </w:rPr>
        <w:t>.</w:t>
      </w:r>
      <w:r w:rsidR="000A4A2C" w:rsidRPr="00104227">
        <w:rPr>
          <w:lang w:val="en-US"/>
        </w:rPr>
        <w:t xml:space="preserve"> </w:t>
      </w:r>
      <w:r w:rsidR="00BF5241" w:rsidRPr="00104227">
        <w:rPr>
          <w:lang w:val="en-US"/>
        </w:rPr>
        <w:t xml:space="preserve">The </w:t>
      </w:r>
      <w:r w:rsidR="00BF5241" w:rsidRPr="00104227">
        <w:rPr>
          <w:lang w:val="en-US"/>
        </w:rPr>
        <w:lastRenderedPageBreak/>
        <w:t>Commission</w:t>
      </w:r>
      <w:r w:rsidR="007F1CA8" w:rsidRPr="00104227">
        <w:rPr>
          <w:lang w:val="en-US"/>
        </w:rPr>
        <w:t xml:space="preserve"> </w:t>
      </w:r>
      <w:r w:rsidRPr="00104227">
        <w:rPr>
          <w:lang w:val="en-US"/>
        </w:rPr>
        <w:t>withdrew the opinion by affidavit of one proposed expert witness on October 30,</w:t>
      </w:r>
      <w:r w:rsidR="00C75F2B" w:rsidRPr="00104227">
        <w:rPr>
          <w:lang w:val="en-US"/>
        </w:rPr>
        <w:t xml:space="preserve"> 2017.</w:t>
      </w:r>
      <w:r w:rsidR="007F1CA8" w:rsidRPr="00104227">
        <w:rPr>
          <w:lang w:val="en-US"/>
        </w:rPr>
        <w:t xml:space="preserve"> </w:t>
      </w:r>
      <w:r w:rsidRPr="00104227">
        <w:rPr>
          <w:lang w:val="en-US"/>
        </w:rPr>
        <w:t>In addition, in the said order, the President called on five presumed victims, one deponent for informati</w:t>
      </w:r>
      <w:r w:rsidR="00881B70" w:rsidRPr="00104227">
        <w:rPr>
          <w:lang w:val="en-US"/>
        </w:rPr>
        <w:t>on</w:t>
      </w:r>
      <w:r w:rsidRPr="00104227">
        <w:rPr>
          <w:lang w:val="en-US"/>
        </w:rPr>
        <w:t xml:space="preserve"> purposes, and one expert witness to provide their testimony during the public hearing. The public hearing took place on November 16 and 17, 2017, during the 120</w:t>
      </w:r>
      <w:r w:rsidRPr="00104227">
        <w:rPr>
          <w:vertAlign w:val="superscript"/>
          <w:lang w:val="en-US"/>
        </w:rPr>
        <w:t>th</w:t>
      </w:r>
      <w:r w:rsidRPr="00104227">
        <w:rPr>
          <w:lang w:val="en-US"/>
        </w:rPr>
        <w:t xml:space="preserve"> regular session of the Court, held at its seat.</w:t>
      </w:r>
      <w:r w:rsidR="00AC16B0" w:rsidRPr="00104227">
        <w:rPr>
          <w:rFonts w:eastAsia="Verdana" w:cs="Verdana"/>
          <w:vertAlign w:val="superscript"/>
          <w:lang w:val="en-US"/>
        </w:rPr>
        <w:footnoteReference w:id="11"/>
      </w:r>
      <w:r w:rsidRPr="00104227">
        <w:rPr>
          <w:lang w:val="en-US"/>
        </w:rPr>
        <w:t xml:space="preserve"> During this hearing, the Court’s judges asked the parties and the Commission to provide certain information and explanations</w:t>
      </w:r>
      <w:r w:rsidR="00CC4C11" w:rsidRPr="00104227">
        <w:rPr>
          <w:lang w:val="en-US"/>
        </w:rPr>
        <w:t>.</w:t>
      </w:r>
    </w:p>
    <w:p w14:paraId="6283A1DA" w14:textId="77777777" w:rsidR="00CC4C11" w:rsidRPr="00104227" w:rsidRDefault="00CC4C11" w:rsidP="00E4619F">
      <w:pPr>
        <w:tabs>
          <w:tab w:val="left" w:pos="567"/>
        </w:tabs>
        <w:rPr>
          <w:spacing w:val="-4"/>
          <w:lang w:eastAsia="es-MX"/>
        </w:rPr>
      </w:pPr>
    </w:p>
    <w:p w14:paraId="683CD09F" w14:textId="2F5B4A96" w:rsidR="00C8042B" w:rsidRPr="00104227" w:rsidRDefault="00A46476" w:rsidP="00E4619F">
      <w:pPr>
        <w:pStyle w:val="Numberedparagraphs"/>
        <w:tabs>
          <w:tab w:val="left" w:pos="567"/>
        </w:tabs>
        <w:rPr>
          <w:b/>
          <w:bCs/>
          <w:lang w:val="en-US"/>
        </w:rPr>
      </w:pPr>
      <w:r w:rsidRPr="00104227">
        <w:rPr>
          <w:i/>
          <w:lang w:val="en-US"/>
        </w:rPr>
        <w:t>Amic</w:t>
      </w:r>
      <w:r w:rsidR="003719B7" w:rsidRPr="00104227">
        <w:rPr>
          <w:i/>
          <w:lang w:val="en-US"/>
        </w:rPr>
        <w:t>us</w:t>
      </w:r>
      <w:r w:rsidRPr="00104227">
        <w:rPr>
          <w:i/>
          <w:lang w:val="en-US"/>
        </w:rPr>
        <w:t xml:space="preserve"> curiae. </w:t>
      </w:r>
      <w:r w:rsidR="00BF5241" w:rsidRPr="00104227">
        <w:rPr>
          <w:lang w:val="en-US"/>
        </w:rPr>
        <w:t>The Court</w:t>
      </w:r>
      <w:r w:rsidR="00FA3DCF" w:rsidRPr="00104227">
        <w:rPr>
          <w:lang w:val="en-US"/>
        </w:rPr>
        <w:t xml:space="preserve"> rec</w:t>
      </w:r>
      <w:r w:rsidR="00AA3133" w:rsidRPr="00104227">
        <w:rPr>
          <w:lang w:val="en-US"/>
        </w:rPr>
        <w:t xml:space="preserve">eived 16 </w:t>
      </w:r>
      <w:r w:rsidR="00FA3DCF" w:rsidRPr="00104227">
        <w:rPr>
          <w:i/>
          <w:iCs/>
          <w:lang w:val="en-US"/>
        </w:rPr>
        <w:t>amicus curiae</w:t>
      </w:r>
      <w:r w:rsidR="00FA3DCF" w:rsidRPr="00104227">
        <w:rPr>
          <w:lang w:val="en-US"/>
        </w:rPr>
        <w:t xml:space="preserve"> </w:t>
      </w:r>
      <w:r w:rsidR="00AA3133" w:rsidRPr="00104227">
        <w:rPr>
          <w:lang w:val="en-US"/>
        </w:rPr>
        <w:t>briefs submitted by</w:t>
      </w:r>
      <w:r w:rsidR="00FA3DCF" w:rsidRPr="00104227">
        <w:rPr>
          <w:lang w:val="en-US"/>
        </w:rPr>
        <w:t>: 1) Women's Link Worldwide</w:t>
      </w:r>
      <w:r w:rsidR="00AA3133" w:rsidRPr="00104227">
        <w:rPr>
          <w:lang w:val="en-US"/>
        </w:rPr>
        <w:t>;</w:t>
      </w:r>
      <w:r w:rsidR="00FA3DCF" w:rsidRPr="00104227">
        <w:rPr>
          <w:rStyle w:val="Refdenotaalpie"/>
          <w:sz w:val="20"/>
          <w:lang w:val="en-US"/>
        </w:rPr>
        <w:footnoteReference w:id="12"/>
      </w:r>
      <w:r w:rsidR="00FA3DCF" w:rsidRPr="00104227">
        <w:rPr>
          <w:lang w:val="en-US"/>
        </w:rPr>
        <w:t xml:space="preserve"> </w:t>
      </w:r>
      <w:r w:rsidR="00FA3DCF" w:rsidRPr="00104227">
        <w:rPr>
          <w:bCs/>
          <w:lang w:val="en-US"/>
        </w:rPr>
        <w:t xml:space="preserve">2) </w:t>
      </w:r>
      <w:r w:rsidR="00FA3DCF" w:rsidRPr="00104227">
        <w:rPr>
          <w:lang w:val="en-US"/>
        </w:rPr>
        <w:t xml:space="preserve">Silvina Álvarez Medina, </w:t>
      </w:r>
      <w:r w:rsidR="000A14CF" w:rsidRPr="00104227">
        <w:rPr>
          <w:lang w:val="en-US"/>
        </w:rPr>
        <w:t>professor</w:t>
      </w:r>
      <w:r w:rsidR="009956B9" w:rsidRPr="00104227">
        <w:rPr>
          <w:lang w:val="en-US"/>
        </w:rPr>
        <w:t xml:space="preserve">, </w:t>
      </w:r>
      <w:r w:rsidR="00FA3DCF" w:rsidRPr="00104227">
        <w:rPr>
          <w:lang w:val="en-US"/>
        </w:rPr>
        <w:t>Department</w:t>
      </w:r>
      <w:r w:rsidR="00AA3133" w:rsidRPr="00104227">
        <w:rPr>
          <w:lang w:val="en-US"/>
        </w:rPr>
        <w:t xml:space="preserve"> of Public Law and Legal </w:t>
      </w:r>
      <w:r w:rsidR="000A14CF" w:rsidRPr="00104227">
        <w:rPr>
          <w:lang w:val="en-US"/>
        </w:rPr>
        <w:t>Philosophy</w:t>
      </w:r>
      <w:r w:rsidR="00AA3133" w:rsidRPr="00104227">
        <w:rPr>
          <w:lang w:val="en-US"/>
        </w:rPr>
        <w:t xml:space="preserve"> at the </w:t>
      </w:r>
      <w:r w:rsidR="00FA3DCF" w:rsidRPr="00104227">
        <w:rPr>
          <w:lang w:val="en-US"/>
        </w:rPr>
        <w:t>Universidad Autónoma de Madrid,</w:t>
      </w:r>
      <w:r w:rsidR="00BF5241" w:rsidRPr="00104227">
        <w:rPr>
          <w:lang w:val="en-US"/>
        </w:rPr>
        <w:t xml:space="preserve"> and </w:t>
      </w:r>
      <w:r w:rsidR="00FA3DCF" w:rsidRPr="00104227">
        <w:rPr>
          <w:lang w:val="en-US"/>
        </w:rPr>
        <w:t xml:space="preserve">Tania Sordo Ruz, </w:t>
      </w:r>
      <w:r w:rsidR="00AA3133" w:rsidRPr="00104227">
        <w:rPr>
          <w:lang w:val="en-US"/>
        </w:rPr>
        <w:t>lawyer specialized in violence against women and discrimination;</w:t>
      </w:r>
      <w:r w:rsidR="00E36BD8" w:rsidRPr="00104227">
        <w:rPr>
          <w:rStyle w:val="Refdenotaalpie"/>
          <w:sz w:val="20"/>
          <w:szCs w:val="20"/>
          <w:lang w:val="en-US"/>
        </w:rPr>
        <w:footnoteReference w:id="13"/>
      </w:r>
      <w:r w:rsidR="00FA3DCF" w:rsidRPr="00104227">
        <w:rPr>
          <w:lang w:val="en-US"/>
        </w:rPr>
        <w:t xml:space="preserve"> 3) </w:t>
      </w:r>
      <w:r w:rsidR="00AA3133" w:rsidRPr="00104227">
        <w:rPr>
          <w:lang w:val="en-US"/>
        </w:rPr>
        <w:t>the</w:t>
      </w:r>
      <w:r w:rsidR="009956B9" w:rsidRPr="00104227">
        <w:rPr>
          <w:lang w:val="en-US"/>
        </w:rPr>
        <w:t xml:space="preserve"> Due Process of Law Foundation</w:t>
      </w:r>
      <w:r w:rsidR="00AA3133" w:rsidRPr="00104227">
        <w:rPr>
          <w:lang w:val="en-US"/>
        </w:rPr>
        <w:t xml:space="preserve"> </w:t>
      </w:r>
      <w:r w:rsidR="00FA3DCF" w:rsidRPr="00104227">
        <w:rPr>
          <w:lang w:val="en-US"/>
        </w:rPr>
        <w:t>(DPLF)</w:t>
      </w:r>
      <w:r w:rsidR="00AA3133" w:rsidRPr="00104227">
        <w:rPr>
          <w:lang w:val="en-US"/>
        </w:rPr>
        <w:t>;</w:t>
      </w:r>
      <w:r w:rsidR="00FA3DCF" w:rsidRPr="00104227">
        <w:rPr>
          <w:rStyle w:val="Refdenotaalpie"/>
          <w:sz w:val="20"/>
          <w:lang w:val="en-US"/>
        </w:rPr>
        <w:footnoteReference w:id="14"/>
      </w:r>
      <w:r w:rsidR="00FA3DCF" w:rsidRPr="00104227">
        <w:rPr>
          <w:lang w:val="en-US"/>
        </w:rPr>
        <w:t xml:space="preserve"> 4) ARTICLE 19, Of</w:t>
      </w:r>
      <w:r w:rsidR="00AA3133" w:rsidRPr="00104227">
        <w:rPr>
          <w:lang w:val="en-US"/>
        </w:rPr>
        <w:t>fice for Mexico and Central America;</w:t>
      </w:r>
      <w:r w:rsidR="00FA3DCF" w:rsidRPr="00104227">
        <w:rPr>
          <w:rStyle w:val="Refdenotaalpie"/>
          <w:sz w:val="20"/>
          <w:lang w:val="en-US"/>
        </w:rPr>
        <w:footnoteReference w:id="15"/>
      </w:r>
      <w:r w:rsidR="00FA3DCF" w:rsidRPr="00104227">
        <w:rPr>
          <w:lang w:val="en-US"/>
        </w:rPr>
        <w:t xml:space="preserve"> 5)</w:t>
      </w:r>
      <w:r w:rsidR="00FA3DCF" w:rsidRPr="00104227">
        <w:rPr>
          <w:bCs/>
          <w:lang w:val="en-US"/>
        </w:rPr>
        <w:t xml:space="preserve"> </w:t>
      </w:r>
      <w:r w:rsidR="00FA3DCF" w:rsidRPr="00104227">
        <w:rPr>
          <w:lang w:val="en-US"/>
        </w:rPr>
        <w:t>FUNDAR, Centro de Análisis e Investigación</w:t>
      </w:r>
      <w:r w:rsidR="00AA3133" w:rsidRPr="00104227">
        <w:rPr>
          <w:lang w:val="en-US"/>
        </w:rPr>
        <w:t>;</w:t>
      </w:r>
      <w:r w:rsidR="00FA3DCF" w:rsidRPr="00104227">
        <w:rPr>
          <w:rStyle w:val="Refdenotaalpie"/>
          <w:sz w:val="20"/>
          <w:lang w:val="en-US"/>
        </w:rPr>
        <w:footnoteReference w:id="16"/>
      </w:r>
      <w:r w:rsidR="00FA3DCF" w:rsidRPr="00104227">
        <w:rPr>
          <w:lang w:val="en-US"/>
        </w:rPr>
        <w:t xml:space="preserve"> 6) ELEMENTA, Consultoría en Derechos</w:t>
      </w:r>
      <w:r w:rsidR="00AA3133" w:rsidRPr="00104227">
        <w:rPr>
          <w:lang w:val="en-US"/>
        </w:rPr>
        <w:t>;</w:t>
      </w:r>
      <w:r w:rsidR="00FA3DCF" w:rsidRPr="00104227">
        <w:rPr>
          <w:rStyle w:val="Refdenotaalpie"/>
          <w:sz w:val="20"/>
          <w:lang w:val="en-US"/>
        </w:rPr>
        <w:footnoteReference w:id="17"/>
      </w:r>
      <w:r w:rsidR="00FA3DCF" w:rsidRPr="00104227">
        <w:rPr>
          <w:bCs/>
          <w:lang w:val="en-US"/>
        </w:rPr>
        <w:t xml:space="preserve"> </w:t>
      </w:r>
      <w:r w:rsidR="00FA3DCF" w:rsidRPr="00104227">
        <w:rPr>
          <w:lang w:val="en-US"/>
        </w:rPr>
        <w:t xml:space="preserve">7) </w:t>
      </w:r>
      <w:r w:rsidR="00AA3133" w:rsidRPr="00104227">
        <w:rPr>
          <w:lang w:val="en-US"/>
        </w:rPr>
        <w:t xml:space="preserve">the Human Rights Program and the Gender Affairs Program at the </w:t>
      </w:r>
      <w:r w:rsidR="00FA3DCF" w:rsidRPr="00104227">
        <w:rPr>
          <w:lang w:val="en-US"/>
        </w:rPr>
        <w:t>Universidad Iberoamericana</w:t>
      </w:r>
      <w:r w:rsidR="00AA3133" w:rsidRPr="00104227">
        <w:rPr>
          <w:lang w:val="en-US"/>
        </w:rPr>
        <w:t xml:space="preserve">, </w:t>
      </w:r>
      <w:r w:rsidR="00BF5241" w:rsidRPr="00104227">
        <w:rPr>
          <w:lang w:val="en-US"/>
        </w:rPr>
        <w:t>Mexico</w:t>
      </w:r>
      <w:r w:rsidR="00AA3133" w:rsidRPr="00104227">
        <w:rPr>
          <w:lang w:val="en-US"/>
        </w:rPr>
        <w:t xml:space="preserve"> City,</w:t>
      </w:r>
      <w:r w:rsidR="00BF5241" w:rsidRPr="00104227">
        <w:rPr>
          <w:lang w:val="en-US"/>
        </w:rPr>
        <w:t xml:space="preserve"> and </w:t>
      </w:r>
      <w:r w:rsidR="00FA3DCF" w:rsidRPr="00104227">
        <w:rPr>
          <w:lang w:val="en-US"/>
        </w:rPr>
        <w:t>Concordia, Consultoría en Derechos Humanos</w:t>
      </w:r>
      <w:r w:rsidR="00FA3DCF" w:rsidRPr="00104227">
        <w:rPr>
          <w:rStyle w:val="Refdenotaalpie"/>
          <w:sz w:val="20"/>
          <w:lang w:val="en-US"/>
        </w:rPr>
        <w:footnoteReference w:id="18"/>
      </w:r>
      <w:r w:rsidR="00FA3DCF" w:rsidRPr="00104227">
        <w:rPr>
          <w:lang w:val="en-US"/>
        </w:rPr>
        <w:t xml:space="preserve">; 8) </w:t>
      </w:r>
      <w:r w:rsidR="00881B70" w:rsidRPr="00104227">
        <w:rPr>
          <w:lang w:val="en-US"/>
        </w:rPr>
        <w:t>the</w:t>
      </w:r>
      <w:r w:rsidR="00FA3DCF" w:rsidRPr="00104227">
        <w:rPr>
          <w:lang w:val="en-US"/>
        </w:rPr>
        <w:t xml:space="preserve"> Centro de Estudios Legales</w:t>
      </w:r>
      <w:r w:rsidR="00BF5241" w:rsidRPr="00104227">
        <w:rPr>
          <w:lang w:val="en-US"/>
        </w:rPr>
        <w:t xml:space="preserve"> and </w:t>
      </w:r>
      <w:r w:rsidR="00FA3DCF" w:rsidRPr="00104227">
        <w:rPr>
          <w:lang w:val="en-US"/>
        </w:rPr>
        <w:t>Sociales (CELS)</w:t>
      </w:r>
      <w:r w:rsidR="009956B9" w:rsidRPr="00104227">
        <w:rPr>
          <w:lang w:val="en-US"/>
        </w:rPr>
        <w:t>;</w:t>
      </w:r>
      <w:r w:rsidR="00FA3DCF" w:rsidRPr="00104227">
        <w:rPr>
          <w:rStyle w:val="Refdenotaalpie"/>
          <w:sz w:val="20"/>
          <w:lang w:val="en-US"/>
        </w:rPr>
        <w:footnoteReference w:id="19"/>
      </w:r>
      <w:r w:rsidR="00FA3DCF" w:rsidRPr="00104227">
        <w:rPr>
          <w:lang w:val="en-US"/>
        </w:rPr>
        <w:t xml:space="preserve"> 9) </w:t>
      </w:r>
      <w:r w:rsidR="009956B9" w:rsidRPr="00104227">
        <w:rPr>
          <w:lang w:val="en-US"/>
        </w:rPr>
        <w:t>the</w:t>
      </w:r>
      <w:r w:rsidR="00FA3DCF" w:rsidRPr="00104227">
        <w:rPr>
          <w:lang w:val="en-US"/>
        </w:rPr>
        <w:t xml:space="preserve"> Washington</w:t>
      </w:r>
      <w:r w:rsidR="009956B9" w:rsidRPr="00104227">
        <w:rPr>
          <w:lang w:val="en-US"/>
        </w:rPr>
        <w:t xml:space="preserve"> Office on </w:t>
      </w:r>
      <w:r w:rsidR="009956B9" w:rsidRPr="00104227">
        <w:rPr>
          <w:lang w:val="en-US"/>
        </w:rPr>
        <w:lastRenderedPageBreak/>
        <w:t>Latin America</w:t>
      </w:r>
      <w:r w:rsidR="00FA3DCF" w:rsidRPr="00104227">
        <w:rPr>
          <w:lang w:val="en-US"/>
        </w:rPr>
        <w:t xml:space="preserve"> (WOLA)</w:t>
      </w:r>
      <w:r w:rsidR="009956B9" w:rsidRPr="00104227">
        <w:rPr>
          <w:lang w:val="en-US"/>
        </w:rPr>
        <w:t>;</w:t>
      </w:r>
      <w:r w:rsidR="00FA3DCF" w:rsidRPr="00104227">
        <w:rPr>
          <w:rStyle w:val="Refdenotaalpie"/>
          <w:sz w:val="20"/>
          <w:lang w:val="en-US"/>
        </w:rPr>
        <w:footnoteReference w:id="20"/>
      </w:r>
      <w:r w:rsidR="00FA3DCF" w:rsidRPr="00104227">
        <w:rPr>
          <w:lang w:val="en-US"/>
        </w:rPr>
        <w:t xml:space="preserve"> 10) </w:t>
      </w:r>
      <w:r w:rsidR="009956B9" w:rsidRPr="00104227">
        <w:rPr>
          <w:lang w:val="en-US"/>
        </w:rPr>
        <w:t xml:space="preserve">the Human Rights Department at the </w:t>
      </w:r>
      <w:r w:rsidR="00FA3DCF" w:rsidRPr="00104227">
        <w:rPr>
          <w:lang w:val="en-US"/>
        </w:rPr>
        <w:t>Universidad Iberoamericana</w:t>
      </w:r>
      <w:r w:rsidR="009956B9" w:rsidRPr="00104227">
        <w:rPr>
          <w:lang w:val="en-US"/>
        </w:rPr>
        <w:t>, Mexico City;</w:t>
      </w:r>
      <w:r w:rsidR="00FA3DCF" w:rsidRPr="00104227">
        <w:rPr>
          <w:rStyle w:val="Refdenotaalpie"/>
          <w:sz w:val="20"/>
          <w:lang w:val="en-US"/>
        </w:rPr>
        <w:footnoteReference w:id="21"/>
      </w:r>
      <w:r w:rsidR="00FA3DCF" w:rsidRPr="00104227">
        <w:rPr>
          <w:lang w:val="en-US"/>
        </w:rPr>
        <w:t xml:space="preserve"> 11) Ernesto Mendieta Jiménez</w:t>
      </w:r>
      <w:r w:rsidR="00493058" w:rsidRPr="00104227">
        <w:rPr>
          <w:lang w:val="en-US"/>
        </w:rPr>
        <w:t xml:space="preserve">, </w:t>
      </w:r>
      <w:r w:rsidR="009956B9" w:rsidRPr="00104227">
        <w:rPr>
          <w:lang w:val="en-US"/>
        </w:rPr>
        <w:t xml:space="preserve">lawyer and </w:t>
      </w:r>
      <w:r w:rsidR="000A14CF" w:rsidRPr="00104227">
        <w:rPr>
          <w:lang w:val="en-US"/>
        </w:rPr>
        <w:t>professor</w:t>
      </w:r>
      <w:r w:rsidR="009956B9" w:rsidRPr="00104227">
        <w:rPr>
          <w:lang w:val="en-US"/>
        </w:rPr>
        <w:t xml:space="preserve"> on issues of public and private security;</w:t>
      </w:r>
      <w:r w:rsidR="00CA330F" w:rsidRPr="00104227">
        <w:rPr>
          <w:rStyle w:val="Refdenotaalpie"/>
          <w:sz w:val="20"/>
          <w:szCs w:val="20"/>
          <w:lang w:val="en-US"/>
        </w:rPr>
        <w:footnoteReference w:id="22"/>
      </w:r>
      <w:r w:rsidR="009956B9" w:rsidRPr="00104227">
        <w:rPr>
          <w:lang w:val="en-US"/>
        </w:rPr>
        <w:t xml:space="preserve"> </w:t>
      </w:r>
      <w:r w:rsidR="00FA3DCF" w:rsidRPr="00104227">
        <w:rPr>
          <w:lang w:val="en-US"/>
        </w:rPr>
        <w:t>12) Moisés Moreno Hernández, profes</w:t>
      </w:r>
      <w:r w:rsidR="009956B9" w:rsidRPr="00104227">
        <w:rPr>
          <w:lang w:val="en-US"/>
        </w:rPr>
        <w:t>s</w:t>
      </w:r>
      <w:r w:rsidR="00FA3DCF" w:rsidRPr="00104227">
        <w:rPr>
          <w:lang w:val="en-US"/>
        </w:rPr>
        <w:t xml:space="preserve">or </w:t>
      </w:r>
      <w:r w:rsidR="009956B9" w:rsidRPr="00104227">
        <w:rPr>
          <w:lang w:val="en-US"/>
        </w:rPr>
        <w:t>of Criminal Law and Policy;</w:t>
      </w:r>
      <w:r w:rsidR="00493058" w:rsidRPr="00104227">
        <w:rPr>
          <w:rStyle w:val="Refdenotaalpie"/>
          <w:sz w:val="20"/>
          <w:szCs w:val="20"/>
          <w:lang w:val="en-US"/>
        </w:rPr>
        <w:footnoteReference w:id="23"/>
      </w:r>
      <w:r w:rsidR="00FA3DCF" w:rsidRPr="00104227">
        <w:rPr>
          <w:lang w:val="en-US"/>
        </w:rPr>
        <w:t xml:space="preserve"> 13) Amn</w:t>
      </w:r>
      <w:r w:rsidR="009956B9" w:rsidRPr="00104227">
        <w:rPr>
          <w:lang w:val="en-US"/>
        </w:rPr>
        <w:t>esty</w:t>
      </w:r>
      <w:r w:rsidR="00FA3DCF" w:rsidRPr="00104227">
        <w:rPr>
          <w:lang w:val="en-US"/>
        </w:rPr>
        <w:t xml:space="preserve"> Interna</w:t>
      </w:r>
      <w:r w:rsidR="009956B9" w:rsidRPr="00104227">
        <w:rPr>
          <w:lang w:val="en-US"/>
        </w:rPr>
        <w:t>t</w:t>
      </w:r>
      <w:r w:rsidR="00FA3DCF" w:rsidRPr="00104227">
        <w:rPr>
          <w:lang w:val="en-US"/>
        </w:rPr>
        <w:t>ional</w:t>
      </w:r>
      <w:r w:rsidR="009956B9" w:rsidRPr="00104227">
        <w:rPr>
          <w:lang w:val="en-US"/>
        </w:rPr>
        <w:t>;</w:t>
      </w:r>
      <w:r w:rsidR="00FA3DCF" w:rsidRPr="00104227">
        <w:rPr>
          <w:rStyle w:val="Refdenotaalpie"/>
          <w:sz w:val="20"/>
          <w:lang w:val="en-US"/>
        </w:rPr>
        <w:footnoteReference w:id="24"/>
      </w:r>
      <w:r w:rsidR="00FA3DCF" w:rsidRPr="00104227">
        <w:rPr>
          <w:lang w:val="en-US"/>
        </w:rPr>
        <w:t xml:space="preserve"> 14) </w:t>
      </w:r>
      <w:r w:rsidR="009956B9" w:rsidRPr="00104227">
        <w:rPr>
          <w:lang w:val="en-US"/>
        </w:rPr>
        <w:t xml:space="preserve">the </w:t>
      </w:r>
      <w:r w:rsidR="00FA3DCF" w:rsidRPr="00104227">
        <w:rPr>
          <w:lang w:val="en-US"/>
        </w:rPr>
        <w:t>Director</w:t>
      </w:r>
      <w:r w:rsidR="009956B9" w:rsidRPr="00104227">
        <w:rPr>
          <w:lang w:val="en-US"/>
        </w:rPr>
        <w:t xml:space="preserve"> of the International Criminal Law Research Group at the </w:t>
      </w:r>
      <w:r w:rsidR="00B8503F" w:rsidRPr="00104227">
        <w:rPr>
          <w:lang w:val="en-US"/>
        </w:rPr>
        <w:t>Universidad Santo Tomás</w:t>
      </w:r>
      <w:r w:rsidR="009956B9" w:rsidRPr="00104227">
        <w:rPr>
          <w:lang w:val="en-US"/>
        </w:rPr>
        <w:t>;</w:t>
      </w:r>
      <w:r w:rsidR="00B8503F" w:rsidRPr="00104227">
        <w:rPr>
          <w:rStyle w:val="Refdenotaalpie"/>
          <w:sz w:val="20"/>
          <w:szCs w:val="20"/>
          <w:lang w:val="en-US"/>
        </w:rPr>
        <w:footnoteReference w:id="25"/>
      </w:r>
      <w:r w:rsidR="00FA3DCF" w:rsidRPr="00104227">
        <w:rPr>
          <w:lang w:val="en-US"/>
        </w:rPr>
        <w:t xml:space="preserve"> 15) </w:t>
      </w:r>
      <w:r w:rsidR="009956B9" w:rsidRPr="00104227">
        <w:rPr>
          <w:lang w:val="en-US"/>
        </w:rPr>
        <w:t>the</w:t>
      </w:r>
      <w:r w:rsidR="00FA3DCF" w:rsidRPr="00104227">
        <w:rPr>
          <w:lang w:val="en-US"/>
        </w:rPr>
        <w:t xml:space="preserve"> Asociación Alto al Secuestro, A.C.</w:t>
      </w:r>
      <w:r w:rsidR="00881B70" w:rsidRPr="00104227">
        <w:rPr>
          <w:lang w:val="en-US"/>
        </w:rPr>
        <w:t>,</w:t>
      </w:r>
      <w:r w:rsidR="00FA3DCF" w:rsidRPr="00104227">
        <w:rPr>
          <w:rStyle w:val="Refdenotaalpie"/>
          <w:sz w:val="20"/>
          <w:lang w:val="en-US"/>
        </w:rPr>
        <w:footnoteReference w:id="26"/>
      </w:r>
      <w:r w:rsidR="00881B70" w:rsidRPr="00104227">
        <w:rPr>
          <w:lang w:val="en-US"/>
        </w:rPr>
        <w:t xml:space="preserve"> and</w:t>
      </w:r>
      <w:r w:rsidR="00FA3DCF" w:rsidRPr="00104227">
        <w:rPr>
          <w:lang w:val="en-US"/>
        </w:rPr>
        <w:t xml:space="preserve"> 16) </w:t>
      </w:r>
      <w:r w:rsidR="00BF5241" w:rsidRPr="00104227">
        <w:rPr>
          <w:lang w:val="en-US"/>
        </w:rPr>
        <w:t xml:space="preserve">the </w:t>
      </w:r>
      <w:r w:rsidR="009956B9" w:rsidRPr="00104227">
        <w:rPr>
          <w:lang w:val="en-US"/>
        </w:rPr>
        <w:t xml:space="preserve">Federal District Human Rights </w:t>
      </w:r>
      <w:r w:rsidR="00BF5241" w:rsidRPr="00104227">
        <w:rPr>
          <w:lang w:val="en-US"/>
        </w:rPr>
        <w:t>Commission</w:t>
      </w:r>
      <w:r w:rsidR="009956B9" w:rsidRPr="00104227">
        <w:rPr>
          <w:lang w:val="en-US"/>
        </w:rPr>
        <w:t>.</w:t>
      </w:r>
      <w:r w:rsidR="00FA3DCF" w:rsidRPr="00104227">
        <w:rPr>
          <w:rStyle w:val="Refdenotaalpie"/>
          <w:sz w:val="20"/>
          <w:lang w:val="en-US"/>
        </w:rPr>
        <w:footnoteReference w:id="27"/>
      </w:r>
      <w:r w:rsidR="00FA3DCF" w:rsidRPr="00104227">
        <w:rPr>
          <w:lang w:val="en-US"/>
        </w:rPr>
        <w:t xml:space="preserve"> </w:t>
      </w:r>
    </w:p>
    <w:p w14:paraId="63077F61" w14:textId="77777777" w:rsidR="00A46476" w:rsidRPr="00104227" w:rsidRDefault="00A46476" w:rsidP="00E4619F">
      <w:pPr>
        <w:tabs>
          <w:tab w:val="left" w:pos="567"/>
        </w:tabs>
        <w:rPr>
          <w:spacing w:val="-4"/>
        </w:rPr>
      </w:pPr>
    </w:p>
    <w:p w14:paraId="31AE9451" w14:textId="3CD28259" w:rsidR="00B6403F" w:rsidRPr="00104227" w:rsidRDefault="009956B9" w:rsidP="00E4619F">
      <w:pPr>
        <w:pStyle w:val="Numberedparagraphs"/>
        <w:tabs>
          <w:tab w:val="left" w:pos="567"/>
        </w:tabs>
        <w:rPr>
          <w:lang w:val="en-US"/>
        </w:rPr>
      </w:pPr>
      <w:bookmarkStart w:id="75" w:name="_Ref524029328"/>
      <w:r w:rsidRPr="00104227">
        <w:rPr>
          <w:i/>
          <w:lang w:val="en-US"/>
        </w:rPr>
        <w:t xml:space="preserve">Final written arguments and observations. </w:t>
      </w:r>
      <w:r w:rsidRPr="00104227">
        <w:rPr>
          <w:lang w:val="en-US"/>
        </w:rPr>
        <w:t>On December</w:t>
      </w:r>
      <w:r w:rsidR="00A46476" w:rsidRPr="00104227">
        <w:rPr>
          <w:lang w:val="en-US"/>
        </w:rPr>
        <w:t xml:space="preserve"> </w:t>
      </w:r>
      <w:r w:rsidR="00EE7E1C" w:rsidRPr="00104227">
        <w:rPr>
          <w:lang w:val="en-US"/>
        </w:rPr>
        <w:t>17</w:t>
      </w:r>
      <w:r w:rsidR="00DB37A0" w:rsidRPr="00104227">
        <w:rPr>
          <w:lang w:val="en-US"/>
        </w:rPr>
        <w:t xml:space="preserve">, </w:t>
      </w:r>
      <w:r w:rsidR="00EE7E1C" w:rsidRPr="00104227">
        <w:rPr>
          <w:lang w:val="en-US"/>
        </w:rPr>
        <w:t>18</w:t>
      </w:r>
      <w:r w:rsidR="00BF5241" w:rsidRPr="00104227">
        <w:rPr>
          <w:lang w:val="en-US"/>
        </w:rPr>
        <w:t xml:space="preserve"> and </w:t>
      </w:r>
      <w:r w:rsidR="00DB37A0" w:rsidRPr="00104227">
        <w:rPr>
          <w:lang w:val="en-US"/>
        </w:rPr>
        <w:t>20</w:t>
      </w:r>
      <w:r w:rsidRPr="00104227">
        <w:rPr>
          <w:lang w:val="en-US"/>
        </w:rPr>
        <w:t xml:space="preserve">, </w:t>
      </w:r>
      <w:r w:rsidR="00E57832" w:rsidRPr="00104227">
        <w:rPr>
          <w:lang w:val="en-US"/>
        </w:rPr>
        <w:t>2017</w:t>
      </w:r>
      <w:r w:rsidRPr="00104227">
        <w:rPr>
          <w:lang w:val="en-US"/>
        </w:rPr>
        <w:t>,</w:t>
      </w:r>
      <w:r w:rsidR="00E57832" w:rsidRPr="00104227">
        <w:rPr>
          <w:lang w:val="en-US"/>
        </w:rPr>
        <w:t xml:space="preserve"> </w:t>
      </w:r>
      <w:r w:rsidR="002826A6" w:rsidRPr="00104227">
        <w:rPr>
          <w:lang w:val="en-US"/>
        </w:rPr>
        <w:t>the representatives</w:t>
      </w:r>
      <w:r w:rsidR="00BF5241" w:rsidRPr="00104227">
        <w:rPr>
          <w:lang w:val="en-US"/>
        </w:rPr>
        <w:t xml:space="preserve"> and </w:t>
      </w:r>
      <w:r w:rsidR="00AC3BFC" w:rsidRPr="00104227">
        <w:rPr>
          <w:lang w:val="en-US"/>
        </w:rPr>
        <w:t>the State</w:t>
      </w:r>
      <w:r w:rsidR="00A46476" w:rsidRPr="00104227">
        <w:rPr>
          <w:lang w:val="en-US"/>
        </w:rPr>
        <w:t xml:space="preserve"> </w:t>
      </w:r>
      <w:r w:rsidR="000A14CF" w:rsidRPr="00104227">
        <w:rPr>
          <w:lang w:val="en-US"/>
        </w:rPr>
        <w:t>forwarded</w:t>
      </w:r>
      <w:r w:rsidRPr="00104227">
        <w:rPr>
          <w:lang w:val="en-US"/>
        </w:rPr>
        <w:t xml:space="preserve"> their final written arguments, together with certain annexes, </w:t>
      </w:r>
      <w:r w:rsidR="00BF5241" w:rsidRPr="00104227">
        <w:rPr>
          <w:lang w:val="en-US"/>
        </w:rPr>
        <w:t>and the Commission</w:t>
      </w:r>
      <w:r w:rsidR="00A46476" w:rsidRPr="00104227">
        <w:rPr>
          <w:lang w:val="en-US"/>
        </w:rPr>
        <w:t xml:space="preserve"> present</w:t>
      </w:r>
      <w:r w:rsidRPr="00104227">
        <w:rPr>
          <w:lang w:val="en-US"/>
        </w:rPr>
        <w:t>ed its final written observations</w:t>
      </w:r>
      <w:bookmarkStart w:id="76" w:name="_Ref464815046"/>
      <w:bookmarkStart w:id="77" w:name="_Ref479271603"/>
      <w:bookmarkEnd w:id="75"/>
      <w:r w:rsidRPr="00104227">
        <w:rPr>
          <w:lang w:val="en-US"/>
        </w:rPr>
        <w:t>.</w:t>
      </w:r>
    </w:p>
    <w:bookmarkEnd w:id="76"/>
    <w:bookmarkEnd w:id="77"/>
    <w:p w14:paraId="117CA65E" w14:textId="77777777" w:rsidR="003B69F0" w:rsidRPr="00104227" w:rsidRDefault="003B69F0" w:rsidP="00E4619F">
      <w:pPr>
        <w:tabs>
          <w:tab w:val="left" w:pos="567"/>
        </w:tabs>
        <w:rPr>
          <w:spacing w:val="-4"/>
          <w:lang w:eastAsia="es-MX"/>
        </w:rPr>
      </w:pPr>
    </w:p>
    <w:p w14:paraId="76072DCD" w14:textId="4BFAA18C" w:rsidR="00CC4C11" w:rsidRPr="00104227" w:rsidRDefault="009956B9" w:rsidP="00E4619F">
      <w:pPr>
        <w:pStyle w:val="Numberedparagraphs"/>
        <w:tabs>
          <w:tab w:val="left" w:pos="567"/>
        </w:tabs>
        <w:rPr>
          <w:lang w:val="en-US"/>
        </w:rPr>
      </w:pPr>
      <w:r w:rsidRPr="00104227">
        <w:rPr>
          <w:i/>
          <w:lang w:val="en-US"/>
        </w:rPr>
        <w:t>Disbursements in application of the Legal Assistance Fund.</w:t>
      </w:r>
      <w:r w:rsidR="00B0111C" w:rsidRPr="00104227">
        <w:rPr>
          <w:lang w:val="en-US"/>
        </w:rPr>
        <w:t xml:space="preserve"> </w:t>
      </w:r>
      <w:r w:rsidRPr="00104227">
        <w:rPr>
          <w:lang w:val="en-US"/>
        </w:rPr>
        <w:t>On January 15,</w:t>
      </w:r>
      <w:r w:rsidR="00B0111C" w:rsidRPr="00104227">
        <w:rPr>
          <w:lang w:val="en-US"/>
        </w:rPr>
        <w:t xml:space="preserve"> 201</w:t>
      </w:r>
      <w:r w:rsidR="008A536C" w:rsidRPr="00104227">
        <w:rPr>
          <w:lang w:val="en-US"/>
        </w:rPr>
        <w:t>8</w:t>
      </w:r>
      <w:r w:rsidRPr="00104227">
        <w:rPr>
          <w:lang w:val="en-US"/>
        </w:rPr>
        <w:t>, the report on the disbursements made from the Court’s</w:t>
      </w:r>
      <w:r w:rsidR="00CC4C11" w:rsidRPr="00104227">
        <w:rPr>
          <w:lang w:val="en-US"/>
        </w:rPr>
        <w:t xml:space="preserve"> </w:t>
      </w:r>
      <w:r w:rsidR="00AA3133" w:rsidRPr="00104227">
        <w:rPr>
          <w:lang w:val="en-US"/>
        </w:rPr>
        <w:t>Legal Assistance Fund</w:t>
      </w:r>
      <w:r w:rsidRPr="00104227">
        <w:rPr>
          <w:lang w:val="en-US"/>
        </w:rPr>
        <w:t xml:space="preserve"> in this case </w:t>
      </w:r>
      <w:r w:rsidR="00BC2523" w:rsidRPr="00104227">
        <w:rPr>
          <w:lang w:val="en-US"/>
        </w:rPr>
        <w:t>with</w:t>
      </w:r>
      <w:r w:rsidRPr="00104227">
        <w:rPr>
          <w:lang w:val="en-US"/>
        </w:rPr>
        <w:t xml:space="preserve"> its annexes w</w:t>
      </w:r>
      <w:r w:rsidR="00BC2523" w:rsidRPr="00104227">
        <w:rPr>
          <w:lang w:val="en-US"/>
        </w:rPr>
        <w:t>as</w:t>
      </w:r>
      <w:r w:rsidRPr="00104227">
        <w:rPr>
          <w:lang w:val="en-US"/>
        </w:rPr>
        <w:t xml:space="preserve"> forwarded to the State. On January 25, 2018, the State advised that it had no observations to make on the said report.</w:t>
      </w:r>
      <w:r w:rsidR="00BF5241" w:rsidRPr="00104227">
        <w:rPr>
          <w:lang w:val="en-US"/>
        </w:rPr>
        <w:t xml:space="preserve"> </w:t>
      </w:r>
    </w:p>
    <w:p w14:paraId="0C750085" w14:textId="77777777" w:rsidR="00CC4C11" w:rsidRPr="00104227" w:rsidRDefault="00CC4C11" w:rsidP="00E4619F">
      <w:pPr>
        <w:tabs>
          <w:tab w:val="left" w:pos="567"/>
        </w:tabs>
        <w:rPr>
          <w:b/>
          <w:strike/>
          <w:spacing w:val="-4"/>
        </w:rPr>
      </w:pPr>
    </w:p>
    <w:p w14:paraId="7FA1A948" w14:textId="6F3A03DC" w:rsidR="00B6403F" w:rsidRPr="00104227" w:rsidRDefault="009956B9" w:rsidP="00E4619F">
      <w:pPr>
        <w:pStyle w:val="Numberedparagraphs"/>
        <w:tabs>
          <w:tab w:val="left" w:pos="567"/>
        </w:tabs>
        <w:rPr>
          <w:lang w:val="en-US"/>
        </w:rPr>
      </w:pPr>
      <w:bookmarkStart w:id="78" w:name="_Ref524024749"/>
      <w:r w:rsidRPr="00104227">
        <w:rPr>
          <w:i/>
          <w:lang w:val="en-US"/>
        </w:rPr>
        <w:t>Helpful information and evidence.</w:t>
      </w:r>
      <w:r w:rsidR="00B6403F" w:rsidRPr="00104227">
        <w:rPr>
          <w:lang w:val="en-US"/>
        </w:rPr>
        <w:t xml:space="preserve"> </w:t>
      </w:r>
      <w:r w:rsidRPr="00104227">
        <w:rPr>
          <w:lang w:val="en-US"/>
        </w:rPr>
        <w:t>The parties presented the helpful information and evidence requested by the judges during the</w:t>
      </w:r>
      <w:r w:rsidR="00B6403F" w:rsidRPr="00104227">
        <w:rPr>
          <w:lang w:val="en-US"/>
        </w:rPr>
        <w:t xml:space="preserve"> </w:t>
      </w:r>
      <w:r w:rsidR="00AA3133" w:rsidRPr="00104227">
        <w:rPr>
          <w:lang w:val="en-US"/>
        </w:rPr>
        <w:t>public hearing</w:t>
      </w:r>
      <w:r w:rsidR="00B6403F" w:rsidRPr="00104227">
        <w:rPr>
          <w:lang w:val="en-US"/>
        </w:rPr>
        <w:t xml:space="preserve"> </w:t>
      </w:r>
      <w:r w:rsidRPr="00104227">
        <w:rPr>
          <w:lang w:val="en-US"/>
        </w:rPr>
        <w:t>with their final written arguments.</w:t>
      </w:r>
      <w:r w:rsidR="00BC2523" w:rsidRPr="00104227">
        <w:rPr>
          <w:lang w:val="en-US"/>
        </w:rPr>
        <w:t xml:space="preserve"> </w:t>
      </w:r>
      <w:r w:rsidRPr="00104227">
        <w:rPr>
          <w:lang w:val="en-US"/>
        </w:rPr>
        <w:t xml:space="preserve">In addition, on August </w:t>
      </w:r>
      <w:r w:rsidR="00093B41" w:rsidRPr="00104227">
        <w:rPr>
          <w:lang w:val="en-US"/>
        </w:rPr>
        <w:t>24</w:t>
      </w:r>
      <w:r w:rsidR="00BF5241" w:rsidRPr="00104227">
        <w:rPr>
          <w:lang w:val="en-US"/>
        </w:rPr>
        <w:t xml:space="preserve"> and </w:t>
      </w:r>
      <w:r w:rsidR="00093B41" w:rsidRPr="00104227">
        <w:rPr>
          <w:lang w:val="en-US"/>
        </w:rPr>
        <w:t>31</w:t>
      </w:r>
      <w:r w:rsidRPr="00104227">
        <w:rPr>
          <w:lang w:val="en-US"/>
        </w:rPr>
        <w:t xml:space="preserve">, </w:t>
      </w:r>
      <w:r w:rsidR="00093B41" w:rsidRPr="00104227">
        <w:rPr>
          <w:lang w:val="en-US"/>
        </w:rPr>
        <w:t xml:space="preserve">2018, </w:t>
      </w:r>
      <w:r w:rsidR="00AA3133" w:rsidRPr="00104227">
        <w:rPr>
          <w:lang w:val="en-US"/>
        </w:rPr>
        <w:t xml:space="preserve">the </w:t>
      </w:r>
      <w:r w:rsidRPr="00104227">
        <w:rPr>
          <w:lang w:val="en-US"/>
        </w:rPr>
        <w:t xml:space="preserve">acting </w:t>
      </w:r>
      <w:r w:rsidR="00AA3133" w:rsidRPr="00104227">
        <w:rPr>
          <w:lang w:val="en-US"/>
        </w:rPr>
        <w:t>President</w:t>
      </w:r>
      <w:r w:rsidR="00BF5241" w:rsidRPr="00104227">
        <w:rPr>
          <w:lang w:val="en-US"/>
        </w:rPr>
        <w:t xml:space="preserve"> of the Court</w:t>
      </w:r>
      <w:r w:rsidR="00093B41" w:rsidRPr="00104227">
        <w:rPr>
          <w:lang w:val="en-US"/>
        </w:rPr>
        <w:t xml:space="preserve"> </w:t>
      </w:r>
      <w:r w:rsidRPr="00104227">
        <w:rPr>
          <w:lang w:val="en-US"/>
        </w:rPr>
        <w:t xml:space="preserve">for this case asked the State to present information and another </w:t>
      </w:r>
      <w:r w:rsidR="003F10B2" w:rsidRPr="00104227">
        <w:rPr>
          <w:lang w:val="en-US"/>
        </w:rPr>
        <w:t>item</w:t>
      </w:r>
      <w:r w:rsidRPr="00104227">
        <w:rPr>
          <w:lang w:val="en-US"/>
        </w:rPr>
        <w:t xml:space="preserve"> of helpful evidence. The Stat</w:t>
      </w:r>
      <w:r w:rsidR="003F10B2" w:rsidRPr="00104227">
        <w:rPr>
          <w:lang w:val="en-US"/>
        </w:rPr>
        <w:t>e</w:t>
      </w:r>
      <w:r w:rsidRPr="00104227">
        <w:rPr>
          <w:lang w:val="en-US"/>
        </w:rPr>
        <w:t xml:space="preserve"> prese</w:t>
      </w:r>
      <w:r w:rsidR="003F10B2" w:rsidRPr="00104227">
        <w:rPr>
          <w:lang w:val="en-US"/>
        </w:rPr>
        <w:t>n</w:t>
      </w:r>
      <w:r w:rsidRPr="00104227">
        <w:rPr>
          <w:lang w:val="en-US"/>
        </w:rPr>
        <w:t xml:space="preserve">ted this on September 12, </w:t>
      </w:r>
      <w:r w:rsidR="00093B41" w:rsidRPr="00104227">
        <w:rPr>
          <w:lang w:val="en-US"/>
        </w:rPr>
        <w:t>2018.</w:t>
      </w:r>
      <w:bookmarkEnd w:id="78"/>
    </w:p>
    <w:p w14:paraId="77E82D7B" w14:textId="77777777" w:rsidR="00B6403F" w:rsidRPr="00104227" w:rsidRDefault="00B6403F" w:rsidP="00E4619F">
      <w:pPr>
        <w:pStyle w:val="Sinespaciado"/>
        <w:tabs>
          <w:tab w:val="left" w:pos="567"/>
        </w:tabs>
        <w:rPr>
          <w:rFonts w:eastAsiaTheme="minorHAnsi" w:cstheme="minorBidi"/>
          <w:strike/>
          <w:spacing w:val="-4"/>
          <w:lang w:val="en-US"/>
        </w:rPr>
      </w:pPr>
    </w:p>
    <w:p w14:paraId="42E210A8" w14:textId="5C8E8875" w:rsidR="00B6403F" w:rsidRPr="00104227" w:rsidRDefault="00B6403F" w:rsidP="00E4619F">
      <w:pPr>
        <w:pStyle w:val="Numberedparagraphs"/>
        <w:tabs>
          <w:tab w:val="left" w:pos="567"/>
        </w:tabs>
        <w:rPr>
          <w:lang w:val="en-US"/>
        </w:rPr>
      </w:pPr>
      <w:r w:rsidRPr="00104227">
        <w:rPr>
          <w:i/>
          <w:lang w:val="en-US"/>
        </w:rPr>
        <w:lastRenderedPageBreak/>
        <w:t>Observa</w:t>
      </w:r>
      <w:r w:rsidR="00C24EDF" w:rsidRPr="00104227">
        <w:rPr>
          <w:i/>
          <w:lang w:val="en-US"/>
        </w:rPr>
        <w:t xml:space="preserve">tions </w:t>
      </w:r>
      <w:r w:rsidR="0068275E" w:rsidRPr="00104227">
        <w:rPr>
          <w:i/>
          <w:lang w:val="en-US"/>
        </w:rPr>
        <w:t>on the helpful information and evidence and the supervening evidence on expenses.</w:t>
      </w:r>
      <w:r w:rsidR="00093B41" w:rsidRPr="00104227">
        <w:rPr>
          <w:lang w:val="en-US"/>
        </w:rPr>
        <w:t xml:space="preserve"> </w:t>
      </w:r>
      <w:r w:rsidR="0068275E" w:rsidRPr="00104227">
        <w:rPr>
          <w:lang w:val="en-US"/>
        </w:rPr>
        <w:t>On January</w:t>
      </w:r>
      <w:r w:rsidR="00093B41" w:rsidRPr="00104227">
        <w:rPr>
          <w:lang w:val="en-US"/>
        </w:rPr>
        <w:t xml:space="preserve"> 18</w:t>
      </w:r>
      <w:r w:rsidR="00BF5241" w:rsidRPr="00104227">
        <w:rPr>
          <w:lang w:val="en-US"/>
        </w:rPr>
        <w:t xml:space="preserve"> and </w:t>
      </w:r>
      <w:r w:rsidR="00093B41" w:rsidRPr="00104227">
        <w:rPr>
          <w:lang w:val="en-US"/>
        </w:rPr>
        <w:t>19</w:t>
      </w:r>
      <w:r w:rsidR="0068275E" w:rsidRPr="00104227">
        <w:rPr>
          <w:lang w:val="en-US"/>
        </w:rPr>
        <w:t xml:space="preserve">, </w:t>
      </w:r>
      <w:r w:rsidR="00093B41" w:rsidRPr="00104227">
        <w:rPr>
          <w:lang w:val="en-US"/>
        </w:rPr>
        <w:t>2018</w:t>
      </w:r>
      <w:r w:rsidR="0068275E" w:rsidRPr="00104227">
        <w:rPr>
          <w:lang w:val="en-US"/>
        </w:rPr>
        <w:t>,</w:t>
      </w:r>
      <w:r w:rsidR="00093B41" w:rsidRPr="00104227">
        <w:rPr>
          <w:lang w:val="en-US"/>
        </w:rPr>
        <w:t xml:space="preserve"> </w:t>
      </w:r>
      <w:r w:rsidR="002826A6" w:rsidRPr="00104227">
        <w:rPr>
          <w:lang w:val="en-US"/>
        </w:rPr>
        <w:t>the representatives</w:t>
      </w:r>
      <w:r w:rsidR="00BF5241" w:rsidRPr="00104227">
        <w:rPr>
          <w:lang w:val="en-US"/>
        </w:rPr>
        <w:t xml:space="preserve"> and </w:t>
      </w:r>
      <w:r w:rsidR="00AC3BFC" w:rsidRPr="00104227">
        <w:rPr>
          <w:lang w:val="en-US"/>
        </w:rPr>
        <w:t xml:space="preserve">the </w:t>
      </w:r>
      <w:r w:rsidR="0068275E" w:rsidRPr="00104227">
        <w:rPr>
          <w:lang w:val="en-US"/>
        </w:rPr>
        <w:t xml:space="preserve">State, respectively, </w:t>
      </w:r>
      <w:r w:rsidR="00093B41" w:rsidRPr="00104227">
        <w:rPr>
          <w:lang w:val="en-US"/>
        </w:rPr>
        <w:t xml:space="preserve"> present</w:t>
      </w:r>
      <w:r w:rsidR="0068275E" w:rsidRPr="00104227">
        <w:rPr>
          <w:lang w:val="en-US"/>
        </w:rPr>
        <w:t xml:space="preserve">ed their observations on the documentation submitted by the other party together with their final written arguments. In addition, on September 21 and October 3, </w:t>
      </w:r>
      <w:r w:rsidR="00093B41" w:rsidRPr="00104227">
        <w:rPr>
          <w:lang w:val="en-US"/>
        </w:rPr>
        <w:t>201</w:t>
      </w:r>
      <w:r w:rsidR="00DB37A0" w:rsidRPr="00104227">
        <w:rPr>
          <w:lang w:val="en-US"/>
        </w:rPr>
        <w:t>8</w:t>
      </w:r>
      <w:r w:rsidR="0068275E" w:rsidRPr="00104227">
        <w:rPr>
          <w:lang w:val="en-US"/>
        </w:rPr>
        <w:t>,</w:t>
      </w:r>
      <w:r w:rsidR="00DB37A0" w:rsidRPr="00104227">
        <w:rPr>
          <w:lang w:val="en-US"/>
        </w:rPr>
        <w:t xml:space="preserve"> </w:t>
      </w:r>
      <w:r w:rsidR="002826A6" w:rsidRPr="00104227">
        <w:rPr>
          <w:lang w:val="en-US"/>
        </w:rPr>
        <w:t>the representatives</w:t>
      </w:r>
      <w:r w:rsidR="00BF5241" w:rsidRPr="00104227">
        <w:rPr>
          <w:lang w:val="en-US"/>
        </w:rPr>
        <w:t xml:space="preserve"> and the Commission</w:t>
      </w:r>
      <w:r w:rsidR="00676674" w:rsidRPr="00104227">
        <w:rPr>
          <w:lang w:val="en-US"/>
        </w:rPr>
        <w:t>, respectiv</w:t>
      </w:r>
      <w:r w:rsidR="0068275E" w:rsidRPr="00104227">
        <w:rPr>
          <w:lang w:val="en-US"/>
        </w:rPr>
        <w:t>ely</w:t>
      </w:r>
      <w:r w:rsidR="00676674" w:rsidRPr="00104227">
        <w:rPr>
          <w:lang w:val="en-US"/>
        </w:rPr>
        <w:t>,</w:t>
      </w:r>
      <w:r w:rsidR="00093B41" w:rsidRPr="00104227">
        <w:rPr>
          <w:lang w:val="en-US"/>
        </w:rPr>
        <w:t xml:space="preserve"> present</w:t>
      </w:r>
      <w:r w:rsidR="0068275E" w:rsidRPr="00104227">
        <w:rPr>
          <w:lang w:val="en-US"/>
        </w:rPr>
        <w:t>ed their observations on the documentation presented by the</w:t>
      </w:r>
      <w:r w:rsidR="00AC3BFC" w:rsidRPr="00104227">
        <w:rPr>
          <w:lang w:val="en-US"/>
        </w:rPr>
        <w:t xml:space="preserve"> State</w:t>
      </w:r>
      <w:r w:rsidR="00DB37A0" w:rsidRPr="00104227">
        <w:rPr>
          <w:lang w:val="en-US"/>
        </w:rPr>
        <w:t xml:space="preserve"> </w:t>
      </w:r>
      <w:r w:rsidR="0068275E" w:rsidRPr="00104227">
        <w:rPr>
          <w:lang w:val="en-US"/>
        </w:rPr>
        <w:t>on September 12,</w:t>
      </w:r>
      <w:r w:rsidR="00093B41" w:rsidRPr="00104227">
        <w:rPr>
          <w:lang w:val="en-US"/>
        </w:rPr>
        <w:t xml:space="preserve"> 201</w:t>
      </w:r>
      <w:r w:rsidR="00DB37A0" w:rsidRPr="00104227">
        <w:rPr>
          <w:lang w:val="en-US"/>
        </w:rPr>
        <w:t>8</w:t>
      </w:r>
      <w:r w:rsidR="00093B41" w:rsidRPr="00104227">
        <w:rPr>
          <w:lang w:val="en-US"/>
        </w:rPr>
        <w:t>.</w:t>
      </w:r>
    </w:p>
    <w:p w14:paraId="00FA15C1" w14:textId="77777777" w:rsidR="002D4695" w:rsidRPr="00104227" w:rsidRDefault="002D4695" w:rsidP="00E4619F">
      <w:pPr>
        <w:tabs>
          <w:tab w:val="left" w:pos="567"/>
        </w:tabs>
        <w:rPr>
          <w:lang w:eastAsia="es-MX"/>
        </w:rPr>
      </w:pPr>
    </w:p>
    <w:p w14:paraId="75A5E6FA" w14:textId="3A144649" w:rsidR="00A46476" w:rsidRPr="00104227" w:rsidRDefault="00A46476" w:rsidP="00E4619F">
      <w:pPr>
        <w:pStyle w:val="Numberedparagraphs"/>
        <w:tabs>
          <w:tab w:val="left" w:pos="567"/>
        </w:tabs>
        <w:rPr>
          <w:lang w:val="en-US"/>
        </w:rPr>
      </w:pPr>
      <w:r w:rsidRPr="00104227">
        <w:rPr>
          <w:i/>
          <w:lang w:val="en-US"/>
        </w:rPr>
        <w:t>Delibera</w:t>
      </w:r>
      <w:r w:rsidR="0068275E" w:rsidRPr="00104227">
        <w:rPr>
          <w:i/>
          <w:lang w:val="en-US"/>
        </w:rPr>
        <w:t>tion of the case</w:t>
      </w:r>
      <w:r w:rsidRPr="00104227">
        <w:rPr>
          <w:i/>
          <w:lang w:val="en-US"/>
        </w:rPr>
        <w:t>.</w:t>
      </w:r>
      <w:r w:rsidRPr="00104227">
        <w:rPr>
          <w:lang w:val="en-US"/>
        </w:rPr>
        <w:t xml:space="preserve"> </w:t>
      </w:r>
      <w:r w:rsidR="00BF5241" w:rsidRPr="00104227">
        <w:rPr>
          <w:lang w:val="en-US"/>
        </w:rPr>
        <w:t>The Court</w:t>
      </w:r>
      <w:r w:rsidRPr="00104227">
        <w:rPr>
          <w:lang w:val="en-US"/>
        </w:rPr>
        <w:t xml:space="preserve"> </w:t>
      </w:r>
      <w:r w:rsidR="0068275E" w:rsidRPr="00104227">
        <w:rPr>
          <w:lang w:val="en-US"/>
        </w:rPr>
        <w:t xml:space="preserve">began to deliberate </w:t>
      </w:r>
      <w:r w:rsidR="00BF5241" w:rsidRPr="00104227">
        <w:rPr>
          <w:lang w:val="en-US"/>
        </w:rPr>
        <w:t>this judgment</w:t>
      </w:r>
      <w:r w:rsidR="00A30DEB" w:rsidRPr="00104227">
        <w:rPr>
          <w:lang w:val="en-US"/>
        </w:rPr>
        <w:t xml:space="preserve"> </w:t>
      </w:r>
      <w:r w:rsidR="0068275E" w:rsidRPr="00104227">
        <w:rPr>
          <w:lang w:val="en-US"/>
        </w:rPr>
        <w:t>on November 26,</w:t>
      </w:r>
      <w:r w:rsidRPr="00104227">
        <w:rPr>
          <w:lang w:val="en-US"/>
        </w:rPr>
        <w:t xml:space="preserve"> 2018. </w:t>
      </w:r>
    </w:p>
    <w:p w14:paraId="789AFEE0" w14:textId="77777777" w:rsidR="00A46476" w:rsidRPr="00104227" w:rsidRDefault="00A46476" w:rsidP="00E4619F">
      <w:pPr>
        <w:tabs>
          <w:tab w:val="left" w:pos="567"/>
        </w:tabs>
        <w:rPr>
          <w:spacing w:val="-4"/>
        </w:rPr>
      </w:pPr>
    </w:p>
    <w:p w14:paraId="6D30D387" w14:textId="77777777" w:rsidR="00A46476" w:rsidRPr="00104227" w:rsidRDefault="00A46476" w:rsidP="00E4619F">
      <w:pPr>
        <w:pStyle w:val="Ttulo1"/>
        <w:tabs>
          <w:tab w:val="left" w:pos="567"/>
        </w:tabs>
        <w:rPr>
          <w:snapToGrid w:val="0"/>
          <w:spacing w:val="-4"/>
        </w:rPr>
      </w:pPr>
      <w:bookmarkStart w:id="79" w:name="_Toc469940917"/>
      <w:bookmarkStart w:id="80" w:name="_Toc469594901"/>
      <w:bookmarkStart w:id="81" w:name="_Toc469594798"/>
      <w:bookmarkStart w:id="82" w:name="_Toc469594535"/>
      <w:bookmarkStart w:id="83" w:name="_Toc469594433"/>
      <w:bookmarkStart w:id="84" w:name="_Toc469593450"/>
      <w:bookmarkStart w:id="85" w:name="_Toc434850393"/>
      <w:bookmarkStart w:id="86" w:name="_Toc431584605"/>
      <w:bookmarkStart w:id="87" w:name="_Toc427932788"/>
      <w:bookmarkStart w:id="88" w:name="_Toc424834682"/>
      <w:bookmarkStart w:id="89" w:name="_Toc502885882"/>
      <w:bookmarkStart w:id="90" w:name="_Toc504661191"/>
      <w:bookmarkStart w:id="91" w:name="_Toc527464870"/>
      <w:bookmarkStart w:id="92" w:name="_Toc31290542"/>
      <w:r w:rsidRPr="00104227">
        <w:rPr>
          <w:snapToGrid w:val="0"/>
          <w:spacing w:val="-4"/>
        </w:rPr>
        <w:t>III</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52FE180" w14:textId="30C0A233" w:rsidR="00A46476" w:rsidRPr="00104227" w:rsidRDefault="00736460" w:rsidP="00E4619F">
      <w:pPr>
        <w:pStyle w:val="Ttulo1"/>
        <w:tabs>
          <w:tab w:val="left" w:pos="567"/>
        </w:tabs>
        <w:rPr>
          <w:rFonts w:eastAsia="Times New Roman" w:cs="Times New Roman"/>
          <w:snapToGrid w:val="0"/>
          <w:spacing w:val="-4"/>
          <w:szCs w:val="20"/>
          <w:lang w:eastAsia="es-ES"/>
        </w:rPr>
      </w:pPr>
      <w:bookmarkStart w:id="93" w:name="_Toc31290543"/>
      <w:r w:rsidRPr="00104227">
        <w:rPr>
          <w:rFonts w:eastAsia="Times New Roman" w:cs="Times New Roman"/>
          <w:snapToGrid w:val="0"/>
          <w:spacing w:val="-4"/>
          <w:szCs w:val="20"/>
          <w:lang w:eastAsia="es-ES"/>
        </w:rPr>
        <w:t>JURISDICTION</w:t>
      </w:r>
      <w:bookmarkEnd w:id="93"/>
    </w:p>
    <w:p w14:paraId="18EA9DEE" w14:textId="77777777" w:rsidR="00A46476" w:rsidRPr="00104227" w:rsidRDefault="00A46476" w:rsidP="00E4619F">
      <w:pPr>
        <w:tabs>
          <w:tab w:val="left" w:pos="567"/>
        </w:tabs>
        <w:jc w:val="center"/>
        <w:rPr>
          <w:rFonts w:eastAsia="Times New Roman" w:cs="Times New Roman"/>
          <w:b/>
          <w:snapToGrid w:val="0"/>
          <w:spacing w:val="-4"/>
          <w:szCs w:val="20"/>
          <w:lang w:eastAsia="es-ES"/>
        </w:rPr>
      </w:pPr>
    </w:p>
    <w:p w14:paraId="7BB9704D" w14:textId="7EC8395C" w:rsidR="00A46476" w:rsidRPr="00104227" w:rsidRDefault="00BF5241" w:rsidP="00E4619F">
      <w:pPr>
        <w:pStyle w:val="Numberedparagraphs"/>
        <w:tabs>
          <w:tab w:val="left" w:pos="567"/>
        </w:tabs>
        <w:rPr>
          <w:snapToGrid w:val="0"/>
          <w:lang w:val="en-US"/>
        </w:rPr>
      </w:pPr>
      <w:r w:rsidRPr="00104227">
        <w:rPr>
          <w:snapToGrid w:val="0"/>
          <w:lang w:val="en-US"/>
        </w:rPr>
        <w:t>The Court</w:t>
      </w:r>
      <w:r w:rsidR="00A46476" w:rsidRPr="00104227">
        <w:rPr>
          <w:snapToGrid w:val="0"/>
          <w:lang w:val="en-US"/>
        </w:rPr>
        <w:t xml:space="preserve"> </w:t>
      </w:r>
      <w:r w:rsidR="003F10B2" w:rsidRPr="00104227">
        <w:rPr>
          <w:snapToGrid w:val="0"/>
          <w:lang w:val="en-US"/>
        </w:rPr>
        <w:t xml:space="preserve">has jurisdiction to </w:t>
      </w:r>
      <w:r w:rsidR="000A14CF" w:rsidRPr="00104227">
        <w:rPr>
          <w:snapToGrid w:val="0"/>
          <w:lang w:val="en-US"/>
        </w:rPr>
        <w:t>hear</w:t>
      </w:r>
      <w:r w:rsidR="003F10B2" w:rsidRPr="00104227">
        <w:rPr>
          <w:snapToGrid w:val="0"/>
          <w:lang w:val="en-US"/>
        </w:rPr>
        <w:t xml:space="preserve"> this case pursuant to </w:t>
      </w:r>
      <w:r w:rsidR="0060075A" w:rsidRPr="00104227">
        <w:rPr>
          <w:snapToGrid w:val="0"/>
          <w:lang w:val="en-US"/>
        </w:rPr>
        <w:t>Article</w:t>
      </w:r>
      <w:r w:rsidR="00A46476" w:rsidRPr="00104227">
        <w:rPr>
          <w:snapToGrid w:val="0"/>
          <w:lang w:val="en-US"/>
        </w:rPr>
        <w:t xml:space="preserve"> </w:t>
      </w:r>
      <w:r w:rsidRPr="00104227">
        <w:rPr>
          <w:snapToGrid w:val="0"/>
          <w:lang w:val="en-US"/>
        </w:rPr>
        <w:t>62(3) of the Convention</w:t>
      </w:r>
      <w:r w:rsidR="003F10B2" w:rsidRPr="00104227">
        <w:rPr>
          <w:snapToGrid w:val="0"/>
          <w:lang w:val="en-US"/>
        </w:rPr>
        <w:t xml:space="preserve"> because Mexico has been a State Party to </w:t>
      </w:r>
      <w:r w:rsidRPr="00104227">
        <w:rPr>
          <w:lang w:val="en-US"/>
        </w:rPr>
        <w:t>the Convention</w:t>
      </w:r>
      <w:r w:rsidR="008D2BCA" w:rsidRPr="00104227">
        <w:rPr>
          <w:lang w:val="en-US"/>
        </w:rPr>
        <w:t xml:space="preserve"> </w:t>
      </w:r>
      <w:r w:rsidR="003F10B2" w:rsidRPr="00104227">
        <w:rPr>
          <w:lang w:val="en-US"/>
        </w:rPr>
        <w:t>since March 24,</w:t>
      </w:r>
      <w:r w:rsidR="008D2BCA" w:rsidRPr="00104227">
        <w:rPr>
          <w:lang w:val="en-US"/>
        </w:rPr>
        <w:t xml:space="preserve"> 1981</w:t>
      </w:r>
      <w:r w:rsidR="003F10B2" w:rsidRPr="00104227">
        <w:rPr>
          <w:lang w:val="en-US"/>
        </w:rPr>
        <w:t>, and accepted the contentious jurisdiction of this Court on December 16,</w:t>
      </w:r>
      <w:r w:rsidR="008D2BCA" w:rsidRPr="00104227">
        <w:rPr>
          <w:lang w:val="en-US"/>
        </w:rPr>
        <w:t xml:space="preserve"> 1998. </w:t>
      </w:r>
      <w:r w:rsidR="003F10B2" w:rsidRPr="00104227">
        <w:rPr>
          <w:lang w:val="en-US"/>
        </w:rPr>
        <w:t>Furthermore,</w:t>
      </w:r>
      <w:r w:rsidR="00D161A5" w:rsidRPr="00104227">
        <w:rPr>
          <w:lang w:val="en-US"/>
        </w:rPr>
        <w:t xml:space="preserve"> </w:t>
      </w:r>
      <w:r w:rsidR="00AC3BFC" w:rsidRPr="00104227">
        <w:rPr>
          <w:lang w:val="en-US"/>
        </w:rPr>
        <w:t>the State</w:t>
      </w:r>
      <w:r w:rsidR="00D161A5" w:rsidRPr="00104227">
        <w:rPr>
          <w:lang w:val="en-US"/>
        </w:rPr>
        <w:t xml:space="preserve"> deposit</w:t>
      </w:r>
      <w:r w:rsidR="003F10B2" w:rsidRPr="00104227">
        <w:rPr>
          <w:lang w:val="en-US"/>
        </w:rPr>
        <w:t xml:space="preserve">ed the instruments ratifying </w:t>
      </w:r>
      <w:r w:rsidRPr="00104227">
        <w:rPr>
          <w:lang w:val="en-US"/>
        </w:rPr>
        <w:t xml:space="preserve">the </w:t>
      </w:r>
      <w:r w:rsidR="0094395C" w:rsidRPr="00104227">
        <w:rPr>
          <w:lang w:val="en-US"/>
        </w:rPr>
        <w:t>Inter-American Convention to Prevent and Punish Torture</w:t>
      </w:r>
      <w:r w:rsidR="00D161A5" w:rsidRPr="00104227">
        <w:rPr>
          <w:lang w:val="en-US"/>
        </w:rPr>
        <w:t xml:space="preserve"> </w:t>
      </w:r>
      <w:r w:rsidR="003F10B2" w:rsidRPr="00104227">
        <w:rPr>
          <w:lang w:val="en-US"/>
        </w:rPr>
        <w:t xml:space="preserve">on June 22, </w:t>
      </w:r>
      <w:r w:rsidR="00D161A5" w:rsidRPr="00104227">
        <w:rPr>
          <w:lang w:val="en-US"/>
        </w:rPr>
        <w:t>1987</w:t>
      </w:r>
      <w:r w:rsidR="003F10B2" w:rsidRPr="00104227">
        <w:rPr>
          <w:lang w:val="en-US"/>
        </w:rPr>
        <w:t>,</w:t>
      </w:r>
      <w:r w:rsidRPr="00104227">
        <w:rPr>
          <w:lang w:val="en-US"/>
        </w:rPr>
        <w:t xml:space="preserve"> and the </w:t>
      </w:r>
      <w:r w:rsidR="00E466FA" w:rsidRPr="00104227">
        <w:rPr>
          <w:lang w:val="en-US"/>
        </w:rPr>
        <w:t>Inter-American Convention for the Prevention, Punishment and Eradication of Violence against Women</w:t>
      </w:r>
      <w:r w:rsidR="00D161A5" w:rsidRPr="00104227">
        <w:rPr>
          <w:lang w:val="en-US"/>
        </w:rPr>
        <w:t xml:space="preserve"> </w:t>
      </w:r>
      <w:r w:rsidR="003F10B2" w:rsidRPr="00104227">
        <w:rPr>
          <w:lang w:val="en-US"/>
        </w:rPr>
        <w:t>on</w:t>
      </w:r>
      <w:r w:rsidR="00D161A5" w:rsidRPr="00104227">
        <w:rPr>
          <w:lang w:val="en-US"/>
        </w:rPr>
        <w:t xml:space="preserve"> </w:t>
      </w:r>
      <w:r w:rsidR="00CB4CFA" w:rsidRPr="00104227">
        <w:rPr>
          <w:lang w:val="en-US"/>
        </w:rPr>
        <w:t>November 12,</w:t>
      </w:r>
      <w:r w:rsidR="00D161A5" w:rsidRPr="00104227">
        <w:rPr>
          <w:lang w:val="en-US"/>
        </w:rPr>
        <w:t xml:space="preserve"> 1998.</w:t>
      </w:r>
    </w:p>
    <w:p w14:paraId="0C5730CB" w14:textId="77777777" w:rsidR="00E12489" w:rsidRPr="00104227" w:rsidRDefault="00E12489" w:rsidP="00E4619F">
      <w:pPr>
        <w:tabs>
          <w:tab w:val="left" w:pos="567"/>
        </w:tabs>
      </w:pPr>
    </w:p>
    <w:p w14:paraId="07F79392" w14:textId="77777777" w:rsidR="00E12489" w:rsidRPr="00104227" w:rsidRDefault="00E12489" w:rsidP="00E4619F">
      <w:pPr>
        <w:pStyle w:val="Ttulo1"/>
        <w:tabs>
          <w:tab w:val="left" w:pos="567"/>
        </w:tabs>
        <w:rPr>
          <w:spacing w:val="-4"/>
        </w:rPr>
      </w:pPr>
      <w:bookmarkStart w:id="94" w:name="_Toc31290544"/>
      <w:r w:rsidRPr="00104227">
        <w:rPr>
          <w:spacing w:val="-4"/>
        </w:rPr>
        <w:t>IV</w:t>
      </w:r>
      <w:bookmarkEnd w:id="94"/>
    </w:p>
    <w:p w14:paraId="3FE507E1" w14:textId="7D8F2304" w:rsidR="00E12489" w:rsidRPr="00104227" w:rsidRDefault="00AA3133" w:rsidP="00E4619F">
      <w:pPr>
        <w:pStyle w:val="Ttulo1"/>
        <w:tabs>
          <w:tab w:val="left" w:pos="567"/>
        </w:tabs>
        <w:rPr>
          <w:spacing w:val="-4"/>
        </w:rPr>
      </w:pPr>
      <w:bookmarkStart w:id="95" w:name="_Toc31290545"/>
      <w:r w:rsidRPr="00104227">
        <w:rPr>
          <w:spacing w:val="-4"/>
        </w:rPr>
        <w:t>PRELIMINARY OBJECTION</w:t>
      </w:r>
      <w:bookmarkEnd w:id="95"/>
    </w:p>
    <w:p w14:paraId="506C1349" w14:textId="77777777" w:rsidR="00E12489" w:rsidRPr="00104227" w:rsidRDefault="00E12489" w:rsidP="00E4619F">
      <w:pPr>
        <w:tabs>
          <w:tab w:val="left" w:pos="567"/>
        </w:tabs>
        <w:rPr>
          <w:lang w:eastAsia="es-CR"/>
        </w:rPr>
      </w:pPr>
    </w:p>
    <w:p w14:paraId="5D2CBB79" w14:textId="0C0F538F" w:rsidR="00E12489" w:rsidRPr="00104227" w:rsidRDefault="00736460" w:rsidP="00E4619F">
      <w:pPr>
        <w:pStyle w:val="Ttulo2"/>
        <w:ind w:left="990" w:hanging="270"/>
        <w:rPr>
          <w:lang w:val="en-US"/>
        </w:rPr>
      </w:pPr>
      <w:bookmarkStart w:id="96" w:name="_Toc31290546"/>
      <w:r w:rsidRPr="00104227">
        <w:rPr>
          <w:lang w:val="en-US"/>
        </w:rPr>
        <w:t>Arguments of the parties</w:t>
      </w:r>
      <w:r w:rsidR="00BF5241" w:rsidRPr="00104227">
        <w:rPr>
          <w:lang w:val="en-US"/>
        </w:rPr>
        <w:t xml:space="preserve"> and the Commission</w:t>
      </w:r>
      <w:bookmarkEnd w:id="96"/>
    </w:p>
    <w:p w14:paraId="1820F6A3" w14:textId="77777777" w:rsidR="00E12489" w:rsidRPr="00104227" w:rsidRDefault="00E12489" w:rsidP="00E4619F">
      <w:pPr>
        <w:tabs>
          <w:tab w:val="left" w:pos="567"/>
        </w:tabs>
        <w:rPr>
          <w:lang w:eastAsia="es-CR"/>
        </w:rPr>
      </w:pPr>
    </w:p>
    <w:p w14:paraId="43A29159" w14:textId="61F39F32" w:rsidR="00E12489" w:rsidRPr="00104227" w:rsidRDefault="00AC3BFC" w:rsidP="00736460">
      <w:pPr>
        <w:pStyle w:val="Numberedparagraphs"/>
        <w:tabs>
          <w:tab w:val="left" w:pos="567"/>
        </w:tabs>
        <w:rPr>
          <w:strike/>
          <w:lang w:val="en-US"/>
        </w:rPr>
      </w:pPr>
      <w:r w:rsidRPr="00104227">
        <w:rPr>
          <w:lang w:val="en-US"/>
        </w:rPr>
        <w:t xml:space="preserve">The </w:t>
      </w:r>
      <w:r w:rsidRPr="00104227">
        <w:rPr>
          <w:b/>
          <w:bCs/>
          <w:i/>
          <w:iCs/>
          <w:lang w:val="en-US"/>
        </w:rPr>
        <w:t>State</w:t>
      </w:r>
      <w:r w:rsidR="00E12489" w:rsidRPr="00104227">
        <w:rPr>
          <w:lang w:val="en-US"/>
        </w:rPr>
        <w:t xml:space="preserve"> </w:t>
      </w:r>
      <w:r w:rsidR="00736460" w:rsidRPr="00104227">
        <w:rPr>
          <w:lang w:val="en-US"/>
        </w:rPr>
        <w:t>filed a</w:t>
      </w:r>
      <w:r w:rsidR="00AA3133" w:rsidRPr="00104227">
        <w:rPr>
          <w:lang w:val="en-US"/>
        </w:rPr>
        <w:t xml:space="preserve"> preliminary objection</w:t>
      </w:r>
      <w:r w:rsidR="00E12489" w:rsidRPr="00104227">
        <w:rPr>
          <w:lang w:val="en-US"/>
        </w:rPr>
        <w:t xml:space="preserve"> a</w:t>
      </w:r>
      <w:r w:rsidR="00736460" w:rsidRPr="00104227">
        <w:rPr>
          <w:lang w:val="en-US"/>
        </w:rPr>
        <w:t xml:space="preserve">rguing that </w:t>
      </w:r>
      <w:r w:rsidR="00BF5241" w:rsidRPr="00104227">
        <w:rPr>
          <w:lang w:val="en-US"/>
        </w:rPr>
        <w:t>the Commission</w:t>
      </w:r>
      <w:r w:rsidR="00E12489" w:rsidRPr="00104227">
        <w:rPr>
          <w:lang w:val="en-US"/>
        </w:rPr>
        <w:t xml:space="preserve"> ha</w:t>
      </w:r>
      <w:r w:rsidR="00736460" w:rsidRPr="00104227">
        <w:rPr>
          <w:lang w:val="en-US"/>
        </w:rPr>
        <w:t xml:space="preserve">d committed a serious error that violated its right to defend itself because, during the processing of the case before that organ, it failed to respect the guarantee of procedural balance between the parties, the principle of legal certainty, and the principle of complementarity. It explained that the State’s preliminary objection was based on the serious error committed by the Commission owing to: (i) “the inappropriate way in which it submitted the case to the Court, disregarding the strict and essential application of the principle of complementarity required by the American Convention; (ii) its failure to rule on the measures of reparation adopted by the State, and (iii) the granting of extremely </w:t>
      </w:r>
      <w:r w:rsidR="003F10B2" w:rsidRPr="00104227">
        <w:rPr>
          <w:lang w:val="en-US"/>
        </w:rPr>
        <w:t>brief</w:t>
      </w:r>
      <w:r w:rsidR="00736460" w:rsidRPr="00104227">
        <w:rPr>
          <w:lang w:val="en-US"/>
        </w:rPr>
        <w:t xml:space="preserve"> extensions to the State to comply with recommendations aimed at producing structural changes.” Mexico indicated that the Commission had not provided “a reasoned reply” to its arguments, or “at least, made its recommendations on a </w:t>
      </w:r>
      <w:r w:rsidR="003F10B2" w:rsidRPr="00104227">
        <w:rPr>
          <w:lang w:val="en-US"/>
        </w:rPr>
        <w:t>gradual</w:t>
      </w:r>
      <w:r w:rsidR="00736460" w:rsidRPr="00104227">
        <w:rPr>
          <w:lang w:val="en-US"/>
        </w:rPr>
        <w:t xml:space="preserve"> basis” that would reflect the State’s ado</w:t>
      </w:r>
      <w:r w:rsidR="003F10B2" w:rsidRPr="00104227">
        <w:rPr>
          <w:lang w:val="en-US"/>
        </w:rPr>
        <w:t>p</w:t>
      </w:r>
      <w:r w:rsidR="00736460" w:rsidRPr="00104227">
        <w:rPr>
          <w:lang w:val="en-US"/>
        </w:rPr>
        <w:t>tion of certain measures; rather “it merely mentioned that the State had not complied with the reparations” while, at the same time, it did respond to the representatives</w:t>
      </w:r>
      <w:r w:rsidR="003F10B2" w:rsidRPr="00104227">
        <w:rPr>
          <w:lang w:val="en-US"/>
        </w:rPr>
        <w:t>’ arguments</w:t>
      </w:r>
      <w:r w:rsidR="00736460" w:rsidRPr="00104227">
        <w:rPr>
          <w:lang w:val="en-US"/>
        </w:rPr>
        <w:t xml:space="preserve"> in violation of the procedural balance between the parties. Therefore, </w:t>
      </w:r>
      <w:r w:rsidR="003F10B2" w:rsidRPr="00104227">
        <w:rPr>
          <w:lang w:val="en-US"/>
        </w:rPr>
        <w:t>the State</w:t>
      </w:r>
      <w:r w:rsidR="00736460" w:rsidRPr="00104227">
        <w:rPr>
          <w:lang w:val="en-US"/>
        </w:rPr>
        <w:t xml:space="preserve"> indicated that the Commission</w:t>
      </w:r>
      <w:r w:rsidR="003F10B2" w:rsidRPr="00104227">
        <w:rPr>
          <w:lang w:val="en-US"/>
        </w:rPr>
        <w:t>’s failure</w:t>
      </w:r>
      <w:r w:rsidR="00736460" w:rsidRPr="00104227">
        <w:rPr>
          <w:lang w:val="en-US"/>
        </w:rPr>
        <w:t xml:space="preserve"> to rule on the principle of complementarity constituted an error the gravity of which was “sufficient to determine the inadmissibility of the case.” The State also indicated that it was not ask</w:t>
      </w:r>
      <w:r w:rsidR="003F10B2" w:rsidRPr="00104227">
        <w:rPr>
          <w:lang w:val="en-US"/>
        </w:rPr>
        <w:t>ing</w:t>
      </w:r>
      <w:r w:rsidR="00736460" w:rsidRPr="00104227">
        <w:rPr>
          <w:lang w:val="en-US"/>
        </w:rPr>
        <w:t xml:space="preserve"> the Court to exercise a control of the legality of the Commission’s actions merely for declarative purposes, but rather “the purpose of its</w:t>
      </w:r>
      <w:r w:rsidR="003F10B2" w:rsidRPr="00104227">
        <w:rPr>
          <w:lang w:val="en-US"/>
        </w:rPr>
        <w:t xml:space="preserve"> </w:t>
      </w:r>
      <w:r w:rsidR="00AA3133" w:rsidRPr="00104227">
        <w:rPr>
          <w:lang w:val="en-US"/>
        </w:rPr>
        <w:t>preliminary objection</w:t>
      </w:r>
      <w:r w:rsidR="00E12489" w:rsidRPr="00104227">
        <w:rPr>
          <w:lang w:val="en-US"/>
        </w:rPr>
        <w:t xml:space="preserve"> </w:t>
      </w:r>
      <w:r w:rsidR="00736460" w:rsidRPr="00104227">
        <w:rPr>
          <w:lang w:val="en-US"/>
        </w:rPr>
        <w:t>[was] for the […] Court to declare the case inadmis</w:t>
      </w:r>
      <w:r w:rsidR="000A3EA4" w:rsidRPr="00104227">
        <w:rPr>
          <w:lang w:val="en-US"/>
        </w:rPr>
        <w:t>s</w:t>
      </w:r>
      <w:r w:rsidR="00736460" w:rsidRPr="00104227">
        <w:rPr>
          <w:lang w:val="en-US"/>
        </w:rPr>
        <w:t xml:space="preserve">ible, in light of the legal </w:t>
      </w:r>
      <w:r w:rsidR="003F10B2" w:rsidRPr="00104227">
        <w:rPr>
          <w:lang w:val="en-US"/>
        </w:rPr>
        <w:t>possibilities</w:t>
      </w:r>
      <w:r w:rsidR="00736460" w:rsidRPr="00104227">
        <w:rPr>
          <w:lang w:val="en-US"/>
        </w:rPr>
        <w:t xml:space="preserve"> available.”</w:t>
      </w:r>
      <w:r w:rsidR="00E12489" w:rsidRPr="00104227">
        <w:rPr>
          <w:lang w:val="en-US"/>
        </w:rPr>
        <w:t xml:space="preserve"> </w:t>
      </w:r>
    </w:p>
    <w:p w14:paraId="4EAEDDC5" w14:textId="77777777" w:rsidR="00E12489" w:rsidRPr="00104227" w:rsidRDefault="00E12489" w:rsidP="00E4619F">
      <w:pPr>
        <w:tabs>
          <w:tab w:val="left" w:pos="567"/>
        </w:tabs>
        <w:rPr>
          <w:lang w:eastAsia="es-MX"/>
        </w:rPr>
      </w:pPr>
    </w:p>
    <w:p w14:paraId="257EB1A0" w14:textId="5D852A44" w:rsidR="00E12489" w:rsidRPr="00104227" w:rsidRDefault="00BF5241" w:rsidP="000A3EA4">
      <w:pPr>
        <w:pStyle w:val="Numberedparagraphs"/>
        <w:tabs>
          <w:tab w:val="left" w:pos="567"/>
        </w:tabs>
        <w:rPr>
          <w:lang w:val="en-US"/>
        </w:rPr>
      </w:pPr>
      <w:r w:rsidRPr="00104227">
        <w:rPr>
          <w:lang w:val="en-US"/>
        </w:rPr>
        <w:t xml:space="preserve">The </w:t>
      </w:r>
      <w:r w:rsidRPr="00104227">
        <w:rPr>
          <w:b/>
          <w:bCs/>
          <w:i/>
          <w:iCs/>
          <w:lang w:val="en-US"/>
        </w:rPr>
        <w:t>Commission</w:t>
      </w:r>
      <w:r w:rsidR="00E12489" w:rsidRPr="00104227">
        <w:rPr>
          <w:b/>
          <w:i/>
          <w:lang w:val="en-US"/>
        </w:rPr>
        <w:t xml:space="preserve"> </w:t>
      </w:r>
      <w:r w:rsidR="00736460" w:rsidRPr="00104227">
        <w:rPr>
          <w:lang w:val="en-US"/>
        </w:rPr>
        <w:t>indicated that the State’s a</w:t>
      </w:r>
      <w:r w:rsidR="003F10B2" w:rsidRPr="00104227">
        <w:rPr>
          <w:lang w:val="en-US"/>
        </w:rPr>
        <w:t>llegations</w:t>
      </w:r>
      <w:r w:rsidR="00736460" w:rsidRPr="00104227">
        <w:rPr>
          <w:lang w:val="en-US"/>
        </w:rPr>
        <w:t xml:space="preserve"> were not of the nature of a preliminary objection and were, therefore, manifestly inadmissible. It argued that: (i) the grounds for the preliminary objection w</w:t>
      </w:r>
      <w:r w:rsidR="00F900DB" w:rsidRPr="00104227">
        <w:rPr>
          <w:lang w:val="en-US"/>
        </w:rPr>
        <w:t>ere</w:t>
      </w:r>
      <w:r w:rsidR="00736460" w:rsidRPr="00104227">
        <w:rPr>
          <w:lang w:val="en-US"/>
        </w:rPr>
        <w:t xml:space="preserve"> that the State did not agree with </w:t>
      </w:r>
      <w:r w:rsidR="00F900DB" w:rsidRPr="00104227">
        <w:rPr>
          <w:lang w:val="en-US"/>
        </w:rPr>
        <w:t>its</w:t>
      </w:r>
      <w:r w:rsidR="00736460" w:rsidRPr="00104227">
        <w:rPr>
          <w:lang w:val="en-US"/>
        </w:rPr>
        <w:t xml:space="preserve"> assessment of the reparations offered and</w:t>
      </w:r>
      <w:r w:rsidR="00F900DB" w:rsidRPr="00104227">
        <w:rPr>
          <w:lang w:val="en-US"/>
        </w:rPr>
        <w:t xml:space="preserve"> of</w:t>
      </w:r>
      <w:r w:rsidR="00736460" w:rsidRPr="00104227">
        <w:rPr>
          <w:lang w:val="en-US"/>
        </w:rPr>
        <w:t xml:space="preserve"> the status of compliance with the recommendations made in the </w:t>
      </w:r>
      <w:r w:rsidR="002826A6" w:rsidRPr="00104227">
        <w:rPr>
          <w:lang w:val="en-US"/>
        </w:rPr>
        <w:t>Merits Report</w:t>
      </w:r>
      <w:r w:rsidR="00E12489" w:rsidRPr="00104227">
        <w:rPr>
          <w:lang w:val="en-US"/>
        </w:rPr>
        <w:t>,</w:t>
      </w:r>
      <w:r w:rsidRPr="00104227">
        <w:rPr>
          <w:lang w:val="en-US"/>
        </w:rPr>
        <w:t xml:space="preserve"> and </w:t>
      </w:r>
      <w:r w:rsidR="00E12489" w:rsidRPr="00104227">
        <w:rPr>
          <w:lang w:val="en-US"/>
        </w:rPr>
        <w:t xml:space="preserve">(ii) </w:t>
      </w:r>
      <w:r w:rsidR="00AC3BFC" w:rsidRPr="00104227">
        <w:rPr>
          <w:lang w:val="en-US"/>
        </w:rPr>
        <w:t>the Mexican State</w:t>
      </w:r>
      <w:r w:rsidR="00E12489" w:rsidRPr="00104227">
        <w:rPr>
          <w:lang w:val="en-US"/>
        </w:rPr>
        <w:t xml:space="preserve"> </w:t>
      </w:r>
      <w:r w:rsidR="00736460" w:rsidRPr="00104227">
        <w:rPr>
          <w:lang w:val="en-US"/>
        </w:rPr>
        <w:t xml:space="preserve">had not </w:t>
      </w:r>
      <w:r w:rsidR="000A3EA4" w:rsidRPr="00104227">
        <w:rPr>
          <w:lang w:val="en-US"/>
        </w:rPr>
        <w:t xml:space="preserve">satisfied the burden of proof and argument required by the Court to execute a control of the legality of the Commission’s actions, because it had not </w:t>
      </w:r>
      <w:r w:rsidR="000A3EA4" w:rsidRPr="00104227">
        <w:rPr>
          <w:lang w:val="en-US"/>
        </w:rPr>
        <w:lastRenderedPageBreak/>
        <w:t>proved the existence of an error and had not been able to indicate the specific prejudice suffered. The Commission emphasized that the State’s arguments on the principle of complementarity were related to the merits stage and the</w:t>
      </w:r>
      <w:r w:rsidR="00F900DB" w:rsidRPr="00104227">
        <w:rPr>
          <w:lang w:val="en-US"/>
        </w:rPr>
        <w:t xml:space="preserve"> stage of</w:t>
      </w:r>
      <w:r w:rsidR="000A3EA4" w:rsidRPr="00104227">
        <w:rPr>
          <w:lang w:val="en-US"/>
        </w:rPr>
        <w:t xml:space="preserve"> transition prior to the case being submitted to the Court. In addition, it underlined that</w:t>
      </w:r>
      <w:r w:rsidR="00F900DB" w:rsidRPr="00104227">
        <w:rPr>
          <w:lang w:val="en-US"/>
        </w:rPr>
        <w:t>, over and above</w:t>
      </w:r>
      <w:r w:rsidR="000A3EA4" w:rsidRPr="00104227">
        <w:rPr>
          <w:lang w:val="en-US"/>
        </w:rPr>
        <w:t xml:space="preserve"> whether Mexico considered the extensions to be very </w:t>
      </w:r>
      <w:r w:rsidR="00F900DB" w:rsidRPr="00104227">
        <w:rPr>
          <w:lang w:val="en-US"/>
        </w:rPr>
        <w:t>brief</w:t>
      </w:r>
      <w:r w:rsidR="000A3EA4" w:rsidRPr="00104227">
        <w:rPr>
          <w:lang w:val="en-US"/>
        </w:rPr>
        <w:t xml:space="preserve">, it had </w:t>
      </w:r>
      <w:r w:rsidR="00F900DB" w:rsidRPr="00104227">
        <w:rPr>
          <w:lang w:val="en-US"/>
        </w:rPr>
        <w:t xml:space="preserve">been given </w:t>
      </w:r>
      <w:r w:rsidR="000A3EA4" w:rsidRPr="00104227">
        <w:rPr>
          <w:lang w:val="en-US"/>
        </w:rPr>
        <w:t xml:space="preserve">the opportunity to report substantive and concrete progress in relation to all the recommendations, and “the very act of continuing to grant extensions to the State signified an assessment of the information provided by Mexico in its periodic reports.” The Commission also indicated that “the reasons why, after granting four extensions, the Commission decided to submit the case to </w:t>
      </w:r>
      <w:r w:rsidRPr="00104227">
        <w:rPr>
          <w:lang w:val="en-US"/>
        </w:rPr>
        <w:t>the Inter-American Court</w:t>
      </w:r>
      <w:r w:rsidR="00E12489" w:rsidRPr="00104227">
        <w:rPr>
          <w:lang w:val="en-US"/>
        </w:rPr>
        <w:t xml:space="preserve">, </w:t>
      </w:r>
      <w:r w:rsidR="000A3EA4" w:rsidRPr="00104227">
        <w:rPr>
          <w:lang w:val="en-US"/>
        </w:rPr>
        <w:t>are clearly indicated in the submission note of September 17,</w:t>
      </w:r>
      <w:r w:rsidR="00E12489" w:rsidRPr="00104227">
        <w:rPr>
          <w:lang w:val="en-US"/>
        </w:rPr>
        <w:t xml:space="preserve"> 2016</w:t>
      </w:r>
      <w:r w:rsidR="000A3EA4" w:rsidRPr="00104227">
        <w:rPr>
          <w:lang w:val="en-US"/>
        </w:rPr>
        <w:t>.</w:t>
      </w:r>
      <w:r w:rsidR="00E12489" w:rsidRPr="00104227">
        <w:rPr>
          <w:lang w:val="en-US"/>
        </w:rPr>
        <w:t>”</w:t>
      </w:r>
      <w:r w:rsidR="000A3EA4" w:rsidRPr="00104227">
        <w:rPr>
          <w:lang w:val="en-US"/>
        </w:rPr>
        <w:t xml:space="preserve"> Consequently, it asked the Court to reject the </w:t>
      </w:r>
      <w:r w:rsidR="00AA3133" w:rsidRPr="00104227">
        <w:rPr>
          <w:lang w:val="en-US"/>
        </w:rPr>
        <w:t>preliminary objection</w:t>
      </w:r>
      <w:r w:rsidR="00E12489" w:rsidRPr="00104227">
        <w:rPr>
          <w:lang w:val="en-US"/>
        </w:rPr>
        <w:t xml:space="preserve"> </w:t>
      </w:r>
      <w:r w:rsidR="000A3EA4" w:rsidRPr="00104227">
        <w:rPr>
          <w:lang w:val="en-US"/>
        </w:rPr>
        <w:t>filed by</w:t>
      </w:r>
      <w:r w:rsidR="00E12489" w:rsidRPr="00104227">
        <w:rPr>
          <w:lang w:val="en-US"/>
        </w:rPr>
        <w:t xml:space="preserve"> </w:t>
      </w:r>
      <w:r w:rsidR="00AC3BFC" w:rsidRPr="00104227">
        <w:rPr>
          <w:lang w:val="en-US"/>
        </w:rPr>
        <w:t>the State</w:t>
      </w:r>
      <w:r w:rsidR="00E12489" w:rsidRPr="00104227">
        <w:rPr>
          <w:lang w:val="en-US"/>
        </w:rPr>
        <w:t>.</w:t>
      </w:r>
      <w:r w:rsidR="00E12489" w:rsidRPr="00104227">
        <w:rPr>
          <w:b/>
          <w:lang w:val="en-US"/>
        </w:rPr>
        <w:t xml:space="preserve"> </w:t>
      </w:r>
    </w:p>
    <w:p w14:paraId="0870FF8D" w14:textId="77777777" w:rsidR="00E12489" w:rsidRPr="00104227" w:rsidRDefault="00E12489" w:rsidP="00E4619F">
      <w:pPr>
        <w:tabs>
          <w:tab w:val="left" w:pos="567"/>
        </w:tabs>
        <w:rPr>
          <w:lang w:eastAsia="es-MX"/>
        </w:rPr>
      </w:pPr>
    </w:p>
    <w:p w14:paraId="72086F14" w14:textId="38ABF48C" w:rsidR="00E12489" w:rsidRPr="00104227" w:rsidRDefault="002826A6" w:rsidP="006E13F0">
      <w:pPr>
        <w:pStyle w:val="Numberedparagraphs"/>
        <w:tabs>
          <w:tab w:val="left" w:pos="567"/>
        </w:tabs>
        <w:rPr>
          <w:lang w:val="en-US"/>
        </w:rPr>
      </w:pPr>
      <w:r w:rsidRPr="00104227">
        <w:rPr>
          <w:lang w:val="en-US"/>
        </w:rPr>
        <w:t xml:space="preserve">The </w:t>
      </w:r>
      <w:r w:rsidRPr="00104227">
        <w:rPr>
          <w:b/>
          <w:bCs/>
          <w:i/>
          <w:iCs/>
          <w:lang w:val="en-US"/>
        </w:rPr>
        <w:t>representatives</w:t>
      </w:r>
      <w:r w:rsidR="00E12489" w:rsidRPr="00104227">
        <w:rPr>
          <w:lang w:val="en-US"/>
        </w:rPr>
        <w:t xml:space="preserve"> </w:t>
      </w:r>
      <w:r w:rsidR="006E13F0" w:rsidRPr="00104227">
        <w:rPr>
          <w:lang w:val="en-US"/>
        </w:rPr>
        <w:t>argued that</w:t>
      </w:r>
      <w:r w:rsidR="00E12489" w:rsidRPr="00104227">
        <w:rPr>
          <w:lang w:val="en-US"/>
        </w:rPr>
        <w:t xml:space="preserve"> </w:t>
      </w:r>
      <w:r w:rsidR="00BF5241" w:rsidRPr="00104227">
        <w:rPr>
          <w:lang w:val="en-US"/>
        </w:rPr>
        <w:t>the Commission</w:t>
      </w:r>
      <w:r w:rsidR="00E12489" w:rsidRPr="00104227">
        <w:rPr>
          <w:lang w:val="en-US"/>
        </w:rPr>
        <w:t xml:space="preserve"> “</w:t>
      </w:r>
      <w:r w:rsidR="006E13F0" w:rsidRPr="00104227">
        <w:rPr>
          <w:lang w:val="en-US"/>
        </w:rPr>
        <w:t>had not committed any error, because it assessed the State’s non-compliance and acted within its terms of reference” and “the State failed to prove that the [Commission’s] action</w:t>
      </w:r>
      <w:r w:rsidR="00F900DB" w:rsidRPr="00104227">
        <w:rPr>
          <w:lang w:val="en-US"/>
        </w:rPr>
        <w:t>s</w:t>
      </w:r>
      <w:r w:rsidR="006E13F0" w:rsidRPr="00104227">
        <w:rPr>
          <w:lang w:val="en-US"/>
        </w:rPr>
        <w:t xml:space="preserve"> prejudiced its right of defense.” In particular, they indicated that the preliminary objection was ‘based precisely on the Mexican State’s discrepancy with the [Commission’s] assessment of the failure to comply with the recommendations made in the Merits Report” and that a difference of opinion did “not prove that there had been an error of any kin</w:t>
      </w:r>
      <w:r w:rsidR="00F900DB" w:rsidRPr="00104227">
        <w:rPr>
          <w:lang w:val="en-US"/>
        </w:rPr>
        <w:t>d</w:t>
      </w:r>
      <w:r w:rsidR="006E13F0" w:rsidRPr="00104227">
        <w:rPr>
          <w:lang w:val="en-US"/>
        </w:rPr>
        <w:t xml:space="preserve"> in the [Commission’s] actions.” Thus, they alleged that, in essence, the State was requesting a control of legality with declarative effects, which was inadmissible pursuant to the Court’s case law. They also</w:t>
      </w:r>
      <w:r w:rsidR="00F900DB" w:rsidRPr="00104227">
        <w:rPr>
          <w:lang w:val="en-US"/>
        </w:rPr>
        <w:t xml:space="preserve"> </w:t>
      </w:r>
      <w:r w:rsidR="006E13F0" w:rsidRPr="00104227">
        <w:rPr>
          <w:lang w:val="en-US"/>
        </w:rPr>
        <w:t>alleged that</w:t>
      </w:r>
      <w:r w:rsidR="00E12489" w:rsidRPr="00104227">
        <w:rPr>
          <w:lang w:val="en-US"/>
        </w:rPr>
        <w:t xml:space="preserve"> “</w:t>
      </w:r>
      <w:r w:rsidR="00BF5241" w:rsidRPr="00104227">
        <w:rPr>
          <w:lang w:val="en-US"/>
        </w:rPr>
        <w:t>the Commission</w:t>
      </w:r>
      <w:r w:rsidR="00E12489" w:rsidRPr="00104227">
        <w:rPr>
          <w:lang w:val="en-US"/>
        </w:rPr>
        <w:t xml:space="preserve"> </w:t>
      </w:r>
      <w:r w:rsidR="006E13F0" w:rsidRPr="00104227">
        <w:rPr>
          <w:lang w:val="en-US"/>
        </w:rPr>
        <w:t>had ruled clearly in both the</w:t>
      </w:r>
      <w:r w:rsidR="00E12489" w:rsidRPr="00104227">
        <w:rPr>
          <w:lang w:val="en-US"/>
        </w:rPr>
        <w:t xml:space="preserve"> </w:t>
      </w:r>
      <w:r w:rsidRPr="00104227">
        <w:rPr>
          <w:lang w:val="en-US"/>
        </w:rPr>
        <w:t>Merits Report</w:t>
      </w:r>
      <w:r w:rsidR="00E12489" w:rsidRPr="00104227">
        <w:rPr>
          <w:lang w:val="en-US"/>
        </w:rPr>
        <w:t xml:space="preserve"> </w:t>
      </w:r>
      <w:r w:rsidR="006E13F0" w:rsidRPr="00104227">
        <w:rPr>
          <w:lang w:val="en-US"/>
        </w:rPr>
        <w:t>and in the note submitting the case that the proceedings underway did not comply with the obligation to clarify and punish the facts, and that the State had not taken any significant steps to comply with th</w:t>
      </w:r>
      <w:r w:rsidR="00F900DB" w:rsidRPr="00104227">
        <w:rPr>
          <w:lang w:val="en-US"/>
        </w:rPr>
        <w:t>is</w:t>
      </w:r>
      <w:r w:rsidR="006E13F0" w:rsidRPr="00104227">
        <w:rPr>
          <w:lang w:val="en-US"/>
        </w:rPr>
        <w:t xml:space="preserve"> item in the nine-month period between the notification of the </w:t>
      </w:r>
      <w:r w:rsidRPr="00104227">
        <w:rPr>
          <w:lang w:val="en-US"/>
        </w:rPr>
        <w:t>Merits Report</w:t>
      </w:r>
      <w:r w:rsidR="00BF5241" w:rsidRPr="00104227">
        <w:rPr>
          <w:lang w:val="en-US"/>
        </w:rPr>
        <w:t xml:space="preserve"> and </w:t>
      </w:r>
      <w:r w:rsidR="006E13F0" w:rsidRPr="00104227">
        <w:rPr>
          <w:lang w:val="en-US"/>
        </w:rPr>
        <w:t>the submission of the case to</w:t>
      </w:r>
      <w:r w:rsidR="00E12489" w:rsidRPr="00104227">
        <w:rPr>
          <w:lang w:val="en-US"/>
        </w:rPr>
        <w:t xml:space="preserve"> </w:t>
      </w:r>
      <w:r w:rsidR="00BF5241" w:rsidRPr="00104227">
        <w:rPr>
          <w:lang w:val="en-US"/>
        </w:rPr>
        <w:t>the Court</w:t>
      </w:r>
      <w:r w:rsidR="006E13F0" w:rsidRPr="00104227">
        <w:rPr>
          <w:lang w:val="en-US"/>
        </w:rPr>
        <w:t>.</w:t>
      </w:r>
      <w:r w:rsidR="00E12489" w:rsidRPr="00104227">
        <w:rPr>
          <w:lang w:val="en-US"/>
        </w:rPr>
        <w:t>”</w:t>
      </w:r>
    </w:p>
    <w:p w14:paraId="489A4E92" w14:textId="77777777" w:rsidR="00E12489" w:rsidRPr="00104227" w:rsidRDefault="00E12489" w:rsidP="00E4619F">
      <w:pPr>
        <w:pStyle w:val="PrrafodeSentencia"/>
        <w:numPr>
          <w:ilvl w:val="0"/>
          <w:numId w:val="0"/>
        </w:numPr>
        <w:shd w:val="clear" w:color="auto" w:fill="FFFFFF" w:themeFill="background1"/>
        <w:rPr>
          <w:lang w:val="en-US"/>
        </w:rPr>
      </w:pPr>
      <w:r w:rsidRPr="00104227">
        <w:rPr>
          <w:lang w:val="en-US"/>
        </w:rPr>
        <w:t xml:space="preserve"> </w:t>
      </w:r>
    </w:p>
    <w:p w14:paraId="62C51E10" w14:textId="7A812457" w:rsidR="00E12489" w:rsidRPr="00104227" w:rsidRDefault="006E13F0" w:rsidP="00E4619F">
      <w:pPr>
        <w:pStyle w:val="Ttulo2"/>
        <w:ind w:left="990" w:hanging="360"/>
        <w:rPr>
          <w:lang w:val="en-US"/>
        </w:rPr>
      </w:pPr>
      <w:bookmarkStart w:id="97" w:name="_Toc31290547"/>
      <w:r w:rsidRPr="00104227">
        <w:rPr>
          <w:lang w:val="en-US"/>
        </w:rPr>
        <w:t>Considerations</w:t>
      </w:r>
      <w:r w:rsidR="00BF5241" w:rsidRPr="00104227">
        <w:rPr>
          <w:lang w:val="en-US"/>
        </w:rPr>
        <w:t xml:space="preserve"> of the Court</w:t>
      </w:r>
      <w:bookmarkEnd w:id="97"/>
    </w:p>
    <w:p w14:paraId="3F1F42A6" w14:textId="77777777" w:rsidR="00E12489" w:rsidRPr="00104227" w:rsidRDefault="00E12489" w:rsidP="00E4619F">
      <w:pPr>
        <w:shd w:val="clear" w:color="auto" w:fill="FFFFFF" w:themeFill="background1"/>
        <w:tabs>
          <w:tab w:val="left" w:pos="567"/>
        </w:tabs>
        <w:ind w:left="993"/>
        <w:rPr>
          <w:b/>
          <w:i/>
        </w:rPr>
      </w:pPr>
    </w:p>
    <w:p w14:paraId="2D4CB74B" w14:textId="095B6361" w:rsidR="00E12489" w:rsidRPr="00104227" w:rsidRDefault="00E12489" w:rsidP="006E13F0">
      <w:pPr>
        <w:pStyle w:val="Numberedparagraphs"/>
        <w:tabs>
          <w:tab w:val="left" w:pos="567"/>
        </w:tabs>
        <w:rPr>
          <w:strike/>
          <w:lang w:val="en-US"/>
        </w:rPr>
      </w:pPr>
      <w:r w:rsidRPr="00104227">
        <w:rPr>
          <w:lang w:val="en-US"/>
        </w:rPr>
        <w:t xml:space="preserve"> </w:t>
      </w:r>
      <w:bookmarkStart w:id="98" w:name="_Ref532986864"/>
      <w:r w:rsidR="00BF5241" w:rsidRPr="00104227">
        <w:rPr>
          <w:lang w:val="en-US"/>
        </w:rPr>
        <w:t>The Court</w:t>
      </w:r>
      <w:r w:rsidRPr="00104227">
        <w:rPr>
          <w:lang w:val="en-US"/>
        </w:rPr>
        <w:t>, interpret</w:t>
      </w:r>
      <w:r w:rsidR="006E13F0" w:rsidRPr="00104227">
        <w:rPr>
          <w:lang w:val="en-US"/>
        </w:rPr>
        <w:t>ing</w:t>
      </w:r>
      <w:r w:rsidRPr="00104227">
        <w:rPr>
          <w:lang w:val="en-US"/>
        </w:rPr>
        <w:t xml:space="preserve"> </w:t>
      </w:r>
      <w:r w:rsidR="00BF5241" w:rsidRPr="00104227">
        <w:rPr>
          <w:lang w:val="en-US"/>
        </w:rPr>
        <w:t>Article</w:t>
      </w:r>
      <w:r w:rsidRPr="00104227">
        <w:rPr>
          <w:lang w:val="en-US"/>
        </w:rPr>
        <w:t xml:space="preserve"> 42 </w:t>
      </w:r>
      <w:r w:rsidR="006E13F0" w:rsidRPr="00104227">
        <w:rPr>
          <w:lang w:val="en-US"/>
        </w:rPr>
        <w:t xml:space="preserve">of its Rules of Procedure, which regulates preliminary objections, considers that </w:t>
      </w:r>
      <w:r w:rsidR="00E86B18" w:rsidRPr="00104227">
        <w:rPr>
          <w:lang w:val="en-US"/>
        </w:rPr>
        <w:t>such objections</w:t>
      </w:r>
      <w:r w:rsidR="006E13F0" w:rsidRPr="00104227">
        <w:rPr>
          <w:lang w:val="en-US"/>
        </w:rPr>
        <w:t xml:space="preserve"> are so called precisely because they are of a preliminary nature and, therefore, tend to prevent the analysis of the merits of the matter </w:t>
      </w:r>
      <w:r w:rsidR="00E86B18" w:rsidRPr="00104227">
        <w:rPr>
          <w:lang w:val="en-US"/>
        </w:rPr>
        <w:t>in dispute</w:t>
      </w:r>
      <w:r w:rsidR="006E13F0" w:rsidRPr="00104227">
        <w:rPr>
          <w:lang w:val="en-US"/>
        </w:rPr>
        <w:t xml:space="preserve">, by objecting to the admissibility of a case or </w:t>
      </w:r>
      <w:r w:rsidR="00E86B18" w:rsidRPr="00104227">
        <w:rPr>
          <w:lang w:val="en-US"/>
        </w:rPr>
        <w:t xml:space="preserve">to </w:t>
      </w:r>
      <w:r w:rsidR="006E13F0" w:rsidRPr="00104227">
        <w:rPr>
          <w:lang w:val="en-US"/>
        </w:rPr>
        <w:t>the Court’s jurisdiction to hear a specific case or any of its aspects, based on either the person, matter, time or place, provide</w:t>
      </w:r>
      <w:r w:rsidR="00E86B18" w:rsidRPr="00104227">
        <w:rPr>
          <w:lang w:val="en-US"/>
        </w:rPr>
        <w:t>d</w:t>
      </w:r>
      <w:r w:rsidR="006E13F0" w:rsidRPr="00104227">
        <w:rPr>
          <w:lang w:val="en-US"/>
        </w:rPr>
        <w:t xml:space="preserve"> that the issues are of a preliminary nature.</w:t>
      </w:r>
      <w:r w:rsidRPr="00104227">
        <w:rPr>
          <w:rStyle w:val="Refdenotaalpie"/>
          <w:lang w:val="en-US"/>
        </w:rPr>
        <w:footnoteReference w:id="28"/>
      </w:r>
      <w:r w:rsidR="006E13F0" w:rsidRPr="00104227">
        <w:rPr>
          <w:lang w:val="en-US"/>
        </w:rPr>
        <w:t xml:space="preserve"> If it is not </w:t>
      </w:r>
      <w:r w:rsidR="000A14CF" w:rsidRPr="00104227">
        <w:rPr>
          <w:lang w:val="en-US"/>
        </w:rPr>
        <w:t>possible</w:t>
      </w:r>
      <w:r w:rsidR="006E13F0" w:rsidRPr="00104227">
        <w:rPr>
          <w:lang w:val="en-US"/>
        </w:rPr>
        <w:t xml:space="preserve"> to consider the issues without a prior analysis of the merits of a case, they cannot be analyzed by means of </w:t>
      </w:r>
      <w:r w:rsidR="00AA3133" w:rsidRPr="00104227">
        <w:rPr>
          <w:lang w:val="en-US"/>
        </w:rPr>
        <w:t>a preliminary objection</w:t>
      </w:r>
      <w:r w:rsidR="006E13F0" w:rsidRPr="00104227">
        <w:rPr>
          <w:lang w:val="en-US"/>
        </w:rPr>
        <w:t>.</w:t>
      </w:r>
      <w:r w:rsidRPr="00104227">
        <w:rPr>
          <w:rStyle w:val="Refdenotaalpie"/>
          <w:lang w:val="en-US"/>
        </w:rPr>
        <w:footnoteReference w:id="29"/>
      </w:r>
      <w:r w:rsidRPr="00104227">
        <w:rPr>
          <w:lang w:val="en-US"/>
        </w:rPr>
        <w:t xml:space="preserve"> </w:t>
      </w:r>
      <w:bookmarkEnd w:id="98"/>
    </w:p>
    <w:p w14:paraId="73207BAE" w14:textId="77777777" w:rsidR="00E12489" w:rsidRPr="00104227" w:rsidRDefault="00E12489" w:rsidP="00E4619F">
      <w:pPr>
        <w:shd w:val="clear" w:color="auto" w:fill="FFFFFF" w:themeFill="background1"/>
        <w:tabs>
          <w:tab w:val="left" w:pos="567"/>
        </w:tabs>
      </w:pPr>
    </w:p>
    <w:p w14:paraId="1336D479" w14:textId="39B7C6AE" w:rsidR="006E13F0" w:rsidRPr="00104227" w:rsidRDefault="006E13F0" w:rsidP="00E4619F">
      <w:pPr>
        <w:pStyle w:val="Numberedparagraphs"/>
        <w:tabs>
          <w:tab w:val="left" w:pos="567"/>
        </w:tabs>
        <w:rPr>
          <w:lang w:val="en-US"/>
        </w:rPr>
      </w:pPr>
      <w:r w:rsidRPr="00104227">
        <w:rPr>
          <w:lang w:val="en-US"/>
        </w:rPr>
        <w:t>In this case</w:t>
      </w:r>
      <w:r w:rsidR="00E12489" w:rsidRPr="00104227">
        <w:rPr>
          <w:lang w:val="en-US"/>
        </w:rPr>
        <w:t xml:space="preserve">, </w:t>
      </w:r>
      <w:r w:rsidR="00BF5241" w:rsidRPr="00104227">
        <w:rPr>
          <w:lang w:val="en-US"/>
        </w:rPr>
        <w:t>the Court</w:t>
      </w:r>
      <w:r w:rsidR="00E12489" w:rsidRPr="00104227">
        <w:rPr>
          <w:lang w:val="en-US"/>
        </w:rPr>
        <w:t xml:space="preserve"> not</w:t>
      </w:r>
      <w:r w:rsidRPr="00104227">
        <w:rPr>
          <w:lang w:val="en-US"/>
        </w:rPr>
        <w:t>es that</w:t>
      </w:r>
      <w:r w:rsidR="00E12489" w:rsidRPr="00104227">
        <w:rPr>
          <w:lang w:val="en-US"/>
        </w:rPr>
        <w:t xml:space="preserve"> </w:t>
      </w:r>
      <w:r w:rsidR="00AC3BFC" w:rsidRPr="00104227">
        <w:rPr>
          <w:lang w:val="en-US"/>
        </w:rPr>
        <w:t>the State</w:t>
      </w:r>
      <w:r w:rsidR="00E12489" w:rsidRPr="00104227">
        <w:rPr>
          <w:lang w:val="en-US"/>
        </w:rPr>
        <w:t xml:space="preserve"> </w:t>
      </w:r>
      <w:r w:rsidR="00E86B18" w:rsidRPr="00104227">
        <w:rPr>
          <w:lang w:val="en-US"/>
        </w:rPr>
        <w:t xml:space="preserve">has </w:t>
      </w:r>
      <w:r w:rsidRPr="00104227">
        <w:rPr>
          <w:lang w:val="en-US"/>
        </w:rPr>
        <w:t>argued that</w:t>
      </w:r>
      <w:r w:rsidR="00E12489" w:rsidRPr="00104227">
        <w:rPr>
          <w:lang w:val="en-US"/>
        </w:rPr>
        <w:t xml:space="preserve"> </w:t>
      </w:r>
      <w:r w:rsidR="00BF5241" w:rsidRPr="00104227">
        <w:rPr>
          <w:lang w:val="en-US"/>
        </w:rPr>
        <w:t>the Commission</w:t>
      </w:r>
      <w:r w:rsidR="00E12489" w:rsidRPr="00104227">
        <w:rPr>
          <w:lang w:val="en-US"/>
        </w:rPr>
        <w:t xml:space="preserve"> </w:t>
      </w:r>
      <w:r w:rsidRPr="00104227">
        <w:rPr>
          <w:lang w:val="en-US"/>
        </w:rPr>
        <w:t>committed a serious error that affected its right of defense, because it allegedly failed to assess or give fair consideration to the information provided during the procedure before that organ on the actions undertaken by the State</w:t>
      </w:r>
      <w:r w:rsidR="00E86B18" w:rsidRPr="00104227">
        <w:rPr>
          <w:lang w:val="en-US"/>
        </w:rPr>
        <w:t>,</w:t>
      </w:r>
      <w:r w:rsidRPr="00104227">
        <w:rPr>
          <w:lang w:val="en-US"/>
        </w:rPr>
        <w:t xml:space="preserve"> before and after the issue of the Merits Report</w:t>
      </w:r>
      <w:r w:rsidR="00E86B18" w:rsidRPr="00104227">
        <w:rPr>
          <w:lang w:val="en-US"/>
        </w:rPr>
        <w:t>,</w:t>
      </w:r>
      <w:r w:rsidRPr="00104227">
        <w:rPr>
          <w:lang w:val="en-US"/>
        </w:rPr>
        <w:t xml:space="preserve"> in relation to the investigation of the facts of this case and other forms of reparation.</w:t>
      </w:r>
    </w:p>
    <w:p w14:paraId="666DD0E9" w14:textId="77777777" w:rsidR="00E12489" w:rsidRPr="00104227" w:rsidRDefault="00E12489" w:rsidP="00E4619F">
      <w:pPr>
        <w:tabs>
          <w:tab w:val="left" w:pos="567"/>
        </w:tabs>
        <w:rPr>
          <w:lang w:eastAsia="es-MX"/>
        </w:rPr>
      </w:pPr>
    </w:p>
    <w:p w14:paraId="1DF47947" w14:textId="2450470C" w:rsidR="00E12489" w:rsidRPr="00104227" w:rsidRDefault="006E13F0" w:rsidP="00E4619F">
      <w:pPr>
        <w:pStyle w:val="Numberedparagraphs"/>
        <w:tabs>
          <w:tab w:val="left" w:pos="567"/>
        </w:tabs>
        <w:rPr>
          <w:lang w:val="en-US"/>
        </w:rPr>
      </w:pPr>
      <w:r w:rsidRPr="00104227">
        <w:rPr>
          <w:lang w:val="en-US"/>
        </w:rPr>
        <w:t>In this regard</w:t>
      </w:r>
      <w:r w:rsidR="00E12489" w:rsidRPr="00104227">
        <w:rPr>
          <w:lang w:val="en-US"/>
        </w:rPr>
        <w:t xml:space="preserve">, </w:t>
      </w:r>
      <w:r w:rsidR="00BF5241" w:rsidRPr="00104227">
        <w:rPr>
          <w:lang w:val="en-US"/>
        </w:rPr>
        <w:t>the Court</w:t>
      </w:r>
      <w:r w:rsidR="00E12489" w:rsidRPr="00104227">
        <w:rPr>
          <w:lang w:val="en-US"/>
        </w:rPr>
        <w:t xml:space="preserve"> rec</w:t>
      </w:r>
      <w:r w:rsidRPr="00104227">
        <w:rPr>
          <w:lang w:val="en-US"/>
        </w:rPr>
        <w:t xml:space="preserve">alls that when a party justifies that a serious error has been committed that violates its right of defense, the Court is authorized to execute a control of </w:t>
      </w:r>
      <w:r w:rsidR="00E86B18" w:rsidRPr="00104227">
        <w:rPr>
          <w:lang w:val="en-US"/>
        </w:rPr>
        <w:t xml:space="preserve">the </w:t>
      </w:r>
      <w:r w:rsidRPr="00104227">
        <w:rPr>
          <w:lang w:val="en-US"/>
        </w:rPr>
        <w:lastRenderedPageBreak/>
        <w:t xml:space="preserve">legality of the </w:t>
      </w:r>
      <w:r w:rsidR="00BF5241" w:rsidRPr="00104227">
        <w:rPr>
          <w:bdr w:val="nil"/>
          <w:lang w:val="en-US"/>
        </w:rPr>
        <w:t>Commission</w:t>
      </w:r>
      <w:r w:rsidRPr="00104227">
        <w:rPr>
          <w:bdr w:val="nil"/>
          <w:lang w:val="en-US"/>
        </w:rPr>
        <w:t>’s actions</w:t>
      </w:r>
      <w:r w:rsidR="00E12489" w:rsidRPr="00104227">
        <w:rPr>
          <w:bdr w:val="nil"/>
          <w:lang w:val="en-US"/>
        </w:rPr>
        <w:t xml:space="preserve"> </w:t>
      </w:r>
      <w:r w:rsidRPr="00104227">
        <w:rPr>
          <w:bdr w:val="nil"/>
          <w:lang w:val="en-US"/>
        </w:rPr>
        <w:t>in relation to the matters that it is examining.</w:t>
      </w:r>
      <w:r w:rsidR="00E12489" w:rsidRPr="00104227">
        <w:rPr>
          <w:rStyle w:val="Refdenotaalpie"/>
          <w:rFonts w:eastAsia="Arial Unicode MS"/>
          <w:bdr w:val="nil"/>
          <w:lang w:val="en-US"/>
        </w:rPr>
        <w:footnoteReference w:id="30"/>
      </w:r>
      <w:r w:rsidRPr="00104227">
        <w:rPr>
          <w:bdr w:val="nil"/>
          <w:lang w:val="en-US"/>
        </w:rPr>
        <w:t xml:space="preserve"> Thus, it has been the Court’s consistent case law that the party affirming that an action by</w:t>
      </w:r>
      <w:r w:rsidR="00E12489" w:rsidRPr="00104227">
        <w:rPr>
          <w:bdr w:val="nil"/>
          <w:lang w:val="en-US"/>
        </w:rPr>
        <w:t xml:space="preserve"> </w:t>
      </w:r>
      <w:r w:rsidR="00BF5241" w:rsidRPr="00104227">
        <w:rPr>
          <w:bCs/>
          <w:bdr w:val="nil"/>
          <w:lang w:val="en-US"/>
        </w:rPr>
        <w:t>the Commission</w:t>
      </w:r>
      <w:r w:rsidR="00E12489" w:rsidRPr="00104227">
        <w:rPr>
          <w:bCs/>
          <w:bdr w:val="nil"/>
          <w:lang w:val="en-US"/>
        </w:rPr>
        <w:t xml:space="preserve"> dur</w:t>
      </w:r>
      <w:r w:rsidRPr="00104227">
        <w:rPr>
          <w:bCs/>
          <w:bdr w:val="nil"/>
          <w:lang w:val="en-US"/>
        </w:rPr>
        <w:t>ing the procedure before it has been irregular</w:t>
      </w:r>
      <w:r w:rsidR="00E86B18" w:rsidRPr="00104227">
        <w:rPr>
          <w:bCs/>
          <w:bdr w:val="nil"/>
          <w:lang w:val="en-US"/>
        </w:rPr>
        <w:t>,</w:t>
      </w:r>
      <w:r w:rsidRPr="00104227">
        <w:rPr>
          <w:bCs/>
          <w:bdr w:val="nil"/>
          <w:lang w:val="en-US"/>
        </w:rPr>
        <w:t xml:space="preserve"> affecting its right of defense</w:t>
      </w:r>
      <w:r w:rsidR="00E86B18" w:rsidRPr="00104227">
        <w:rPr>
          <w:bCs/>
          <w:bdr w:val="nil"/>
          <w:lang w:val="en-US"/>
        </w:rPr>
        <w:t>,</w:t>
      </w:r>
      <w:r w:rsidRPr="00104227">
        <w:rPr>
          <w:bCs/>
          <w:bdr w:val="nil"/>
          <w:lang w:val="en-US"/>
        </w:rPr>
        <w:t xml:space="preserve"> must </w:t>
      </w:r>
      <w:r w:rsidR="00E86B18" w:rsidRPr="00104227">
        <w:rPr>
          <w:bCs/>
          <w:bdr w:val="nil"/>
          <w:lang w:val="en-US"/>
        </w:rPr>
        <w:t xml:space="preserve">provide effective </w:t>
      </w:r>
      <w:r w:rsidRPr="00104227">
        <w:rPr>
          <w:bCs/>
          <w:bdr w:val="nil"/>
          <w:lang w:val="en-US"/>
        </w:rPr>
        <w:t>pro</w:t>
      </w:r>
      <w:r w:rsidR="00E86B18" w:rsidRPr="00104227">
        <w:rPr>
          <w:bCs/>
          <w:bdr w:val="nil"/>
          <w:lang w:val="en-US"/>
        </w:rPr>
        <w:t>of of</w:t>
      </w:r>
      <w:r w:rsidRPr="00104227">
        <w:rPr>
          <w:bCs/>
          <w:bdr w:val="nil"/>
          <w:lang w:val="en-US"/>
        </w:rPr>
        <w:t xml:space="preserve"> th</w:t>
      </w:r>
      <w:r w:rsidR="00E86B18" w:rsidRPr="00104227">
        <w:rPr>
          <w:bCs/>
          <w:bdr w:val="nil"/>
          <w:lang w:val="en-US"/>
        </w:rPr>
        <w:t>e said</w:t>
      </w:r>
      <w:r w:rsidRPr="00104227">
        <w:rPr>
          <w:bCs/>
          <w:bdr w:val="nil"/>
          <w:lang w:val="en-US"/>
        </w:rPr>
        <w:t xml:space="preserve"> prejudice. In this regard, a mere complaint or difference of opinion regarding the </w:t>
      </w:r>
      <w:r w:rsidR="00BF5241" w:rsidRPr="00104227">
        <w:rPr>
          <w:bdr w:val="nil"/>
          <w:lang w:val="en-US"/>
        </w:rPr>
        <w:t>Inter-American Commission</w:t>
      </w:r>
      <w:r w:rsidR="00E86B18" w:rsidRPr="00104227">
        <w:rPr>
          <w:bdr w:val="nil"/>
          <w:lang w:val="en-US"/>
        </w:rPr>
        <w:t>’s actions</w:t>
      </w:r>
      <w:r w:rsidRPr="00104227">
        <w:rPr>
          <w:bdr w:val="nil"/>
          <w:lang w:val="en-US"/>
        </w:rPr>
        <w:t xml:space="preserve"> is not sufficient.</w:t>
      </w:r>
      <w:r w:rsidR="00E12489" w:rsidRPr="00104227">
        <w:rPr>
          <w:rStyle w:val="Refdenotaalpie"/>
          <w:rFonts w:eastAsia="Arial Unicode MS"/>
          <w:bCs/>
          <w:bdr w:val="nil"/>
          <w:lang w:val="en-US"/>
        </w:rPr>
        <w:footnoteReference w:id="31"/>
      </w:r>
    </w:p>
    <w:p w14:paraId="46DD4B38" w14:textId="77777777" w:rsidR="00E12489" w:rsidRPr="00104227" w:rsidRDefault="00E12489" w:rsidP="00E4619F">
      <w:pPr>
        <w:shd w:val="clear" w:color="auto" w:fill="FFFFFF" w:themeFill="background1"/>
        <w:tabs>
          <w:tab w:val="left" w:pos="567"/>
        </w:tabs>
        <w:rPr>
          <w:rFonts w:eastAsia="Arial Unicode MS" w:cs="Times New Roman"/>
          <w:bdr w:val="nil"/>
        </w:rPr>
      </w:pPr>
    </w:p>
    <w:p w14:paraId="329B868D" w14:textId="7C12340F" w:rsidR="00E12489" w:rsidRPr="00104227" w:rsidRDefault="001E2CED" w:rsidP="00E4619F">
      <w:pPr>
        <w:pStyle w:val="Numberedparagraphs"/>
        <w:tabs>
          <w:tab w:val="left" w:pos="567"/>
        </w:tabs>
        <w:rPr>
          <w:b/>
          <w:lang w:val="en-US"/>
        </w:rPr>
      </w:pPr>
      <w:r w:rsidRPr="00104227">
        <w:rPr>
          <w:bdr w:val="nil"/>
          <w:lang w:val="en-US"/>
        </w:rPr>
        <w:t>I</w:t>
      </w:r>
      <w:r w:rsidR="00E12489" w:rsidRPr="00104227">
        <w:rPr>
          <w:bdr w:val="nil"/>
          <w:lang w:val="en-US"/>
        </w:rPr>
        <w:t xml:space="preserve">n </w:t>
      </w:r>
      <w:r w:rsidRPr="00104227">
        <w:rPr>
          <w:bdr w:val="nil"/>
          <w:lang w:val="en-US"/>
        </w:rPr>
        <w:t>the instant</w:t>
      </w:r>
      <w:r w:rsidR="00E12489" w:rsidRPr="00104227">
        <w:rPr>
          <w:bdr w:val="nil"/>
          <w:lang w:val="en-US"/>
        </w:rPr>
        <w:t xml:space="preserve"> cas</w:t>
      </w:r>
      <w:r w:rsidRPr="00104227">
        <w:rPr>
          <w:bdr w:val="nil"/>
          <w:lang w:val="en-US"/>
        </w:rPr>
        <w:t>e</w:t>
      </w:r>
      <w:r w:rsidR="00E12489" w:rsidRPr="00104227">
        <w:rPr>
          <w:bdr w:val="nil"/>
          <w:lang w:val="en-US"/>
        </w:rPr>
        <w:t xml:space="preserve">, </w:t>
      </w:r>
      <w:r w:rsidR="00BF5241" w:rsidRPr="00104227">
        <w:rPr>
          <w:bdr w:val="nil"/>
          <w:lang w:val="en-US"/>
        </w:rPr>
        <w:t>the Court</w:t>
      </w:r>
      <w:r w:rsidR="00E12489" w:rsidRPr="00104227">
        <w:rPr>
          <w:bdr w:val="nil"/>
          <w:lang w:val="en-US"/>
        </w:rPr>
        <w:t xml:space="preserve"> </w:t>
      </w:r>
      <w:r w:rsidRPr="00104227">
        <w:rPr>
          <w:bdr w:val="nil"/>
          <w:lang w:val="en-US"/>
        </w:rPr>
        <w:t>finds that</w:t>
      </w:r>
      <w:r w:rsidR="00E86B18" w:rsidRPr="00104227">
        <w:rPr>
          <w:bdr w:val="nil"/>
          <w:lang w:val="en-US"/>
        </w:rPr>
        <w:t>,</w:t>
      </w:r>
      <w:r w:rsidRPr="00104227">
        <w:rPr>
          <w:bdr w:val="nil"/>
          <w:lang w:val="en-US"/>
        </w:rPr>
        <w:t xml:space="preserve"> what</w:t>
      </w:r>
      <w:r w:rsidR="00E12489" w:rsidRPr="00104227">
        <w:rPr>
          <w:bdr w:val="nil"/>
          <w:lang w:val="en-US"/>
        </w:rPr>
        <w:t xml:space="preserve"> </w:t>
      </w:r>
      <w:r w:rsidR="00AC3BFC" w:rsidRPr="00104227">
        <w:rPr>
          <w:bdr w:val="nil"/>
          <w:lang w:val="en-US"/>
        </w:rPr>
        <w:t>the State</w:t>
      </w:r>
      <w:r w:rsidR="00E12489" w:rsidRPr="00104227">
        <w:rPr>
          <w:bdr w:val="nil"/>
          <w:lang w:val="en-US"/>
        </w:rPr>
        <w:t xml:space="preserve"> consider</w:t>
      </w:r>
      <w:r w:rsidRPr="00104227">
        <w:rPr>
          <w:bdr w:val="nil"/>
          <w:lang w:val="en-US"/>
        </w:rPr>
        <w:t>e</w:t>
      </w:r>
      <w:r w:rsidR="00E86B18" w:rsidRPr="00104227">
        <w:rPr>
          <w:bdr w:val="nil"/>
          <w:lang w:val="en-US"/>
        </w:rPr>
        <w:t>d</w:t>
      </w:r>
      <w:r w:rsidRPr="00104227">
        <w:rPr>
          <w:bdr w:val="nil"/>
          <w:lang w:val="en-US"/>
        </w:rPr>
        <w:t xml:space="preserve"> a serious error that prejudiced it</w:t>
      </w:r>
      <w:r w:rsidR="00E86B18" w:rsidRPr="00104227">
        <w:rPr>
          <w:bdr w:val="nil"/>
          <w:lang w:val="en-US"/>
        </w:rPr>
        <w:t>,</w:t>
      </w:r>
      <w:r w:rsidRPr="00104227">
        <w:rPr>
          <w:bdr w:val="nil"/>
          <w:lang w:val="en-US"/>
        </w:rPr>
        <w:t xml:space="preserve"> is, in fact, a difference of opinion concerning the value that, according to </w:t>
      </w:r>
      <w:r w:rsidR="0094395C" w:rsidRPr="00104227">
        <w:rPr>
          <w:bdr w:val="nil"/>
          <w:lang w:val="en-US"/>
        </w:rPr>
        <w:t>the State</w:t>
      </w:r>
      <w:r w:rsidR="00E12489" w:rsidRPr="00104227">
        <w:rPr>
          <w:bdr w:val="nil"/>
          <w:lang w:val="en-US"/>
        </w:rPr>
        <w:t xml:space="preserve">, </w:t>
      </w:r>
      <w:r w:rsidR="00BF5241" w:rsidRPr="00104227">
        <w:rPr>
          <w:bdr w:val="nil"/>
          <w:lang w:val="en-US"/>
        </w:rPr>
        <w:t>the Commission</w:t>
      </w:r>
      <w:r w:rsidR="00E12489" w:rsidRPr="00104227">
        <w:rPr>
          <w:bdr w:val="nil"/>
          <w:lang w:val="en-US"/>
        </w:rPr>
        <w:t xml:space="preserve"> </w:t>
      </w:r>
      <w:r w:rsidRPr="00104227">
        <w:rPr>
          <w:bdr w:val="nil"/>
          <w:lang w:val="en-US"/>
        </w:rPr>
        <w:t xml:space="preserve">should have accorded to its actions before and after the issue of the </w:t>
      </w:r>
      <w:r w:rsidR="002826A6" w:rsidRPr="00104227">
        <w:rPr>
          <w:bdr w:val="nil"/>
          <w:lang w:val="en-US"/>
        </w:rPr>
        <w:t>Merits Report</w:t>
      </w:r>
      <w:r w:rsidR="00E12489" w:rsidRPr="00104227">
        <w:rPr>
          <w:bdr w:val="nil"/>
          <w:lang w:val="en-US"/>
        </w:rPr>
        <w:t xml:space="preserve">. </w:t>
      </w:r>
      <w:r w:rsidR="00BF5241" w:rsidRPr="00104227">
        <w:rPr>
          <w:bdr w:val="nil"/>
          <w:lang w:val="en-US"/>
        </w:rPr>
        <w:t>The Court</w:t>
      </w:r>
      <w:r w:rsidR="00E12489" w:rsidRPr="00104227">
        <w:rPr>
          <w:bdr w:val="nil"/>
          <w:lang w:val="en-US"/>
        </w:rPr>
        <w:t xml:space="preserve"> </w:t>
      </w:r>
      <w:r w:rsidRPr="00104227">
        <w:rPr>
          <w:bdr w:val="nil"/>
          <w:lang w:val="en-US"/>
        </w:rPr>
        <w:t>notes that</w:t>
      </w:r>
      <w:r w:rsidR="00E12489" w:rsidRPr="00104227">
        <w:rPr>
          <w:bdr w:val="nil"/>
          <w:lang w:val="en-US"/>
        </w:rPr>
        <w:t xml:space="preserve"> </w:t>
      </w:r>
      <w:r w:rsidR="00BF5241" w:rsidRPr="00104227">
        <w:rPr>
          <w:bdr w:val="nil"/>
          <w:lang w:val="en-US"/>
        </w:rPr>
        <w:t>the Commission</w:t>
      </w:r>
      <w:r w:rsidRPr="00104227">
        <w:rPr>
          <w:bdr w:val="nil"/>
          <w:lang w:val="en-US"/>
        </w:rPr>
        <w:t xml:space="preserve"> referred to and ruled on the information provided by </w:t>
      </w:r>
      <w:r w:rsidR="00AC3BFC" w:rsidRPr="00104227">
        <w:rPr>
          <w:bdr w:val="nil"/>
          <w:lang w:val="en-US"/>
        </w:rPr>
        <w:t>the State</w:t>
      </w:r>
      <w:r w:rsidRPr="00104227">
        <w:rPr>
          <w:bdr w:val="nil"/>
          <w:lang w:val="en-US"/>
        </w:rPr>
        <w:t xml:space="preserve">, both in the </w:t>
      </w:r>
      <w:r w:rsidR="002826A6" w:rsidRPr="00104227">
        <w:rPr>
          <w:bdr w:val="nil"/>
          <w:lang w:val="en-US"/>
        </w:rPr>
        <w:t>Merits Report</w:t>
      </w:r>
      <w:r w:rsidR="00E12489" w:rsidRPr="00104227">
        <w:rPr>
          <w:bdr w:val="nil"/>
          <w:lang w:val="en-US"/>
        </w:rPr>
        <w:t xml:space="preserve"> </w:t>
      </w:r>
      <w:r w:rsidRPr="00104227">
        <w:rPr>
          <w:bdr w:val="nil"/>
          <w:lang w:val="en-US"/>
        </w:rPr>
        <w:t>and in the brief submitt</w:t>
      </w:r>
      <w:r w:rsidR="00E86B18" w:rsidRPr="00104227">
        <w:rPr>
          <w:bdr w:val="nil"/>
          <w:lang w:val="en-US"/>
        </w:rPr>
        <w:t>ing</w:t>
      </w:r>
      <w:r w:rsidRPr="00104227">
        <w:rPr>
          <w:bdr w:val="nil"/>
          <w:lang w:val="en-US"/>
        </w:rPr>
        <w:t xml:space="preserve"> the case to </w:t>
      </w:r>
      <w:r w:rsidR="00BF5241" w:rsidRPr="00104227">
        <w:rPr>
          <w:bdr w:val="nil"/>
          <w:lang w:val="en-US"/>
        </w:rPr>
        <w:t>the Court</w:t>
      </w:r>
      <w:r w:rsidRPr="00104227">
        <w:rPr>
          <w:bdr w:val="nil"/>
          <w:lang w:val="en-US"/>
        </w:rPr>
        <w:t>; therefore,</w:t>
      </w:r>
      <w:r w:rsidR="00E12489" w:rsidRPr="00104227">
        <w:rPr>
          <w:bdr w:val="nil"/>
          <w:lang w:val="en-US"/>
        </w:rPr>
        <w:t xml:space="preserve"> </w:t>
      </w:r>
      <w:r w:rsidR="00BF5241" w:rsidRPr="00104227">
        <w:rPr>
          <w:bdr w:val="nil"/>
          <w:lang w:val="en-US"/>
        </w:rPr>
        <w:t>th</w:t>
      </w:r>
      <w:r w:rsidR="00E86B18" w:rsidRPr="00104227">
        <w:rPr>
          <w:bdr w:val="nil"/>
          <w:lang w:val="en-US"/>
        </w:rPr>
        <w:t>e</w:t>
      </w:r>
      <w:r w:rsidR="00BF5241" w:rsidRPr="00104227">
        <w:rPr>
          <w:bdr w:val="nil"/>
          <w:lang w:val="en-US"/>
        </w:rPr>
        <w:t xml:space="preserve"> Court</w:t>
      </w:r>
      <w:r w:rsidR="00E12489" w:rsidRPr="00104227">
        <w:rPr>
          <w:bdr w:val="nil"/>
          <w:lang w:val="en-US"/>
        </w:rPr>
        <w:t xml:space="preserve"> consider</w:t>
      </w:r>
      <w:r w:rsidRPr="00104227">
        <w:rPr>
          <w:bdr w:val="nil"/>
          <w:lang w:val="en-US"/>
        </w:rPr>
        <w:t>s that</w:t>
      </w:r>
      <w:r w:rsidR="00E12489" w:rsidRPr="00104227">
        <w:rPr>
          <w:bdr w:val="nil"/>
          <w:lang w:val="en-US"/>
        </w:rPr>
        <w:t xml:space="preserve"> </w:t>
      </w:r>
      <w:r w:rsidR="00BF5241" w:rsidRPr="00104227">
        <w:rPr>
          <w:bdr w:val="nil"/>
          <w:lang w:val="en-US"/>
        </w:rPr>
        <w:t>the Commission</w:t>
      </w:r>
      <w:r w:rsidR="00E12489" w:rsidRPr="00104227">
        <w:rPr>
          <w:bdr w:val="nil"/>
          <w:lang w:val="en-US"/>
        </w:rPr>
        <w:t xml:space="preserve"> </w:t>
      </w:r>
      <w:r w:rsidRPr="00104227">
        <w:rPr>
          <w:bdr w:val="nil"/>
          <w:lang w:val="en-US"/>
        </w:rPr>
        <w:t>did not commit an error in the processin</w:t>
      </w:r>
      <w:r w:rsidR="00E86B18" w:rsidRPr="00104227">
        <w:rPr>
          <w:bdr w:val="nil"/>
          <w:lang w:val="en-US"/>
        </w:rPr>
        <w:t>g</w:t>
      </w:r>
      <w:r w:rsidRPr="00104227">
        <w:rPr>
          <w:bdr w:val="nil"/>
          <w:lang w:val="en-US"/>
        </w:rPr>
        <w:t xml:space="preserve"> of the case before it for the reasons alleged by </w:t>
      </w:r>
      <w:r w:rsidR="00AC3BFC" w:rsidRPr="00104227">
        <w:rPr>
          <w:bdr w:val="nil"/>
          <w:lang w:val="en-US"/>
        </w:rPr>
        <w:t>the State</w:t>
      </w:r>
      <w:r w:rsidR="00E12489" w:rsidRPr="00104227">
        <w:rPr>
          <w:bdr w:val="nil"/>
          <w:lang w:val="en-US"/>
        </w:rPr>
        <w:t xml:space="preserve">. </w:t>
      </w:r>
    </w:p>
    <w:p w14:paraId="13859595" w14:textId="77777777" w:rsidR="00E12489" w:rsidRPr="00104227" w:rsidRDefault="00E12489" w:rsidP="00E4619F">
      <w:pPr>
        <w:tabs>
          <w:tab w:val="left" w:pos="567"/>
        </w:tabs>
        <w:rPr>
          <w:lang w:eastAsia="es-MX"/>
        </w:rPr>
      </w:pPr>
    </w:p>
    <w:p w14:paraId="70CE21B7" w14:textId="58997116" w:rsidR="002A00F2" w:rsidRPr="00104227" w:rsidRDefault="00E12489" w:rsidP="00E4619F">
      <w:pPr>
        <w:pStyle w:val="Numberedparagraphs"/>
        <w:tabs>
          <w:tab w:val="left" w:pos="567"/>
        </w:tabs>
        <w:rPr>
          <w:lang w:val="en-US"/>
        </w:rPr>
      </w:pPr>
      <w:r w:rsidRPr="00104227">
        <w:rPr>
          <w:bdr w:val="nil"/>
          <w:lang w:val="en-US"/>
        </w:rPr>
        <w:t>Ad</w:t>
      </w:r>
      <w:r w:rsidR="001E2CED" w:rsidRPr="00104227">
        <w:rPr>
          <w:bdr w:val="nil"/>
          <w:lang w:val="en-US"/>
        </w:rPr>
        <w:t>ditionally</w:t>
      </w:r>
      <w:r w:rsidRPr="00104227">
        <w:rPr>
          <w:bdr w:val="nil"/>
          <w:lang w:val="en-US"/>
        </w:rPr>
        <w:t xml:space="preserve">, </w:t>
      </w:r>
      <w:r w:rsidR="00BF5241" w:rsidRPr="00104227">
        <w:rPr>
          <w:bdr w:val="nil"/>
          <w:lang w:val="en-US"/>
        </w:rPr>
        <w:t>the Court</w:t>
      </w:r>
      <w:r w:rsidRPr="00104227">
        <w:rPr>
          <w:bdr w:val="nil"/>
          <w:lang w:val="en-US"/>
        </w:rPr>
        <w:t xml:space="preserve"> </w:t>
      </w:r>
      <w:r w:rsidR="001E2CED" w:rsidRPr="00104227">
        <w:rPr>
          <w:bdr w:val="nil"/>
          <w:lang w:val="en-US"/>
        </w:rPr>
        <w:t>notes that</w:t>
      </w:r>
      <w:r w:rsidRPr="00104227">
        <w:rPr>
          <w:bdr w:val="nil"/>
          <w:lang w:val="en-US"/>
        </w:rPr>
        <w:t xml:space="preserve"> </w:t>
      </w:r>
      <w:r w:rsidR="00AC3BFC" w:rsidRPr="00104227">
        <w:rPr>
          <w:bdr w:val="nil"/>
          <w:lang w:val="en-US"/>
        </w:rPr>
        <w:t xml:space="preserve">the </w:t>
      </w:r>
      <w:r w:rsidR="001E2CED" w:rsidRPr="00104227">
        <w:rPr>
          <w:bdr w:val="nil"/>
          <w:lang w:val="en-US"/>
        </w:rPr>
        <w:t xml:space="preserve">State has not demonstrated the specific prejudice </w:t>
      </w:r>
      <w:r w:rsidR="002A00F2" w:rsidRPr="00104227">
        <w:rPr>
          <w:bdr w:val="nil"/>
          <w:lang w:val="en-US"/>
        </w:rPr>
        <w:t>resulting from</w:t>
      </w:r>
      <w:r w:rsidR="001E2CED" w:rsidRPr="00104227">
        <w:rPr>
          <w:bdr w:val="nil"/>
          <w:lang w:val="en-US"/>
        </w:rPr>
        <w:t xml:space="preserve"> the Commission</w:t>
      </w:r>
      <w:r w:rsidR="002A00F2" w:rsidRPr="00104227">
        <w:rPr>
          <w:bdr w:val="nil"/>
          <w:lang w:val="en-US"/>
        </w:rPr>
        <w:t xml:space="preserve">’s failure to </w:t>
      </w:r>
      <w:r w:rsidR="001E2CED" w:rsidRPr="00104227">
        <w:rPr>
          <w:bdr w:val="nil"/>
          <w:lang w:val="en-US"/>
        </w:rPr>
        <w:t>rul</w:t>
      </w:r>
      <w:r w:rsidR="002A00F2" w:rsidRPr="00104227">
        <w:rPr>
          <w:bdr w:val="nil"/>
          <w:lang w:val="en-US"/>
        </w:rPr>
        <w:t>e</w:t>
      </w:r>
      <w:r w:rsidR="001E2CED" w:rsidRPr="00104227">
        <w:rPr>
          <w:bdr w:val="nil"/>
          <w:lang w:val="en-US"/>
        </w:rPr>
        <w:t xml:space="preserve"> on the principle of complementarity</w:t>
      </w:r>
      <w:r w:rsidR="002A00F2" w:rsidRPr="00104227">
        <w:rPr>
          <w:bdr w:val="nil"/>
          <w:lang w:val="en-US"/>
        </w:rPr>
        <w:t>,</w:t>
      </w:r>
      <w:r w:rsidRPr="00104227">
        <w:rPr>
          <w:bdr w:val="nil"/>
          <w:lang w:val="en-US"/>
        </w:rPr>
        <w:t xml:space="preserve"> </w:t>
      </w:r>
      <w:r w:rsidR="002A00F2" w:rsidRPr="00104227">
        <w:rPr>
          <w:bdr w:val="nil"/>
          <w:lang w:val="en-US"/>
        </w:rPr>
        <w:t xml:space="preserve">because </w:t>
      </w:r>
      <w:r w:rsidR="00E86B18" w:rsidRPr="00104227">
        <w:rPr>
          <w:bdr w:val="nil"/>
          <w:lang w:val="en-US"/>
        </w:rPr>
        <w:t>assessment</w:t>
      </w:r>
      <w:r w:rsidR="002A00F2" w:rsidRPr="00104227">
        <w:rPr>
          <w:bdr w:val="nil"/>
          <w:lang w:val="en-US"/>
        </w:rPr>
        <w:t xml:space="preserve"> of the</w:t>
      </w:r>
      <w:r w:rsidR="001E2CED" w:rsidRPr="00104227">
        <w:rPr>
          <w:bdr w:val="nil"/>
          <w:lang w:val="en-US"/>
        </w:rPr>
        <w:t xml:space="preserve"> measures implemented</w:t>
      </w:r>
      <w:r w:rsidR="002A00F2" w:rsidRPr="00104227">
        <w:rPr>
          <w:bdr w:val="nil"/>
          <w:lang w:val="en-US"/>
        </w:rPr>
        <w:t xml:space="preserve"> by</w:t>
      </w:r>
      <w:r w:rsidR="001E2CED" w:rsidRPr="00104227">
        <w:rPr>
          <w:bdr w:val="nil"/>
          <w:lang w:val="en-US"/>
        </w:rPr>
        <w:t xml:space="preserve"> the State </w:t>
      </w:r>
      <w:r w:rsidR="002A00F2" w:rsidRPr="00104227">
        <w:rPr>
          <w:bdr w:val="nil"/>
          <w:lang w:val="en-US"/>
        </w:rPr>
        <w:t xml:space="preserve">is a matter that can still be argued and proved before the Court. That said, the State’s allegations regarding the measures taken following the Merits Report are </w:t>
      </w:r>
      <w:r w:rsidR="00E86B18" w:rsidRPr="00104227">
        <w:rPr>
          <w:bdr w:val="nil"/>
          <w:lang w:val="en-US"/>
        </w:rPr>
        <w:t>matters</w:t>
      </w:r>
      <w:r w:rsidR="002A00F2" w:rsidRPr="00104227">
        <w:rPr>
          <w:bdr w:val="nil"/>
          <w:lang w:val="en-US"/>
        </w:rPr>
        <w:t xml:space="preserve"> that it is for this Court to decide when analyzing the merits of the case and </w:t>
      </w:r>
      <w:r w:rsidR="00E86B18" w:rsidRPr="00104227">
        <w:rPr>
          <w:bdr w:val="nil"/>
          <w:lang w:val="en-US"/>
        </w:rPr>
        <w:t>any possible</w:t>
      </w:r>
      <w:r w:rsidR="002A00F2" w:rsidRPr="00104227">
        <w:rPr>
          <w:bdr w:val="nil"/>
          <w:lang w:val="en-US"/>
        </w:rPr>
        <w:t xml:space="preserve"> reparations.</w:t>
      </w:r>
    </w:p>
    <w:p w14:paraId="4B038EDD" w14:textId="77777777" w:rsidR="00E12489" w:rsidRPr="00104227" w:rsidRDefault="00E12489" w:rsidP="00E4619F">
      <w:pPr>
        <w:tabs>
          <w:tab w:val="left" w:pos="567"/>
        </w:tabs>
        <w:rPr>
          <w:lang w:eastAsia="es-MX"/>
        </w:rPr>
      </w:pPr>
    </w:p>
    <w:p w14:paraId="628C9431" w14:textId="2ACEF21D" w:rsidR="00E12489" w:rsidRPr="00104227" w:rsidRDefault="002A00F2" w:rsidP="00E4619F">
      <w:pPr>
        <w:pStyle w:val="Numberedparagraphs"/>
        <w:tabs>
          <w:tab w:val="left" w:pos="567"/>
        </w:tabs>
        <w:rPr>
          <w:color w:val="00B050"/>
          <w:lang w:val="en-US"/>
        </w:rPr>
      </w:pPr>
      <w:r w:rsidRPr="00104227">
        <w:rPr>
          <w:lang w:val="en-US"/>
        </w:rPr>
        <w:t>Consequently,</w:t>
      </w:r>
      <w:r w:rsidR="00E12489" w:rsidRPr="00104227">
        <w:rPr>
          <w:lang w:val="en-US"/>
        </w:rPr>
        <w:t xml:space="preserve"> </w:t>
      </w:r>
      <w:r w:rsidR="00BF5241" w:rsidRPr="00104227">
        <w:rPr>
          <w:lang w:val="en-US"/>
        </w:rPr>
        <w:t>the Court</w:t>
      </w:r>
      <w:r w:rsidR="00E12489" w:rsidRPr="00104227">
        <w:rPr>
          <w:lang w:val="en-US"/>
        </w:rPr>
        <w:t xml:space="preserve"> conclu</w:t>
      </w:r>
      <w:r w:rsidRPr="00104227">
        <w:rPr>
          <w:lang w:val="en-US"/>
        </w:rPr>
        <w:t xml:space="preserve">des that the State's allegations regarding the supposed violation of the principles of legal certainty and procedural balance and its right of defense constitute a difference of opinion with regard to what the Commission substantiated and decided, and this should be analyzed </w:t>
      </w:r>
      <w:r w:rsidR="00E86B18" w:rsidRPr="00104227">
        <w:rPr>
          <w:lang w:val="en-US"/>
        </w:rPr>
        <w:t>when examining</w:t>
      </w:r>
      <w:r w:rsidRPr="00104227">
        <w:rPr>
          <w:lang w:val="en-US"/>
        </w:rPr>
        <w:t xml:space="preserve"> the merits of the case and not as </w:t>
      </w:r>
      <w:r w:rsidR="00AA3133" w:rsidRPr="00104227">
        <w:rPr>
          <w:lang w:val="en-US"/>
        </w:rPr>
        <w:t>a preliminary objection</w:t>
      </w:r>
      <w:r w:rsidR="00E12489" w:rsidRPr="00104227">
        <w:rPr>
          <w:lang w:val="en-US"/>
        </w:rPr>
        <w:t xml:space="preserve">. </w:t>
      </w:r>
    </w:p>
    <w:p w14:paraId="461E08D2" w14:textId="77777777" w:rsidR="00E12489" w:rsidRPr="00104227" w:rsidRDefault="00E12489" w:rsidP="00E4619F">
      <w:pPr>
        <w:tabs>
          <w:tab w:val="left" w:pos="567"/>
        </w:tabs>
        <w:rPr>
          <w:lang w:eastAsia="es-MX"/>
        </w:rPr>
      </w:pPr>
    </w:p>
    <w:p w14:paraId="09454525" w14:textId="7FB9DACC" w:rsidR="00E12489" w:rsidRPr="00104227" w:rsidRDefault="002A00F2" w:rsidP="00E4619F">
      <w:pPr>
        <w:pStyle w:val="Numberedparagraphs"/>
        <w:tabs>
          <w:tab w:val="left" w:pos="567"/>
        </w:tabs>
        <w:rPr>
          <w:lang w:val="en-US"/>
        </w:rPr>
      </w:pPr>
      <w:bookmarkStart w:id="99" w:name="_Ref532986878"/>
      <w:r w:rsidRPr="00104227">
        <w:rPr>
          <w:lang w:val="en-US"/>
        </w:rPr>
        <w:t xml:space="preserve">Based on the foregoing, the Court rejects the </w:t>
      </w:r>
      <w:r w:rsidR="00AA3133" w:rsidRPr="00104227">
        <w:rPr>
          <w:lang w:val="en-US"/>
        </w:rPr>
        <w:t>preliminary objection</w:t>
      </w:r>
      <w:r w:rsidR="00E12489" w:rsidRPr="00104227">
        <w:rPr>
          <w:lang w:val="en-US"/>
        </w:rPr>
        <w:t xml:space="preserve"> </w:t>
      </w:r>
      <w:r w:rsidRPr="00104227">
        <w:rPr>
          <w:lang w:val="en-US"/>
        </w:rPr>
        <w:t>filed by</w:t>
      </w:r>
      <w:r w:rsidR="00E12489" w:rsidRPr="00104227">
        <w:rPr>
          <w:lang w:val="en-US"/>
        </w:rPr>
        <w:t xml:space="preserve"> </w:t>
      </w:r>
      <w:r w:rsidR="00AC3BFC" w:rsidRPr="00104227">
        <w:rPr>
          <w:lang w:val="en-US"/>
        </w:rPr>
        <w:t>the State</w:t>
      </w:r>
      <w:r w:rsidR="00E12489" w:rsidRPr="00104227">
        <w:rPr>
          <w:lang w:val="en-US"/>
        </w:rPr>
        <w:t>.</w:t>
      </w:r>
      <w:bookmarkEnd w:id="99"/>
    </w:p>
    <w:p w14:paraId="417A62A6" w14:textId="77777777" w:rsidR="00E12489" w:rsidRPr="00104227" w:rsidRDefault="00E12489" w:rsidP="00E4619F">
      <w:pPr>
        <w:pStyle w:val="PrrafodeSentencia"/>
        <w:numPr>
          <w:ilvl w:val="0"/>
          <w:numId w:val="0"/>
        </w:numPr>
        <w:rPr>
          <w:b/>
          <w:lang w:val="en-US"/>
        </w:rPr>
      </w:pPr>
    </w:p>
    <w:p w14:paraId="0F275BB7" w14:textId="77777777" w:rsidR="00E12489" w:rsidRPr="00104227" w:rsidRDefault="00E12489" w:rsidP="00E4619F">
      <w:pPr>
        <w:pStyle w:val="Ttulo1"/>
        <w:tabs>
          <w:tab w:val="left" w:pos="567"/>
        </w:tabs>
        <w:rPr>
          <w:spacing w:val="-4"/>
        </w:rPr>
      </w:pPr>
      <w:bookmarkStart w:id="100" w:name="_Toc31290548"/>
      <w:r w:rsidRPr="00104227">
        <w:rPr>
          <w:spacing w:val="-4"/>
        </w:rPr>
        <w:t>V</w:t>
      </w:r>
      <w:bookmarkEnd w:id="100"/>
    </w:p>
    <w:p w14:paraId="73F6340C" w14:textId="7A95BD4B" w:rsidR="00E12489" w:rsidRPr="00104227" w:rsidRDefault="002A00F2" w:rsidP="00E4619F">
      <w:pPr>
        <w:pStyle w:val="Ttulo1"/>
        <w:tabs>
          <w:tab w:val="left" w:pos="567"/>
        </w:tabs>
        <w:rPr>
          <w:spacing w:val="-4"/>
        </w:rPr>
      </w:pPr>
      <w:bookmarkStart w:id="101" w:name="_Toc31290549"/>
      <w:r w:rsidRPr="00104227">
        <w:rPr>
          <w:spacing w:val="-4"/>
        </w:rPr>
        <w:t>THE STATE’S ACKNOWLEDGEMENT OF RESPONSIBILITY</w:t>
      </w:r>
      <w:bookmarkEnd w:id="101"/>
    </w:p>
    <w:p w14:paraId="4737B5E2" w14:textId="77777777" w:rsidR="00E12489" w:rsidRPr="00104227" w:rsidRDefault="00E12489" w:rsidP="00E4619F">
      <w:pPr>
        <w:tabs>
          <w:tab w:val="left" w:pos="567"/>
        </w:tabs>
        <w:rPr>
          <w:spacing w:val="-4"/>
        </w:rPr>
      </w:pPr>
    </w:p>
    <w:p w14:paraId="3F496CCD" w14:textId="244A4D4D" w:rsidR="00E12489" w:rsidRPr="00104227" w:rsidRDefault="002A00F2" w:rsidP="00E4619F">
      <w:pPr>
        <w:pStyle w:val="Ttulo2"/>
        <w:numPr>
          <w:ilvl w:val="0"/>
          <w:numId w:val="60"/>
        </w:numPr>
        <w:ind w:left="993" w:hanging="426"/>
        <w:rPr>
          <w:lang w:val="en-US"/>
        </w:rPr>
      </w:pPr>
      <w:bookmarkStart w:id="102" w:name="_Toc31290550"/>
      <w:r w:rsidRPr="00104227">
        <w:rPr>
          <w:lang w:val="en-US"/>
        </w:rPr>
        <w:t>The State’s acknowledgement of responsibility</w:t>
      </w:r>
      <w:r w:rsidR="00BF5241" w:rsidRPr="00104227">
        <w:rPr>
          <w:lang w:val="en-US"/>
        </w:rPr>
        <w:t xml:space="preserve"> and </w:t>
      </w:r>
      <w:r w:rsidRPr="00104227">
        <w:rPr>
          <w:lang w:val="en-US"/>
        </w:rPr>
        <w:t>observations</w:t>
      </w:r>
      <w:r w:rsidR="00BF5241" w:rsidRPr="00104227">
        <w:rPr>
          <w:lang w:val="en-US"/>
        </w:rPr>
        <w:t xml:space="preserve"> of the Commission and </w:t>
      </w:r>
      <w:r w:rsidR="002826A6" w:rsidRPr="00104227">
        <w:rPr>
          <w:lang w:val="en-US"/>
        </w:rPr>
        <w:t>the representatives</w:t>
      </w:r>
      <w:bookmarkEnd w:id="102"/>
    </w:p>
    <w:p w14:paraId="7EDFDC2B" w14:textId="77777777" w:rsidR="00E12489" w:rsidRPr="00104227" w:rsidRDefault="00E12489" w:rsidP="00E4619F">
      <w:pPr>
        <w:tabs>
          <w:tab w:val="left" w:pos="567"/>
        </w:tabs>
        <w:rPr>
          <w:spacing w:val="-4"/>
          <w:lang w:eastAsia="es-MX"/>
        </w:rPr>
      </w:pPr>
    </w:p>
    <w:p w14:paraId="6D0E6CCE" w14:textId="4C2AB489" w:rsidR="00E12489" w:rsidRPr="00104227" w:rsidRDefault="00AC3BFC" w:rsidP="00E4619F">
      <w:pPr>
        <w:pStyle w:val="Numberedparagraphs"/>
        <w:tabs>
          <w:tab w:val="left" w:pos="567"/>
        </w:tabs>
        <w:rPr>
          <w:lang w:val="en-US"/>
        </w:rPr>
      </w:pPr>
      <w:r w:rsidRPr="00104227">
        <w:rPr>
          <w:lang w:val="en-US"/>
        </w:rPr>
        <w:t xml:space="preserve">The </w:t>
      </w:r>
      <w:r w:rsidRPr="00104227">
        <w:rPr>
          <w:b/>
          <w:bCs/>
          <w:lang w:val="en-US"/>
        </w:rPr>
        <w:t>State</w:t>
      </w:r>
      <w:r w:rsidR="00E12489" w:rsidRPr="00104227">
        <w:rPr>
          <w:lang w:val="en-US"/>
        </w:rPr>
        <w:t xml:space="preserve"> </w:t>
      </w:r>
      <w:r w:rsidR="00E466FA" w:rsidRPr="00104227">
        <w:rPr>
          <w:lang w:val="en-US"/>
        </w:rPr>
        <w:t>made an acknowledgment of responsibility indicating that it did not question or doubt</w:t>
      </w:r>
      <w:r w:rsidR="00E12489" w:rsidRPr="00104227">
        <w:rPr>
          <w:lang w:val="en-US"/>
        </w:rPr>
        <w:t xml:space="preserve"> “</w:t>
      </w:r>
      <w:r w:rsidR="00E466FA" w:rsidRPr="00104227">
        <w:rPr>
          <w:lang w:val="en-US"/>
        </w:rPr>
        <w:t xml:space="preserve">the human rights violations committed against the victims, and that it had not done so during the merits stage of the procedure before </w:t>
      </w:r>
      <w:r w:rsidR="00BF5241" w:rsidRPr="00104227">
        <w:rPr>
          <w:lang w:val="en-US"/>
        </w:rPr>
        <w:t>the Inter-American Commission on Human Rights</w:t>
      </w:r>
      <w:r w:rsidR="00E466FA" w:rsidRPr="00104227">
        <w:rPr>
          <w:lang w:val="en-US"/>
        </w:rPr>
        <w:t>.</w:t>
      </w:r>
      <w:r w:rsidR="00E12489" w:rsidRPr="00104227">
        <w:rPr>
          <w:lang w:val="en-US"/>
        </w:rPr>
        <w:t>”</w:t>
      </w:r>
      <w:r w:rsidR="00E12489" w:rsidRPr="00104227">
        <w:rPr>
          <w:rStyle w:val="Refdenotaalpie"/>
          <w:lang w:val="en-US"/>
        </w:rPr>
        <w:footnoteReference w:id="32"/>
      </w:r>
      <w:r w:rsidR="00E466FA" w:rsidRPr="00104227">
        <w:rPr>
          <w:lang w:val="en-US"/>
        </w:rPr>
        <w:t xml:space="preserve"> However, regarding the context in which the facts took place, the State limited its </w:t>
      </w:r>
      <w:r w:rsidR="00E466FA" w:rsidRPr="00104227">
        <w:rPr>
          <w:lang w:val="en-US"/>
        </w:rPr>
        <w:lastRenderedPageBreak/>
        <w:t>acknowledgement to the factual determinations reached by</w:t>
      </w:r>
      <w:r w:rsidR="00E12489" w:rsidRPr="00104227">
        <w:rPr>
          <w:lang w:val="en-US"/>
        </w:rPr>
        <w:t xml:space="preserve"> </w:t>
      </w:r>
      <w:r w:rsidR="00E466FA" w:rsidRPr="00104227">
        <w:rPr>
          <w:lang w:val="en-US"/>
        </w:rPr>
        <w:t>the Supreme Court of Justice of the Nation</w:t>
      </w:r>
      <w:r w:rsidR="00E12489" w:rsidRPr="00104227">
        <w:rPr>
          <w:lang w:val="en-US"/>
        </w:rPr>
        <w:t xml:space="preserve"> (</w:t>
      </w:r>
      <w:r w:rsidR="00BF5241" w:rsidRPr="00104227">
        <w:rPr>
          <w:lang w:val="en-US"/>
        </w:rPr>
        <w:t>hereinafter</w:t>
      </w:r>
      <w:r w:rsidR="00E12489" w:rsidRPr="00104227">
        <w:rPr>
          <w:lang w:val="en-US"/>
        </w:rPr>
        <w:t>, “</w:t>
      </w:r>
      <w:r w:rsidR="00E466FA" w:rsidRPr="00104227">
        <w:rPr>
          <w:lang w:val="en-US"/>
        </w:rPr>
        <w:t>the Supreme Court</w:t>
      </w:r>
      <w:r w:rsidR="00E12489" w:rsidRPr="00104227">
        <w:rPr>
          <w:lang w:val="en-US"/>
        </w:rPr>
        <w:t>” o</w:t>
      </w:r>
      <w:r w:rsidR="00E466FA" w:rsidRPr="00104227">
        <w:rPr>
          <w:lang w:val="en-US"/>
        </w:rPr>
        <w:t>r</w:t>
      </w:r>
      <w:r w:rsidR="00E12489" w:rsidRPr="00104227">
        <w:rPr>
          <w:lang w:val="en-US"/>
        </w:rPr>
        <w:t xml:space="preserve"> </w:t>
      </w:r>
      <w:r w:rsidR="00E466FA" w:rsidRPr="00104227">
        <w:rPr>
          <w:lang w:val="en-US"/>
        </w:rPr>
        <w:t xml:space="preserve">the </w:t>
      </w:r>
      <w:r w:rsidR="00E12489" w:rsidRPr="00104227">
        <w:rPr>
          <w:lang w:val="en-US"/>
        </w:rPr>
        <w:t xml:space="preserve">SCJN”) </w:t>
      </w:r>
      <w:r w:rsidR="00E466FA" w:rsidRPr="00104227">
        <w:rPr>
          <w:lang w:val="en-US"/>
        </w:rPr>
        <w:t xml:space="preserve">in its analysis of the events that occurred on May </w:t>
      </w:r>
      <w:r w:rsidR="00E12489" w:rsidRPr="00104227">
        <w:rPr>
          <w:lang w:val="en-US"/>
        </w:rPr>
        <w:t>3</w:t>
      </w:r>
      <w:r w:rsidR="00BF5241" w:rsidRPr="00104227">
        <w:rPr>
          <w:lang w:val="en-US"/>
        </w:rPr>
        <w:t xml:space="preserve"> and </w:t>
      </w:r>
      <w:r w:rsidR="00E12489" w:rsidRPr="00104227">
        <w:rPr>
          <w:lang w:val="en-US"/>
        </w:rPr>
        <w:t>4</w:t>
      </w:r>
      <w:r w:rsidR="00E466FA" w:rsidRPr="00104227">
        <w:rPr>
          <w:lang w:val="en-US"/>
        </w:rPr>
        <w:t xml:space="preserve">, </w:t>
      </w:r>
      <w:r w:rsidR="00E12489" w:rsidRPr="00104227">
        <w:rPr>
          <w:lang w:val="en-US"/>
        </w:rPr>
        <w:t>2006</w:t>
      </w:r>
      <w:r w:rsidR="00F32527" w:rsidRPr="00104227">
        <w:rPr>
          <w:lang w:val="en-US"/>
        </w:rPr>
        <w:t xml:space="preserve">. </w:t>
      </w:r>
      <w:r w:rsidR="00BF5241" w:rsidRPr="00104227">
        <w:rPr>
          <w:lang w:val="en-US"/>
        </w:rPr>
        <w:t>Mexico</w:t>
      </w:r>
      <w:r w:rsidR="00E12489" w:rsidRPr="00104227">
        <w:rPr>
          <w:lang w:val="en-US"/>
        </w:rPr>
        <w:t xml:space="preserve"> </w:t>
      </w:r>
      <w:r w:rsidR="000A14CF" w:rsidRPr="00104227">
        <w:rPr>
          <w:lang w:val="en-US"/>
        </w:rPr>
        <w:t>acknowledged</w:t>
      </w:r>
      <w:r w:rsidR="00E466FA" w:rsidRPr="00104227">
        <w:rPr>
          <w:lang w:val="en-US"/>
        </w:rPr>
        <w:t xml:space="preserve"> the violation of the following rights of the eleven women:</w:t>
      </w:r>
    </w:p>
    <w:p w14:paraId="5D711F88" w14:textId="77777777" w:rsidR="00E12489" w:rsidRPr="00104227" w:rsidRDefault="00E12489" w:rsidP="00E4619F">
      <w:pPr>
        <w:pStyle w:val="Prrafodelista"/>
        <w:numPr>
          <w:ilvl w:val="0"/>
          <w:numId w:val="0"/>
        </w:numPr>
        <w:tabs>
          <w:tab w:val="left" w:pos="567"/>
        </w:tabs>
        <w:ind w:left="1440"/>
        <w:jc w:val="left"/>
        <w:rPr>
          <w:rFonts w:cs="Arial"/>
          <w:spacing w:val="-4"/>
        </w:rPr>
      </w:pPr>
    </w:p>
    <w:p w14:paraId="57D3989E" w14:textId="1EEE3A93" w:rsidR="00E12489" w:rsidRPr="00104227" w:rsidRDefault="00E466FA" w:rsidP="00E4619F">
      <w:pPr>
        <w:pStyle w:val="Prrafodelista"/>
        <w:numPr>
          <w:ilvl w:val="0"/>
          <w:numId w:val="63"/>
        </w:numPr>
        <w:tabs>
          <w:tab w:val="left" w:pos="567"/>
        </w:tabs>
      </w:pPr>
      <w:r w:rsidRPr="00104227">
        <w:t>Violation of the right to</w:t>
      </w:r>
      <w:r w:rsidR="00E12489" w:rsidRPr="00104227">
        <w:t xml:space="preserve"> </w:t>
      </w:r>
      <w:r w:rsidR="0094395C" w:rsidRPr="00104227">
        <w:t>personal liberty</w:t>
      </w:r>
      <w:r w:rsidR="00BF5241" w:rsidRPr="00104227">
        <w:t xml:space="preserve"> and </w:t>
      </w:r>
      <w:r w:rsidR="0094395C" w:rsidRPr="00104227">
        <w:t>judicial guarantees</w:t>
      </w:r>
      <w:r w:rsidR="00E12489" w:rsidRPr="00104227">
        <w:t xml:space="preserve"> </w:t>
      </w:r>
      <w:r w:rsidRPr="00104227">
        <w:t>recognized in</w:t>
      </w:r>
      <w:r w:rsidR="00E12489" w:rsidRPr="00104227">
        <w:t xml:space="preserve"> </w:t>
      </w:r>
      <w:r w:rsidR="00BF5241" w:rsidRPr="00104227">
        <w:t>Articles</w:t>
      </w:r>
      <w:r w:rsidR="00E12489" w:rsidRPr="00104227">
        <w:t xml:space="preserve"> </w:t>
      </w:r>
      <w:r w:rsidR="00C2124F" w:rsidRPr="00104227">
        <w:t>7(1)</w:t>
      </w:r>
      <w:r w:rsidR="00E12489" w:rsidRPr="00104227">
        <w:t xml:space="preserve">, </w:t>
      </w:r>
      <w:r w:rsidR="00C2124F" w:rsidRPr="00104227">
        <w:t>7(2)</w:t>
      </w:r>
      <w:r w:rsidR="00E12489" w:rsidRPr="00104227">
        <w:t xml:space="preserve">, </w:t>
      </w:r>
      <w:r w:rsidR="00C2124F" w:rsidRPr="00104227">
        <w:t>7(3)</w:t>
      </w:r>
      <w:r w:rsidR="00E12489" w:rsidRPr="00104227">
        <w:t xml:space="preserve">, </w:t>
      </w:r>
      <w:r w:rsidR="00C2124F" w:rsidRPr="00104227">
        <w:t>7(4)</w:t>
      </w:r>
      <w:r w:rsidR="00E12489" w:rsidRPr="00104227">
        <w:t xml:space="preserve">, </w:t>
      </w:r>
      <w:r w:rsidR="00C2124F" w:rsidRPr="00104227">
        <w:t>8(2)(b)</w:t>
      </w:r>
      <w:r w:rsidR="00E12489" w:rsidRPr="00104227">
        <w:t xml:space="preserve">, </w:t>
      </w:r>
      <w:r w:rsidR="00C2124F" w:rsidRPr="00104227">
        <w:t>8(2)(d)</w:t>
      </w:r>
      <w:r w:rsidR="00BF5241" w:rsidRPr="00104227">
        <w:t xml:space="preserve"> and </w:t>
      </w:r>
      <w:r w:rsidR="00C2124F" w:rsidRPr="00104227">
        <w:t>8(2)(e)</w:t>
      </w:r>
      <w:r w:rsidR="00BF5241" w:rsidRPr="00104227">
        <w:t xml:space="preserve"> of the Convention</w:t>
      </w:r>
      <w:r w:rsidR="00E12489" w:rsidRPr="00104227">
        <w:t xml:space="preserve">, </w:t>
      </w:r>
      <w:r w:rsidRPr="00104227">
        <w:t xml:space="preserve">owing to the deprivation of their liberty accompanied by the failure to notify the reasons of their detention and </w:t>
      </w:r>
      <w:r w:rsidR="004917CB" w:rsidRPr="00104227">
        <w:t>to provide</w:t>
      </w:r>
      <w:r w:rsidRPr="00104227">
        <w:t xml:space="preserve"> appropriate defense counsel.</w:t>
      </w:r>
    </w:p>
    <w:p w14:paraId="6B92DB09" w14:textId="19FA6D28" w:rsidR="00E12489" w:rsidRPr="00104227" w:rsidRDefault="00E466FA" w:rsidP="00E4619F">
      <w:pPr>
        <w:pStyle w:val="Prrafodelista"/>
        <w:numPr>
          <w:ilvl w:val="0"/>
          <w:numId w:val="63"/>
        </w:numPr>
        <w:tabs>
          <w:tab w:val="left" w:pos="567"/>
        </w:tabs>
        <w:rPr>
          <w:rFonts w:cs="Arial"/>
          <w:spacing w:val="-4"/>
        </w:rPr>
      </w:pPr>
      <w:r w:rsidRPr="00104227">
        <w:t>Violation of the right to</w:t>
      </w:r>
      <w:r w:rsidR="00E12489" w:rsidRPr="00104227">
        <w:t xml:space="preserve"> </w:t>
      </w:r>
      <w:r w:rsidR="0094395C" w:rsidRPr="00104227">
        <w:t>personal integrity</w:t>
      </w:r>
      <w:r w:rsidR="00E12489" w:rsidRPr="00104227">
        <w:t xml:space="preserve">, </w:t>
      </w:r>
      <w:r w:rsidR="0094395C" w:rsidRPr="00104227">
        <w:t>privacy</w:t>
      </w:r>
      <w:r w:rsidR="00E12489" w:rsidRPr="00104227">
        <w:t xml:space="preserve">, </w:t>
      </w:r>
      <w:r w:rsidR="0094395C" w:rsidRPr="00104227">
        <w:t>autonomy and dignity</w:t>
      </w:r>
      <w:r w:rsidR="00E12489" w:rsidRPr="00104227">
        <w:t xml:space="preserve">, </w:t>
      </w:r>
      <w:r w:rsidR="0094395C" w:rsidRPr="00104227">
        <w:t>equality and non-discrimination</w:t>
      </w:r>
      <w:r w:rsidR="00E12489" w:rsidRPr="00104227">
        <w:t xml:space="preserve"> </w:t>
      </w:r>
      <w:r w:rsidRPr="00104227">
        <w:t>recognized in</w:t>
      </w:r>
      <w:r w:rsidR="00E12489" w:rsidRPr="00104227">
        <w:t xml:space="preserve"> </w:t>
      </w:r>
      <w:r w:rsidR="00BF5241" w:rsidRPr="00104227">
        <w:t>Articles</w:t>
      </w:r>
      <w:r w:rsidR="00E12489" w:rsidRPr="00104227">
        <w:t xml:space="preserve"> </w:t>
      </w:r>
      <w:r w:rsidR="0094395C" w:rsidRPr="00104227">
        <w:t>5(1)</w:t>
      </w:r>
      <w:r w:rsidR="00E12489" w:rsidRPr="00104227">
        <w:t xml:space="preserve">, </w:t>
      </w:r>
      <w:r w:rsidR="0094395C" w:rsidRPr="00104227">
        <w:t>5(2)</w:t>
      </w:r>
      <w:r w:rsidR="00E12489" w:rsidRPr="00104227">
        <w:t>, 11</w:t>
      </w:r>
      <w:r w:rsidR="00BF5241" w:rsidRPr="00104227">
        <w:t xml:space="preserve"> and </w:t>
      </w:r>
      <w:r w:rsidR="00E12489" w:rsidRPr="00104227">
        <w:t xml:space="preserve">24 </w:t>
      </w:r>
      <w:r w:rsidR="00C2124F" w:rsidRPr="00104227">
        <w:t>in relation to Article 1(1)</w:t>
      </w:r>
      <w:r w:rsidR="00BF5241" w:rsidRPr="00104227">
        <w:t xml:space="preserve"> of the Convention</w:t>
      </w:r>
      <w:r w:rsidR="00E12489" w:rsidRPr="00104227">
        <w:t xml:space="preserve">; </w:t>
      </w:r>
      <w:r w:rsidRPr="00104227">
        <w:t xml:space="preserve">the right not to be tortured recognized in </w:t>
      </w:r>
      <w:r w:rsidR="00BF5241" w:rsidRPr="00104227">
        <w:t>Articles</w:t>
      </w:r>
      <w:r w:rsidR="00E12489" w:rsidRPr="00104227">
        <w:t xml:space="preserve"> 1</w:t>
      </w:r>
      <w:r w:rsidR="00BF5241" w:rsidRPr="00104227">
        <w:t xml:space="preserve"> and </w:t>
      </w:r>
      <w:r w:rsidR="00E12489" w:rsidRPr="00104227">
        <w:t>6</w:t>
      </w:r>
      <w:r w:rsidR="00E12489" w:rsidRPr="00104227">
        <w:rPr>
          <w:rStyle w:val="Refdenotaalpie"/>
        </w:rPr>
        <w:footnoteReference w:id="33"/>
      </w:r>
      <w:r w:rsidR="00BF5241" w:rsidRPr="00104227">
        <w:t xml:space="preserve"> of the </w:t>
      </w:r>
      <w:r w:rsidR="0094395C" w:rsidRPr="00104227">
        <w:t>Inter-</w:t>
      </w:r>
      <w:r w:rsidR="003F10B2" w:rsidRPr="00104227">
        <w:t>American</w:t>
      </w:r>
      <w:r w:rsidR="0094395C" w:rsidRPr="00104227">
        <w:t xml:space="preserve"> Convention to Prevent and Punish Torture</w:t>
      </w:r>
      <w:r w:rsidR="00E12489" w:rsidRPr="00104227">
        <w:t xml:space="preserve"> (</w:t>
      </w:r>
      <w:r w:rsidR="00BF5241" w:rsidRPr="00104227">
        <w:t>hereinafter</w:t>
      </w:r>
      <w:r w:rsidR="00E12489" w:rsidRPr="00104227">
        <w:t xml:space="preserve"> “</w:t>
      </w:r>
      <w:r w:rsidRPr="00104227">
        <w:t>the Inter-American Convention against Torture</w:t>
      </w:r>
      <w:r w:rsidR="00E12489" w:rsidRPr="00104227">
        <w:t>”),</w:t>
      </w:r>
      <w:r w:rsidR="00BF5241" w:rsidRPr="00104227">
        <w:t xml:space="preserve"> and </w:t>
      </w:r>
      <w:r w:rsidRPr="00104227">
        <w:t>the right to live a life free of violence</w:t>
      </w:r>
      <w:r w:rsidR="00E12489" w:rsidRPr="00104227">
        <w:t xml:space="preserve"> </w:t>
      </w:r>
      <w:r w:rsidRPr="00104227">
        <w:t>recognized in</w:t>
      </w:r>
      <w:r w:rsidR="00E12489" w:rsidRPr="00104227">
        <w:t xml:space="preserve"> </w:t>
      </w:r>
      <w:r w:rsidR="00BF5241" w:rsidRPr="00104227">
        <w:t>Article</w:t>
      </w:r>
      <w:r w:rsidR="00E12489" w:rsidRPr="00104227">
        <w:t xml:space="preserve"> 7</w:t>
      </w:r>
      <w:r w:rsidR="00BF5241" w:rsidRPr="00104227">
        <w:t xml:space="preserve"> of the </w:t>
      </w:r>
      <w:r w:rsidRPr="00104227">
        <w:t>Inter-American Convention for the Prevention, Punishment and Eradication of Violence against Women</w:t>
      </w:r>
      <w:r w:rsidR="00E12489" w:rsidRPr="00104227">
        <w:t xml:space="preserve"> (</w:t>
      </w:r>
      <w:r w:rsidR="00BF5241" w:rsidRPr="00104227">
        <w:t>hereinafter</w:t>
      </w:r>
      <w:r w:rsidR="00E12489" w:rsidRPr="00104227">
        <w:t xml:space="preserve"> “</w:t>
      </w:r>
      <w:r w:rsidRPr="00104227">
        <w:t>the Convention</w:t>
      </w:r>
      <w:r w:rsidR="00E12489" w:rsidRPr="00104227">
        <w:t xml:space="preserve"> </w:t>
      </w:r>
      <w:r w:rsidR="0094395C" w:rsidRPr="00104227">
        <w:t>of Belém</w:t>
      </w:r>
      <w:r w:rsidR="00E12489" w:rsidRPr="00104227">
        <w:t xml:space="preserve"> do Pará”), </w:t>
      </w:r>
      <w:r w:rsidR="004917CB" w:rsidRPr="00104227">
        <w:t>owing to</w:t>
      </w:r>
      <w:r w:rsidRPr="00104227">
        <w:t xml:space="preserve"> the</w:t>
      </w:r>
      <w:r w:rsidR="00E12489" w:rsidRPr="00104227">
        <w:t xml:space="preserve"> </w:t>
      </w:r>
      <w:r w:rsidR="00766606" w:rsidRPr="00104227">
        <w:t>“</w:t>
      </w:r>
      <w:r w:rsidR="000A14CF" w:rsidRPr="00104227">
        <w:t>physical</w:t>
      </w:r>
      <w:r w:rsidRPr="00104227">
        <w:t xml:space="preserve">, psychological and sexual </w:t>
      </w:r>
      <w:r w:rsidR="00F63786" w:rsidRPr="00104227">
        <w:t>abuse</w:t>
      </w:r>
      <w:r w:rsidRPr="00104227">
        <w:t xml:space="preserve">, including acts of sexual torture,” and also </w:t>
      </w:r>
      <w:r w:rsidR="004917CB" w:rsidRPr="00104227">
        <w:t xml:space="preserve">the </w:t>
      </w:r>
      <w:r w:rsidRPr="00104227">
        <w:t xml:space="preserve">denigrating treatment and invasion of their </w:t>
      </w:r>
      <w:r w:rsidR="004917CB" w:rsidRPr="00104227">
        <w:t>privacy</w:t>
      </w:r>
      <w:r w:rsidRPr="00104227">
        <w:t xml:space="preserve">, the lack of adequate medical </w:t>
      </w:r>
      <w:r w:rsidR="00F63786" w:rsidRPr="00104227">
        <w:t>care</w:t>
      </w:r>
      <w:r w:rsidRPr="00104227">
        <w:t>, and the effects on their health.</w:t>
      </w:r>
    </w:p>
    <w:p w14:paraId="7BE9C8D9" w14:textId="704CCE40" w:rsidR="00E12489" w:rsidRPr="00104227" w:rsidRDefault="00E466FA" w:rsidP="00882BBC">
      <w:pPr>
        <w:pStyle w:val="Prrafodelista"/>
        <w:numPr>
          <w:ilvl w:val="0"/>
          <w:numId w:val="63"/>
        </w:numPr>
        <w:tabs>
          <w:tab w:val="left" w:pos="720"/>
        </w:tabs>
      </w:pPr>
      <w:r w:rsidRPr="00104227">
        <w:t>Violation of</w:t>
      </w:r>
      <w:r w:rsidR="00E12489" w:rsidRPr="00104227">
        <w:t xml:space="preserve"> </w:t>
      </w:r>
      <w:r w:rsidR="0094395C" w:rsidRPr="00104227">
        <w:t>judicial guarantees</w:t>
      </w:r>
      <w:r w:rsidR="00BF5241" w:rsidRPr="00104227">
        <w:t xml:space="preserve"> and </w:t>
      </w:r>
      <w:r w:rsidRPr="00104227">
        <w:t>judicial protection</w:t>
      </w:r>
      <w:r w:rsidR="00E12489" w:rsidRPr="00104227">
        <w:t xml:space="preserve"> </w:t>
      </w:r>
      <w:r w:rsidRPr="00104227">
        <w:t>and equality before the law</w:t>
      </w:r>
      <w:r w:rsidR="00E12489" w:rsidRPr="00104227">
        <w:t xml:space="preserve"> </w:t>
      </w:r>
      <w:r w:rsidRPr="00104227">
        <w:t>recognized in</w:t>
      </w:r>
      <w:r w:rsidR="00E12489" w:rsidRPr="00104227">
        <w:t xml:space="preserve"> </w:t>
      </w:r>
      <w:r w:rsidR="00BF5241" w:rsidRPr="00104227">
        <w:t>Articles</w:t>
      </w:r>
      <w:r w:rsidR="00E12489" w:rsidRPr="00104227">
        <w:t xml:space="preserve"> 8, 24</w:t>
      </w:r>
      <w:r w:rsidR="00BF5241" w:rsidRPr="00104227">
        <w:t xml:space="preserve"> and </w:t>
      </w:r>
      <w:r w:rsidR="00E12489" w:rsidRPr="00104227">
        <w:t xml:space="preserve">25 </w:t>
      </w:r>
      <w:r w:rsidR="0020071D" w:rsidRPr="00104227">
        <w:t>in relation to</w:t>
      </w:r>
      <w:r w:rsidR="00E12489" w:rsidRPr="00104227">
        <w:t xml:space="preserve"> 1</w:t>
      </w:r>
      <w:r w:rsidR="0020071D" w:rsidRPr="00104227">
        <w:t>(</w:t>
      </w:r>
      <w:r w:rsidR="00E12489" w:rsidRPr="00104227">
        <w:t>1</w:t>
      </w:r>
      <w:r w:rsidR="0020071D" w:rsidRPr="00104227">
        <w:t>)</w:t>
      </w:r>
      <w:r w:rsidR="00BF5241" w:rsidRPr="00104227">
        <w:t xml:space="preserve"> of the Convention</w:t>
      </w:r>
      <w:r w:rsidR="00E12489" w:rsidRPr="00104227">
        <w:t>,</w:t>
      </w:r>
      <w:r w:rsidR="00BF5241" w:rsidRPr="00104227">
        <w:t xml:space="preserve"> and </w:t>
      </w:r>
      <w:r w:rsidR="0020071D" w:rsidRPr="00104227">
        <w:t>the obligation to investigate violence against women</w:t>
      </w:r>
      <w:r w:rsidR="00E12489" w:rsidRPr="00104227">
        <w:t xml:space="preserve"> </w:t>
      </w:r>
      <w:r w:rsidRPr="00104227">
        <w:t>recognized in</w:t>
      </w:r>
      <w:r w:rsidR="00E12489" w:rsidRPr="00104227">
        <w:t xml:space="preserve"> </w:t>
      </w:r>
      <w:r w:rsidR="00BF5241" w:rsidRPr="00104227">
        <w:t>Articles</w:t>
      </w:r>
      <w:r w:rsidR="00E12489" w:rsidRPr="00104227">
        <w:t xml:space="preserve"> 1, 6</w:t>
      </w:r>
      <w:r w:rsidR="00BF5241" w:rsidRPr="00104227">
        <w:t xml:space="preserve"> and </w:t>
      </w:r>
      <w:r w:rsidR="00E12489" w:rsidRPr="00104227">
        <w:t>8</w:t>
      </w:r>
      <w:r w:rsidR="00BF5241" w:rsidRPr="00104227">
        <w:t xml:space="preserve"> of the </w:t>
      </w:r>
      <w:r w:rsidR="007E2382" w:rsidRPr="00104227">
        <w:t>Inter-American Convention against Torture</w:t>
      </w:r>
      <w:r w:rsidR="00BF5241" w:rsidRPr="00104227">
        <w:t xml:space="preserve"> and Article</w:t>
      </w:r>
      <w:r w:rsidR="00E12489" w:rsidRPr="00104227">
        <w:t xml:space="preserve"> 7</w:t>
      </w:r>
      <w:r w:rsidR="00BF5241" w:rsidRPr="00104227">
        <w:t xml:space="preserve"> of the Convention</w:t>
      </w:r>
      <w:r w:rsidR="00E12489" w:rsidRPr="00104227">
        <w:t xml:space="preserve"> </w:t>
      </w:r>
      <w:r w:rsidR="0094395C" w:rsidRPr="00104227">
        <w:t>of Belém</w:t>
      </w:r>
      <w:r w:rsidR="00E12489" w:rsidRPr="00104227">
        <w:t xml:space="preserve"> do Pará, </w:t>
      </w:r>
      <w:r w:rsidR="0020071D" w:rsidRPr="00104227">
        <w:t xml:space="preserve">owing to the lack of an investigation </w:t>
      </w:r>
      <w:r w:rsidR="00E12489" w:rsidRPr="00104227">
        <w:rPr>
          <w:i/>
        </w:rPr>
        <w:t xml:space="preserve">ex officio </w:t>
      </w:r>
      <w:r w:rsidR="0020071D" w:rsidRPr="00104227">
        <w:t xml:space="preserve">at the outset and following the events addressed at clarifying the facts and identifying those responsible, and also </w:t>
      </w:r>
      <w:r w:rsidR="004917CB" w:rsidRPr="00104227">
        <w:t>owing to</w:t>
      </w:r>
      <w:r w:rsidR="0020071D" w:rsidRPr="00104227">
        <w:t xml:space="preserve"> the </w:t>
      </w:r>
      <w:r w:rsidR="004917CB" w:rsidRPr="00104227">
        <w:t xml:space="preserve">inaccurate classification </w:t>
      </w:r>
      <w:r w:rsidR="0020071D" w:rsidRPr="00104227">
        <w:t>of the offenses at the start</w:t>
      </w:r>
      <w:r w:rsidR="00E12489" w:rsidRPr="00104227">
        <w:t xml:space="preserve">. </w:t>
      </w:r>
      <w:r w:rsidR="00AC3BFC" w:rsidRPr="00104227">
        <w:t>The State</w:t>
      </w:r>
      <w:r w:rsidR="00E12489" w:rsidRPr="00104227">
        <w:t xml:space="preserve"> </w:t>
      </w:r>
      <w:r w:rsidR="0020071D" w:rsidRPr="00104227">
        <w:t>underlined that</w:t>
      </w:r>
      <w:r w:rsidR="00E12489" w:rsidRPr="00104227">
        <w:t>, “</w:t>
      </w:r>
      <w:r w:rsidR="004917CB" w:rsidRPr="00104227">
        <w:t>despite</w:t>
      </w:r>
      <w:r w:rsidR="0020071D" w:rsidRPr="00104227">
        <w:t xml:space="preserve"> the foregoing, </w:t>
      </w:r>
      <w:r w:rsidR="00E12489" w:rsidRPr="00104227">
        <w:t>[</w:t>
      </w:r>
      <w:r w:rsidR="004917CB" w:rsidRPr="00104227">
        <w:t>…</w:t>
      </w:r>
      <w:r w:rsidR="00E12489" w:rsidRPr="00104227">
        <w:t xml:space="preserve">] </w:t>
      </w:r>
      <w:r w:rsidR="0020071D" w:rsidRPr="00104227">
        <w:t>the investigations conducted by</w:t>
      </w:r>
      <w:r w:rsidR="00E12489" w:rsidRPr="00104227">
        <w:t xml:space="preserve"> </w:t>
      </w:r>
      <w:r w:rsidR="0020071D" w:rsidRPr="00104227">
        <w:t>the Attorney General’s Office</w:t>
      </w:r>
      <w:r w:rsidR="00E12489" w:rsidRPr="00104227">
        <w:t xml:space="preserve"> (PGR) </w:t>
      </w:r>
      <w:r w:rsidR="0020071D" w:rsidRPr="00104227">
        <w:t>at the federal level were implemented diligently and without delay; therefore, the State does not acknowledge any alleged v</w:t>
      </w:r>
      <w:r w:rsidRPr="00104227">
        <w:t xml:space="preserve">iolation </w:t>
      </w:r>
      <w:r w:rsidR="0020071D" w:rsidRPr="00104227">
        <w:t>with regard to the investigations conducted at the federal level.”</w:t>
      </w:r>
      <w:r w:rsidR="00E12489" w:rsidRPr="00104227">
        <w:t xml:space="preserve"> </w:t>
      </w:r>
    </w:p>
    <w:p w14:paraId="52CB3247" w14:textId="539849FE" w:rsidR="00E12489" w:rsidRPr="00104227" w:rsidRDefault="00E466FA" w:rsidP="00E4619F">
      <w:pPr>
        <w:pStyle w:val="Prrafodelista"/>
        <w:numPr>
          <w:ilvl w:val="0"/>
          <w:numId w:val="63"/>
        </w:numPr>
        <w:tabs>
          <w:tab w:val="left" w:pos="567"/>
        </w:tabs>
        <w:rPr>
          <w:rFonts w:cs="Arial"/>
          <w:spacing w:val="-4"/>
        </w:rPr>
      </w:pPr>
      <w:r w:rsidRPr="00104227">
        <w:t>Violation of</w:t>
      </w:r>
      <w:r w:rsidR="00E12489" w:rsidRPr="00104227">
        <w:t xml:space="preserve"> </w:t>
      </w:r>
      <w:r w:rsidR="0020071D" w:rsidRPr="00104227">
        <w:t>its</w:t>
      </w:r>
      <w:r w:rsidR="00E12489" w:rsidRPr="00104227">
        <w:t xml:space="preserve"> obliga</w:t>
      </w:r>
      <w:r w:rsidR="0020071D" w:rsidRPr="00104227">
        <w:t xml:space="preserve">tion to adopt domestic legal provisions to implement the exercise of the rights and freedoms </w:t>
      </w:r>
      <w:r w:rsidRPr="00104227">
        <w:t>recognized in</w:t>
      </w:r>
      <w:r w:rsidR="00E12489" w:rsidRPr="00104227">
        <w:t xml:space="preserve"> </w:t>
      </w:r>
      <w:r w:rsidR="00BF5241" w:rsidRPr="00104227">
        <w:t>the Convention</w:t>
      </w:r>
      <w:r w:rsidR="00E12489" w:rsidRPr="00104227">
        <w:t xml:space="preserve">, </w:t>
      </w:r>
      <w:r w:rsidR="00BF5241" w:rsidRPr="00104227">
        <w:t xml:space="preserve">the </w:t>
      </w:r>
      <w:r w:rsidR="007E2382" w:rsidRPr="00104227">
        <w:t>Inter-American Convention against Torture</w:t>
      </w:r>
      <w:r w:rsidR="0020071D" w:rsidRPr="00104227">
        <w:t>,</w:t>
      </w:r>
      <w:r w:rsidR="00BF5241" w:rsidRPr="00104227">
        <w:t xml:space="preserve"> and the Convention</w:t>
      </w:r>
      <w:r w:rsidR="00E12489" w:rsidRPr="00104227">
        <w:t xml:space="preserve"> </w:t>
      </w:r>
      <w:r w:rsidR="0094395C" w:rsidRPr="00104227">
        <w:t>of Belém</w:t>
      </w:r>
      <w:r w:rsidR="00E12489" w:rsidRPr="00104227">
        <w:t xml:space="preserve"> do Pará </w:t>
      </w:r>
      <w:r w:rsidR="0020071D" w:rsidRPr="00104227">
        <w:t>recognized in</w:t>
      </w:r>
      <w:r w:rsidR="00E12489" w:rsidRPr="00104227">
        <w:t xml:space="preserve"> </w:t>
      </w:r>
      <w:r w:rsidR="00C2124F" w:rsidRPr="00104227">
        <w:t>Articles 1(1)</w:t>
      </w:r>
      <w:r w:rsidR="00BF5241" w:rsidRPr="00104227">
        <w:t xml:space="preserve"> and </w:t>
      </w:r>
      <w:r w:rsidR="00E12489" w:rsidRPr="00104227">
        <w:t>2</w:t>
      </w:r>
      <w:r w:rsidR="00BF5241" w:rsidRPr="00104227">
        <w:t xml:space="preserve"> of the </w:t>
      </w:r>
      <w:r w:rsidR="004917CB" w:rsidRPr="00104227">
        <w:t xml:space="preserve">American </w:t>
      </w:r>
      <w:r w:rsidR="00BF5241" w:rsidRPr="00104227">
        <w:t>Convention</w:t>
      </w:r>
      <w:r w:rsidR="00E12489" w:rsidRPr="00104227">
        <w:t xml:space="preserve">, </w:t>
      </w:r>
      <w:r w:rsidR="00BF5241" w:rsidRPr="00104227">
        <w:t>Articles</w:t>
      </w:r>
      <w:r w:rsidR="00E12489" w:rsidRPr="00104227">
        <w:t xml:space="preserve"> 1, 6</w:t>
      </w:r>
      <w:r w:rsidR="00BF5241" w:rsidRPr="00104227">
        <w:t xml:space="preserve"> and </w:t>
      </w:r>
      <w:r w:rsidR="00E12489" w:rsidRPr="00104227">
        <w:t>8</w:t>
      </w:r>
      <w:r w:rsidR="00BF5241" w:rsidRPr="00104227">
        <w:t xml:space="preserve"> of the </w:t>
      </w:r>
      <w:r w:rsidR="007E2382" w:rsidRPr="00104227">
        <w:t>Inter-American Convention against Torture</w:t>
      </w:r>
      <w:r w:rsidR="00BF5241" w:rsidRPr="00104227">
        <w:t xml:space="preserve"> and Articles</w:t>
      </w:r>
      <w:r w:rsidR="00E12489" w:rsidRPr="00104227">
        <w:t xml:space="preserve"> 7</w:t>
      </w:r>
      <w:r w:rsidR="0020071D" w:rsidRPr="00104227">
        <w:t>(</w:t>
      </w:r>
      <w:r w:rsidR="00E12489" w:rsidRPr="00104227">
        <w:t xml:space="preserve">c), </w:t>
      </w:r>
      <w:r w:rsidR="0020071D" w:rsidRPr="00104227">
        <w:t>(</w:t>
      </w:r>
      <w:r w:rsidR="00E12489" w:rsidRPr="00104227">
        <w:t>e)</w:t>
      </w:r>
      <w:r w:rsidR="00BF5241" w:rsidRPr="00104227">
        <w:t xml:space="preserve"> and </w:t>
      </w:r>
      <w:r w:rsidR="004917CB" w:rsidRPr="00104227">
        <w:t>(</w:t>
      </w:r>
      <w:r w:rsidR="00E12489" w:rsidRPr="00104227">
        <w:t>h)</w:t>
      </w:r>
      <w:r w:rsidR="00BF5241" w:rsidRPr="00104227">
        <w:t xml:space="preserve"> of the Convention</w:t>
      </w:r>
      <w:r w:rsidR="00E12489" w:rsidRPr="00104227">
        <w:t xml:space="preserve"> </w:t>
      </w:r>
      <w:r w:rsidR="0094395C" w:rsidRPr="00104227">
        <w:t>of Belém</w:t>
      </w:r>
      <w:r w:rsidR="00E12489" w:rsidRPr="00104227">
        <w:t xml:space="preserve"> do Pará, </w:t>
      </w:r>
      <w:r w:rsidR="0020071D" w:rsidRPr="00104227">
        <w:t xml:space="preserve">owing to the absence of a domestic legal framework </w:t>
      </w:r>
      <w:r w:rsidR="004917CB" w:rsidRPr="00104227">
        <w:t>on</w:t>
      </w:r>
      <w:r w:rsidR="0020071D" w:rsidRPr="00104227">
        <w:t xml:space="preserve"> the use of force and torture at the time of the facts.</w:t>
      </w:r>
    </w:p>
    <w:p w14:paraId="5854BAF6" w14:textId="77777777" w:rsidR="00E12489" w:rsidRPr="00104227" w:rsidRDefault="00E12489" w:rsidP="00E4619F">
      <w:pPr>
        <w:pStyle w:val="Prrafodelista"/>
        <w:numPr>
          <w:ilvl w:val="0"/>
          <w:numId w:val="0"/>
        </w:numPr>
        <w:tabs>
          <w:tab w:val="left" w:pos="567"/>
        </w:tabs>
        <w:ind w:left="720"/>
        <w:rPr>
          <w:rFonts w:cs="Arial"/>
          <w:spacing w:val="-4"/>
        </w:rPr>
      </w:pPr>
    </w:p>
    <w:p w14:paraId="45956228" w14:textId="564D5B2F" w:rsidR="00E12489" w:rsidRPr="00104227" w:rsidRDefault="00DF5F3C" w:rsidP="00E4619F">
      <w:pPr>
        <w:pStyle w:val="Numberedparagraphs"/>
        <w:tabs>
          <w:tab w:val="left" w:pos="567"/>
        </w:tabs>
        <w:rPr>
          <w:lang w:val="en-US"/>
        </w:rPr>
      </w:pPr>
      <w:r w:rsidRPr="00104227">
        <w:rPr>
          <w:lang w:val="en-US"/>
        </w:rPr>
        <w:t xml:space="preserve">The State also </w:t>
      </w:r>
      <w:r w:rsidR="004917CB" w:rsidRPr="00104227">
        <w:rPr>
          <w:lang w:val="en-US"/>
        </w:rPr>
        <w:t xml:space="preserve">acknowledged </w:t>
      </w:r>
      <w:r w:rsidRPr="00104227">
        <w:rPr>
          <w:lang w:val="en-US"/>
        </w:rPr>
        <w:t>the v</w:t>
      </w:r>
      <w:r w:rsidR="00E466FA" w:rsidRPr="00104227">
        <w:rPr>
          <w:lang w:val="en-US"/>
        </w:rPr>
        <w:t>iolation of the right to</w:t>
      </w:r>
      <w:r w:rsidR="00E12489" w:rsidRPr="00104227">
        <w:rPr>
          <w:lang w:val="en-US"/>
        </w:rPr>
        <w:t xml:space="preserve"> </w:t>
      </w:r>
      <w:r w:rsidR="0094395C" w:rsidRPr="00104227">
        <w:rPr>
          <w:lang w:val="en-US"/>
        </w:rPr>
        <w:t>personal integrity</w:t>
      </w:r>
      <w:r w:rsidR="00E12489" w:rsidRPr="00104227">
        <w:rPr>
          <w:lang w:val="en-US"/>
        </w:rPr>
        <w:t xml:space="preserve"> </w:t>
      </w:r>
      <w:r w:rsidRPr="00104227">
        <w:rPr>
          <w:lang w:val="en-US"/>
        </w:rPr>
        <w:t>recognized in</w:t>
      </w:r>
      <w:r w:rsidR="00E12489" w:rsidRPr="00104227">
        <w:rPr>
          <w:lang w:val="en-US"/>
        </w:rPr>
        <w:t xml:space="preserve"> </w:t>
      </w:r>
      <w:r w:rsidR="00BF5241" w:rsidRPr="00104227">
        <w:rPr>
          <w:lang w:val="en-US"/>
        </w:rPr>
        <w:t>Article</w:t>
      </w:r>
      <w:r w:rsidR="00E12489" w:rsidRPr="00104227">
        <w:rPr>
          <w:lang w:val="en-US"/>
        </w:rPr>
        <w:t xml:space="preserve"> </w:t>
      </w:r>
      <w:r w:rsidR="0094395C" w:rsidRPr="00104227">
        <w:rPr>
          <w:lang w:val="en-US"/>
        </w:rPr>
        <w:t>5(1)</w:t>
      </w:r>
      <w:r w:rsidR="00E12489" w:rsidRPr="00104227">
        <w:rPr>
          <w:lang w:val="en-US"/>
        </w:rPr>
        <w:t xml:space="preserve"> </w:t>
      </w:r>
      <w:r w:rsidR="0020071D" w:rsidRPr="00104227">
        <w:rPr>
          <w:lang w:val="en-US"/>
        </w:rPr>
        <w:t>in relation to</w:t>
      </w:r>
      <w:r w:rsidR="00E12489" w:rsidRPr="00104227">
        <w:rPr>
          <w:lang w:val="en-US"/>
        </w:rPr>
        <w:t xml:space="preserve"> </w:t>
      </w:r>
      <w:r w:rsidRPr="00104227">
        <w:rPr>
          <w:lang w:val="en-US"/>
        </w:rPr>
        <w:t>1(1) of the</w:t>
      </w:r>
      <w:r w:rsidR="00BF5241" w:rsidRPr="00104227">
        <w:rPr>
          <w:lang w:val="en-US"/>
        </w:rPr>
        <w:t xml:space="preserve"> Convention</w:t>
      </w:r>
      <w:r w:rsidR="00E12489" w:rsidRPr="00104227">
        <w:rPr>
          <w:lang w:val="en-US"/>
        </w:rPr>
        <w:t>, “</w:t>
      </w:r>
      <w:r w:rsidR="00C2124F" w:rsidRPr="00104227">
        <w:rPr>
          <w:lang w:val="en-US"/>
        </w:rPr>
        <w:t>to the detriment of</w:t>
      </w:r>
      <w:r w:rsidR="00E12489" w:rsidRPr="00104227">
        <w:rPr>
          <w:lang w:val="en-US"/>
        </w:rPr>
        <w:t xml:space="preserve"> </w:t>
      </w:r>
      <w:r w:rsidR="0094395C" w:rsidRPr="00104227">
        <w:rPr>
          <w:lang w:val="en-US"/>
        </w:rPr>
        <w:t>the</w:t>
      </w:r>
      <w:r w:rsidRPr="00104227">
        <w:rPr>
          <w:lang w:val="en-US"/>
        </w:rPr>
        <w:t xml:space="preserve"> victims’</w:t>
      </w:r>
      <w:r w:rsidR="0094395C" w:rsidRPr="00104227">
        <w:rPr>
          <w:lang w:val="en-US"/>
        </w:rPr>
        <w:t xml:space="preserve"> next of kin</w:t>
      </w:r>
      <w:r w:rsidR="00E12489" w:rsidRPr="00104227">
        <w:rPr>
          <w:lang w:val="en-US"/>
        </w:rPr>
        <w:t xml:space="preserve"> </w:t>
      </w:r>
      <w:r w:rsidRPr="00104227">
        <w:rPr>
          <w:lang w:val="en-US"/>
        </w:rPr>
        <w:t>as a result of their suffering.”</w:t>
      </w:r>
      <w:r w:rsidR="00E12489" w:rsidRPr="00104227">
        <w:rPr>
          <w:lang w:val="en-US"/>
        </w:rPr>
        <w:t xml:space="preserve"> </w:t>
      </w:r>
    </w:p>
    <w:p w14:paraId="0EE37CDD" w14:textId="77777777" w:rsidR="00E12489" w:rsidRPr="00104227" w:rsidRDefault="00E12489" w:rsidP="00E4619F">
      <w:pPr>
        <w:tabs>
          <w:tab w:val="left" w:pos="567"/>
        </w:tabs>
        <w:rPr>
          <w:rFonts w:cs="Arial"/>
          <w:spacing w:val="-4"/>
        </w:rPr>
      </w:pPr>
    </w:p>
    <w:p w14:paraId="22B901C3" w14:textId="0AF7D53E" w:rsidR="00DF5F3C" w:rsidRPr="00104227" w:rsidRDefault="00DF5F3C" w:rsidP="00E4619F">
      <w:pPr>
        <w:pStyle w:val="Numberedparagraphs"/>
        <w:tabs>
          <w:tab w:val="left" w:pos="567"/>
        </w:tabs>
        <w:rPr>
          <w:b/>
          <w:lang w:val="en-US"/>
        </w:rPr>
      </w:pPr>
      <w:r w:rsidRPr="00104227">
        <w:rPr>
          <w:lang w:val="en-US"/>
        </w:rPr>
        <w:t xml:space="preserve">Regarding the facts, the State </w:t>
      </w:r>
      <w:r w:rsidR="00FC3D77" w:rsidRPr="00104227">
        <w:rPr>
          <w:lang w:val="en-US"/>
        </w:rPr>
        <w:t>specified</w:t>
      </w:r>
      <w:r w:rsidRPr="00104227">
        <w:rPr>
          <w:lang w:val="en-US"/>
        </w:rPr>
        <w:t xml:space="preserve"> that its acknowledgement was “based on the determinations reached by the </w:t>
      </w:r>
      <w:r w:rsidR="00E12489" w:rsidRPr="00104227">
        <w:rPr>
          <w:lang w:val="en-US"/>
        </w:rPr>
        <w:t xml:space="preserve">SCJN </w:t>
      </w:r>
      <w:r w:rsidRPr="00104227">
        <w:rPr>
          <w:lang w:val="en-US"/>
        </w:rPr>
        <w:t>in its analysis of the events that occurred on May 3 and 4,</w:t>
      </w:r>
      <w:r w:rsidR="00E12489" w:rsidRPr="00104227">
        <w:rPr>
          <w:lang w:val="en-US"/>
        </w:rPr>
        <w:t xml:space="preserve"> </w:t>
      </w:r>
      <w:r w:rsidR="00E12489" w:rsidRPr="00104227">
        <w:rPr>
          <w:lang w:val="en-US"/>
        </w:rPr>
        <w:lastRenderedPageBreak/>
        <w:t>2006</w:t>
      </w:r>
      <w:r w:rsidRPr="00104227">
        <w:rPr>
          <w:lang w:val="en-US"/>
        </w:rPr>
        <w:t>,</w:t>
      </w:r>
      <w:r w:rsidR="00E12489" w:rsidRPr="00104227">
        <w:rPr>
          <w:lang w:val="en-US"/>
        </w:rPr>
        <w:t xml:space="preserve">” </w:t>
      </w:r>
      <w:r w:rsidRPr="00104227">
        <w:rPr>
          <w:lang w:val="en-US"/>
        </w:rPr>
        <w:t>in light of which it made a series of clarifications on the context in w</w:t>
      </w:r>
      <w:r w:rsidR="00FC3D77" w:rsidRPr="00104227">
        <w:rPr>
          <w:lang w:val="en-US"/>
        </w:rPr>
        <w:t>h</w:t>
      </w:r>
      <w:r w:rsidRPr="00104227">
        <w:rPr>
          <w:lang w:val="en-US"/>
        </w:rPr>
        <w:t>ich the facts of the case occurred.</w:t>
      </w:r>
      <w:r w:rsidR="00E12489" w:rsidRPr="00104227">
        <w:rPr>
          <w:rStyle w:val="Refdenotaalpie"/>
          <w:lang w:val="en-US"/>
        </w:rPr>
        <w:footnoteReference w:id="34"/>
      </w:r>
      <w:r w:rsidRPr="00104227">
        <w:rPr>
          <w:lang w:val="en-US"/>
        </w:rPr>
        <w:t xml:space="preserve"> Subsequently, in its final written arguments, the State indicated that it acknowledged “the facts included in paragraphs</w:t>
      </w:r>
      <w:r w:rsidR="00E12489" w:rsidRPr="00104227">
        <w:rPr>
          <w:lang w:val="en-US"/>
        </w:rPr>
        <w:t xml:space="preserve"> 112 </w:t>
      </w:r>
      <w:r w:rsidRPr="00104227">
        <w:rPr>
          <w:lang w:val="en-US"/>
        </w:rPr>
        <w:t>to</w:t>
      </w:r>
      <w:r w:rsidR="00E12489" w:rsidRPr="00104227">
        <w:rPr>
          <w:lang w:val="en-US"/>
        </w:rPr>
        <w:t xml:space="preserve"> 307 </w:t>
      </w:r>
      <w:r w:rsidRPr="00104227">
        <w:rPr>
          <w:lang w:val="en-US"/>
        </w:rPr>
        <w:t>of the</w:t>
      </w:r>
      <w:r w:rsidR="00E12489" w:rsidRPr="00104227">
        <w:rPr>
          <w:lang w:val="en-US"/>
        </w:rPr>
        <w:t xml:space="preserve"> </w:t>
      </w:r>
      <w:r w:rsidR="002826A6" w:rsidRPr="00104227">
        <w:rPr>
          <w:lang w:val="en-US"/>
        </w:rPr>
        <w:t>Merits Report</w:t>
      </w:r>
      <w:r w:rsidR="00E12489" w:rsidRPr="00104227">
        <w:rPr>
          <w:lang w:val="en-US"/>
        </w:rPr>
        <w:t xml:space="preserve"> </w:t>
      </w:r>
      <w:r w:rsidRPr="00104227">
        <w:rPr>
          <w:lang w:val="en-US"/>
        </w:rPr>
        <w:t>prepared by</w:t>
      </w:r>
      <w:r w:rsidR="00E12489" w:rsidRPr="00104227">
        <w:rPr>
          <w:lang w:val="en-US"/>
        </w:rPr>
        <w:t xml:space="preserve"> </w:t>
      </w:r>
      <w:r w:rsidR="00BF5241" w:rsidRPr="00104227">
        <w:rPr>
          <w:lang w:val="en-US"/>
        </w:rPr>
        <w:t>the Commission</w:t>
      </w:r>
      <w:r w:rsidR="00E12489" w:rsidRPr="00104227">
        <w:rPr>
          <w:lang w:val="en-US"/>
        </w:rPr>
        <w:t>”</w:t>
      </w:r>
      <w:r w:rsidR="00BF5241" w:rsidRPr="00104227">
        <w:rPr>
          <w:lang w:val="en-US"/>
        </w:rPr>
        <w:t xml:space="preserve"> and </w:t>
      </w:r>
      <w:r w:rsidRPr="00104227">
        <w:rPr>
          <w:lang w:val="en-US"/>
        </w:rPr>
        <w:t>that</w:t>
      </w:r>
      <w:r w:rsidR="00E12489" w:rsidRPr="00104227">
        <w:rPr>
          <w:lang w:val="en-US"/>
        </w:rPr>
        <w:t>, “</w:t>
      </w:r>
      <w:r w:rsidRPr="00104227">
        <w:rPr>
          <w:lang w:val="en-US"/>
        </w:rPr>
        <w:t>with regard to the lack of investigation, […] reiterates that i</w:t>
      </w:r>
      <w:r w:rsidR="00B621AB" w:rsidRPr="00104227">
        <w:rPr>
          <w:lang w:val="en-US"/>
        </w:rPr>
        <w:t>t</w:t>
      </w:r>
      <w:r w:rsidRPr="00104227">
        <w:rPr>
          <w:lang w:val="en-US"/>
        </w:rPr>
        <w:t>s acknowledgment only covers the local investigations.” It added that “regarding the investigation of the […] facts, […] it acknowledged paragraphs</w:t>
      </w:r>
      <w:r w:rsidR="00E12489" w:rsidRPr="00104227">
        <w:rPr>
          <w:lang w:val="en-US"/>
        </w:rPr>
        <w:t xml:space="preserve"> 372 </w:t>
      </w:r>
      <w:r w:rsidRPr="00104227">
        <w:rPr>
          <w:lang w:val="en-US"/>
        </w:rPr>
        <w:t>to</w:t>
      </w:r>
      <w:r w:rsidR="00E12489" w:rsidRPr="00104227">
        <w:rPr>
          <w:lang w:val="en-US"/>
        </w:rPr>
        <w:t xml:space="preserve"> 386, </w:t>
      </w:r>
      <w:r w:rsidRPr="00104227">
        <w:rPr>
          <w:lang w:val="en-US"/>
        </w:rPr>
        <w:t>and also</w:t>
      </w:r>
      <w:r w:rsidR="00E12489" w:rsidRPr="00104227">
        <w:rPr>
          <w:lang w:val="en-US"/>
        </w:rPr>
        <w:t xml:space="preserve"> </w:t>
      </w:r>
      <w:r w:rsidRPr="00104227">
        <w:rPr>
          <w:lang w:val="en-US"/>
        </w:rPr>
        <w:t>paragraphs</w:t>
      </w:r>
      <w:r w:rsidR="00E12489" w:rsidRPr="00104227">
        <w:rPr>
          <w:lang w:val="en-US"/>
        </w:rPr>
        <w:t xml:space="preserve"> 405, 406</w:t>
      </w:r>
      <w:r w:rsidR="00BF5241" w:rsidRPr="00104227">
        <w:rPr>
          <w:lang w:val="en-US"/>
        </w:rPr>
        <w:t xml:space="preserve"> and </w:t>
      </w:r>
      <w:r w:rsidR="00E12489" w:rsidRPr="00104227">
        <w:rPr>
          <w:lang w:val="en-US"/>
        </w:rPr>
        <w:t xml:space="preserve">411 </w:t>
      </w:r>
      <w:r w:rsidRPr="00104227">
        <w:rPr>
          <w:lang w:val="en-US"/>
        </w:rPr>
        <w:t>of the said</w:t>
      </w:r>
      <w:r w:rsidR="00E12489" w:rsidRPr="00104227">
        <w:rPr>
          <w:lang w:val="en-US"/>
        </w:rPr>
        <w:t xml:space="preserve"> </w:t>
      </w:r>
      <w:r w:rsidR="002826A6" w:rsidRPr="00104227">
        <w:rPr>
          <w:lang w:val="en-US"/>
        </w:rPr>
        <w:t>Merits Report</w:t>
      </w:r>
      <w:r w:rsidRPr="00104227">
        <w:rPr>
          <w:lang w:val="en-US"/>
        </w:rPr>
        <w:t>,</w:t>
      </w:r>
      <w:r w:rsidR="00E12489" w:rsidRPr="00104227">
        <w:rPr>
          <w:lang w:val="en-US"/>
        </w:rPr>
        <w:t>”</w:t>
      </w:r>
      <w:r w:rsidRPr="00104227">
        <w:rPr>
          <w:lang w:val="en-US"/>
        </w:rPr>
        <w:t xml:space="preserve"> </w:t>
      </w:r>
      <w:r w:rsidR="00B621AB" w:rsidRPr="00104227">
        <w:rPr>
          <w:lang w:val="en-US"/>
        </w:rPr>
        <w:t>insofar as</w:t>
      </w:r>
      <w:r w:rsidRPr="00104227">
        <w:rPr>
          <w:lang w:val="en-US"/>
        </w:rPr>
        <w:t>, following the “initial shortcomings” at the local leve</w:t>
      </w:r>
      <w:r w:rsidR="00B621AB" w:rsidRPr="00104227">
        <w:rPr>
          <w:lang w:val="en-US"/>
        </w:rPr>
        <w:t>l</w:t>
      </w:r>
      <w:r w:rsidRPr="00104227">
        <w:rPr>
          <w:lang w:val="en-US"/>
        </w:rPr>
        <w:t xml:space="preserve"> and, particularly, starting in September 2010 when the “Atenco Group” was created to investigate the facts of this case, the State ha</w:t>
      </w:r>
      <w:r w:rsidR="00B621AB" w:rsidRPr="00104227">
        <w:rPr>
          <w:lang w:val="en-US"/>
        </w:rPr>
        <w:t>d</w:t>
      </w:r>
      <w:r w:rsidRPr="00104227">
        <w:rPr>
          <w:lang w:val="en-US"/>
        </w:rPr>
        <w:t xml:space="preserve"> conducted its investigations diligently, seeking to eliminate the obstacles that were generated initially.</w:t>
      </w:r>
    </w:p>
    <w:p w14:paraId="703C6527" w14:textId="0B2630FD" w:rsidR="00E12489" w:rsidRPr="00104227" w:rsidRDefault="00E12489" w:rsidP="00E4619F">
      <w:pPr>
        <w:pStyle w:val="PrrafodeSentencia"/>
        <w:numPr>
          <w:ilvl w:val="0"/>
          <w:numId w:val="0"/>
        </w:numPr>
        <w:rPr>
          <w:lang w:val="en-US"/>
        </w:rPr>
      </w:pPr>
    </w:p>
    <w:p w14:paraId="58018BD7" w14:textId="7492DAF8" w:rsidR="00E12489" w:rsidRPr="00104227" w:rsidRDefault="00B36B3A" w:rsidP="00E4619F">
      <w:pPr>
        <w:pStyle w:val="Numberedparagraphs"/>
        <w:tabs>
          <w:tab w:val="left" w:pos="567"/>
        </w:tabs>
        <w:rPr>
          <w:b/>
          <w:lang w:val="en-US"/>
        </w:rPr>
      </w:pPr>
      <w:r w:rsidRPr="00104227">
        <w:rPr>
          <w:snapToGrid w:val="0"/>
          <w:lang w:val="en-US"/>
        </w:rPr>
        <w:t>Regarding the requests for reparation, as indicated in the chapter on the</w:t>
      </w:r>
      <w:r w:rsidR="00E12489" w:rsidRPr="00104227">
        <w:rPr>
          <w:snapToGrid w:val="0"/>
          <w:lang w:val="en-US"/>
        </w:rPr>
        <w:t xml:space="preserve"> </w:t>
      </w:r>
      <w:r w:rsidR="00AA3133" w:rsidRPr="00104227">
        <w:rPr>
          <w:snapToGrid w:val="0"/>
          <w:lang w:val="en-US"/>
        </w:rPr>
        <w:t>preliminary objection</w:t>
      </w:r>
      <w:r w:rsidR="00E12489" w:rsidRPr="00104227">
        <w:rPr>
          <w:snapToGrid w:val="0"/>
          <w:lang w:val="en-US"/>
        </w:rPr>
        <w:t xml:space="preserve">, </w:t>
      </w:r>
      <w:r w:rsidR="00AC3BFC" w:rsidRPr="00104227">
        <w:rPr>
          <w:snapToGrid w:val="0"/>
          <w:lang w:val="en-US"/>
        </w:rPr>
        <w:t>the State</w:t>
      </w:r>
      <w:r w:rsidR="00E12489" w:rsidRPr="00104227">
        <w:rPr>
          <w:snapToGrid w:val="0"/>
          <w:lang w:val="en-US"/>
        </w:rPr>
        <w:t xml:space="preserve"> </w:t>
      </w:r>
      <w:r w:rsidR="00E12489" w:rsidRPr="00104227">
        <w:rPr>
          <w:lang w:val="en-US"/>
        </w:rPr>
        <w:t>a</w:t>
      </w:r>
      <w:r w:rsidRPr="00104227">
        <w:rPr>
          <w:lang w:val="en-US"/>
        </w:rPr>
        <w:t xml:space="preserve">lleged that it had taken </w:t>
      </w:r>
      <w:r w:rsidR="00B621AB" w:rsidRPr="00104227">
        <w:rPr>
          <w:lang w:val="en-US"/>
        </w:rPr>
        <w:t>various</w:t>
      </w:r>
      <w:r w:rsidRPr="00104227">
        <w:rPr>
          <w:lang w:val="en-US"/>
        </w:rPr>
        <w:t xml:space="preserve"> actions aimed a</w:t>
      </w:r>
      <w:r w:rsidR="00B621AB" w:rsidRPr="00104227">
        <w:rPr>
          <w:lang w:val="en-US"/>
        </w:rPr>
        <w:t>t</w:t>
      </w:r>
      <w:r w:rsidRPr="00104227">
        <w:rPr>
          <w:lang w:val="en-US"/>
        </w:rPr>
        <w:t xml:space="preserve"> making full reparation to the victims. It therefore asked the Court that:</w:t>
      </w:r>
      <w:r w:rsidR="00B621AB" w:rsidRPr="00104227">
        <w:rPr>
          <w:lang w:val="en-US"/>
        </w:rPr>
        <w:t xml:space="preserve"> </w:t>
      </w:r>
      <w:r w:rsidR="00E12489" w:rsidRPr="00104227">
        <w:rPr>
          <w:lang w:val="en-US"/>
        </w:rPr>
        <w:t xml:space="preserve">“(a) </w:t>
      </w:r>
      <w:r w:rsidRPr="00104227">
        <w:rPr>
          <w:lang w:val="en-US"/>
        </w:rPr>
        <w:t xml:space="preserve">in light of the </w:t>
      </w:r>
      <w:r w:rsidR="001E2CED" w:rsidRPr="00104227">
        <w:rPr>
          <w:lang w:val="en-US"/>
        </w:rPr>
        <w:t>principle of complementarity</w:t>
      </w:r>
      <w:r w:rsidR="00E12489" w:rsidRPr="00104227">
        <w:rPr>
          <w:lang w:val="en-US"/>
        </w:rPr>
        <w:t xml:space="preserve">, […] </w:t>
      </w:r>
      <w:r w:rsidRPr="00104227">
        <w:rPr>
          <w:lang w:val="en-US"/>
        </w:rPr>
        <w:t xml:space="preserve">it consider the reparations already implemented by </w:t>
      </w:r>
      <w:r w:rsidR="00AC3BFC" w:rsidRPr="00104227">
        <w:rPr>
          <w:lang w:val="en-US"/>
        </w:rPr>
        <w:t>the State</w:t>
      </w:r>
      <w:r w:rsidR="00E12489" w:rsidRPr="00104227">
        <w:rPr>
          <w:lang w:val="en-US"/>
        </w:rPr>
        <w:t>; (b) [</w:t>
      </w:r>
      <w:r w:rsidRPr="00104227">
        <w:rPr>
          <w:lang w:val="en-US"/>
        </w:rPr>
        <w:t xml:space="preserve">that it consider] the measures taken by </w:t>
      </w:r>
      <w:r w:rsidR="00AC3BFC" w:rsidRPr="00104227">
        <w:rPr>
          <w:lang w:val="en-US"/>
        </w:rPr>
        <w:t>the Mexican State</w:t>
      </w:r>
      <w:r w:rsidR="00E12489" w:rsidRPr="00104227">
        <w:rPr>
          <w:lang w:val="en-US"/>
        </w:rPr>
        <w:t xml:space="preserve"> </w:t>
      </w:r>
      <w:r w:rsidRPr="00104227">
        <w:rPr>
          <w:lang w:val="en-US"/>
        </w:rPr>
        <w:t>to comply with the Commission’s</w:t>
      </w:r>
      <w:r w:rsidR="00E12489" w:rsidRPr="00104227">
        <w:rPr>
          <w:lang w:val="en-US"/>
        </w:rPr>
        <w:t xml:space="preserve"> </w:t>
      </w:r>
      <w:r w:rsidR="002826A6" w:rsidRPr="00104227">
        <w:rPr>
          <w:lang w:val="en-US"/>
        </w:rPr>
        <w:t>Merits Report</w:t>
      </w:r>
      <w:r w:rsidR="00BF5241" w:rsidRPr="00104227">
        <w:rPr>
          <w:lang w:val="en-US"/>
        </w:rPr>
        <w:t xml:space="preserve"> </w:t>
      </w:r>
      <w:r w:rsidR="00E12489" w:rsidRPr="00104227">
        <w:rPr>
          <w:lang w:val="en-US"/>
        </w:rPr>
        <w:t>[</w:t>
      </w:r>
      <w:r w:rsidRPr="00104227">
        <w:rPr>
          <w:lang w:val="en-US"/>
        </w:rPr>
        <w:t>…</w:t>
      </w:r>
      <w:r w:rsidR="00E12489" w:rsidRPr="00104227">
        <w:rPr>
          <w:lang w:val="en-US"/>
        </w:rPr>
        <w:t>];</w:t>
      </w:r>
      <w:r w:rsidR="00BF5241" w:rsidRPr="00104227">
        <w:rPr>
          <w:lang w:val="en-US"/>
        </w:rPr>
        <w:t xml:space="preserve"> and </w:t>
      </w:r>
      <w:r w:rsidR="00E12489" w:rsidRPr="00104227">
        <w:rPr>
          <w:lang w:val="en-US"/>
        </w:rPr>
        <w:t>(c) [</w:t>
      </w:r>
      <w:r w:rsidRPr="00104227">
        <w:rPr>
          <w:lang w:val="en-US"/>
        </w:rPr>
        <w:t>that it assess the fact that], given the measures of reparation already implemented in this case, the measures requested by the [victims’] representatives are not viable.</w:t>
      </w:r>
      <w:r w:rsidR="00E12489" w:rsidRPr="00104227">
        <w:rPr>
          <w:lang w:val="en-US"/>
        </w:rPr>
        <w:t>”</w:t>
      </w:r>
      <w:r w:rsidR="001F7CB0" w:rsidRPr="00104227">
        <w:rPr>
          <w:b/>
          <w:lang w:val="en-US"/>
        </w:rPr>
        <w:t xml:space="preserve"> </w:t>
      </w:r>
    </w:p>
    <w:p w14:paraId="4E5EAEEA" w14:textId="77777777" w:rsidR="00E12489" w:rsidRPr="00104227" w:rsidRDefault="00E12489" w:rsidP="00E4619F">
      <w:pPr>
        <w:tabs>
          <w:tab w:val="left" w:pos="567"/>
        </w:tabs>
        <w:rPr>
          <w:lang w:eastAsia="es-MX"/>
        </w:rPr>
      </w:pPr>
    </w:p>
    <w:p w14:paraId="216931DC" w14:textId="0A4AB4A8" w:rsidR="00E12489" w:rsidRPr="00104227" w:rsidRDefault="00BF5241" w:rsidP="00E4619F">
      <w:pPr>
        <w:pStyle w:val="Numberedparagraphs"/>
        <w:tabs>
          <w:tab w:val="left" w:pos="567"/>
        </w:tabs>
        <w:rPr>
          <w:lang w:val="en-US"/>
        </w:rPr>
      </w:pPr>
      <w:r w:rsidRPr="00104227">
        <w:rPr>
          <w:lang w:val="en-US"/>
        </w:rPr>
        <w:t xml:space="preserve">The </w:t>
      </w:r>
      <w:r w:rsidRPr="00104227">
        <w:rPr>
          <w:b/>
          <w:bCs/>
          <w:i/>
          <w:iCs/>
          <w:lang w:val="en-US"/>
        </w:rPr>
        <w:t>Commission</w:t>
      </w:r>
      <w:r w:rsidR="00E12489" w:rsidRPr="00104227">
        <w:rPr>
          <w:b/>
          <w:i/>
          <w:lang w:val="en-US"/>
        </w:rPr>
        <w:t xml:space="preserve"> </w:t>
      </w:r>
      <w:r w:rsidR="00B36B3A" w:rsidRPr="00104227">
        <w:rPr>
          <w:lang w:val="en-US"/>
        </w:rPr>
        <w:t xml:space="preserve">assessed the acknowledgment made by the State positively, but considered </w:t>
      </w:r>
      <w:r w:rsidR="00B621AB" w:rsidRPr="00104227">
        <w:rPr>
          <w:lang w:val="en-US"/>
        </w:rPr>
        <w:t>that it was only</w:t>
      </w:r>
      <w:r w:rsidR="00B36B3A" w:rsidRPr="00104227">
        <w:rPr>
          <w:lang w:val="en-US"/>
        </w:rPr>
        <w:t xml:space="preserve"> partial. It stressed that, the State had provided more information</w:t>
      </w:r>
      <w:r w:rsidR="00B621AB" w:rsidRPr="00104227">
        <w:rPr>
          <w:lang w:val="en-US"/>
        </w:rPr>
        <w:t xml:space="preserve"> to the Court than it had</w:t>
      </w:r>
      <w:r w:rsidR="00B36B3A" w:rsidRPr="00104227">
        <w:rPr>
          <w:lang w:val="en-US"/>
        </w:rPr>
        <w:t xml:space="preserve"> during the procedure before </w:t>
      </w:r>
      <w:r w:rsidR="00B621AB" w:rsidRPr="00104227">
        <w:rPr>
          <w:lang w:val="en-US"/>
        </w:rPr>
        <w:t>the Commission</w:t>
      </w:r>
      <w:r w:rsidR="00B36B3A" w:rsidRPr="00104227">
        <w:rPr>
          <w:lang w:val="en-US"/>
        </w:rPr>
        <w:t xml:space="preserve">. </w:t>
      </w:r>
      <w:r w:rsidR="00B621AB" w:rsidRPr="00104227">
        <w:rPr>
          <w:lang w:val="en-US"/>
        </w:rPr>
        <w:t>Nevertheless</w:t>
      </w:r>
      <w:r w:rsidR="00B36B3A" w:rsidRPr="00104227">
        <w:rPr>
          <w:lang w:val="en-US"/>
        </w:rPr>
        <w:t xml:space="preserve">, it considered that the </w:t>
      </w:r>
      <w:r w:rsidR="003F10B2" w:rsidRPr="00104227">
        <w:rPr>
          <w:lang w:val="en-US"/>
        </w:rPr>
        <w:t xml:space="preserve">State </w:t>
      </w:r>
      <w:r w:rsidR="00B36B3A" w:rsidRPr="00104227">
        <w:rPr>
          <w:lang w:val="en-US"/>
        </w:rPr>
        <w:t xml:space="preserve">had been ambiguous </w:t>
      </w:r>
      <w:r w:rsidR="00B621AB" w:rsidRPr="00104227">
        <w:rPr>
          <w:lang w:val="en-US"/>
        </w:rPr>
        <w:t>as regards</w:t>
      </w:r>
      <w:r w:rsidR="00B36B3A" w:rsidRPr="00104227">
        <w:rPr>
          <w:lang w:val="en-US"/>
        </w:rPr>
        <w:t xml:space="preserve"> the facts that it was actually acknowledging and that most of the violations </w:t>
      </w:r>
      <w:r w:rsidR="00B621AB" w:rsidRPr="00104227">
        <w:rPr>
          <w:lang w:val="en-US"/>
        </w:rPr>
        <w:t>arising</w:t>
      </w:r>
      <w:r w:rsidR="00B36B3A" w:rsidRPr="00104227">
        <w:rPr>
          <w:lang w:val="en-US"/>
        </w:rPr>
        <w:t xml:space="preserve"> from the domestic investigations and proceedings remained in dispute</w:t>
      </w:r>
      <w:r w:rsidR="00E12489" w:rsidRPr="00104227">
        <w:rPr>
          <w:lang w:val="en-US"/>
        </w:rPr>
        <w:t xml:space="preserve">. </w:t>
      </w:r>
    </w:p>
    <w:p w14:paraId="54745B42" w14:textId="77777777" w:rsidR="00B171E1" w:rsidRPr="00104227" w:rsidRDefault="00B171E1" w:rsidP="00E4619F">
      <w:pPr>
        <w:tabs>
          <w:tab w:val="left" w:pos="567"/>
        </w:tabs>
      </w:pPr>
    </w:p>
    <w:p w14:paraId="4BBB2964" w14:textId="79371958" w:rsidR="00FC3D77" w:rsidRPr="00104227" w:rsidRDefault="002826A6" w:rsidP="00E4619F">
      <w:pPr>
        <w:pStyle w:val="Numberedparagraphs"/>
        <w:tabs>
          <w:tab w:val="left" w:pos="567"/>
        </w:tabs>
        <w:rPr>
          <w:lang w:val="en-US"/>
        </w:rPr>
      </w:pPr>
      <w:r w:rsidRPr="00104227">
        <w:rPr>
          <w:lang w:val="en-US"/>
        </w:rPr>
        <w:t xml:space="preserve">The </w:t>
      </w:r>
      <w:r w:rsidRPr="00104227">
        <w:rPr>
          <w:b/>
          <w:bCs/>
          <w:i/>
          <w:iCs/>
          <w:lang w:val="en-US"/>
        </w:rPr>
        <w:t>representatives</w:t>
      </w:r>
      <w:r w:rsidR="00E12489" w:rsidRPr="00104227">
        <w:rPr>
          <w:lang w:val="en-US"/>
        </w:rPr>
        <w:t xml:space="preserve"> al</w:t>
      </w:r>
      <w:r w:rsidR="00FC3D77" w:rsidRPr="00104227">
        <w:rPr>
          <w:lang w:val="en-US"/>
        </w:rPr>
        <w:t>leged that, alt</w:t>
      </w:r>
      <w:r w:rsidR="00B621AB" w:rsidRPr="00104227">
        <w:rPr>
          <w:lang w:val="en-US"/>
        </w:rPr>
        <w:t>h</w:t>
      </w:r>
      <w:r w:rsidR="00FC3D77" w:rsidRPr="00104227">
        <w:rPr>
          <w:lang w:val="en-US"/>
        </w:rPr>
        <w:t xml:space="preserve">ough the </w:t>
      </w:r>
      <w:r w:rsidR="003F10B2" w:rsidRPr="00104227">
        <w:rPr>
          <w:lang w:val="en-US"/>
        </w:rPr>
        <w:t xml:space="preserve">State </w:t>
      </w:r>
      <w:r w:rsidR="00FC3D77" w:rsidRPr="00104227">
        <w:rPr>
          <w:lang w:val="en-US"/>
        </w:rPr>
        <w:t xml:space="preserve">had acknowledged the violation of all the articles and instruments cited, “it did so based on a different and much more limited factual framework than the facts determined by the Commission in the Merits Report and referred to [in their motions and pleadings brief].” They </w:t>
      </w:r>
      <w:r w:rsidR="00B621AB" w:rsidRPr="00104227">
        <w:rPr>
          <w:lang w:val="en-US"/>
        </w:rPr>
        <w:t>argue</w:t>
      </w:r>
      <w:r w:rsidR="00FC3D77" w:rsidRPr="00104227">
        <w:rPr>
          <w:lang w:val="en-US"/>
        </w:rPr>
        <w:t>d that there was no dispute regarding the fact that the State had violated all the rights that had been alleged</w:t>
      </w:r>
      <w:r w:rsidR="00B621AB" w:rsidRPr="00104227">
        <w:rPr>
          <w:lang w:val="en-US"/>
        </w:rPr>
        <w:t>; however,</w:t>
      </w:r>
      <w:r w:rsidR="00FC3D77" w:rsidRPr="00104227">
        <w:rPr>
          <w:lang w:val="en-US"/>
        </w:rPr>
        <w:t xml:space="preserve"> the dispute subsisted with regard to most of the facts, because the factual framework of th</w:t>
      </w:r>
      <w:r w:rsidR="00B621AB" w:rsidRPr="00104227">
        <w:rPr>
          <w:lang w:val="en-US"/>
        </w:rPr>
        <w:t>e</w:t>
      </w:r>
      <w:r w:rsidR="00FC3D77" w:rsidRPr="00104227">
        <w:rPr>
          <w:lang w:val="en-US"/>
        </w:rPr>
        <w:t xml:space="preserve"> case was not limited to the findings of the SCJN. Despite this, they </w:t>
      </w:r>
      <w:r w:rsidR="00B621AB" w:rsidRPr="00104227">
        <w:rPr>
          <w:lang w:val="en-US"/>
        </w:rPr>
        <w:t>emphasized</w:t>
      </w:r>
      <w:r w:rsidR="00FC3D77" w:rsidRPr="00104227">
        <w:rPr>
          <w:lang w:val="en-US"/>
        </w:rPr>
        <w:t xml:space="preserve"> that, by </w:t>
      </w:r>
      <w:r w:rsidR="00B621AB" w:rsidRPr="00104227">
        <w:rPr>
          <w:lang w:val="en-US"/>
        </w:rPr>
        <w:t>indicating</w:t>
      </w:r>
      <w:r w:rsidR="00FC3D77" w:rsidRPr="00104227">
        <w:rPr>
          <w:lang w:val="en-US"/>
        </w:rPr>
        <w:t xml:space="preserve"> that the facts documented by the SCJ</w:t>
      </w:r>
      <w:r w:rsidR="00B621AB" w:rsidRPr="00104227">
        <w:rPr>
          <w:lang w:val="en-US"/>
        </w:rPr>
        <w:t>N</w:t>
      </w:r>
      <w:r w:rsidR="00FC3D77" w:rsidRPr="00104227">
        <w:rPr>
          <w:lang w:val="en-US"/>
        </w:rPr>
        <w:t xml:space="preserve"> </w:t>
      </w:r>
      <w:r w:rsidR="00B621AB" w:rsidRPr="00104227">
        <w:rPr>
          <w:lang w:val="en-US"/>
        </w:rPr>
        <w:t>we</w:t>
      </w:r>
      <w:r w:rsidR="00FC3D77" w:rsidRPr="00104227">
        <w:rPr>
          <w:lang w:val="en-US"/>
        </w:rPr>
        <w:t>re true, the State was also acknowledging the facts</w:t>
      </w:r>
      <w:r w:rsidR="00B621AB" w:rsidRPr="00104227">
        <w:rPr>
          <w:lang w:val="en-US"/>
        </w:rPr>
        <w:t xml:space="preserve"> included in that decision</w:t>
      </w:r>
      <w:r w:rsidR="00FC3D77" w:rsidRPr="00104227">
        <w:rPr>
          <w:lang w:val="en-US"/>
        </w:rPr>
        <w:t xml:space="preserve"> that constituted human rights violations. They also </w:t>
      </w:r>
      <w:r w:rsidR="00B621AB" w:rsidRPr="00104227">
        <w:rPr>
          <w:lang w:val="en-US"/>
        </w:rPr>
        <w:t>stressed</w:t>
      </w:r>
      <w:r w:rsidR="00FC3D77" w:rsidRPr="00104227">
        <w:rPr>
          <w:lang w:val="en-US"/>
        </w:rPr>
        <w:t xml:space="preserve"> that since the dispute subsisted with regard to most of the facts described, the dispute also subsisted with regard to the nature and content of the human rights violations committed because, although the State had acknowledged all the articles violated, it had not acknowledged many of the facts that gave rise to the violations, or all the claims for reparation.</w:t>
      </w:r>
    </w:p>
    <w:p w14:paraId="35F6716F" w14:textId="77777777" w:rsidR="00E12489" w:rsidRPr="00104227" w:rsidRDefault="00E12489" w:rsidP="00E4619F">
      <w:pPr>
        <w:tabs>
          <w:tab w:val="left" w:pos="567"/>
        </w:tabs>
        <w:rPr>
          <w:lang w:eastAsia="es-MX"/>
        </w:rPr>
      </w:pPr>
    </w:p>
    <w:p w14:paraId="4A6A85DE" w14:textId="5A3A8ED0" w:rsidR="00E12489" w:rsidRPr="00104227" w:rsidRDefault="006E13F0" w:rsidP="00E4619F">
      <w:pPr>
        <w:pStyle w:val="Ttulo2"/>
        <w:ind w:left="990" w:hanging="270"/>
        <w:rPr>
          <w:lang w:val="en-US"/>
        </w:rPr>
      </w:pPr>
      <w:bookmarkStart w:id="103" w:name="_Toc31290551"/>
      <w:r w:rsidRPr="00104227">
        <w:rPr>
          <w:lang w:val="en-US"/>
        </w:rPr>
        <w:t>Considerations</w:t>
      </w:r>
      <w:r w:rsidR="00BF5241" w:rsidRPr="00104227">
        <w:rPr>
          <w:lang w:val="en-US"/>
        </w:rPr>
        <w:t xml:space="preserve"> of the Court</w:t>
      </w:r>
      <w:bookmarkEnd w:id="103"/>
    </w:p>
    <w:p w14:paraId="739E679E" w14:textId="77777777" w:rsidR="00E12489" w:rsidRPr="00104227" w:rsidRDefault="00E12489" w:rsidP="00E4619F">
      <w:pPr>
        <w:tabs>
          <w:tab w:val="left" w:pos="567"/>
        </w:tabs>
        <w:rPr>
          <w:spacing w:val="-4"/>
        </w:rPr>
      </w:pPr>
    </w:p>
    <w:p w14:paraId="1EFA0DAA" w14:textId="021103EA" w:rsidR="00E12489" w:rsidRPr="00104227" w:rsidRDefault="00FC3D77" w:rsidP="00B851FA">
      <w:pPr>
        <w:pStyle w:val="Numberedparagraphs"/>
        <w:tabs>
          <w:tab w:val="left" w:pos="567"/>
        </w:tabs>
        <w:rPr>
          <w:lang w:val="en-US"/>
        </w:rPr>
      </w:pPr>
      <w:bookmarkStart w:id="104" w:name="_Ref532986896"/>
      <w:r w:rsidRPr="00104227">
        <w:rPr>
          <w:lang w:val="en-US"/>
        </w:rPr>
        <w:lastRenderedPageBreak/>
        <w:t>Pursuant to</w:t>
      </w:r>
      <w:r w:rsidR="00E12489" w:rsidRPr="00104227">
        <w:rPr>
          <w:lang w:val="en-US"/>
        </w:rPr>
        <w:t xml:space="preserve"> </w:t>
      </w:r>
      <w:r w:rsidR="00BF5241" w:rsidRPr="00104227">
        <w:rPr>
          <w:lang w:val="en-US"/>
        </w:rPr>
        <w:t>Articles</w:t>
      </w:r>
      <w:r w:rsidR="00E12489" w:rsidRPr="00104227">
        <w:rPr>
          <w:lang w:val="en-US"/>
        </w:rPr>
        <w:t xml:space="preserve"> 62</w:t>
      </w:r>
      <w:r w:rsidR="00BF5241" w:rsidRPr="00104227">
        <w:rPr>
          <w:lang w:val="en-US"/>
        </w:rPr>
        <w:t xml:space="preserve"> and </w:t>
      </w:r>
      <w:r w:rsidR="00E12489" w:rsidRPr="00104227">
        <w:rPr>
          <w:lang w:val="en-US"/>
        </w:rPr>
        <w:t>64</w:t>
      </w:r>
      <w:r w:rsidR="00BF5241" w:rsidRPr="00104227">
        <w:rPr>
          <w:lang w:val="en-US"/>
        </w:rPr>
        <w:t xml:space="preserve"> of the Rules of Procedure</w:t>
      </w:r>
      <w:r w:rsidR="00E12489" w:rsidRPr="00104227">
        <w:rPr>
          <w:vertAlign w:val="superscript"/>
          <w:lang w:val="en-US"/>
        </w:rPr>
        <w:footnoteReference w:id="35"/>
      </w:r>
      <w:r w:rsidR="00BF5241" w:rsidRPr="00104227">
        <w:rPr>
          <w:lang w:val="en-US"/>
        </w:rPr>
        <w:t xml:space="preserve"> and </w:t>
      </w:r>
      <w:r w:rsidRPr="00104227">
        <w:rPr>
          <w:lang w:val="en-US"/>
        </w:rPr>
        <w:t>in exercise of its power</w:t>
      </w:r>
      <w:r w:rsidR="005D1EEE" w:rsidRPr="00104227">
        <w:rPr>
          <w:lang w:val="en-US"/>
        </w:rPr>
        <w:t>s</w:t>
      </w:r>
      <w:r w:rsidRPr="00104227">
        <w:rPr>
          <w:lang w:val="en-US"/>
        </w:rPr>
        <w:t xml:space="preserve"> </w:t>
      </w:r>
      <w:r w:rsidR="005D1EEE" w:rsidRPr="00104227">
        <w:rPr>
          <w:lang w:val="en-US"/>
        </w:rPr>
        <w:t>concerning</w:t>
      </w:r>
      <w:r w:rsidRPr="00104227">
        <w:rPr>
          <w:lang w:val="en-US"/>
        </w:rPr>
        <w:t xml:space="preserve"> the international judicial protection of human rights</w:t>
      </w:r>
      <w:r w:rsidR="00E12489" w:rsidRPr="00104227">
        <w:rPr>
          <w:lang w:val="en-US"/>
        </w:rPr>
        <w:t xml:space="preserve">, </w:t>
      </w:r>
      <w:r w:rsidR="00B851FA" w:rsidRPr="00104227">
        <w:rPr>
          <w:lang w:val="en-US"/>
        </w:rPr>
        <w:t>a matter of international public order, it is incumbent</w:t>
      </w:r>
      <w:r w:rsidR="005D1EEE" w:rsidRPr="00104227">
        <w:rPr>
          <w:lang w:val="en-US"/>
        </w:rPr>
        <w:t xml:space="preserve"> </w:t>
      </w:r>
      <w:r w:rsidR="00B851FA" w:rsidRPr="00104227">
        <w:rPr>
          <w:lang w:val="en-US"/>
        </w:rPr>
        <w:t>on this Court to ensure that acts of acknowledgement of responsibility are acceptable for the purposes sought by the inter-American system</w:t>
      </w:r>
      <w:r w:rsidR="00E12489" w:rsidRPr="00104227">
        <w:rPr>
          <w:lang w:val="en-US"/>
        </w:rPr>
        <w:t>.</w:t>
      </w:r>
      <w:r w:rsidR="00B851FA" w:rsidRPr="00104227">
        <w:rPr>
          <w:lang w:val="en-US"/>
        </w:rPr>
        <w:t xml:space="preserve"> This task is not limited to </w:t>
      </w:r>
      <w:r w:rsidR="005D1EEE" w:rsidRPr="00104227">
        <w:rPr>
          <w:lang w:val="en-US"/>
        </w:rPr>
        <w:t>observing</w:t>
      </w:r>
      <w:r w:rsidR="00B851FA" w:rsidRPr="00104227">
        <w:rPr>
          <w:lang w:val="en-US"/>
        </w:rPr>
        <w:t xml:space="preserve">, recording or taking note of the acknowledgment made, or its formal conditions; rather </w:t>
      </w:r>
      <w:r w:rsidR="005D1EEE" w:rsidRPr="00104227">
        <w:rPr>
          <w:lang w:val="en-US"/>
        </w:rPr>
        <w:t>the Court</w:t>
      </w:r>
      <w:r w:rsidR="00B851FA" w:rsidRPr="00104227">
        <w:rPr>
          <w:lang w:val="en-US"/>
        </w:rPr>
        <w:t xml:space="preserve"> must compare the</w:t>
      </w:r>
      <w:r w:rsidR="005D1EEE" w:rsidRPr="00104227">
        <w:rPr>
          <w:lang w:val="en-US"/>
        </w:rPr>
        <w:t>se</w:t>
      </w:r>
      <w:r w:rsidR="00B851FA" w:rsidRPr="00104227">
        <w:rPr>
          <w:lang w:val="en-US"/>
        </w:rPr>
        <w:t xml:space="preserve"> </w:t>
      </w:r>
      <w:r w:rsidR="005D1EEE" w:rsidRPr="00104227">
        <w:rPr>
          <w:lang w:val="en-US"/>
        </w:rPr>
        <w:t>with</w:t>
      </w:r>
      <w:r w:rsidR="00B851FA" w:rsidRPr="00104227">
        <w:rPr>
          <w:lang w:val="en-US"/>
        </w:rPr>
        <w:t xml:space="preserve"> the nature and gravity of the violations that have been alleged, the requirements and interest</w:t>
      </w:r>
      <w:r w:rsidR="005D1EEE" w:rsidRPr="00104227">
        <w:rPr>
          <w:lang w:val="en-US"/>
        </w:rPr>
        <w:t>s</w:t>
      </w:r>
      <w:r w:rsidR="00B851FA" w:rsidRPr="00104227">
        <w:rPr>
          <w:lang w:val="en-US"/>
        </w:rPr>
        <w:t xml:space="preserve"> of justice, the particular circumstances of the specific case, and the attitude and position of the parties,</w:t>
      </w:r>
      <w:r w:rsidR="00E12489" w:rsidRPr="00104227">
        <w:rPr>
          <w:vertAlign w:val="superscript"/>
          <w:lang w:val="en-US"/>
        </w:rPr>
        <w:footnoteReference w:id="36"/>
      </w:r>
      <w:r w:rsidR="00B851FA" w:rsidRPr="00104227">
        <w:rPr>
          <w:lang w:val="en-US"/>
        </w:rPr>
        <w:t xml:space="preserve"> so that it is able to clarify, insofar as possible and in the exercise of its jurisdiction, the judicial truth of the events.</w:t>
      </w:r>
      <w:r w:rsidR="00E12489" w:rsidRPr="00104227">
        <w:rPr>
          <w:vertAlign w:val="superscript"/>
          <w:lang w:val="en-US"/>
        </w:rPr>
        <w:footnoteReference w:id="37"/>
      </w:r>
      <w:r w:rsidR="00B851FA" w:rsidRPr="00104227">
        <w:rPr>
          <w:lang w:val="en-US"/>
        </w:rPr>
        <w:t xml:space="preserve"> Thus, the acknowledgement cannot have the consequence of limiting, either directly or indirectly, the exercise of the Court’s authority to hear the case that has been submitted to it</w:t>
      </w:r>
      <w:r w:rsidR="00E12489" w:rsidRPr="00104227">
        <w:rPr>
          <w:vertAlign w:val="superscript"/>
          <w:lang w:val="en-US"/>
        </w:rPr>
        <w:footnoteReference w:id="38"/>
      </w:r>
      <w:r w:rsidR="00BF5241" w:rsidRPr="00104227">
        <w:rPr>
          <w:lang w:val="en-US"/>
        </w:rPr>
        <w:t xml:space="preserve"> and </w:t>
      </w:r>
      <w:r w:rsidR="00B851FA" w:rsidRPr="00104227">
        <w:rPr>
          <w:lang w:val="en-US"/>
        </w:rPr>
        <w:t xml:space="preserve">to decide whether there has been a violation of a right or freedom protected by </w:t>
      </w:r>
      <w:r w:rsidR="00BF5241" w:rsidRPr="00104227">
        <w:rPr>
          <w:lang w:val="en-US"/>
        </w:rPr>
        <w:t>the Convention</w:t>
      </w:r>
      <w:r w:rsidR="00B851FA" w:rsidRPr="00104227">
        <w:rPr>
          <w:lang w:val="en-US"/>
        </w:rPr>
        <w:t>.</w:t>
      </w:r>
      <w:r w:rsidR="00E12489" w:rsidRPr="00104227">
        <w:rPr>
          <w:vertAlign w:val="superscript"/>
          <w:lang w:val="en-US"/>
        </w:rPr>
        <w:footnoteReference w:id="39"/>
      </w:r>
      <w:r w:rsidR="00B851FA" w:rsidRPr="00104227">
        <w:rPr>
          <w:lang w:val="en-US"/>
        </w:rPr>
        <w:t xml:space="preserve"> To this end, the Court</w:t>
      </w:r>
      <w:r w:rsidR="005D1EEE" w:rsidRPr="00104227">
        <w:rPr>
          <w:lang w:val="en-US"/>
        </w:rPr>
        <w:t xml:space="preserve"> </w:t>
      </w:r>
      <w:r w:rsidR="00B851FA" w:rsidRPr="00104227">
        <w:rPr>
          <w:lang w:val="en-US"/>
        </w:rPr>
        <w:t>analyze</w:t>
      </w:r>
      <w:r w:rsidR="005D1EEE" w:rsidRPr="00104227">
        <w:rPr>
          <w:lang w:val="en-US"/>
        </w:rPr>
        <w:t>s</w:t>
      </w:r>
      <w:r w:rsidR="00B851FA" w:rsidRPr="00104227">
        <w:rPr>
          <w:lang w:val="en-US"/>
        </w:rPr>
        <w:t xml:space="preserve"> the situation presented in each specific case.</w:t>
      </w:r>
      <w:r w:rsidR="00E12489" w:rsidRPr="00104227">
        <w:rPr>
          <w:vertAlign w:val="superscript"/>
          <w:lang w:val="en-US"/>
        </w:rPr>
        <w:footnoteReference w:id="40"/>
      </w:r>
      <w:bookmarkEnd w:id="104"/>
    </w:p>
    <w:p w14:paraId="79EAF092" w14:textId="77777777" w:rsidR="00E12489" w:rsidRPr="00104227" w:rsidRDefault="00E12489" w:rsidP="00E4619F">
      <w:pPr>
        <w:pStyle w:val="PrrafodeSentencia"/>
        <w:numPr>
          <w:ilvl w:val="0"/>
          <w:numId w:val="0"/>
        </w:numPr>
        <w:rPr>
          <w:lang w:val="en-US"/>
        </w:rPr>
      </w:pPr>
    </w:p>
    <w:p w14:paraId="451C0B9F" w14:textId="24244FBF" w:rsidR="00E12489" w:rsidRPr="00104227" w:rsidRDefault="00E12489" w:rsidP="00E4619F">
      <w:pPr>
        <w:pStyle w:val="Ttulo3"/>
        <w:tabs>
          <w:tab w:val="left" w:pos="567"/>
        </w:tabs>
        <w:rPr>
          <w:spacing w:val="-4"/>
          <w:lang w:val="en-US" w:eastAsia="es-MX"/>
        </w:rPr>
      </w:pPr>
      <w:bookmarkStart w:id="105" w:name="_Toc31290552"/>
      <w:r w:rsidRPr="00104227">
        <w:rPr>
          <w:spacing w:val="-4"/>
          <w:lang w:val="en-US" w:eastAsia="es-MX"/>
        </w:rPr>
        <w:t xml:space="preserve">B.1 </w:t>
      </w:r>
      <w:r w:rsidR="00B851FA" w:rsidRPr="00104227">
        <w:rPr>
          <w:spacing w:val="-4"/>
          <w:lang w:val="en-US" w:eastAsia="es-MX"/>
        </w:rPr>
        <w:t>Regarding the facts</w:t>
      </w:r>
      <w:bookmarkEnd w:id="105"/>
    </w:p>
    <w:p w14:paraId="5FF6B2E5" w14:textId="77777777" w:rsidR="00E12489" w:rsidRPr="00104227" w:rsidRDefault="00E12489" w:rsidP="00E4619F">
      <w:pPr>
        <w:tabs>
          <w:tab w:val="left" w:pos="567"/>
        </w:tabs>
        <w:rPr>
          <w:rFonts w:eastAsia="Batang" w:cs="Times New Roman"/>
          <w:spacing w:val="-4"/>
          <w:lang w:eastAsia="es-MX"/>
        </w:rPr>
      </w:pPr>
    </w:p>
    <w:p w14:paraId="1639D6C2" w14:textId="4F588B4F" w:rsidR="00E12489" w:rsidRPr="00104227" w:rsidRDefault="00BF5241" w:rsidP="00F12946">
      <w:pPr>
        <w:pStyle w:val="Numberedparagraphs"/>
        <w:tabs>
          <w:tab w:val="left" w:pos="567"/>
        </w:tabs>
        <w:rPr>
          <w:bCs/>
          <w:snapToGrid w:val="0"/>
          <w:lang w:val="en-US"/>
        </w:rPr>
      </w:pPr>
      <w:bookmarkStart w:id="106" w:name="_Ref531109775"/>
      <w:r w:rsidRPr="00104227">
        <w:rPr>
          <w:snapToGrid w:val="0"/>
          <w:lang w:val="en-US"/>
        </w:rPr>
        <w:t>The Court</w:t>
      </w:r>
      <w:r w:rsidR="00E12489" w:rsidRPr="00104227">
        <w:rPr>
          <w:snapToGrid w:val="0"/>
          <w:lang w:val="en-US"/>
        </w:rPr>
        <w:t xml:space="preserve"> </w:t>
      </w:r>
      <w:r w:rsidR="00F12946" w:rsidRPr="00104227">
        <w:rPr>
          <w:snapToGrid w:val="0"/>
          <w:lang w:val="en-US"/>
        </w:rPr>
        <w:t xml:space="preserve">notes that, in the instant case, the </w:t>
      </w:r>
      <w:r w:rsidR="003F10B2" w:rsidRPr="00104227">
        <w:rPr>
          <w:snapToGrid w:val="0"/>
          <w:lang w:val="en-US"/>
        </w:rPr>
        <w:t xml:space="preserve">State </w:t>
      </w:r>
      <w:r w:rsidR="00F12946" w:rsidRPr="00104227">
        <w:rPr>
          <w:snapToGrid w:val="0"/>
          <w:lang w:val="en-US"/>
        </w:rPr>
        <w:t xml:space="preserve">expressly acknowledged the facts described in </w:t>
      </w:r>
      <w:r w:rsidR="00DF5F3C" w:rsidRPr="00104227">
        <w:rPr>
          <w:snapToGrid w:val="0"/>
          <w:lang w:val="en-US"/>
        </w:rPr>
        <w:t>paragraphs</w:t>
      </w:r>
      <w:r w:rsidR="00E12489" w:rsidRPr="00104227">
        <w:rPr>
          <w:snapToGrid w:val="0"/>
          <w:lang w:val="en-US"/>
        </w:rPr>
        <w:t xml:space="preserve"> 112 </w:t>
      </w:r>
      <w:r w:rsidR="00F12946" w:rsidRPr="00104227">
        <w:rPr>
          <w:snapToGrid w:val="0"/>
          <w:lang w:val="en-US"/>
        </w:rPr>
        <w:t>to</w:t>
      </w:r>
      <w:r w:rsidR="00E12489" w:rsidRPr="00104227">
        <w:rPr>
          <w:snapToGrid w:val="0"/>
          <w:lang w:val="en-US"/>
        </w:rPr>
        <w:t xml:space="preserve"> 307 </w:t>
      </w:r>
      <w:r w:rsidR="00F12946" w:rsidRPr="00104227">
        <w:rPr>
          <w:snapToGrid w:val="0"/>
          <w:lang w:val="en-US"/>
        </w:rPr>
        <w:t>of the Commission’s</w:t>
      </w:r>
      <w:r w:rsidR="00E12489" w:rsidRPr="00104227">
        <w:rPr>
          <w:snapToGrid w:val="0"/>
          <w:lang w:val="en-US"/>
        </w:rPr>
        <w:t xml:space="preserve"> </w:t>
      </w:r>
      <w:r w:rsidR="002826A6" w:rsidRPr="00104227">
        <w:rPr>
          <w:snapToGrid w:val="0"/>
          <w:lang w:val="en-US"/>
        </w:rPr>
        <w:t>Merits Report</w:t>
      </w:r>
      <w:r w:rsidR="005D1EEE" w:rsidRPr="00104227">
        <w:rPr>
          <w:snapToGrid w:val="0"/>
          <w:lang w:val="en-US"/>
        </w:rPr>
        <w:t>, These</w:t>
      </w:r>
      <w:r w:rsidR="00F12946" w:rsidRPr="00104227">
        <w:rPr>
          <w:snapToGrid w:val="0"/>
          <w:lang w:val="en-US"/>
        </w:rPr>
        <w:t xml:space="preserve"> correspond to the individual </w:t>
      </w:r>
      <w:r w:rsidR="005D1EEE" w:rsidRPr="00104227">
        <w:rPr>
          <w:snapToGrid w:val="0"/>
          <w:lang w:val="en-US"/>
        </w:rPr>
        <w:t>f</w:t>
      </w:r>
      <w:r w:rsidR="00F12946" w:rsidRPr="00104227">
        <w:rPr>
          <w:snapToGrid w:val="0"/>
          <w:lang w:val="en-US"/>
        </w:rPr>
        <w:t>acts with regard to the eleven women presumed victims in this case</w:t>
      </w:r>
      <w:r w:rsidR="005D1EEE" w:rsidRPr="00104227">
        <w:rPr>
          <w:snapToGrid w:val="0"/>
          <w:lang w:val="en-US"/>
        </w:rPr>
        <w:t xml:space="preserve"> and to</w:t>
      </w:r>
      <w:r w:rsidR="00F12946" w:rsidRPr="00104227">
        <w:rPr>
          <w:snapToGrid w:val="0"/>
          <w:lang w:val="en-US"/>
        </w:rPr>
        <w:t xml:space="preserve"> their next of kin, and to the criminal proceedings related to the facts denounced in the case. Although the State added that it also acknowledged paragraphs </w:t>
      </w:r>
      <w:r w:rsidR="00F12946" w:rsidRPr="00104227">
        <w:rPr>
          <w:lang w:val="en-US"/>
        </w:rPr>
        <w:t>372 to 386 and 405, 406 and 411, th</w:t>
      </w:r>
      <w:r w:rsidR="005D1EEE" w:rsidRPr="00104227">
        <w:rPr>
          <w:lang w:val="en-US"/>
        </w:rPr>
        <w:t>e</w:t>
      </w:r>
      <w:r w:rsidR="00F12946" w:rsidRPr="00104227">
        <w:rPr>
          <w:lang w:val="en-US"/>
        </w:rPr>
        <w:t xml:space="preserve"> Court notes that those paragraphs do not correspond to the description of the facts of the case, but are transcriptions of a</w:t>
      </w:r>
      <w:r w:rsidRPr="00104227">
        <w:rPr>
          <w:lang w:val="en-US"/>
        </w:rPr>
        <w:t>rticle</w:t>
      </w:r>
      <w:r w:rsidR="00E12489" w:rsidRPr="00104227">
        <w:rPr>
          <w:lang w:val="en-US"/>
        </w:rPr>
        <w:t>s</w:t>
      </w:r>
      <w:r w:rsidRPr="00104227">
        <w:rPr>
          <w:lang w:val="en-US"/>
        </w:rPr>
        <w:t xml:space="preserve"> of the American Convention and </w:t>
      </w:r>
      <w:r w:rsidR="000A14CF" w:rsidRPr="00104227">
        <w:rPr>
          <w:lang w:val="en-US"/>
        </w:rPr>
        <w:t>establish</w:t>
      </w:r>
      <w:r w:rsidR="00F12946" w:rsidRPr="00104227">
        <w:rPr>
          <w:lang w:val="en-US"/>
        </w:rPr>
        <w:t xml:space="preserve"> standards </w:t>
      </w:r>
      <w:r w:rsidR="005D1EEE" w:rsidRPr="00104227">
        <w:rPr>
          <w:lang w:val="en-US"/>
        </w:rPr>
        <w:t>for</w:t>
      </w:r>
      <w:r w:rsidR="00F12946" w:rsidRPr="00104227">
        <w:rPr>
          <w:lang w:val="en-US"/>
        </w:rPr>
        <w:t xml:space="preserve"> the investigation of human rights violations</w:t>
      </w:r>
      <w:r w:rsidR="00E12489" w:rsidRPr="00104227">
        <w:rPr>
          <w:lang w:val="en-US"/>
        </w:rPr>
        <w:t>.</w:t>
      </w:r>
      <w:r w:rsidR="00E12489" w:rsidRPr="00104227">
        <w:rPr>
          <w:bCs/>
          <w:snapToGrid w:val="0"/>
          <w:lang w:val="en-US"/>
        </w:rPr>
        <w:t xml:space="preserve"> </w:t>
      </w:r>
      <w:r w:rsidR="00F12946" w:rsidRPr="00104227">
        <w:rPr>
          <w:snapToGrid w:val="0"/>
          <w:lang w:val="en-US"/>
        </w:rPr>
        <w:t>Consequently</w:t>
      </w:r>
      <w:r w:rsidR="00E12489" w:rsidRPr="00104227">
        <w:rPr>
          <w:snapToGrid w:val="0"/>
          <w:lang w:val="en-US"/>
        </w:rPr>
        <w:t xml:space="preserve">, </w:t>
      </w:r>
      <w:r w:rsidRPr="00104227">
        <w:rPr>
          <w:snapToGrid w:val="0"/>
          <w:lang w:val="en-US"/>
        </w:rPr>
        <w:t>the Court</w:t>
      </w:r>
      <w:r w:rsidR="00E12489" w:rsidRPr="00104227">
        <w:rPr>
          <w:snapToGrid w:val="0"/>
          <w:lang w:val="en-US"/>
        </w:rPr>
        <w:t xml:space="preserve"> </w:t>
      </w:r>
      <w:r w:rsidR="00F12946" w:rsidRPr="00104227">
        <w:rPr>
          <w:snapToGrid w:val="0"/>
          <w:lang w:val="en-US"/>
        </w:rPr>
        <w:t>understands that</w:t>
      </w:r>
      <w:r w:rsidR="00E12489" w:rsidRPr="00104227">
        <w:rPr>
          <w:snapToGrid w:val="0"/>
          <w:lang w:val="en-US"/>
        </w:rPr>
        <w:t xml:space="preserve"> </w:t>
      </w:r>
      <w:r w:rsidRPr="00104227">
        <w:rPr>
          <w:snapToGrid w:val="0"/>
          <w:lang w:val="en-US"/>
        </w:rPr>
        <w:t>Mexico</w:t>
      </w:r>
      <w:r w:rsidR="00E12489" w:rsidRPr="00104227">
        <w:rPr>
          <w:snapToGrid w:val="0"/>
          <w:lang w:val="en-US"/>
        </w:rPr>
        <w:t xml:space="preserve"> </w:t>
      </w:r>
      <w:r w:rsidR="00F12946" w:rsidRPr="00104227">
        <w:rPr>
          <w:snapToGrid w:val="0"/>
          <w:lang w:val="en-US"/>
        </w:rPr>
        <w:t xml:space="preserve">has </w:t>
      </w:r>
      <w:r w:rsidR="000A14CF" w:rsidRPr="00104227">
        <w:rPr>
          <w:snapToGrid w:val="0"/>
          <w:lang w:val="en-US"/>
        </w:rPr>
        <w:t>acknowledged</w:t>
      </w:r>
      <w:r w:rsidR="00E12489" w:rsidRPr="00104227">
        <w:rPr>
          <w:snapToGrid w:val="0"/>
          <w:lang w:val="en-US"/>
        </w:rPr>
        <w:t xml:space="preserve">: (i) </w:t>
      </w:r>
      <w:r w:rsidR="00F12946" w:rsidRPr="00104227">
        <w:rPr>
          <w:snapToGrid w:val="0"/>
          <w:lang w:val="en-US"/>
        </w:rPr>
        <w:t xml:space="preserve">the individual acts that befell </w:t>
      </w:r>
      <w:r w:rsidR="00E12489" w:rsidRPr="00104227">
        <w:rPr>
          <w:snapToGrid w:val="0"/>
          <w:lang w:val="en-US"/>
        </w:rPr>
        <w:t>Mariana Selvas Gómez, Georgina Edith Rosales Gutiérrez, María Patricia R</w:t>
      </w:r>
      <w:r w:rsidR="00A850C9" w:rsidRPr="00104227">
        <w:rPr>
          <w:snapToGrid w:val="0"/>
          <w:lang w:val="en-US"/>
        </w:rPr>
        <w:t>omero Hernández, Norma Aidé Jiménez Osorio, Claudia Hernández Martínez, Bá</w:t>
      </w:r>
      <w:r w:rsidR="00E12489" w:rsidRPr="00104227">
        <w:rPr>
          <w:snapToGrid w:val="0"/>
          <w:lang w:val="en-US"/>
        </w:rPr>
        <w:t>rbara Italia Méndez</w:t>
      </w:r>
      <w:r w:rsidR="00A850C9" w:rsidRPr="00104227">
        <w:rPr>
          <w:snapToGrid w:val="0"/>
          <w:lang w:val="en-US"/>
        </w:rPr>
        <w:t xml:space="preserve"> Moreno, Ana María Velasco Rodrí</w:t>
      </w:r>
      <w:r w:rsidR="00E12489" w:rsidRPr="00104227">
        <w:rPr>
          <w:snapToGrid w:val="0"/>
          <w:lang w:val="en-US"/>
        </w:rPr>
        <w:t xml:space="preserve">guez, Yolanda Muñoz Diosdada, </w:t>
      </w:r>
      <w:r w:rsidR="0053506B" w:rsidRPr="00104227">
        <w:rPr>
          <w:snapToGrid w:val="0"/>
          <w:lang w:val="en-US"/>
        </w:rPr>
        <w:t xml:space="preserve">María </w:t>
      </w:r>
      <w:r w:rsidR="00E12489" w:rsidRPr="00104227">
        <w:rPr>
          <w:snapToGrid w:val="0"/>
          <w:lang w:val="en-US"/>
        </w:rPr>
        <w:t xml:space="preserve">Cristina Sánchez Hernández, </w:t>
      </w:r>
      <w:r w:rsidR="0047539E" w:rsidRPr="00104227">
        <w:rPr>
          <w:snapToGrid w:val="0"/>
          <w:lang w:val="en-US"/>
        </w:rPr>
        <w:t>Angélica Patricia Torres</w:t>
      </w:r>
      <w:r w:rsidR="00E12489" w:rsidRPr="00104227">
        <w:rPr>
          <w:snapToGrid w:val="0"/>
          <w:lang w:val="en-US"/>
        </w:rPr>
        <w:t xml:space="preserve"> Linares</w:t>
      </w:r>
      <w:r w:rsidRPr="00104227">
        <w:rPr>
          <w:snapToGrid w:val="0"/>
          <w:lang w:val="en-US"/>
        </w:rPr>
        <w:t xml:space="preserve"> and </w:t>
      </w:r>
      <w:r w:rsidR="00E12489" w:rsidRPr="00104227">
        <w:rPr>
          <w:snapToGrid w:val="0"/>
          <w:lang w:val="en-US"/>
        </w:rPr>
        <w:t xml:space="preserve">Suhelen Gabriela Cuevas Jaramillo, </w:t>
      </w:r>
      <w:r w:rsidR="00F12946" w:rsidRPr="00104227">
        <w:rPr>
          <w:snapToGrid w:val="0"/>
          <w:lang w:val="en-US"/>
        </w:rPr>
        <w:lastRenderedPageBreak/>
        <w:t>described in</w:t>
      </w:r>
      <w:r w:rsidR="00E12489" w:rsidRPr="00104227">
        <w:rPr>
          <w:snapToGrid w:val="0"/>
          <w:lang w:val="en-US"/>
        </w:rPr>
        <w:t xml:space="preserve"> </w:t>
      </w:r>
      <w:r w:rsidR="00DF5F3C" w:rsidRPr="00104227">
        <w:rPr>
          <w:snapToGrid w:val="0"/>
          <w:lang w:val="en-US"/>
        </w:rPr>
        <w:t>paragraphs</w:t>
      </w:r>
      <w:r w:rsidR="00E12489" w:rsidRPr="00104227">
        <w:rPr>
          <w:snapToGrid w:val="0"/>
          <w:lang w:val="en-US"/>
        </w:rPr>
        <w:t xml:space="preserve"> 112 </w:t>
      </w:r>
      <w:r w:rsidR="00F12946" w:rsidRPr="00104227">
        <w:rPr>
          <w:snapToGrid w:val="0"/>
          <w:lang w:val="en-US"/>
        </w:rPr>
        <w:t>to</w:t>
      </w:r>
      <w:r w:rsidR="00E12489" w:rsidRPr="00104227">
        <w:rPr>
          <w:snapToGrid w:val="0"/>
          <w:lang w:val="en-US"/>
        </w:rPr>
        <w:t xml:space="preserve"> 246 </w:t>
      </w:r>
      <w:r w:rsidR="00F12946" w:rsidRPr="00104227">
        <w:rPr>
          <w:snapToGrid w:val="0"/>
          <w:lang w:val="en-US"/>
        </w:rPr>
        <w:t>of the Merits</w:t>
      </w:r>
      <w:r w:rsidR="002826A6" w:rsidRPr="00104227">
        <w:rPr>
          <w:snapToGrid w:val="0"/>
          <w:lang w:val="en-US"/>
        </w:rPr>
        <w:t xml:space="preserve"> Report</w:t>
      </w:r>
      <w:r w:rsidR="00E12489" w:rsidRPr="00104227">
        <w:rPr>
          <w:snapToGrid w:val="0"/>
          <w:lang w:val="en-US"/>
        </w:rPr>
        <w:t>,</w:t>
      </w:r>
      <w:r w:rsidRPr="00104227">
        <w:rPr>
          <w:snapToGrid w:val="0"/>
          <w:lang w:val="en-US"/>
        </w:rPr>
        <w:t xml:space="preserve"> and </w:t>
      </w:r>
      <w:r w:rsidR="00E12489" w:rsidRPr="00104227">
        <w:rPr>
          <w:lang w:val="en-US"/>
        </w:rPr>
        <w:t xml:space="preserve">(ii) </w:t>
      </w:r>
      <w:r w:rsidR="00F12946" w:rsidRPr="00104227">
        <w:rPr>
          <w:lang w:val="en-US"/>
        </w:rPr>
        <w:t xml:space="preserve">the facts relating to the investigations into the acts denounced in this case, including the investigations conducted by </w:t>
      </w:r>
      <w:r w:rsidRPr="00104227">
        <w:rPr>
          <w:lang w:val="en-US"/>
        </w:rPr>
        <w:t xml:space="preserve">the </w:t>
      </w:r>
      <w:r w:rsidR="00F12946" w:rsidRPr="00104227">
        <w:rPr>
          <w:lang w:val="en-US"/>
        </w:rPr>
        <w:t>National Human Rights Commission</w:t>
      </w:r>
      <w:r w:rsidR="002461C8" w:rsidRPr="00104227">
        <w:rPr>
          <w:lang w:val="en-US"/>
        </w:rPr>
        <w:t xml:space="preserve"> (hereinafter “the CNDH”)</w:t>
      </w:r>
      <w:r w:rsidR="00E12489" w:rsidRPr="00104227">
        <w:rPr>
          <w:lang w:val="en-US"/>
        </w:rPr>
        <w:t xml:space="preserve">, </w:t>
      </w:r>
      <w:r w:rsidR="00F12946" w:rsidRPr="00104227">
        <w:rPr>
          <w:lang w:val="en-US"/>
        </w:rPr>
        <w:t>by the</w:t>
      </w:r>
      <w:r w:rsidR="00E12489" w:rsidRPr="00104227">
        <w:rPr>
          <w:lang w:val="en-US"/>
        </w:rPr>
        <w:t xml:space="preserve"> </w:t>
      </w:r>
      <w:r w:rsidR="008E23FF" w:rsidRPr="00104227">
        <w:rPr>
          <w:lang w:val="en-US"/>
        </w:rPr>
        <w:t>SCJN</w:t>
      </w:r>
      <w:r w:rsidR="00F12946" w:rsidRPr="00104227">
        <w:rPr>
          <w:lang w:val="en-US"/>
        </w:rPr>
        <w:t xml:space="preserve">, </w:t>
      </w:r>
      <w:r w:rsidRPr="00104227">
        <w:rPr>
          <w:lang w:val="en-US"/>
        </w:rPr>
        <w:t xml:space="preserve">and </w:t>
      </w:r>
      <w:r w:rsidR="00F12946" w:rsidRPr="00104227">
        <w:rPr>
          <w:lang w:val="en-US"/>
        </w:rPr>
        <w:t xml:space="preserve">by the local and federal </w:t>
      </w:r>
      <w:r w:rsidR="005D1EEE" w:rsidRPr="00104227">
        <w:rPr>
          <w:lang w:val="en-US"/>
        </w:rPr>
        <w:t xml:space="preserve">penal </w:t>
      </w:r>
      <w:r w:rsidR="00F12946" w:rsidRPr="00104227">
        <w:rPr>
          <w:lang w:val="en-US"/>
        </w:rPr>
        <w:t>authorities</w:t>
      </w:r>
      <w:r w:rsidR="00E12489" w:rsidRPr="00104227">
        <w:rPr>
          <w:lang w:val="en-US"/>
        </w:rPr>
        <w:t xml:space="preserve">, </w:t>
      </w:r>
      <w:r w:rsidR="00F12946" w:rsidRPr="00104227">
        <w:rPr>
          <w:lang w:val="en-US"/>
        </w:rPr>
        <w:t>described in</w:t>
      </w:r>
      <w:r w:rsidR="00E12489" w:rsidRPr="00104227">
        <w:rPr>
          <w:lang w:val="en-US"/>
        </w:rPr>
        <w:t xml:space="preserve"> </w:t>
      </w:r>
      <w:r w:rsidR="00DF5F3C" w:rsidRPr="00104227">
        <w:rPr>
          <w:lang w:val="en-US"/>
        </w:rPr>
        <w:t>paragraphs</w:t>
      </w:r>
      <w:r w:rsidR="00E12489" w:rsidRPr="00104227">
        <w:rPr>
          <w:lang w:val="en-US"/>
        </w:rPr>
        <w:t xml:space="preserve"> 247 </w:t>
      </w:r>
      <w:r w:rsidR="00F12946" w:rsidRPr="00104227">
        <w:rPr>
          <w:lang w:val="en-US"/>
        </w:rPr>
        <w:t>to</w:t>
      </w:r>
      <w:r w:rsidR="00E12489" w:rsidRPr="00104227">
        <w:rPr>
          <w:lang w:val="en-US"/>
        </w:rPr>
        <w:t xml:space="preserve"> 307 </w:t>
      </w:r>
      <w:r w:rsidR="00F12946" w:rsidRPr="00104227">
        <w:rPr>
          <w:lang w:val="en-US"/>
        </w:rPr>
        <w:t>of the Merits</w:t>
      </w:r>
      <w:r w:rsidR="002826A6" w:rsidRPr="00104227">
        <w:rPr>
          <w:lang w:val="en-US"/>
        </w:rPr>
        <w:t xml:space="preserve"> Report</w:t>
      </w:r>
      <w:r w:rsidR="00E12489" w:rsidRPr="00104227">
        <w:rPr>
          <w:lang w:val="en-US"/>
        </w:rPr>
        <w:t xml:space="preserve">. </w:t>
      </w:r>
      <w:r w:rsidR="00F12946" w:rsidRPr="00104227">
        <w:rPr>
          <w:lang w:val="en-US"/>
        </w:rPr>
        <w:t xml:space="preserve">To the contrary, the dispute subsists with regard to the context in which these facts occurred; in other words, the general background, the operations of </w:t>
      </w:r>
      <w:r w:rsidR="00DF5F3C" w:rsidRPr="00104227">
        <w:rPr>
          <w:lang w:val="en-US"/>
        </w:rPr>
        <w:t>May 3 and 4,</w:t>
      </w:r>
      <w:r w:rsidR="00D161A5" w:rsidRPr="00104227">
        <w:rPr>
          <w:lang w:val="en-US"/>
        </w:rPr>
        <w:t xml:space="preserve"> 2006</w:t>
      </w:r>
      <w:r w:rsidR="00F12946" w:rsidRPr="00104227">
        <w:rPr>
          <w:lang w:val="en-US"/>
        </w:rPr>
        <w:t xml:space="preserve">, and the reports of </w:t>
      </w:r>
      <w:r w:rsidR="005D1EEE" w:rsidRPr="00104227">
        <w:rPr>
          <w:lang w:val="en-US"/>
        </w:rPr>
        <w:t xml:space="preserve">the </w:t>
      </w:r>
      <w:r w:rsidR="00F12946" w:rsidRPr="00104227">
        <w:rPr>
          <w:lang w:val="en-US"/>
        </w:rPr>
        <w:t>police abuse committed during those operations</w:t>
      </w:r>
      <w:r w:rsidR="00D161A5" w:rsidRPr="00104227">
        <w:rPr>
          <w:lang w:val="en-US"/>
        </w:rPr>
        <w:t>.</w:t>
      </w:r>
      <w:bookmarkEnd w:id="106"/>
      <w:r w:rsidR="00D161A5" w:rsidRPr="00104227">
        <w:rPr>
          <w:lang w:val="en-US"/>
        </w:rPr>
        <w:t xml:space="preserve"> </w:t>
      </w:r>
    </w:p>
    <w:p w14:paraId="43F0829B" w14:textId="77777777" w:rsidR="00E12489" w:rsidRPr="00104227" w:rsidRDefault="00E12489" w:rsidP="00E4619F">
      <w:pPr>
        <w:tabs>
          <w:tab w:val="left" w:pos="567"/>
        </w:tabs>
        <w:rPr>
          <w:lang w:eastAsia="es-MX"/>
        </w:rPr>
      </w:pPr>
    </w:p>
    <w:p w14:paraId="7CCF3BA3" w14:textId="769B13CB" w:rsidR="00E12489" w:rsidRPr="00104227" w:rsidRDefault="00E12489" w:rsidP="00E4619F">
      <w:pPr>
        <w:pStyle w:val="Ttulo3"/>
        <w:tabs>
          <w:tab w:val="left" w:pos="567"/>
        </w:tabs>
        <w:rPr>
          <w:lang w:val="en-US" w:eastAsia="es-MX"/>
        </w:rPr>
      </w:pPr>
      <w:bookmarkStart w:id="107" w:name="_Toc31290553"/>
      <w:r w:rsidRPr="00104227">
        <w:rPr>
          <w:lang w:val="en-US" w:eastAsia="es-MX"/>
        </w:rPr>
        <w:t xml:space="preserve">B.2 </w:t>
      </w:r>
      <w:r w:rsidR="00B851FA" w:rsidRPr="00104227">
        <w:rPr>
          <w:lang w:val="en-US" w:eastAsia="es-MX"/>
        </w:rPr>
        <w:t>Regarding the legal claims</w:t>
      </w:r>
      <w:bookmarkEnd w:id="107"/>
    </w:p>
    <w:p w14:paraId="352FD96C" w14:textId="77777777" w:rsidR="00E12489" w:rsidRPr="00104227" w:rsidRDefault="00E12489" w:rsidP="00E4619F">
      <w:pPr>
        <w:tabs>
          <w:tab w:val="left" w:pos="567"/>
        </w:tabs>
        <w:ind w:left="1051"/>
        <w:rPr>
          <w:b/>
          <w:lang w:eastAsia="es-MX"/>
        </w:rPr>
      </w:pPr>
    </w:p>
    <w:p w14:paraId="07B4CBCB" w14:textId="13F24A3A" w:rsidR="00E12489" w:rsidRPr="00104227" w:rsidRDefault="00BF5241" w:rsidP="00E4619F">
      <w:pPr>
        <w:pStyle w:val="Numberedparagraphs"/>
        <w:tabs>
          <w:tab w:val="left" w:pos="567"/>
        </w:tabs>
        <w:rPr>
          <w:lang w:val="en-US"/>
        </w:rPr>
      </w:pPr>
      <w:r w:rsidRPr="00104227">
        <w:rPr>
          <w:lang w:val="en-US"/>
        </w:rPr>
        <w:t>Mexico</w:t>
      </w:r>
      <w:r w:rsidR="00E12489" w:rsidRPr="00104227">
        <w:rPr>
          <w:lang w:val="en-US"/>
        </w:rPr>
        <w:t xml:space="preserve"> </w:t>
      </w:r>
      <w:r w:rsidR="00F12946" w:rsidRPr="00104227">
        <w:rPr>
          <w:lang w:val="en-US"/>
        </w:rPr>
        <w:t>acknowledged, clearly and expressly, its international responsibility for the violation of all the rights that were alleged, but not for all the reasons indicated by</w:t>
      </w:r>
      <w:r w:rsidR="00E12489" w:rsidRPr="00104227">
        <w:rPr>
          <w:lang w:val="en-US"/>
        </w:rPr>
        <w:t xml:space="preserve"> </w:t>
      </w:r>
      <w:r w:rsidRPr="00104227">
        <w:rPr>
          <w:lang w:val="en-US"/>
        </w:rPr>
        <w:t xml:space="preserve">the Commission and </w:t>
      </w:r>
      <w:r w:rsidR="002826A6" w:rsidRPr="00104227">
        <w:rPr>
          <w:lang w:val="en-US"/>
        </w:rPr>
        <w:t>the representatives</w:t>
      </w:r>
      <w:r w:rsidR="00E12489" w:rsidRPr="00104227">
        <w:rPr>
          <w:lang w:val="en-US"/>
        </w:rPr>
        <w:t xml:space="preserve"> </w:t>
      </w:r>
      <w:r w:rsidR="00F12946" w:rsidRPr="00104227">
        <w:rPr>
          <w:lang w:val="en-US"/>
        </w:rPr>
        <w:t xml:space="preserve">in this case. Consequently, </w:t>
      </w:r>
      <w:r w:rsidRPr="00104227">
        <w:rPr>
          <w:lang w:val="en-US"/>
        </w:rPr>
        <w:t>th</w:t>
      </w:r>
      <w:r w:rsidR="00F63786" w:rsidRPr="00104227">
        <w:rPr>
          <w:lang w:val="en-US"/>
        </w:rPr>
        <w:t>e</w:t>
      </w:r>
      <w:r w:rsidRPr="00104227">
        <w:rPr>
          <w:lang w:val="en-US"/>
        </w:rPr>
        <w:t xml:space="preserve"> Court</w:t>
      </w:r>
      <w:r w:rsidR="00E12489" w:rsidRPr="00104227">
        <w:rPr>
          <w:lang w:val="en-US"/>
        </w:rPr>
        <w:t xml:space="preserve"> consider</w:t>
      </w:r>
      <w:r w:rsidR="00F12946" w:rsidRPr="00104227">
        <w:rPr>
          <w:lang w:val="en-US"/>
        </w:rPr>
        <w:t>s that the dispute has ceased in relation to the violation of the rights of the eleven women to</w:t>
      </w:r>
      <w:r w:rsidR="00E12489" w:rsidRPr="00104227">
        <w:rPr>
          <w:lang w:val="en-US"/>
        </w:rPr>
        <w:t xml:space="preserve">: (i) </w:t>
      </w:r>
      <w:r w:rsidR="0094395C" w:rsidRPr="00104227">
        <w:rPr>
          <w:lang w:val="en-US"/>
        </w:rPr>
        <w:t>personal liberty</w:t>
      </w:r>
      <w:r w:rsidRPr="00104227">
        <w:rPr>
          <w:lang w:val="en-US"/>
        </w:rPr>
        <w:t xml:space="preserve"> and </w:t>
      </w:r>
      <w:r w:rsidR="0094395C" w:rsidRPr="00104227">
        <w:rPr>
          <w:lang w:val="en-US"/>
        </w:rPr>
        <w:t>judicial guarantees</w:t>
      </w:r>
      <w:r w:rsidR="00E12489" w:rsidRPr="00104227">
        <w:rPr>
          <w:lang w:val="en-US"/>
        </w:rPr>
        <w:t xml:space="preserve"> (</w:t>
      </w:r>
      <w:r w:rsidRPr="00104227">
        <w:rPr>
          <w:lang w:val="en-US"/>
        </w:rPr>
        <w:t>Article</w:t>
      </w:r>
      <w:r w:rsidR="00E12489" w:rsidRPr="00104227">
        <w:rPr>
          <w:lang w:val="en-US"/>
        </w:rPr>
        <w:t xml:space="preserve">s </w:t>
      </w:r>
      <w:r w:rsidR="00C2124F" w:rsidRPr="00104227">
        <w:rPr>
          <w:lang w:val="en-US"/>
        </w:rPr>
        <w:t>7(1)</w:t>
      </w:r>
      <w:r w:rsidR="00E12489" w:rsidRPr="00104227">
        <w:rPr>
          <w:lang w:val="en-US"/>
        </w:rPr>
        <w:t xml:space="preserve">, </w:t>
      </w:r>
      <w:r w:rsidR="00C2124F" w:rsidRPr="00104227">
        <w:rPr>
          <w:lang w:val="en-US"/>
        </w:rPr>
        <w:t>7(2)</w:t>
      </w:r>
      <w:r w:rsidR="00E12489" w:rsidRPr="00104227">
        <w:rPr>
          <w:lang w:val="en-US"/>
        </w:rPr>
        <w:t xml:space="preserve">, </w:t>
      </w:r>
      <w:r w:rsidR="00C2124F" w:rsidRPr="00104227">
        <w:rPr>
          <w:lang w:val="en-US"/>
        </w:rPr>
        <w:t>7(3)</w:t>
      </w:r>
      <w:r w:rsidR="00E12489" w:rsidRPr="00104227">
        <w:rPr>
          <w:lang w:val="en-US"/>
        </w:rPr>
        <w:t xml:space="preserve">, </w:t>
      </w:r>
      <w:r w:rsidR="00C2124F" w:rsidRPr="00104227">
        <w:rPr>
          <w:lang w:val="en-US"/>
        </w:rPr>
        <w:t>7(4)</w:t>
      </w:r>
      <w:r w:rsidR="00E12489" w:rsidRPr="00104227">
        <w:rPr>
          <w:lang w:val="en-US"/>
        </w:rPr>
        <w:t xml:space="preserve">, </w:t>
      </w:r>
      <w:r w:rsidR="00C2124F" w:rsidRPr="00104227">
        <w:rPr>
          <w:lang w:val="en-US"/>
        </w:rPr>
        <w:t>8(2)(b)</w:t>
      </w:r>
      <w:r w:rsidR="00E12489" w:rsidRPr="00104227">
        <w:rPr>
          <w:lang w:val="en-US"/>
        </w:rPr>
        <w:t xml:space="preserve">, </w:t>
      </w:r>
      <w:r w:rsidR="00C2124F" w:rsidRPr="00104227">
        <w:rPr>
          <w:lang w:val="en-US"/>
        </w:rPr>
        <w:t>8(2)(d)</w:t>
      </w:r>
      <w:r w:rsidRPr="00104227">
        <w:rPr>
          <w:lang w:val="en-US"/>
        </w:rPr>
        <w:t xml:space="preserve"> and </w:t>
      </w:r>
      <w:r w:rsidR="00C2124F" w:rsidRPr="00104227">
        <w:rPr>
          <w:lang w:val="en-US"/>
        </w:rPr>
        <w:t>8(2)(e)</w:t>
      </w:r>
      <w:r w:rsidRPr="00104227">
        <w:rPr>
          <w:lang w:val="en-US"/>
        </w:rPr>
        <w:t xml:space="preserve"> of the Convention</w:t>
      </w:r>
      <w:r w:rsidR="00E12489" w:rsidRPr="00104227">
        <w:rPr>
          <w:lang w:val="en-US"/>
        </w:rPr>
        <w:t xml:space="preserve">), </w:t>
      </w:r>
      <w:r w:rsidR="00F12946" w:rsidRPr="00104227">
        <w:rPr>
          <w:lang w:val="en-US"/>
        </w:rPr>
        <w:t xml:space="preserve">owing to the deprivation of liberty, the failure to notify the reasons for the detention and the </w:t>
      </w:r>
      <w:r w:rsidR="00F63786" w:rsidRPr="00104227">
        <w:rPr>
          <w:lang w:val="en-US"/>
        </w:rPr>
        <w:t>lack</w:t>
      </w:r>
      <w:r w:rsidR="00F12946" w:rsidRPr="00104227">
        <w:rPr>
          <w:lang w:val="en-US"/>
        </w:rPr>
        <w:t xml:space="preserve"> of adequate defense counsel; </w:t>
      </w:r>
      <w:r w:rsidR="00E12489" w:rsidRPr="00104227">
        <w:rPr>
          <w:lang w:val="en-US"/>
        </w:rPr>
        <w:t xml:space="preserve">(ii) </w:t>
      </w:r>
      <w:r w:rsidR="0094395C" w:rsidRPr="00104227">
        <w:rPr>
          <w:lang w:val="en-US"/>
        </w:rPr>
        <w:t>personal integrity</w:t>
      </w:r>
      <w:r w:rsidR="00E12489" w:rsidRPr="00104227">
        <w:rPr>
          <w:lang w:val="en-US"/>
        </w:rPr>
        <w:t xml:space="preserve">, </w:t>
      </w:r>
      <w:r w:rsidR="00F12946" w:rsidRPr="00104227">
        <w:rPr>
          <w:lang w:val="en-US"/>
        </w:rPr>
        <w:t>privacy, the principle of equality, and the prohibition of discrimination and torture</w:t>
      </w:r>
      <w:r w:rsidR="00E12489" w:rsidRPr="00104227">
        <w:rPr>
          <w:lang w:val="en-US"/>
        </w:rPr>
        <w:t xml:space="preserve"> (</w:t>
      </w:r>
      <w:r w:rsidRPr="00104227">
        <w:rPr>
          <w:lang w:val="en-US"/>
        </w:rPr>
        <w:t>Article</w:t>
      </w:r>
      <w:r w:rsidR="00E12489" w:rsidRPr="00104227">
        <w:rPr>
          <w:lang w:val="en-US"/>
        </w:rPr>
        <w:t xml:space="preserve">s </w:t>
      </w:r>
      <w:r w:rsidR="0094395C" w:rsidRPr="00104227">
        <w:rPr>
          <w:lang w:val="en-US"/>
        </w:rPr>
        <w:t>5(1)</w:t>
      </w:r>
      <w:r w:rsidR="00E12489" w:rsidRPr="00104227">
        <w:rPr>
          <w:lang w:val="en-US"/>
        </w:rPr>
        <w:t xml:space="preserve">, </w:t>
      </w:r>
      <w:r w:rsidR="0094395C" w:rsidRPr="00104227">
        <w:rPr>
          <w:lang w:val="en-US"/>
        </w:rPr>
        <w:t>5(2)</w:t>
      </w:r>
      <w:r w:rsidR="00E12489" w:rsidRPr="00104227">
        <w:rPr>
          <w:lang w:val="en-US"/>
        </w:rPr>
        <w:t>, 11, 24</w:t>
      </w:r>
      <w:r w:rsidRPr="00104227">
        <w:rPr>
          <w:lang w:val="en-US"/>
        </w:rPr>
        <w:t xml:space="preserve"> and </w:t>
      </w:r>
      <w:r w:rsidR="00DF5F3C" w:rsidRPr="00104227">
        <w:rPr>
          <w:lang w:val="en-US"/>
        </w:rPr>
        <w:t>1(1) of the</w:t>
      </w:r>
      <w:r w:rsidR="00F63786" w:rsidRPr="00104227">
        <w:rPr>
          <w:lang w:val="en-US"/>
        </w:rPr>
        <w:t xml:space="preserve"> American</w:t>
      </w:r>
      <w:r w:rsidRPr="00104227">
        <w:rPr>
          <w:lang w:val="en-US"/>
        </w:rPr>
        <w:t xml:space="preserve"> Conventio</w:t>
      </w:r>
      <w:r w:rsidR="00F63786" w:rsidRPr="00104227">
        <w:rPr>
          <w:lang w:val="en-US"/>
        </w:rPr>
        <w:t>n,</w:t>
      </w:r>
      <w:r w:rsidRPr="00104227">
        <w:rPr>
          <w:lang w:val="en-US"/>
        </w:rPr>
        <w:t xml:space="preserve"> </w:t>
      </w:r>
      <w:r w:rsidR="00E12489" w:rsidRPr="00104227">
        <w:rPr>
          <w:lang w:val="en-US"/>
        </w:rPr>
        <w:t>1</w:t>
      </w:r>
      <w:r w:rsidRPr="00104227">
        <w:rPr>
          <w:lang w:val="en-US"/>
        </w:rPr>
        <w:t xml:space="preserve"> and </w:t>
      </w:r>
      <w:r w:rsidR="00E12489" w:rsidRPr="00104227">
        <w:rPr>
          <w:lang w:val="en-US"/>
        </w:rPr>
        <w:t>6</w:t>
      </w:r>
      <w:r w:rsidRPr="00104227">
        <w:rPr>
          <w:lang w:val="en-US"/>
        </w:rPr>
        <w:t xml:space="preserve"> of the </w:t>
      </w:r>
      <w:r w:rsidR="007E2382" w:rsidRPr="00104227">
        <w:rPr>
          <w:lang w:val="en-US"/>
        </w:rPr>
        <w:t>Inter-American Convention against Torture</w:t>
      </w:r>
      <w:r w:rsidR="00F63786" w:rsidRPr="00104227">
        <w:rPr>
          <w:lang w:val="en-US"/>
        </w:rPr>
        <w:t>,</w:t>
      </w:r>
      <w:r w:rsidRPr="00104227">
        <w:rPr>
          <w:lang w:val="en-US"/>
        </w:rPr>
        <w:t xml:space="preserve"> and </w:t>
      </w:r>
      <w:r w:rsidR="00E12489" w:rsidRPr="00104227">
        <w:rPr>
          <w:lang w:val="en-US"/>
        </w:rPr>
        <w:t>7</w:t>
      </w:r>
      <w:r w:rsidRPr="00104227">
        <w:rPr>
          <w:lang w:val="en-US"/>
        </w:rPr>
        <w:t xml:space="preserve"> of the Convention</w:t>
      </w:r>
      <w:r w:rsidR="00E12489" w:rsidRPr="00104227">
        <w:rPr>
          <w:lang w:val="en-US"/>
        </w:rPr>
        <w:t xml:space="preserve"> </w:t>
      </w:r>
      <w:r w:rsidR="0094395C" w:rsidRPr="00104227">
        <w:rPr>
          <w:lang w:val="en-US"/>
        </w:rPr>
        <w:t>of Belém</w:t>
      </w:r>
      <w:r w:rsidR="00E12489" w:rsidRPr="00104227">
        <w:rPr>
          <w:lang w:val="en-US"/>
        </w:rPr>
        <w:t xml:space="preserve"> do Pará), </w:t>
      </w:r>
      <w:r w:rsidR="00F12946" w:rsidRPr="00104227">
        <w:rPr>
          <w:lang w:val="en-US"/>
        </w:rPr>
        <w:t xml:space="preserve">owing to the physical, psychological and sexual </w:t>
      </w:r>
      <w:r w:rsidR="00F63786" w:rsidRPr="00104227">
        <w:rPr>
          <w:lang w:val="en-US"/>
        </w:rPr>
        <w:t>abuse</w:t>
      </w:r>
      <w:r w:rsidR="00F12946" w:rsidRPr="00104227">
        <w:rPr>
          <w:lang w:val="en-US"/>
        </w:rPr>
        <w:t>, including acts of torture, suffered by the eleven women victims in this case, as well as the lack of adequate medical care and the effects on their health</w:t>
      </w:r>
      <w:r w:rsidR="00E12489" w:rsidRPr="00104227">
        <w:rPr>
          <w:lang w:val="en-US"/>
        </w:rPr>
        <w:t xml:space="preserve">; (iii) </w:t>
      </w:r>
      <w:r w:rsidR="0094395C" w:rsidRPr="00104227">
        <w:rPr>
          <w:lang w:val="en-US"/>
        </w:rPr>
        <w:t>judicial guarantees</w:t>
      </w:r>
      <w:r w:rsidR="00F63786" w:rsidRPr="00104227">
        <w:rPr>
          <w:lang w:val="en-US"/>
        </w:rPr>
        <w:t>,</w:t>
      </w:r>
      <w:r w:rsidRPr="00104227">
        <w:rPr>
          <w:lang w:val="en-US"/>
        </w:rPr>
        <w:t xml:space="preserve"> </w:t>
      </w:r>
      <w:r w:rsidR="00E466FA" w:rsidRPr="00104227">
        <w:rPr>
          <w:lang w:val="en-US"/>
        </w:rPr>
        <w:t>judicial protection</w:t>
      </w:r>
      <w:r w:rsidR="00E12489" w:rsidRPr="00104227">
        <w:rPr>
          <w:lang w:val="en-US"/>
        </w:rPr>
        <w:t xml:space="preserve"> </w:t>
      </w:r>
      <w:r w:rsidR="00E466FA" w:rsidRPr="00104227">
        <w:rPr>
          <w:lang w:val="en-US"/>
        </w:rPr>
        <w:t>and equality before the law</w:t>
      </w:r>
      <w:r w:rsidR="00E12489" w:rsidRPr="00104227">
        <w:rPr>
          <w:lang w:val="en-US"/>
        </w:rPr>
        <w:t xml:space="preserve"> (</w:t>
      </w:r>
      <w:r w:rsidRPr="00104227">
        <w:rPr>
          <w:lang w:val="en-US"/>
        </w:rPr>
        <w:t>Article</w:t>
      </w:r>
      <w:r w:rsidR="00E12489" w:rsidRPr="00104227">
        <w:rPr>
          <w:lang w:val="en-US"/>
        </w:rPr>
        <w:t>s 8, 24</w:t>
      </w:r>
      <w:r w:rsidRPr="00104227">
        <w:rPr>
          <w:lang w:val="en-US"/>
        </w:rPr>
        <w:t xml:space="preserve"> and </w:t>
      </w:r>
      <w:r w:rsidR="00E12489" w:rsidRPr="00104227">
        <w:rPr>
          <w:lang w:val="en-US"/>
        </w:rPr>
        <w:t>25</w:t>
      </w:r>
      <w:r w:rsidRPr="00104227">
        <w:rPr>
          <w:lang w:val="en-US"/>
        </w:rPr>
        <w:t xml:space="preserve"> of the Convention</w:t>
      </w:r>
      <w:r w:rsidR="00E12489" w:rsidRPr="00104227">
        <w:rPr>
          <w:lang w:val="en-US"/>
        </w:rPr>
        <w:t>)</w:t>
      </w:r>
      <w:r w:rsidRPr="00104227">
        <w:rPr>
          <w:lang w:val="en-US"/>
        </w:rPr>
        <w:t xml:space="preserve"> and </w:t>
      </w:r>
      <w:r w:rsidR="00F12946" w:rsidRPr="00104227">
        <w:rPr>
          <w:lang w:val="en-US"/>
        </w:rPr>
        <w:t xml:space="preserve">the obligation to investigate acts of torture and violence against women </w:t>
      </w:r>
      <w:r w:rsidR="00E12489" w:rsidRPr="00104227">
        <w:rPr>
          <w:lang w:val="en-US"/>
        </w:rPr>
        <w:t>(</w:t>
      </w:r>
      <w:r w:rsidRPr="00104227">
        <w:rPr>
          <w:lang w:val="en-US"/>
        </w:rPr>
        <w:t>Article</w:t>
      </w:r>
      <w:r w:rsidR="00E12489" w:rsidRPr="00104227">
        <w:rPr>
          <w:lang w:val="en-US"/>
        </w:rPr>
        <w:t>s 1, 6</w:t>
      </w:r>
      <w:r w:rsidRPr="00104227">
        <w:rPr>
          <w:lang w:val="en-US"/>
        </w:rPr>
        <w:t xml:space="preserve"> and </w:t>
      </w:r>
      <w:r w:rsidR="00E12489" w:rsidRPr="00104227">
        <w:rPr>
          <w:lang w:val="en-US"/>
        </w:rPr>
        <w:t>8</w:t>
      </w:r>
      <w:r w:rsidRPr="00104227">
        <w:rPr>
          <w:lang w:val="en-US"/>
        </w:rPr>
        <w:t xml:space="preserve"> of the </w:t>
      </w:r>
      <w:r w:rsidR="007E2382" w:rsidRPr="00104227">
        <w:rPr>
          <w:lang w:val="en-US"/>
        </w:rPr>
        <w:t>Inter-American Convention against Torture</w:t>
      </w:r>
      <w:r w:rsidRPr="00104227">
        <w:rPr>
          <w:lang w:val="en-US"/>
        </w:rPr>
        <w:t xml:space="preserve"> and </w:t>
      </w:r>
      <w:r w:rsidR="00E12489" w:rsidRPr="00104227">
        <w:rPr>
          <w:lang w:val="en-US"/>
        </w:rPr>
        <w:t>7</w:t>
      </w:r>
      <w:r w:rsidRPr="00104227">
        <w:rPr>
          <w:lang w:val="en-US"/>
        </w:rPr>
        <w:t xml:space="preserve"> of the Convention</w:t>
      </w:r>
      <w:r w:rsidR="00FC1AC7" w:rsidRPr="00104227">
        <w:rPr>
          <w:lang w:val="en-US"/>
        </w:rPr>
        <w:t xml:space="preserve"> </w:t>
      </w:r>
      <w:r w:rsidR="0094395C" w:rsidRPr="00104227">
        <w:rPr>
          <w:lang w:val="en-US"/>
        </w:rPr>
        <w:t>of Belém</w:t>
      </w:r>
      <w:r w:rsidR="00E12489" w:rsidRPr="00104227">
        <w:rPr>
          <w:lang w:val="en-US"/>
        </w:rPr>
        <w:t xml:space="preserve"> do Pará), </w:t>
      </w:r>
      <w:r w:rsidR="00F12946" w:rsidRPr="00104227">
        <w:rPr>
          <w:lang w:val="en-US"/>
        </w:rPr>
        <w:t xml:space="preserve">owing to the initial failure to investigate the facts </w:t>
      </w:r>
      <w:r w:rsidR="00E12489" w:rsidRPr="00104227">
        <w:rPr>
          <w:i/>
          <w:lang w:val="en-US"/>
        </w:rPr>
        <w:t>ex officio</w:t>
      </w:r>
      <w:r w:rsidR="00E12489" w:rsidRPr="00104227">
        <w:rPr>
          <w:lang w:val="en-US"/>
        </w:rPr>
        <w:t xml:space="preserve"> </w:t>
      </w:r>
      <w:r w:rsidRPr="00104227">
        <w:rPr>
          <w:lang w:val="en-US"/>
        </w:rPr>
        <w:t xml:space="preserve">and </w:t>
      </w:r>
      <w:r w:rsidR="00F12946" w:rsidRPr="00104227">
        <w:rPr>
          <w:lang w:val="en-US"/>
        </w:rPr>
        <w:t xml:space="preserve">the </w:t>
      </w:r>
      <w:r w:rsidR="00F63786" w:rsidRPr="00104227">
        <w:rPr>
          <w:lang w:val="en-US"/>
        </w:rPr>
        <w:t xml:space="preserve">inaccurate classification </w:t>
      </w:r>
      <w:r w:rsidR="00F12946" w:rsidRPr="00104227">
        <w:rPr>
          <w:lang w:val="en-US"/>
        </w:rPr>
        <w:t xml:space="preserve">of the offenses made initially, </w:t>
      </w:r>
      <w:r w:rsidRPr="00104227">
        <w:rPr>
          <w:lang w:val="en-US"/>
        </w:rPr>
        <w:t xml:space="preserve">and </w:t>
      </w:r>
      <w:r w:rsidR="00E12489" w:rsidRPr="00104227">
        <w:rPr>
          <w:lang w:val="en-US"/>
        </w:rPr>
        <w:t xml:space="preserve">(iv) </w:t>
      </w:r>
      <w:r w:rsidR="00F12946" w:rsidRPr="00104227">
        <w:rPr>
          <w:lang w:val="en-US"/>
        </w:rPr>
        <w:t>the obligation to adopt domestic legal provisions</w:t>
      </w:r>
      <w:r w:rsidR="00E12489" w:rsidRPr="00104227">
        <w:rPr>
          <w:lang w:val="en-US"/>
        </w:rPr>
        <w:t xml:space="preserve"> (</w:t>
      </w:r>
      <w:r w:rsidRPr="00104227">
        <w:rPr>
          <w:lang w:val="en-US"/>
        </w:rPr>
        <w:t>Article</w:t>
      </w:r>
      <w:r w:rsidR="00E12489" w:rsidRPr="00104227">
        <w:rPr>
          <w:lang w:val="en-US"/>
        </w:rPr>
        <w:t xml:space="preserve"> 2</w:t>
      </w:r>
      <w:r w:rsidRPr="00104227">
        <w:rPr>
          <w:lang w:val="en-US"/>
        </w:rPr>
        <w:t xml:space="preserve"> of the </w:t>
      </w:r>
      <w:r w:rsidR="00F63786" w:rsidRPr="00104227">
        <w:rPr>
          <w:lang w:val="en-US"/>
        </w:rPr>
        <w:t xml:space="preserve">American </w:t>
      </w:r>
      <w:r w:rsidRPr="00104227">
        <w:rPr>
          <w:lang w:val="en-US"/>
        </w:rPr>
        <w:t>Convention</w:t>
      </w:r>
      <w:r w:rsidR="00E12489" w:rsidRPr="00104227">
        <w:rPr>
          <w:lang w:val="en-US"/>
        </w:rPr>
        <w:t>, 1, 6</w:t>
      </w:r>
      <w:r w:rsidRPr="00104227">
        <w:rPr>
          <w:lang w:val="en-US"/>
        </w:rPr>
        <w:t xml:space="preserve"> and </w:t>
      </w:r>
      <w:r w:rsidR="00E12489" w:rsidRPr="00104227">
        <w:rPr>
          <w:lang w:val="en-US"/>
        </w:rPr>
        <w:t>8</w:t>
      </w:r>
      <w:r w:rsidRPr="00104227">
        <w:rPr>
          <w:lang w:val="en-US"/>
        </w:rPr>
        <w:t xml:space="preserve"> of the </w:t>
      </w:r>
      <w:r w:rsidR="007E2382" w:rsidRPr="00104227">
        <w:rPr>
          <w:lang w:val="en-US"/>
        </w:rPr>
        <w:t>Inter-American Convention against Torture</w:t>
      </w:r>
      <w:r w:rsidR="00F63786" w:rsidRPr="00104227">
        <w:rPr>
          <w:lang w:val="en-US"/>
        </w:rPr>
        <w:t>,</w:t>
      </w:r>
      <w:r w:rsidRPr="00104227">
        <w:rPr>
          <w:lang w:val="en-US"/>
        </w:rPr>
        <w:t xml:space="preserve"> and </w:t>
      </w:r>
      <w:r w:rsidR="00E12489" w:rsidRPr="00104227">
        <w:rPr>
          <w:lang w:val="en-US"/>
        </w:rPr>
        <w:t>7</w:t>
      </w:r>
      <w:r w:rsidR="00F12946" w:rsidRPr="00104227">
        <w:rPr>
          <w:lang w:val="en-US"/>
        </w:rPr>
        <w:t>(</w:t>
      </w:r>
      <w:r w:rsidR="00E12489" w:rsidRPr="00104227">
        <w:rPr>
          <w:lang w:val="en-US"/>
        </w:rPr>
        <w:t xml:space="preserve">c), </w:t>
      </w:r>
      <w:r w:rsidR="00F12946" w:rsidRPr="00104227">
        <w:rPr>
          <w:lang w:val="en-US"/>
        </w:rPr>
        <w:t>(</w:t>
      </w:r>
      <w:r w:rsidR="00E12489" w:rsidRPr="00104227">
        <w:rPr>
          <w:lang w:val="en-US"/>
        </w:rPr>
        <w:t>e)</w:t>
      </w:r>
      <w:r w:rsidRPr="00104227">
        <w:rPr>
          <w:lang w:val="en-US"/>
        </w:rPr>
        <w:t xml:space="preserve"> and </w:t>
      </w:r>
      <w:r w:rsidR="00F12946" w:rsidRPr="00104227">
        <w:rPr>
          <w:lang w:val="en-US"/>
        </w:rPr>
        <w:t>(</w:t>
      </w:r>
      <w:r w:rsidR="00E12489" w:rsidRPr="00104227">
        <w:rPr>
          <w:lang w:val="en-US"/>
        </w:rPr>
        <w:t>h)</w:t>
      </w:r>
      <w:r w:rsidRPr="00104227">
        <w:rPr>
          <w:lang w:val="en-US"/>
        </w:rPr>
        <w:t xml:space="preserve"> of the Convention</w:t>
      </w:r>
      <w:r w:rsidR="00E12489" w:rsidRPr="00104227">
        <w:rPr>
          <w:lang w:val="en-US"/>
        </w:rPr>
        <w:t xml:space="preserve"> </w:t>
      </w:r>
      <w:r w:rsidR="0094395C" w:rsidRPr="00104227">
        <w:rPr>
          <w:lang w:val="en-US"/>
        </w:rPr>
        <w:t>of Belém</w:t>
      </w:r>
      <w:r w:rsidR="00E12489" w:rsidRPr="00104227">
        <w:rPr>
          <w:lang w:val="en-US"/>
        </w:rPr>
        <w:t xml:space="preserve"> do Pará), </w:t>
      </w:r>
      <w:r w:rsidR="00F12946" w:rsidRPr="00104227">
        <w:rPr>
          <w:lang w:val="en-US"/>
        </w:rPr>
        <w:t xml:space="preserve">owing to the lack of a domestic legal framework on the use of force and torture at the time of the facts. In addition, the dispute has ceased with regard to the violation of </w:t>
      </w:r>
      <w:r w:rsidR="0094395C" w:rsidRPr="00104227">
        <w:rPr>
          <w:lang w:val="en-US"/>
        </w:rPr>
        <w:t>personal integrity</w:t>
      </w:r>
      <w:r w:rsidR="00E12489" w:rsidRPr="00104227">
        <w:rPr>
          <w:lang w:val="en-US"/>
        </w:rPr>
        <w:t xml:space="preserve"> (</w:t>
      </w:r>
      <w:r w:rsidRPr="00104227">
        <w:rPr>
          <w:lang w:val="en-US"/>
        </w:rPr>
        <w:t>Article</w:t>
      </w:r>
      <w:r w:rsidR="00E12489" w:rsidRPr="00104227">
        <w:rPr>
          <w:lang w:val="en-US"/>
        </w:rPr>
        <w:t xml:space="preserve"> </w:t>
      </w:r>
      <w:r w:rsidR="0094395C" w:rsidRPr="00104227">
        <w:rPr>
          <w:lang w:val="en-US"/>
        </w:rPr>
        <w:t>5(1)</w:t>
      </w:r>
      <w:r w:rsidRPr="00104227">
        <w:rPr>
          <w:lang w:val="en-US"/>
        </w:rPr>
        <w:t xml:space="preserve"> of the Convention</w:t>
      </w:r>
      <w:r w:rsidR="00E12489" w:rsidRPr="00104227">
        <w:rPr>
          <w:lang w:val="en-US"/>
        </w:rPr>
        <w:t>)</w:t>
      </w:r>
      <w:r w:rsidR="007F1912" w:rsidRPr="00104227">
        <w:rPr>
          <w:lang w:val="en-US"/>
        </w:rPr>
        <w:t xml:space="preserve"> of the </w:t>
      </w:r>
      <w:r w:rsidR="0094395C" w:rsidRPr="00104227">
        <w:rPr>
          <w:lang w:val="en-US"/>
        </w:rPr>
        <w:t>next of kin</w:t>
      </w:r>
      <w:r w:rsidR="00E12489" w:rsidRPr="00104227">
        <w:rPr>
          <w:lang w:val="en-US"/>
        </w:rPr>
        <w:t xml:space="preserve"> </w:t>
      </w:r>
      <w:r w:rsidR="00F12946" w:rsidRPr="00104227">
        <w:rPr>
          <w:lang w:val="en-US"/>
        </w:rPr>
        <w:t>of the eleven women</w:t>
      </w:r>
      <w:r w:rsidR="00E12489" w:rsidRPr="00104227">
        <w:rPr>
          <w:lang w:val="en-US"/>
        </w:rPr>
        <w:t>.</w:t>
      </w:r>
    </w:p>
    <w:p w14:paraId="3DFAF021" w14:textId="77777777" w:rsidR="00E12489" w:rsidRPr="00104227" w:rsidRDefault="00E12489" w:rsidP="00E4619F">
      <w:pPr>
        <w:tabs>
          <w:tab w:val="left" w:pos="567"/>
        </w:tabs>
        <w:rPr>
          <w:spacing w:val="-4"/>
          <w:lang w:eastAsia="es-MX"/>
        </w:rPr>
      </w:pPr>
    </w:p>
    <w:p w14:paraId="1320F880" w14:textId="14FE44BB" w:rsidR="00E12489" w:rsidRPr="00104227" w:rsidRDefault="00F12946" w:rsidP="00F12946">
      <w:pPr>
        <w:pStyle w:val="Numberedparagraphs"/>
        <w:tabs>
          <w:tab w:val="left" w:pos="567"/>
        </w:tabs>
        <w:rPr>
          <w:lang w:val="en-US"/>
        </w:rPr>
      </w:pPr>
      <w:r w:rsidRPr="00104227">
        <w:rPr>
          <w:lang w:val="en-US"/>
        </w:rPr>
        <w:t>Furthermore, the Court notes that the dispute persists with regard to the violations of: (i) the obligation to adopt domestic legal provisions to criminalize torture appropriately, which continues up until the present time according to the representatives, and not just when the facts took place; (ii) the obligation to adopt domestic legal provisions</w:t>
      </w:r>
      <w:r w:rsidR="00E12489" w:rsidRPr="00104227">
        <w:rPr>
          <w:lang w:val="en-US"/>
        </w:rPr>
        <w:t xml:space="preserve"> </w:t>
      </w:r>
      <w:r w:rsidRPr="00104227">
        <w:rPr>
          <w:lang w:val="en-US"/>
        </w:rPr>
        <w:t xml:space="preserve">for the effective investigation of </w:t>
      </w:r>
      <w:r w:rsidR="0020071D" w:rsidRPr="00104227">
        <w:rPr>
          <w:lang w:val="en-US"/>
        </w:rPr>
        <w:t>violence against women</w:t>
      </w:r>
      <w:r w:rsidR="00E12489" w:rsidRPr="00104227">
        <w:rPr>
          <w:lang w:val="en-US"/>
        </w:rPr>
        <w:t>,</w:t>
      </w:r>
      <w:r w:rsidR="00BF5241" w:rsidRPr="00104227">
        <w:rPr>
          <w:lang w:val="en-US"/>
        </w:rPr>
        <w:t xml:space="preserve"> and </w:t>
      </w:r>
      <w:r w:rsidR="00E12489" w:rsidRPr="00104227">
        <w:rPr>
          <w:lang w:val="en-US"/>
        </w:rPr>
        <w:t xml:space="preserve">(iii) </w:t>
      </w:r>
      <w:r w:rsidR="0094395C" w:rsidRPr="00104227">
        <w:rPr>
          <w:lang w:val="en-US"/>
        </w:rPr>
        <w:t>judicial guarantees</w:t>
      </w:r>
      <w:r w:rsidR="00F63786" w:rsidRPr="00104227">
        <w:rPr>
          <w:lang w:val="en-US"/>
        </w:rPr>
        <w:t>,</w:t>
      </w:r>
      <w:r w:rsidR="00BF5241" w:rsidRPr="00104227">
        <w:rPr>
          <w:lang w:val="en-US"/>
        </w:rPr>
        <w:t xml:space="preserve"> </w:t>
      </w:r>
      <w:r w:rsidR="00E466FA" w:rsidRPr="00104227">
        <w:rPr>
          <w:lang w:val="en-US"/>
        </w:rPr>
        <w:t>judicial protection</w:t>
      </w:r>
      <w:r w:rsidR="00F63786" w:rsidRPr="00104227">
        <w:rPr>
          <w:lang w:val="en-US"/>
        </w:rPr>
        <w:t>,</w:t>
      </w:r>
      <w:r w:rsidR="00E466FA" w:rsidRPr="00104227">
        <w:rPr>
          <w:lang w:val="en-US"/>
        </w:rPr>
        <w:t xml:space="preserve"> equality before the law</w:t>
      </w:r>
      <w:r w:rsidR="00F63786" w:rsidRPr="00104227">
        <w:rPr>
          <w:lang w:val="en-US"/>
        </w:rPr>
        <w:t>,</w:t>
      </w:r>
      <w:r w:rsidR="00BF5241" w:rsidRPr="00104227">
        <w:rPr>
          <w:lang w:val="en-US"/>
        </w:rPr>
        <w:t xml:space="preserve"> and </w:t>
      </w:r>
      <w:r w:rsidRPr="00104227">
        <w:rPr>
          <w:lang w:val="en-US"/>
        </w:rPr>
        <w:t>the obligation to investigate acts of torture and acts of violence against women</w:t>
      </w:r>
      <w:r w:rsidR="00E12489" w:rsidRPr="00104227">
        <w:rPr>
          <w:lang w:val="en-US"/>
        </w:rPr>
        <w:t xml:space="preserve">, </w:t>
      </w:r>
      <w:r w:rsidRPr="00104227">
        <w:rPr>
          <w:lang w:val="en-US"/>
        </w:rPr>
        <w:t>owing to the investigations and judicial actions of the federal authorities, as well as the investigations and judicial proceedings following the “initial stages.” In this regard, the Court notes that, before this Court, the State placed a temporal limitation on its acknowledgement of responsibility for th</w:t>
      </w:r>
      <w:r w:rsidR="00F63786" w:rsidRPr="00104227">
        <w:rPr>
          <w:lang w:val="en-US"/>
        </w:rPr>
        <w:t>o</w:t>
      </w:r>
      <w:r w:rsidRPr="00104227">
        <w:rPr>
          <w:lang w:val="en-US"/>
        </w:rPr>
        <w:t>se violations up to September 2010 when the “Atenco Group” was created to investigate the facts of the case. Meanwhile,</w:t>
      </w:r>
      <w:r w:rsidR="00E12489" w:rsidRPr="00104227">
        <w:rPr>
          <w:lang w:val="en-US"/>
        </w:rPr>
        <w:t xml:space="preserve"> </w:t>
      </w:r>
      <w:r w:rsidR="002826A6" w:rsidRPr="00104227">
        <w:rPr>
          <w:lang w:val="en-US"/>
        </w:rPr>
        <w:t>the representatives</w:t>
      </w:r>
      <w:r w:rsidR="00E12489" w:rsidRPr="00104227">
        <w:rPr>
          <w:lang w:val="en-US"/>
        </w:rPr>
        <w:t xml:space="preserve"> al</w:t>
      </w:r>
      <w:r w:rsidRPr="00104227">
        <w:rPr>
          <w:lang w:val="en-US"/>
        </w:rPr>
        <w:t>leged that, based on the position expressed by Mexico befor</w:t>
      </w:r>
      <w:r w:rsidR="00E12489" w:rsidRPr="00104227">
        <w:rPr>
          <w:lang w:val="en-US"/>
        </w:rPr>
        <w:t xml:space="preserve">e </w:t>
      </w:r>
      <w:r w:rsidR="00BF5241" w:rsidRPr="00104227">
        <w:rPr>
          <w:lang w:val="en-US"/>
        </w:rPr>
        <w:t>the Commission</w:t>
      </w:r>
      <w:r w:rsidR="00E12489" w:rsidRPr="00104227">
        <w:rPr>
          <w:lang w:val="en-US"/>
        </w:rPr>
        <w:t xml:space="preserve">, </w:t>
      </w:r>
      <w:r w:rsidRPr="00104227">
        <w:rPr>
          <w:lang w:val="en-US"/>
        </w:rPr>
        <w:t xml:space="preserve">the said acknowledgement of international responsibility encompassed the State’s actions in relation to the investigations up until March 14, 2013, the date on which the State acquiesced to the claims </w:t>
      </w:r>
      <w:r w:rsidR="002826A6" w:rsidRPr="00104227">
        <w:rPr>
          <w:lang w:val="en-US"/>
        </w:rPr>
        <w:t>of the representatives</w:t>
      </w:r>
      <w:r w:rsidR="00E12489" w:rsidRPr="00104227">
        <w:rPr>
          <w:lang w:val="en-US"/>
        </w:rPr>
        <w:t xml:space="preserve"> </w:t>
      </w:r>
      <w:r w:rsidRPr="00104227">
        <w:rPr>
          <w:lang w:val="en-US"/>
        </w:rPr>
        <w:t>before</w:t>
      </w:r>
      <w:r w:rsidR="00E12489" w:rsidRPr="00104227">
        <w:rPr>
          <w:lang w:val="en-US"/>
        </w:rPr>
        <w:t xml:space="preserve"> </w:t>
      </w:r>
      <w:r w:rsidR="00BF5241" w:rsidRPr="00104227">
        <w:rPr>
          <w:lang w:val="en-US"/>
        </w:rPr>
        <w:t>the Commission</w:t>
      </w:r>
      <w:r w:rsidR="00E12489" w:rsidRPr="00104227">
        <w:rPr>
          <w:lang w:val="en-US"/>
        </w:rPr>
        <w:t xml:space="preserve">. </w:t>
      </w:r>
      <w:r w:rsidRPr="00104227">
        <w:rPr>
          <w:lang w:val="en-US"/>
        </w:rPr>
        <w:t>In this regard</w:t>
      </w:r>
      <w:r w:rsidR="00E12489" w:rsidRPr="00104227">
        <w:rPr>
          <w:lang w:val="en-US"/>
        </w:rPr>
        <w:t xml:space="preserve">, </w:t>
      </w:r>
      <w:r w:rsidR="00BF5241" w:rsidRPr="00104227">
        <w:rPr>
          <w:lang w:val="en-US"/>
        </w:rPr>
        <w:t>the Court</w:t>
      </w:r>
      <w:r w:rsidR="00E12489" w:rsidRPr="00104227">
        <w:rPr>
          <w:lang w:val="en-US"/>
        </w:rPr>
        <w:t xml:space="preserve"> rec</w:t>
      </w:r>
      <w:r w:rsidRPr="00104227">
        <w:rPr>
          <w:lang w:val="en-US"/>
        </w:rPr>
        <w:t xml:space="preserve">alls that, in order to consider an act of the State an acquiescence or acknowledgement </w:t>
      </w:r>
      <w:r w:rsidRPr="00104227">
        <w:rPr>
          <w:lang w:val="en-US"/>
        </w:rPr>
        <w:lastRenderedPageBreak/>
        <w:t>of responsibility, its intention must be clear.</w:t>
      </w:r>
      <w:r w:rsidR="00E12489" w:rsidRPr="00104227">
        <w:rPr>
          <w:rStyle w:val="Refdenotaalpie"/>
          <w:sz w:val="20"/>
          <w:szCs w:val="20"/>
          <w:lang w:val="en-US"/>
        </w:rPr>
        <w:footnoteReference w:id="41"/>
      </w:r>
      <w:r w:rsidR="00E12489" w:rsidRPr="00104227">
        <w:rPr>
          <w:lang w:val="en-US"/>
        </w:rPr>
        <w:t xml:space="preserve"> </w:t>
      </w:r>
      <w:r w:rsidR="001256B2" w:rsidRPr="00104227">
        <w:rPr>
          <w:lang w:val="en-US"/>
        </w:rPr>
        <w:t>C</w:t>
      </w:r>
      <w:r w:rsidR="00E12489" w:rsidRPr="00104227">
        <w:rPr>
          <w:lang w:val="en-US"/>
        </w:rPr>
        <w:t>ontrar</w:t>
      </w:r>
      <w:r w:rsidRPr="00104227">
        <w:rPr>
          <w:lang w:val="en-US"/>
        </w:rPr>
        <w:t xml:space="preserve">y to the </w:t>
      </w:r>
      <w:r w:rsidR="002826A6" w:rsidRPr="00104227">
        <w:rPr>
          <w:lang w:val="en-US"/>
        </w:rPr>
        <w:t>representatives</w:t>
      </w:r>
      <w:r w:rsidR="00F63786" w:rsidRPr="00104227">
        <w:rPr>
          <w:lang w:val="en-US"/>
        </w:rPr>
        <w:t>’ allegation</w:t>
      </w:r>
      <w:r w:rsidR="00E12489" w:rsidRPr="00104227">
        <w:rPr>
          <w:lang w:val="en-US"/>
        </w:rPr>
        <w:t xml:space="preserve">, </w:t>
      </w:r>
      <w:r w:rsidR="00BF5241" w:rsidRPr="00104227">
        <w:rPr>
          <w:lang w:val="en-US"/>
        </w:rPr>
        <w:t>this Court</w:t>
      </w:r>
      <w:r w:rsidR="00E12489" w:rsidRPr="00104227">
        <w:rPr>
          <w:lang w:val="en-US"/>
        </w:rPr>
        <w:t xml:space="preserve"> </w:t>
      </w:r>
      <w:r w:rsidRPr="00104227">
        <w:rPr>
          <w:lang w:val="en-US"/>
        </w:rPr>
        <w:t xml:space="preserve">does not consider that the State’s interventions and briefs before the Commission reveal a clear intention to acknowledge its international responsibility for all the facts that have occurred in the context of the investigations and judicial actions up until March 14, </w:t>
      </w:r>
      <w:r w:rsidR="00E12489" w:rsidRPr="00104227">
        <w:rPr>
          <w:lang w:val="en-US"/>
        </w:rPr>
        <w:t>2013</w:t>
      </w:r>
      <w:r w:rsidRPr="00104227">
        <w:rPr>
          <w:lang w:val="en-US"/>
        </w:rPr>
        <w:t>.</w:t>
      </w:r>
      <w:r w:rsidR="00E12489" w:rsidRPr="00104227">
        <w:rPr>
          <w:rStyle w:val="Refdenotaalpie"/>
          <w:lang w:val="en-US"/>
        </w:rPr>
        <w:footnoteReference w:id="42"/>
      </w:r>
      <w:r w:rsidRPr="00104227">
        <w:rPr>
          <w:lang w:val="en-US"/>
        </w:rPr>
        <w:t xml:space="preserve"> Consequently, the Court will take the date of September 2010 as the temporal limit for the acknowledgement of international responsibility for these violations, which was the date that the State expressly and clearly indicated should be used for this purpose. Therefore, </w:t>
      </w:r>
      <w:r w:rsidR="00D33413" w:rsidRPr="00104227">
        <w:rPr>
          <w:lang w:val="en-US"/>
        </w:rPr>
        <w:t>the Court</w:t>
      </w:r>
      <w:r w:rsidRPr="00104227">
        <w:rPr>
          <w:lang w:val="en-US"/>
        </w:rPr>
        <w:t xml:space="preserve"> concludes that the dispute persists for the deficiencies and delays in the investigation after that date</w:t>
      </w:r>
      <w:r w:rsidR="00E12489" w:rsidRPr="00104227">
        <w:rPr>
          <w:lang w:val="en-US"/>
        </w:rPr>
        <w:t xml:space="preserve">. </w:t>
      </w:r>
    </w:p>
    <w:p w14:paraId="72E9FB2C" w14:textId="77777777" w:rsidR="00E12489" w:rsidRPr="00104227" w:rsidRDefault="00E12489" w:rsidP="00E4619F">
      <w:pPr>
        <w:tabs>
          <w:tab w:val="left" w:pos="567"/>
        </w:tabs>
        <w:rPr>
          <w:lang w:eastAsia="es-MX"/>
        </w:rPr>
      </w:pPr>
    </w:p>
    <w:p w14:paraId="1555BB6D" w14:textId="0FBD6F7D" w:rsidR="00E12489" w:rsidRPr="00104227" w:rsidRDefault="00E12489" w:rsidP="00E4619F">
      <w:pPr>
        <w:pStyle w:val="Ttulo3"/>
        <w:tabs>
          <w:tab w:val="left" w:pos="567"/>
        </w:tabs>
        <w:rPr>
          <w:spacing w:val="-4"/>
          <w:lang w:val="en-US"/>
        </w:rPr>
      </w:pPr>
      <w:bookmarkStart w:id="108" w:name="_Toc31290554"/>
      <w:r w:rsidRPr="00104227">
        <w:rPr>
          <w:spacing w:val="-4"/>
          <w:lang w:val="en-US"/>
        </w:rPr>
        <w:t xml:space="preserve">B.3 </w:t>
      </w:r>
      <w:r w:rsidR="00B851FA" w:rsidRPr="00104227">
        <w:rPr>
          <w:spacing w:val="-4"/>
          <w:lang w:val="en-US"/>
        </w:rPr>
        <w:t>Regarding the reparations</w:t>
      </w:r>
      <w:bookmarkEnd w:id="108"/>
    </w:p>
    <w:p w14:paraId="1504026B" w14:textId="77777777" w:rsidR="00E12489" w:rsidRPr="00104227" w:rsidRDefault="00E12489" w:rsidP="00E4619F">
      <w:pPr>
        <w:pStyle w:val="PrrafodeSentencia"/>
        <w:numPr>
          <w:ilvl w:val="0"/>
          <w:numId w:val="0"/>
        </w:numPr>
        <w:rPr>
          <w:lang w:val="en-US"/>
        </w:rPr>
      </w:pPr>
    </w:p>
    <w:p w14:paraId="55DD70BA" w14:textId="72A46458" w:rsidR="00E12489" w:rsidRPr="00104227" w:rsidRDefault="00BF5241" w:rsidP="00E4619F">
      <w:pPr>
        <w:pStyle w:val="Numberedparagraphs"/>
        <w:tabs>
          <w:tab w:val="left" w:pos="567"/>
        </w:tabs>
        <w:rPr>
          <w:lang w:val="en-US"/>
        </w:rPr>
      </w:pPr>
      <w:r w:rsidRPr="00104227">
        <w:rPr>
          <w:lang w:val="en-US"/>
        </w:rPr>
        <w:t>This Court</w:t>
      </w:r>
      <w:r w:rsidR="00E12489" w:rsidRPr="00104227">
        <w:rPr>
          <w:lang w:val="en-US"/>
        </w:rPr>
        <w:t xml:space="preserve"> </w:t>
      </w:r>
      <w:r w:rsidR="002D0B6D" w:rsidRPr="00104227">
        <w:rPr>
          <w:lang w:val="en-US"/>
        </w:rPr>
        <w:t xml:space="preserve">notes that the dispute subsists in relation to the determination of </w:t>
      </w:r>
      <w:r w:rsidR="00D33413" w:rsidRPr="00104227">
        <w:rPr>
          <w:lang w:val="en-US"/>
        </w:rPr>
        <w:t>possible</w:t>
      </w:r>
      <w:r w:rsidR="002D0B6D" w:rsidRPr="00104227">
        <w:rPr>
          <w:lang w:val="en-US"/>
        </w:rPr>
        <w:t xml:space="preserve"> reparations, </w:t>
      </w:r>
      <w:r w:rsidR="00AA3133" w:rsidRPr="00104227">
        <w:rPr>
          <w:lang w:val="en-US"/>
        </w:rPr>
        <w:t>costs and expenses</w:t>
      </w:r>
      <w:r w:rsidR="002D0B6D" w:rsidRPr="00104227">
        <w:rPr>
          <w:lang w:val="en-US"/>
        </w:rPr>
        <w:t xml:space="preserve">. Therefore, in the corresponding chapter </w:t>
      </w:r>
      <w:r w:rsidR="00E12489" w:rsidRPr="00104227">
        <w:rPr>
          <w:lang w:val="en-US"/>
        </w:rPr>
        <w:t>(</w:t>
      </w:r>
      <w:r w:rsidR="00E12489" w:rsidRPr="00104227">
        <w:rPr>
          <w:i/>
          <w:lang w:val="en-US"/>
        </w:rPr>
        <w:t xml:space="preserve">infra </w:t>
      </w:r>
      <w:r w:rsidR="00E12489" w:rsidRPr="00104227">
        <w:rPr>
          <w:lang w:val="en-US"/>
        </w:rPr>
        <w:t>C</w:t>
      </w:r>
      <w:r w:rsidR="002D0B6D" w:rsidRPr="00104227">
        <w:rPr>
          <w:lang w:val="en-US"/>
        </w:rPr>
        <w:t>hapter</w:t>
      </w:r>
      <w:r w:rsidR="00E12489" w:rsidRPr="00104227">
        <w:rPr>
          <w:lang w:val="en-US"/>
        </w:rPr>
        <w:t xml:space="preserve"> X),</w:t>
      </w:r>
      <w:r w:rsidR="002D0B6D" w:rsidRPr="00104227">
        <w:rPr>
          <w:lang w:val="en-US"/>
        </w:rPr>
        <w:t xml:space="preserve"> it will determine the corresponding measures of reparation, taking into account the requests </w:t>
      </w:r>
      <w:r w:rsidRPr="00104227">
        <w:rPr>
          <w:lang w:val="en-US"/>
        </w:rPr>
        <w:t xml:space="preserve">of the Commission and </w:t>
      </w:r>
      <w:r w:rsidR="002826A6" w:rsidRPr="00104227">
        <w:rPr>
          <w:lang w:val="en-US"/>
        </w:rPr>
        <w:t>the representatives</w:t>
      </w:r>
      <w:r w:rsidR="00E12489" w:rsidRPr="00104227">
        <w:rPr>
          <w:lang w:val="en-US"/>
        </w:rPr>
        <w:t xml:space="preserve">, </w:t>
      </w:r>
      <w:r w:rsidR="002D0B6D" w:rsidRPr="00104227">
        <w:rPr>
          <w:lang w:val="en-US"/>
        </w:rPr>
        <w:t xml:space="preserve">the case law of the Court on this matter, and the respective arguments and requests </w:t>
      </w:r>
      <w:r w:rsidR="002826A6" w:rsidRPr="00104227">
        <w:rPr>
          <w:lang w:val="en-US"/>
        </w:rPr>
        <w:t xml:space="preserve">of the </w:t>
      </w:r>
      <w:r w:rsidR="00AC3BFC" w:rsidRPr="00104227">
        <w:rPr>
          <w:lang w:val="en-US"/>
        </w:rPr>
        <w:t>State</w:t>
      </w:r>
      <w:r w:rsidR="00E12489" w:rsidRPr="00104227">
        <w:rPr>
          <w:lang w:val="en-US"/>
        </w:rPr>
        <w:t xml:space="preserve">. </w:t>
      </w:r>
    </w:p>
    <w:p w14:paraId="2B3A6FB4" w14:textId="77777777" w:rsidR="00E12489" w:rsidRPr="00104227" w:rsidRDefault="00E12489" w:rsidP="00E4619F">
      <w:pPr>
        <w:pStyle w:val="PrrafodeSentencia"/>
        <w:numPr>
          <w:ilvl w:val="0"/>
          <w:numId w:val="0"/>
        </w:numPr>
        <w:rPr>
          <w:lang w:val="en-US"/>
        </w:rPr>
      </w:pPr>
    </w:p>
    <w:p w14:paraId="7BDC27F3" w14:textId="60317563" w:rsidR="00E12489" w:rsidRPr="00104227" w:rsidRDefault="00E12489" w:rsidP="00E4619F">
      <w:pPr>
        <w:pStyle w:val="Ttulo3"/>
        <w:tabs>
          <w:tab w:val="left" w:pos="567"/>
        </w:tabs>
        <w:rPr>
          <w:spacing w:val="-4"/>
          <w:lang w:val="en-US"/>
        </w:rPr>
      </w:pPr>
      <w:bookmarkStart w:id="109" w:name="_Toc31290555"/>
      <w:r w:rsidRPr="00104227">
        <w:rPr>
          <w:spacing w:val="-4"/>
          <w:lang w:val="en-US"/>
        </w:rPr>
        <w:t xml:space="preserve">B.4 </w:t>
      </w:r>
      <w:r w:rsidR="00B851FA" w:rsidRPr="00104227">
        <w:rPr>
          <w:spacing w:val="-4"/>
          <w:lang w:val="en-US"/>
        </w:rPr>
        <w:t xml:space="preserve">Assessment of the </w:t>
      </w:r>
      <w:r w:rsidR="000A14CF" w:rsidRPr="00104227">
        <w:rPr>
          <w:spacing w:val="-4"/>
          <w:lang w:val="en-US"/>
        </w:rPr>
        <w:t>acquiescence</w:t>
      </w:r>
      <w:bookmarkEnd w:id="109"/>
    </w:p>
    <w:p w14:paraId="47F59421" w14:textId="77777777" w:rsidR="00E12489" w:rsidRPr="00104227" w:rsidRDefault="00E12489" w:rsidP="00E4619F">
      <w:pPr>
        <w:tabs>
          <w:tab w:val="left" w:pos="567"/>
        </w:tabs>
        <w:rPr>
          <w:spacing w:val="-4"/>
        </w:rPr>
      </w:pPr>
    </w:p>
    <w:p w14:paraId="3340A3C2" w14:textId="27AA7D94" w:rsidR="00E12489" w:rsidRPr="00104227" w:rsidRDefault="00BF5241" w:rsidP="00E4619F">
      <w:pPr>
        <w:pStyle w:val="Numberedparagraphs"/>
        <w:tabs>
          <w:tab w:val="left" w:pos="567"/>
        </w:tabs>
        <w:rPr>
          <w:bCs/>
          <w:lang w:val="en-US"/>
        </w:rPr>
      </w:pPr>
      <w:r w:rsidRPr="00104227">
        <w:rPr>
          <w:lang w:val="en-US"/>
        </w:rPr>
        <w:t>Th</w:t>
      </w:r>
      <w:r w:rsidR="002D0B6D" w:rsidRPr="00104227">
        <w:rPr>
          <w:lang w:val="en-US"/>
        </w:rPr>
        <w:t>e</w:t>
      </w:r>
      <w:r w:rsidRPr="00104227">
        <w:rPr>
          <w:lang w:val="en-US"/>
        </w:rPr>
        <w:t xml:space="preserve"> Court</w:t>
      </w:r>
      <w:r w:rsidR="00E12489" w:rsidRPr="00104227">
        <w:rPr>
          <w:lang w:val="en-US"/>
        </w:rPr>
        <w:t xml:space="preserve"> </w:t>
      </w:r>
      <w:r w:rsidR="005D17D4" w:rsidRPr="00104227">
        <w:rPr>
          <w:lang w:val="en-US"/>
        </w:rPr>
        <w:t xml:space="preserve">appreciates the partial acknowledgement of international responsibility made by the State. This action makes a positive contribution to the development of this process, to the principles that inspire </w:t>
      </w:r>
      <w:r w:rsidRPr="00104227">
        <w:rPr>
          <w:lang w:val="en-US"/>
        </w:rPr>
        <w:t>the Convention</w:t>
      </w:r>
      <w:r w:rsidR="00E12489" w:rsidRPr="00104227">
        <w:rPr>
          <w:vertAlign w:val="superscript"/>
          <w:lang w:val="en-US"/>
        </w:rPr>
        <w:footnoteReference w:id="43"/>
      </w:r>
      <w:r w:rsidR="00E12489" w:rsidRPr="00104227">
        <w:rPr>
          <w:lang w:val="en-US"/>
        </w:rPr>
        <w:t xml:space="preserve"> </w:t>
      </w:r>
      <w:r w:rsidR="005D17D4" w:rsidRPr="00104227">
        <w:rPr>
          <w:lang w:val="en-US"/>
        </w:rPr>
        <w:t xml:space="preserve">and, in part, to satisfying the need for reparation of the victims of </w:t>
      </w:r>
      <w:r w:rsidR="00F12946" w:rsidRPr="00104227">
        <w:rPr>
          <w:lang w:val="en-US"/>
        </w:rPr>
        <w:t>human rights violations</w:t>
      </w:r>
      <w:r w:rsidR="005D17D4" w:rsidRPr="00104227">
        <w:rPr>
          <w:lang w:val="en-US"/>
        </w:rPr>
        <w:t>.</w:t>
      </w:r>
      <w:r w:rsidR="00E12489" w:rsidRPr="00104227">
        <w:rPr>
          <w:vertAlign w:val="superscript"/>
          <w:lang w:val="en-US"/>
        </w:rPr>
        <w:footnoteReference w:id="44"/>
      </w:r>
    </w:p>
    <w:p w14:paraId="51D72749" w14:textId="77777777" w:rsidR="00E12489" w:rsidRPr="00104227" w:rsidRDefault="00E12489" w:rsidP="00E4619F">
      <w:pPr>
        <w:tabs>
          <w:tab w:val="left" w:pos="567"/>
        </w:tabs>
        <w:rPr>
          <w:spacing w:val="-4"/>
          <w:lang w:eastAsia="es-MX"/>
        </w:rPr>
      </w:pPr>
    </w:p>
    <w:p w14:paraId="460B053E" w14:textId="0C0454D4" w:rsidR="00E12489" w:rsidRPr="00104227" w:rsidRDefault="005D17D4" w:rsidP="00E4619F">
      <w:pPr>
        <w:pStyle w:val="Numberedparagraphs"/>
        <w:tabs>
          <w:tab w:val="left" w:pos="567"/>
        </w:tabs>
        <w:rPr>
          <w:lang w:val="en-US"/>
        </w:rPr>
      </w:pPr>
      <w:r w:rsidRPr="00104227">
        <w:rPr>
          <w:lang w:val="en-US"/>
        </w:rPr>
        <w:t>As in other cases,</w:t>
      </w:r>
      <w:r w:rsidR="00E12489" w:rsidRPr="00104227">
        <w:rPr>
          <w:rStyle w:val="Refdenotaalpie"/>
          <w:lang w:val="en-US"/>
        </w:rPr>
        <w:footnoteReference w:id="45"/>
      </w:r>
      <w:r w:rsidR="00E12489" w:rsidRPr="00104227">
        <w:rPr>
          <w:lang w:val="en-US"/>
        </w:rPr>
        <w:t xml:space="preserve"> </w:t>
      </w:r>
      <w:r w:rsidR="00BF5241" w:rsidRPr="00104227">
        <w:rPr>
          <w:lang w:val="en-US"/>
        </w:rPr>
        <w:t>the Court</w:t>
      </w:r>
      <w:r w:rsidR="00E12489" w:rsidRPr="00104227">
        <w:rPr>
          <w:lang w:val="en-US"/>
        </w:rPr>
        <w:t xml:space="preserve"> consider</w:t>
      </w:r>
      <w:r w:rsidRPr="00104227">
        <w:rPr>
          <w:lang w:val="en-US"/>
        </w:rPr>
        <w:t xml:space="preserve">s that the acknowledgement made by the State has full legal effects pursuant to </w:t>
      </w:r>
      <w:r w:rsidR="00BF5241" w:rsidRPr="00104227">
        <w:rPr>
          <w:lang w:val="en-US"/>
        </w:rPr>
        <w:t>Articles</w:t>
      </w:r>
      <w:r w:rsidR="00E12489" w:rsidRPr="00104227">
        <w:rPr>
          <w:lang w:val="en-US"/>
        </w:rPr>
        <w:t xml:space="preserve"> 62</w:t>
      </w:r>
      <w:r w:rsidR="00BF5241" w:rsidRPr="00104227">
        <w:rPr>
          <w:lang w:val="en-US"/>
        </w:rPr>
        <w:t xml:space="preserve"> and </w:t>
      </w:r>
      <w:r w:rsidR="00E12489" w:rsidRPr="00104227">
        <w:rPr>
          <w:lang w:val="en-US"/>
        </w:rPr>
        <w:t>64</w:t>
      </w:r>
      <w:r w:rsidR="00BF5241" w:rsidRPr="00104227">
        <w:rPr>
          <w:lang w:val="en-US"/>
        </w:rPr>
        <w:t xml:space="preserve"> of the </w:t>
      </w:r>
      <w:r w:rsidRPr="00104227">
        <w:rPr>
          <w:lang w:val="en-US"/>
        </w:rPr>
        <w:t xml:space="preserve">Court’s </w:t>
      </w:r>
      <w:r w:rsidR="00BF5241" w:rsidRPr="00104227">
        <w:rPr>
          <w:lang w:val="en-US"/>
        </w:rPr>
        <w:t>Rules of Procedure</w:t>
      </w:r>
      <w:r w:rsidRPr="00104227">
        <w:rPr>
          <w:lang w:val="en-US"/>
        </w:rPr>
        <w:t xml:space="preserve"> mentioned previously, and ha</w:t>
      </w:r>
      <w:r w:rsidR="00D33413" w:rsidRPr="00104227">
        <w:rPr>
          <w:lang w:val="en-US"/>
        </w:rPr>
        <w:t>s</w:t>
      </w:r>
      <w:r w:rsidRPr="00104227">
        <w:rPr>
          <w:lang w:val="en-US"/>
        </w:rPr>
        <w:t xml:space="preserve"> a</w:t>
      </w:r>
      <w:r w:rsidR="00D33413" w:rsidRPr="00104227">
        <w:rPr>
          <w:lang w:val="en-US"/>
        </w:rPr>
        <w:t xml:space="preserve">n important </w:t>
      </w:r>
      <w:r w:rsidRPr="00104227">
        <w:rPr>
          <w:lang w:val="en-US"/>
        </w:rPr>
        <w:t xml:space="preserve">symbolic value to ensure that similar facts are not repeated. In addition, </w:t>
      </w:r>
      <w:r w:rsidR="00BF5241" w:rsidRPr="00104227">
        <w:rPr>
          <w:lang w:val="en-US"/>
        </w:rPr>
        <w:t>the Court</w:t>
      </w:r>
      <w:r w:rsidR="00E12489" w:rsidRPr="00104227">
        <w:rPr>
          <w:lang w:val="en-US"/>
        </w:rPr>
        <w:t xml:space="preserve"> </w:t>
      </w:r>
      <w:r w:rsidRPr="00104227">
        <w:rPr>
          <w:lang w:val="en-US"/>
        </w:rPr>
        <w:t xml:space="preserve">notes that the acknowledgment of specific facts and violations may have </w:t>
      </w:r>
      <w:r w:rsidRPr="00104227">
        <w:rPr>
          <w:lang w:val="en-US"/>
        </w:rPr>
        <w:lastRenderedPageBreak/>
        <w:t>effects and consequences on this Court</w:t>
      </w:r>
      <w:r w:rsidR="00D33413" w:rsidRPr="00104227">
        <w:rPr>
          <w:lang w:val="en-US"/>
        </w:rPr>
        <w:t>’s analysis</w:t>
      </w:r>
      <w:r w:rsidRPr="00104227">
        <w:rPr>
          <w:lang w:val="en-US"/>
        </w:rPr>
        <w:t xml:space="preserve"> </w:t>
      </w:r>
      <w:r w:rsidR="00D33413" w:rsidRPr="00104227">
        <w:rPr>
          <w:lang w:val="en-US"/>
        </w:rPr>
        <w:t>of</w:t>
      </w:r>
      <w:r w:rsidRPr="00104227">
        <w:rPr>
          <w:lang w:val="en-US"/>
        </w:rPr>
        <w:t xml:space="preserve"> the other alleged facts and violations</w:t>
      </w:r>
      <w:r w:rsidR="00E12489" w:rsidRPr="00104227">
        <w:rPr>
          <w:lang w:val="en-US"/>
        </w:rPr>
        <w:t xml:space="preserve">, </w:t>
      </w:r>
      <w:r w:rsidRPr="00104227">
        <w:rPr>
          <w:lang w:val="en-US"/>
        </w:rPr>
        <w:t>insofar as they all form part of the same set of circumstances.</w:t>
      </w:r>
      <w:r w:rsidR="00E12489" w:rsidRPr="00104227">
        <w:rPr>
          <w:rStyle w:val="Refdenotaalpie"/>
          <w:lang w:val="en-US"/>
        </w:rPr>
        <w:footnoteReference w:id="46"/>
      </w:r>
    </w:p>
    <w:p w14:paraId="2FD500AE" w14:textId="77777777" w:rsidR="00E12489" w:rsidRPr="00104227" w:rsidRDefault="00E12489" w:rsidP="00E4619F">
      <w:pPr>
        <w:tabs>
          <w:tab w:val="left" w:pos="567"/>
        </w:tabs>
        <w:rPr>
          <w:spacing w:val="-4"/>
          <w:lang w:eastAsia="es-MX"/>
        </w:rPr>
      </w:pPr>
    </w:p>
    <w:p w14:paraId="0058F131" w14:textId="6F1FC6FF" w:rsidR="003859C8" w:rsidRPr="00104227" w:rsidRDefault="003859C8" w:rsidP="00E4619F">
      <w:pPr>
        <w:pStyle w:val="Numberedparagraphs"/>
        <w:tabs>
          <w:tab w:val="left" w:pos="567"/>
        </w:tabs>
        <w:rPr>
          <w:bCs/>
          <w:snapToGrid w:val="0"/>
          <w:lang w:val="en-US"/>
        </w:rPr>
      </w:pPr>
      <w:r w:rsidRPr="00104227">
        <w:rPr>
          <w:snapToGrid w:val="0"/>
          <w:lang w:val="en-US"/>
        </w:rPr>
        <w:t>Based on the foregoing and its a</w:t>
      </w:r>
      <w:r w:rsidR="00D33413" w:rsidRPr="00104227">
        <w:rPr>
          <w:snapToGrid w:val="0"/>
          <w:lang w:val="en-US"/>
        </w:rPr>
        <w:t>t</w:t>
      </w:r>
      <w:r w:rsidRPr="00104227">
        <w:rPr>
          <w:snapToGrid w:val="0"/>
          <w:lang w:val="en-US"/>
        </w:rPr>
        <w:t xml:space="preserve">tributes as an international organ for the protection of human rights, the Court finds it necessary, in light of the characteristics of the facts of this case, to deliver a judgment in which it determines the facts that occurred </w:t>
      </w:r>
      <w:r w:rsidR="00D33413" w:rsidRPr="00104227">
        <w:rPr>
          <w:snapToGrid w:val="0"/>
          <w:lang w:val="en-US"/>
        </w:rPr>
        <w:t>based on</w:t>
      </w:r>
      <w:r w:rsidRPr="00104227">
        <w:rPr>
          <w:snapToGrid w:val="0"/>
          <w:lang w:val="en-US"/>
        </w:rPr>
        <w:t xml:space="preserve"> the evidence submitted in the proceedings before this Court, because this will contribute to making reparation to the victims, avoiding a repetition of similar facts and, in sum, satisfying the purposes of the inter-American jurisdiction over human rights.</w:t>
      </w:r>
    </w:p>
    <w:p w14:paraId="0A1A5163" w14:textId="77777777" w:rsidR="00E12489" w:rsidRPr="00104227" w:rsidRDefault="00E12489" w:rsidP="00E4619F">
      <w:pPr>
        <w:tabs>
          <w:tab w:val="left" w:pos="567"/>
        </w:tabs>
        <w:autoSpaceDE w:val="0"/>
        <w:autoSpaceDN w:val="0"/>
        <w:rPr>
          <w:rFonts w:eastAsia="Calibri" w:cs="Verdana"/>
          <w:snapToGrid w:val="0"/>
          <w:spacing w:val="-4"/>
          <w:szCs w:val="20"/>
          <w:lang w:eastAsia="es-ES"/>
        </w:rPr>
      </w:pPr>
    </w:p>
    <w:p w14:paraId="2EB0FD09" w14:textId="72A7626D" w:rsidR="00E12489" w:rsidRPr="00104227" w:rsidRDefault="003859C8" w:rsidP="00E4619F">
      <w:pPr>
        <w:pStyle w:val="Numberedparagraphs"/>
        <w:tabs>
          <w:tab w:val="left" w:pos="567"/>
        </w:tabs>
        <w:rPr>
          <w:lang w:val="en-US"/>
        </w:rPr>
      </w:pPr>
      <w:bookmarkStart w:id="110" w:name="_Ref532986917"/>
      <w:r w:rsidRPr="00104227">
        <w:rPr>
          <w:rFonts w:eastAsia="Calibri" w:cs="Verdana"/>
          <w:snapToGrid w:val="0"/>
          <w:lang w:val="en-US" w:eastAsia="es-ES"/>
        </w:rPr>
        <w:t xml:space="preserve">Furthermore, and to ensure a better understanding of </w:t>
      </w:r>
      <w:r w:rsidR="00D33413" w:rsidRPr="00104227">
        <w:rPr>
          <w:rFonts w:eastAsia="Calibri" w:cs="Verdana"/>
          <w:snapToGrid w:val="0"/>
          <w:lang w:val="en-US" w:eastAsia="es-ES"/>
        </w:rPr>
        <w:t xml:space="preserve">the </w:t>
      </w:r>
      <w:r w:rsidRPr="00104227">
        <w:rPr>
          <w:rFonts w:eastAsia="Calibri" w:cs="Verdana"/>
          <w:snapToGrid w:val="0"/>
          <w:lang w:val="en-US" w:eastAsia="es-ES"/>
        </w:rPr>
        <w:t>international responsibility</w:t>
      </w:r>
      <w:r w:rsidR="00D33413" w:rsidRPr="00104227">
        <w:rPr>
          <w:rFonts w:eastAsia="Calibri" w:cs="Verdana"/>
          <w:snapToGrid w:val="0"/>
          <w:lang w:val="en-US" w:eastAsia="es-ES"/>
        </w:rPr>
        <w:t xml:space="preserve"> of States</w:t>
      </w:r>
      <w:r w:rsidRPr="00104227">
        <w:rPr>
          <w:rFonts w:eastAsia="Calibri" w:cs="Verdana"/>
          <w:snapToGrid w:val="0"/>
          <w:lang w:val="en-US" w:eastAsia="es-ES"/>
        </w:rPr>
        <w:t xml:space="preserve">, </w:t>
      </w:r>
      <w:r w:rsidR="00D33413" w:rsidRPr="00104227">
        <w:rPr>
          <w:rFonts w:eastAsia="Calibri" w:cs="Verdana"/>
          <w:snapToGrid w:val="0"/>
          <w:lang w:val="en-US" w:eastAsia="es-ES"/>
        </w:rPr>
        <w:t xml:space="preserve">and </w:t>
      </w:r>
      <w:r w:rsidRPr="00104227">
        <w:rPr>
          <w:rFonts w:eastAsia="Calibri" w:cs="Verdana"/>
          <w:snapToGrid w:val="0"/>
          <w:lang w:val="en-US" w:eastAsia="es-ES"/>
        </w:rPr>
        <w:t xml:space="preserve">the causal nexus between the violations found and the reparations ordered, the Court considers it pertinent to </w:t>
      </w:r>
      <w:r w:rsidR="00D33413" w:rsidRPr="00104227">
        <w:rPr>
          <w:rFonts w:eastAsia="Calibri" w:cs="Verdana"/>
          <w:snapToGrid w:val="0"/>
          <w:lang w:val="en-US" w:eastAsia="es-ES"/>
        </w:rPr>
        <w:t>describe</w:t>
      </w:r>
      <w:r w:rsidRPr="00104227">
        <w:rPr>
          <w:rFonts w:eastAsia="Calibri" w:cs="Verdana"/>
          <w:snapToGrid w:val="0"/>
          <w:lang w:val="en-US" w:eastAsia="es-ES"/>
        </w:rPr>
        <w:t xml:space="preserve"> the human rights violations committed in this case</w:t>
      </w:r>
      <w:bookmarkEnd w:id="110"/>
      <w:r w:rsidRPr="00104227">
        <w:rPr>
          <w:rFonts w:eastAsia="Calibri" w:cs="Verdana"/>
          <w:snapToGrid w:val="0"/>
          <w:lang w:val="en-US" w:eastAsia="es-ES"/>
        </w:rPr>
        <w:t>.</w:t>
      </w:r>
    </w:p>
    <w:p w14:paraId="56E81357" w14:textId="77777777" w:rsidR="00E12489" w:rsidRPr="00104227" w:rsidRDefault="00E12489" w:rsidP="00E4619F">
      <w:pPr>
        <w:tabs>
          <w:tab w:val="left" w:pos="567"/>
        </w:tabs>
        <w:rPr>
          <w:lang w:eastAsia="es-MX"/>
        </w:rPr>
      </w:pPr>
    </w:p>
    <w:p w14:paraId="203ADEFA" w14:textId="77777777" w:rsidR="00E12489" w:rsidRPr="00104227" w:rsidRDefault="00E12489" w:rsidP="00E4619F">
      <w:pPr>
        <w:pStyle w:val="Ttulo1"/>
        <w:tabs>
          <w:tab w:val="left" w:pos="567"/>
        </w:tabs>
        <w:rPr>
          <w:caps/>
          <w:snapToGrid w:val="0"/>
        </w:rPr>
      </w:pPr>
      <w:bookmarkStart w:id="111" w:name="_Toc31290556"/>
      <w:r w:rsidRPr="00104227">
        <w:rPr>
          <w:snapToGrid w:val="0"/>
        </w:rPr>
        <w:t>VI</w:t>
      </w:r>
      <w:bookmarkEnd w:id="111"/>
    </w:p>
    <w:p w14:paraId="0D88E5A7" w14:textId="3FBC0EE3" w:rsidR="00E12489" w:rsidRPr="00104227" w:rsidRDefault="00B851FA" w:rsidP="00E4619F">
      <w:pPr>
        <w:pStyle w:val="Ttulo1"/>
        <w:tabs>
          <w:tab w:val="left" w:pos="567"/>
        </w:tabs>
        <w:rPr>
          <w:caps/>
          <w:snapToGrid w:val="0"/>
        </w:rPr>
      </w:pPr>
      <w:bookmarkStart w:id="112" w:name="_Toc31290557"/>
      <w:r w:rsidRPr="00104227">
        <w:rPr>
          <w:caps/>
          <w:snapToGrid w:val="0"/>
        </w:rPr>
        <w:t>PRELIMINARY CONSIDERATIONS</w:t>
      </w:r>
      <w:bookmarkEnd w:id="112"/>
    </w:p>
    <w:p w14:paraId="57DF006C" w14:textId="77777777" w:rsidR="00E12489" w:rsidRPr="00104227" w:rsidRDefault="00E12489" w:rsidP="00E4619F">
      <w:pPr>
        <w:tabs>
          <w:tab w:val="left" w:pos="567"/>
        </w:tabs>
        <w:rPr>
          <w:snapToGrid w:val="0"/>
          <w:lang w:eastAsia="es-ES"/>
        </w:rPr>
      </w:pPr>
    </w:p>
    <w:p w14:paraId="21201763" w14:textId="183DE96C" w:rsidR="00E12489" w:rsidRPr="00104227" w:rsidRDefault="00E12489" w:rsidP="00E4619F">
      <w:pPr>
        <w:pStyle w:val="Ttulo2"/>
        <w:numPr>
          <w:ilvl w:val="0"/>
          <w:numId w:val="90"/>
        </w:numPr>
        <w:tabs>
          <w:tab w:val="left" w:pos="3330"/>
        </w:tabs>
        <w:ind w:left="1080" w:hanging="360"/>
        <w:rPr>
          <w:lang w:val="en-US"/>
        </w:rPr>
      </w:pPr>
      <w:r w:rsidRPr="00104227">
        <w:rPr>
          <w:lang w:val="en-US"/>
        </w:rPr>
        <w:t xml:space="preserve"> </w:t>
      </w:r>
      <w:bookmarkStart w:id="113" w:name="_Toc31290558"/>
      <w:r w:rsidR="00B851FA" w:rsidRPr="00104227">
        <w:rPr>
          <w:lang w:val="en-US"/>
        </w:rPr>
        <w:t>The factual framework of the case</w:t>
      </w:r>
      <w:bookmarkEnd w:id="113"/>
    </w:p>
    <w:p w14:paraId="672DF6DF" w14:textId="77777777" w:rsidR="00E12489" w:rsidRPr="00104227" w:rsidRDefault="00E12489" w:rsidP="00E4619F">
      <w:pPr>
        <w:tabs>
          <w:tab w:val="left" w:pos="567"/>
        </w:tabs>
        <w:rPr>
          <w:lang w:eastAsia="es-MX"/>
        </w:rPr>
      </w:pPr>
    </w:p>
    <w:p w14:paraId="6964B4E8" w14:textId="11340BC7" w:rsidR="00E12489" w:rsidRPr="00104227" w:rsidRDefault="00AC3BFC" w:rsidP="00E4619F">
      <w:pPr>
        <w:pStyle w:val="Numberedparagraphs"/>
        <w:tabs>
          <w:tab w:val="left" w:pos="567"/>
        </w:tabs>
        <w:rPr>
          <w:b/>
          <w:lang w:val="en-US"/>
        </w:rPr>
      </w:pPr>
      <w:r w:rsidRPr="00104227">
        <w:rPr>
          <w:lang w:val="en-US"/>
        </w:rPr>
        <w:t xml:space="preserve">The </w:t>
      </w:r>
      <w:r w:rsidRPr="00104227">
        <w:rPr>
          <w:b/>
          <w:bCs/>
          <w:i/>
          <w:iCs/>
          <w:lang w:val="en-US"/>
        </w:rPr>
        <w:t>State</w:t>
      </w:r>
      <w:r w:rsidR="00E12489" w:rsidRPr="00104227">
        <w:rPr>
          <w:lang w:val="en-US"/>
        </w:rPr>
        <w:t xml:space="preserve"> </w:t>
      </w:r>
      <w:r w:rsidR="002149F9" w:rsidRPr="00104227">
        <w:rPr>
          <w:lang w:val="en-US"/>
        </w:rPr>
        <w:t>asserted that</w:t>
      </w:r>
      <w:r w:rsidR="008F3DE6" w:rsidRPr="00104227">
        <w:rPr>
          <w:lang w:val="en-US"/>
        </w:rPr>
        <w:t xml:space="preserve">, in their motions and pleadings brief, </w:t>
      </w:r>
      <w:r w:rsidR="002826A6" w:rsidRPr="00104227">
        <w:rPr>
          <w:lang w:val="en-US"/>
        </w:rPr>
        <w:t>the representatives</w:t>
      </w:r>
      <w:r w:rsidR="00E12489" w:rsidRPr="00104227">
        <w:rPr>
          <w:lang w:val="en-US"/>
        </w:rPr>
        <w:t xml:space="preserve"> </w:t>
      </w:r>
      <w:r w:rsidR="008F3DE6" w:rsidRPr="00104227">
        <w:rPr>
          <w:lang w:val="en-US"/>
        </w:rPr>
        <w:t xml:space="preserve">had </w:t>
      </w:r>
      <w:r w:rsidR="00E12489" w:rsidRPr="00104227">
        <w:rPr>
          <w:lang w:val="en-US"/>
        </w:rPr>
        <w:t>a</w:t>
      </w:r>
      <w:r w:rsidR="002149F9" w:rsidRPr="00104227">
        <w:rPr>
          <w:lang w:val="en-US"/>
        </w:rPr>
        <w:t xml:space="preserve">dded new facts with regard to the </w:t>
      </w:r>
      <w:r w:rsidR="00B851FA" w:rsidRPr="00104227">
        <w:rPr>
          <w:lang w:val="en-US"/>
        </w:rPr>
        <w:t>context</w:t>
      </w:r>
      <w:r w:rsidR="008F3DE6" w:rsidRPr="00104227">
        <w:rPr>
          <w:lang w:val="en-US"/>
        </w:rPr>
        <w:t xml:space="preserve"> </w:t>
      </w:r>
      <w:r w:rsidR="002149F9" w:rsidRPr="00104227">
        <w:rPr>
          <w:lang w:val="en-US"/>
        </w:rPr>
        <w:t xml:space="preserve">that the Commission had not included in its </w:t>
      </w:r>
      <w:r w:rsidR="002826A6" w:rsidRPr="00104227">
        <w:rPr>
          <w:lang w:val="en-US"/>
        </w:rPr>
        <w:t>Merits Report</w:t>
      </w:r>
      <w:r w:rsidR="00E12489" w:rsidRPr="00104227">
        <w:rPr>
          <w:lang w:val="en-US"/>
        </w:rPr>
        <w:t xml:space="preserve">. </w:t>
      </w:r>
      <w:r w:rsidR="002149F9" w:rsidRPr="00104227">
        <w:rPr>
          <w:lang w:val="en-US"/>
        </w:rPr>
        <w:t>Thus, the State asked</w:t>
      </w:r>
      <w:r w:rsidR="00BC5201" w:rsidRPr="00104227">
        <w:rPr>
          <w:lang w:val="en-US"/>
        </w:rPr>
        <w:t xml:space="preserve"> the Court</w:t>
      </w:r>
      <w:r w:rsidR="002149F9" w:rsidRPr="00104227">
        <w:rPr>
          <w:lang w:val="en-US"/>
        </w:rPr>
        <w:t xml:space="preserve">, when considering the context of the case, not </w:t>
      </w:r>
      <w:r w:rsidR="00BC5201" w:rsidRPr="00104227">
        <w:rPr>
          <w:lang w:val="en-US"/>
        </w:rPr>
        <w:t xml:space="preserve">to </w:t>
      </w:r>
      <w:r w:rsidR="002149F9" w:rsidRPr="00104227">
        <w:rPr>
          <w:lang w:val="en-US"/>
        </w:rPr>
        <w:t>take into</w:t>
      </w:r>
      <w:r w:rsidR="00BC5201" w:rsidRPr="00104227">
        <w:rPr>
          <w:lang w:val="en-US"/>
        </w:rPr>
        <w:t xml:space="preserve"> account the new allegations of the victims’ </w:t>
      </w:r>
      <w:r w:rsidR="00E12489" w:rsidRPr="00104227">
        <w:rPr>
          <w:lang w:val="en-US"/>
        </w:rPr>
        <w:t>representa</w:t>
      </w:r>
      <w:r w:rsidR="00BC5201" w:rsidRPr="00104227">
        <w:rPr>
          <w:lang w:val="en-US"/>
        </w:rPr>
        <w:t>tives concerning “supposed practices related to the use of force</w:t>
      </w:r>
      <w:r w:rsidR="00E12489" w:rsidRPr="00104227">
        <w:rPr>
          <w:lang w:val="en-US"/>
        </w:rPr>
        <w:t xml:space="preserve">, </w:t>
      </w:r>
      <w:r w:rsidR="00BC5201" w:rsidRPr="00104227">
        <w:rPr>
          <w:lang w:val="en-US"/>
        </w:rPr>
        <w:t>torture</w:t>
      </w:r>
      <w:r w:rsidR="00BF5241" w:rsidRPr="00104227">
        <w:rPr>
          <w:lang w:val="en-US"/>
        </w:rPr>
        <w:t xml:space="preserve"> and </w:t>
      </w:r>
      <w:r w:rsidR="00F12946" w:rsidRPr="00104227">
        <w:rPr>
          <w:lang w:val="en-US"/>
        </w:rPr>
        <w:t>violence against women</w:t>
      </w:r>
      <w:r w:rsidR="00E12489" w:rsidRPr="00104227">
        <w:rPr>
          <w:lang w:val="en-US"/>
        </w:rPr>
        <w:t xml:space="preserve">, </w:t>
      </w:r>
      <w:r w:rsidR="00BC5201" w:rsidRPr="00104227">
        <w:rPr>
          <w:lang w:val="en-US"/>
        </w:rPr>
        <w:t xml:space="preserve">which the Commission had not referred to in its </w:t>
      </w:r>
      <w:r w:rsidR="002826A6" w:rsidRPr="00104227">
        <w:rPr>
          <w:lang w:val="en-US"/>
        </w:rPr>
        <w:t>Merits Report</w:t>
      </w:r>
      <w:r w:rsidR="00BC5201" w:rsidRPr="00104227">
        <w:rPr>
          <w:lang w:val="en-US"/>
        </w:rPr>
        <w:t>.</w:t>
      </w:r>
      <w:r w:rsidR="00E12489" w:rsidRPr="00104227">
        <w:rPr>
          <w:lang w:val="en-US"/>
        </w:rPr>
        <w:t xml:space="preserve">” </w:t>
      </w:r>
    </w:p>
    <w:p w14:paraId="577D17B3" w14:textId="77777777" w:rsidR="00E12489" w:rsidRPr="00104227" w:rsidRDefault="00E12489" w:rsidP="00E4619F">
      <w:pPr>
        <w:tabs>
          <w:tab w:val="left" w:pos="567"/>
        </w:tabs>
        <w:rPr>
          <w:szCs w:val="20"/>
          <w:lang w:eastAsia="es-MX"/>
        </w:rPr>
      </w:pPr>
    </w:p>
    <w:p w14:paraId="75030BAF" w14:textId="78460393" w:rsidR="00E12489" w:rsidRPr="00104227" w:rsidRDefault="002826A6" w:rsidP="00E4619F">
      <w:pPr>
        <w:pStyle w:val="Numberedparagraphs"/>
        <w:tabs>
          <w:tab w:val="left" w:pos="567"/>
        </w:tabs>
        <w:rPr>
          <w:color w:val="00B050"/>
          <w:sz w:val="18"/>
          <w:szCs w:val="18"/>
          <w:lang w:val="en-US"/>
        </w:rPr>
      </w:pPr>
      <w:r w:rsidRPr="00104227">
        <w:rPr>
          <w:lang w:val="en-US"/>
        </w:rPr>
        <w:t xml:space="preserve">The </w:t>
      </w:r>
      <w:r w:rsidRPr="00104227">
        <w:rPr>
          <w:b/>
          <w:bCs/>
          <w:i/>
          <w:iCs/>
          <w:lang w:val="en-US"/>
        </w:rPr>
        <w:t>representatives</w:t>
      </w:r>
      <w:r w:rsidR="00E12489" w:rsidRPr="00104227">
        <w:rPr>
          <w:lang w:val="en-US"/>
        </w:rPr>
        <w:t xml:space="preserve"> a</w:t>
      </w:r>
      <w:r w:rsidR="00BC5201" w:rsidRPr="00104227">
        <w:rPr>
          <w:lang w:val="en-US"/>
        </w:rPr>
        <w:t>rgued that the purpose of the said facts was to explain, provide context to, and clarify the facts mentioned by</w:t>
      </w:r>
      <w:r w:rsidR="00E12489" w:rsidRPr="00104227">
        <w:rPr>
          <w:lang w:val="en-US"/>
        </w:rPr>
        <w:t xml:space="preserve"> </w:t>
      </w:r>
      <w:r w:rsidR="00BF5241" w:rsidRPr="00104227">
        <w:rPr>
          <w:lang w:val="en-US"/>
        </w:rPr>
        <w:t>the Commission</w:t>
      </w:r>
      <w:r w:rsidR="00E12489" w:rsidRPr="00104227">
        <w:rPr>
          <w:lang w:val="en-US"/>
        </w:rPr>
        <w:t xml:space="preserve"> </w:t>
      </w:r>
      <w:r w:rsidR="00BC5201" w:rsidRPr="00104227">
        <w:rPr>
          <w:lang w:val="en-US"/>
        </w:rPr>
        <w:t>in the Merits</w:t>
      </w:r>
      <w:r w:rsidRPr="00104227">
        <w:rPr>
          <w:lang w:val="en-US"/>
        </w:rPr>
        <w:t xml:space="preserve"> Report</w:t>
      </w:r>
      <w:r w:rsidR="00E12489" w:rsidRPr="00104227">
        <w:rPr>
          <w:lang w:val="en-US"/>
        </w:rPr>
        <w:t>,</w:t>
      </w:r>
      <w:r w:rsidR="00BC5201" w:rsidRPr="00104227">
        <w:rPr>
          <w:lang w:val="en-US"/>
        </w:rPr>
        <w:t xml:space="preserve"> and that they also referred to the claims of the State or to facts that form part of the </w:t>
      </w:r>
      <w:r w:rsidR="002A00F2" w:rsidRPr="00104227">
        <w:rPr>
          <w:lang w:val="en-US"/>
        </w:rPr>
        <w:t>State’s acknowledgement of responsibility</w:t>
      </w:r>
      <w:r w:rsidR="00A61D86" w:rsidRPr="00104227">
        <w:rPr>
          <w:lang w:val="en-US"/>
        </w:rPr>
        <w:t>.</w:t>
      </w:r>
    </w:p>
    <w:p w14:paraId="10E43ABA" w14:textId="77777777" w:rsidR="00E12489" w:rsidRPr="00104227" w:rsidRDefault="00E12489" w:rsidP="00E4619F">
      <w:pPr>
        <w:tabs>
          <w:tab w:val="left" w:pos="567"/>
        </w:tabs>
        <w:rPr>
          <w:lang w:eastAsia="es-MX"/>
        </w:rPr>
      </w:pPr>
    </w:p>
    <w:p w14:paraId="1EADB8AE" w14:textId="683EBD5A" w:rsidR="00E12489" w:rsidRPr="00104227" w:rsidRDefault="00BF5241" w:rsidP="00814266">
      <w:pPr>
        <w:pStyle w:val="Numberedparagraphs"/>
        <w:tabs>
          <w:tab w:val="left" w:pos="567"/>
        </w:tabs>
        <w:rPr>
          <w:rFonts w:cs="Verdana"/>
          <w:lang w:val="en-US"/>
        </w:rPr>
      </w:pPr>
      <w:r w:rsidRPr="00104227">
        <w:rPr>
          <w:lang w:val="en-US"/>
        </w:rPr>
        <w:t>This Court</w:t>
      </w:r>
      <w:r w:rsidR="00E12489" w:rsidRPr="00104227">
        <w:rPr>
          <w:lang w:val="en-US"/>
        </w:rPr>
        <w:t xml:space="preserve"> rec</w:t>
      </w:r>
      <w:r w:rsidR="00BC5201" w:rsidRPr="00104227">
        <w:rPr>
          <w:lang w:val="en-US"/>
        </w:rPr>
        <w:t>alls that the factual framework of the proceedings before it is constituted by the facts contained in the Merits</w:t>
      </w:r>
      <w:r w:rsidR="002826A6" w:rsidRPr="00104227">
        <w:rPr>
          <w:lang w:val="en-US"/>
        </w:rPr>
        <w:t xml:space="preserve"> Report</w:t>
      </w:r>
      <w:r w:rsidR="00E12489" w:rsidRPr="00104227">
        <w:rPr>
          <w:lang w:val="en-US"/>
        </w:rPr>
        <w:t xml:space="preserve"> s</w:t>
      </w:r>
      <w:r w:rsidR="00BC5201" w:rsidRPr="00104227">
        <w:rPr>
          <w:lang w:val="en-US"/>
        </w:rPr>
        <w:t>ubmitted to its consideration. Consequently, it is not admissible for the parties to allege new facts that differ from those included in the said report, without prejudice to presenting those that explain, clarify or</w:t>
      </w:r>
      <w:r w:rsidR="008F3DE6" w:rsidRPr="00104227">
        <w:rPr>
          <w:lang w:val="en-US"/>
        </w:rPr>
        <w:t xml:space="preserve"> </w:t>
      </w:r>
      <w:r w:rsidR="00BC5201" w:rsidRPr="00104227">
        <w:rPr>
          <w:lang w:val="en-US"/>
        </w:rPr>
        <w:t xml:space="preserve">reject the facts mentioned in the report and </w:t>
      </w:r>
      <w:r w:rsidR="008F3DE6" w:rsidRPr="00104227">
        <w:rPr>
          <w:lang w:val="en-US"/>
        </w:rPr>
        <w:t xml:space="preserve">that </w:t>
      </w:r>
      <w:r w:rsidR="00BC5201" w:rsidRPr="00104227">
        <w:rPr>
          <w:lang w:val="en-US"/>
        </w:rPr>
        <w:t xml:space="preserve">have been submitted to the Court’s </w:t>
      </w:r>
      <w:r w:rsidR="00E12489" w:rsidRPr="00104227">
        <w:rPr>
          <w:lang w:val="en-US"/>
        </w:rPr>
        <w:t>considera</w:t>
      </w:r>
      <w:r w:rsidR="00BC5201" w:rsidRPr="00104227">
        <w:rPr>
          <w:lang w:val="en-US"/>
        </w:rPr>
        <w:t>tio</w:t>
      </w:r>
      <w:r w:rsidR="00E12489" w:rsidRPr="00104227">
        <w:rPr>
          <w:lang w:val="en-US"/>
        </w:rPr>
        <w:t>n</w:t>
      </w:r>
      <w:r w:rsidR="00BC5201" w:rsidRPr="00104227">
        <w:rPr>
          <w:lang w:val="en-US"/>
        </w:rPr>
        <w:t>.</w:t>
      </w:r>
      <w:r w:rsidR="00E12489" w:rsidRPr="00104227">
        <w:rPr>
          <w:vertAlign w:val="superscript"/>
          <w:lang w:val="en-US"/>
        </w:rPr>
        <w:footnoteReference w:id="47"/>
      </w:r>
      <w:r w:rsidR="00BC5201" w:rsidRPr="00104227">
        <w:rPr>
          <w:lang w:val="en-US"/>
        </w:rPr>
        <w:t xml:space="preserve"> The exception to this principle are facts that are classified as supervening or when facts become known subsequently</w:t>
      </w:r>
      <w:r w:rsidR="008F3DE6" w:rsidRPr="00104227">
        <w:rPr>
          <w:lang w:val="en-US"/>
        </w:rPr>
        <w:t>,</w:t>
      </w:r>
      <w:r w:rsidR="00BC5201" w:rsidRPr="00104227">
        <w:rPr>
          <w:lang w:val="en-US"/>
        </w:rPr>
        <w:t xml:space="preserve"> or access to evidence about them </w:t>
      </w:r>
      <w:r w:rsidR="00814266" w:rsidRPr="00104227">
        <w:rPr>
          <w:lang w:val="en-US"/>
        </w:rPr>
        <w:t xml:space="preserve">becomes available, provided that </w:t>
      </w:r>
      <w:r w:rsidR="008F3DE6" w:rsidRPr="00104227">
        <w:rPr>
          <w:lang w:val="en-US"/>
        </w:rPr>
        <w:t>such facts</w:t>
      </w:r>
      <w:r w:rsidR="00814266" w:rsidRPr="00104227">
        <w:rPr>
          <w:lang w:val="en-US"/>
        </w:rPr>
        <w:t xml:space="preserve"> are </w:t>
      </w:r>
      <w:r w:rsidR="008F3DE6" w:rsidRPr="00104227">
        <w:rPr>
          <w:lang w:val="en-US"/>
        </w:rPr>
        <w:t>relate to</w:t>
      </w:r>
      <w:r w:rsidR="00814266" w:rsidRPr="00104227">
        <w:rPr>
          <w:lang w:val="en-US"/>
        </w:rPr>
        <w:t xml:space="preserve"> the facts of the proceedings. Ultimately</w:t>
      </w:r>
      <w:r w:rsidR="008F3DE6" w:rsidRPr="00104227">
        <w:rPr>
          <w:lang w:val="en-US"/>
        </w:rPr>
        <w:t>,</w:t>
      </w:r>
      <w:r w:rsidR="00814266" w:rsidRPr="00104227">
        <w:rPr>
          <w:lang w:val="en-US"/>
        </w:rPr>
        <w:t xml:space="preserve"> in each case, it is for the Court to decide on the admissibility of arguments relating to the factual framework in order to safeguard the procedural balance between the parties.</w:t>
      </w:r>
      <w:r w:rsidR="00E12489" w:rsidRPr="00104227">
        <w:rPr>
          <w:rFonts w:cs="Verdana"/>
          <w:vertAlign w:val="superscript"/>
          <w:lang w:val="en-US"/>
        </w:rPr>
        <w:footnoteReference w:id="48"/>
      </w:r>
    </w:p>
    <w:p w14:paraId="0992AD27" w14:textId="77777777" w:rsidR="00E12489" w:rsidRPr="00104227" w:rsidRDefault="00E12489" w:rsidP="00E4619F">
      <w:pPr>
        <w:tabs>
          <w:tab w:val="left" w:pos="567"/>
        </w:tabs>
        <w:rPr>
          <w:lang w:eastAsia="es-MX"/>
        </w:rPr>
      </w:pPr>
    </w:p>
    <w:p w14:paraId="5B095EA6" w14:textId="4CD36705" w:rsidR="00E12489" w:rsidRPr="00104227" w:rsidRDefault="00814266" w:rsidP="00E4619F">
      <w:pPr>
        <w:pStyle w:val="Numberedparagraphs"/>
        <w:tabs>
          <w:tab w:val="left" w:pos="567"/>
        </w:tabs>
        <w:rPr>
          <w:lang w:val="en-US"/>
        </w:rPr>
      </w:pPr>
      <w:r w:rsidRPr="00104227">
        <w:rPr>
          <w:lang w:val="en-US"/>
        </w:rPr>
        <w:t xml:space="preserve">In this regard, </w:t>
      </w:r>
      <w:r w:rsidR="00BF5241" w:rsidRPr="00104227">
        <w:rPr>
          <w:lang w:val="en-US"/>
        </w:rPr>
        <w:t>the Court</w:t>
      </w:r>
      <w:r w:rsidR="00E12489" w:rsidRPr="00104227">
        <w:rPr>
          <w:lang w:val="en-US"/>
        </w:rPr>
        <w:t xml:space="preserve"> </w:t>
      </w:r>
      <w:r w:rsidRPr="00104227">
        <w:rPr>
          <w:lang w:val="en-US"/>
        </w:rPr>
        <w:t>notes that</w:t>
      </w:r>
      <w:r w:rsidR="008F3DE6" w:rsidRPr="00104227">
        <w:rPr>
          <w:lang w:val="en-US"/>
        </w:rPr>
        <w:t>, in general,</w:t>
      </w:r>
      <w:r w:rsidRPr="00104227">
        <w:rPr>
          <w:lang w:val="en-US"/>
        </w:rPr>
        <w:t xml:space="preserve"> the facts described by</w:t>
      </w:r>
      <w:r w:rsidR="00E12489" w:rsidRPr="00104227">
        <w:rPr>
          <w:lang w:val="en-US"/>
        </w:rPr>
        <w:t xml:space="preserve"> </w:t>
      </w:r>
      <w:r w:rsidR="002826A6" w:rsidRPr="00104227">
        <w:rPr>
          <w:lang w:val="en-US"/>
        </w:rPr>
        <w:t>the representatives</w:t>
      </w:r>
      <w:r w:rsidR="00E12489" w:rsidRPr="00104227">
        <w:rPr>
          <w:lang w:val="en-US"/>
        </w:rPr>
        <w:t xml:space="preserve"> </w:t>
      </w:r>
      <w:r w:rsidRPr="00104227">
        <w:rPr>
          <w:lang w:val="en-US"/>
        </w:rPr>
        <w:t xml:space="preserve">as part of the context refer to: (i) the repression of social protest in </w:t>
      </w:r>
      <w:r w:rsidR="00BF5241" w:rsidRPr="00104227">
        <w:rPr>
          <w:lang w:val="en-US"/>
        </w:rPr>
        <w:t>Mexico</w:t>
      </w:r>
      <w:r w:rsidR="00A61D86" w:rsidRPr="00104227">
        <w:rPr>
          <w:lang w:val="en-US"/>
        </w:rPr>
        <w:t>,</w:t>
      </w:r>
      <w:r w:rsidR="00BF5241" w:rsidRPr="00104227">
        <w:rPr>
          <w:lang w:val="en-US"/>
        </w:rPr>
        <w:t xml:space="preserve"> and </w:t>
      </w:r>
      <w:r w:rsidR="00E12489" w:rsidRPr="00104227">
        <w:rPr>
          <w:lang w:val="en-US"/>
        </w:rPr>
        <w:t xml:space="preserve">(ii) </w:t>
      </w:r>
      <w:r w:rsidRPr="00104227">
        <w:rPr>
          <w:lang w:val="en-US"/>
        </w:rPr>
        <w:t>the generalized use of torture and sexual violence against women</w:t>
      </w:r>
      <w:r w:rsidR="00E12489" w:rsidRPr="00104227">
        <w:rPr>
          <w:lang w:val="en-US"/>
        </w:rPr>
        <w:t xml:space="preserve">, </w:t>
      </w:r>
      <w:r w:rsidR="008F3DE6" w:rsidRPr="00104227">
        <w:rPr>
          <w:lang w:val="en-US"/>
        </w:rPr>
        <w:t>and this</w:t>
      </w:r>
      <w:r w:rsidRPr="00104227">
        <w:rPr>
          <w:lang w:val="en-US"/>
        </w:rPr>
        <w:t xml:space="preserve"> includes references to</w:t>
      </w:r>
      <w:r w:rsidR="00A61D86" w:rsidRPr="00104227">
        <w:rPr>
          <w:lang w:val="en-US"/>
        </w:rPr>
        <w:t>:</w:t>
      </w:r>
      <w:r w:rsidR="00E12489" w:rsidRPr="00104227">
        <w:rPr>
          <w:lang w:val="en-US"/>
        </w:rPr>
        <w:t xml:space="preserve"> (a) </w:t>
      </w:r>
      <w:r w:rsidRPr="00104227">
        <w:rPr>
          <w:lang w:val="en-US"/>
        </w:rPr>
        <w:t xml:space="preserve">the generalized use of </w:t>
      </w:r>
      <w:r w:rsidR="00BC5201" w:rsidRPr="00104227">
        <w:rPr>
          <w:lang w:val="en-US"/>
        </w:rPr>
        <w:t>torture</w:t>
      </w:r>
      <w:r w:rsidRPr="00104227">
        <w:rPr>
          <w:lang w:val="en-US"/>
        </w:rPr>
        <w:t xml:space="preserve"> in Mexico</w:t>
      </w:r>
      <w:r w:rsidR="00BF5241" w:rsidRPr="00104227">
        <w:rPr>
          <w:lang w:val="en-US"/>
        </w:rPr>
        <w:t xml:space="preserve"> and </w:t>
      </w:r>
      <w:r w:rsidRPr="00104227">
        <w:rPr>
          <w:lang w:val="en-US"/>
        </w:rPr>
        <w:t xml:space="preserve">the absence of documentation on its aftereffects; </w:t>
      </w:r>
      <w:r w:rsidR="00E12489" w:rsidRPr="00104227">
        <w:rPr>
          <w:lang w:val="en-US"/>
        </w:rPr>
        <w:t xml:space="preserve">(b) </w:t>
      </w:r>
      <w:r w:rsidRPr="00104227">
        <w:rPr>
          <w:lang w:val="en-US"/>
        </w:rPr>
        <w:t>sexual violence</w:t>
      </w:r>
      <w:r w:rsidR="00A61D86" w:rsidRPr="00104227">
        <w:rPr>
          <w:lang w:val="en-US"/>
        </w:rPr>
        <w:t>,</w:t>
      </w:r>
      <w:r w:rsidR="00E12489" w:rsidRPr="00104227">
        <w:rPr>
          <w:lang w:val="en-US"/>
        </w:rPr>
        <w:t xml:space="preserve"> </w:t>
      </w:r>
      <w:r w:rsidRPr="00104227">
        <w:rPr>
          <w:lang w:val="en-US"/>
        </w:rPr>
        <w:t>discrimination</w:t>
      </w:r>
      <w:r w:rsidR="00BF5241" w:rsidRPr="00104227">
        <w:rPr>
          <w:lang w:val="en-US"/>
        </w:rPr>
        <w:t xml:space="preserve"> and </w:t>
      </w:r>
      <w:r w:rsidRPr="00104227">
        <w:rPr>
          <w:lang w:val="en-US"/>
        </w:rPr>
        <w:t>lack of access to justice for women in Mexico</w:t>
      </w:r>
      <w:r w:rsidR="00E12489" w:rsidRPr="00104227">
        <w:rPr>
          <w:lang w:val="en-US"/>
        </w:rPr>
        <w:t>,</w:t>
      </w:r>
      <w:r w:rsidR="00BF5241" w:rsidRPr="00104227">
        <w:rPr>
          <w:lang w:val="en-US"/>
        </w:rPr>
        <w:t xml:space="preserve"> and </w:t>
      </w:r>
      <w:r w:rsidR="00E12489" w:rsidRPr="00104227">
        <w:rPr>
          <w:lang w:val="en-US"/>
        </w:rPr>
        <w:t xml:space="preserve">(c) </w:t>
      </w:r>
      <w:r w:rsidRPr="00104227">
        <w:rPr>
          <w:lang w:val="en-US"/>
        </w:rPr>
        <w:t>sexual</w:t>
      </w:r>
      <w:r w:rsidR="00E12489" w:rsidRPr="00104227">
        <w:rPr>
          <w:lang w:val="en-US"/>
        </w:rPr>
        <w:t xml:space="preserve"> </w:t>
      </w:r>
      <w:r w:rsidR="00BC5201" w:rsidRPr="00104227">
        <w:rPr>
          <w:lang w:val="en-US"/>
        </w:rPr>
        <w:t>torture</w:t>
      </w:r>
      <w:r w:rsidR="00E12489" w:rsidRPr="00104227">
        <w:rPr>
          <w:lang w:val="en-US"/>
        </w:rPr>
        <w:t xml:space="preserve"> </w:t>
      </w:r>
      <w:r w:rsidRPr="00104227">
        <w:rPr>
          <w:lang w:val="en-US"/>
        </w:rPr>
        <w:t xml:space="preserve">against women in Mexico. Thus, they go far beyond the factual framework included by </w:t>
      </w:r>
      <w:r w:rsidR="00E12489" w:rsidRPr="00104227">
        <w:rPr>
          <w:lang w:val="en-US"/>
        </w:rPr>
        <w:t xml:space="preserve"> </w:t>
      </w:r>
      <w:r w:rsidR="00BF5241" w:rsidRPr="00104227">
        <w:rPr>
          <w:lang w:val="en-US"/>
        </w:rPr>
        <w:t>the Commission</w:t>
      </w:r>
      <w:r w:rsidR="00E12489" w:rsidRPr="00104227">
        <w:rPr>
          <w:lang w:val="en-US"/>
        </w:rPr>
        <w:t xml:space="preserve"> </w:t>
      </w:r>
      <w:r w:rsidR="00BC5201" w:rsidRPr="00104227">
        <w:rPr>
          <w:lang w:val="en-US"/>
        </w:rPr>
        <w:t>in the Merits</w:t>
      </w:r>
      <w:r w:rsidR="002826A6" w:rsidRPr="00104227">
        <w:rPr>
          <w:lang w:val="en-US"/>
        </w:rPr>
        <w:t xml:space="preserve"> Report</w:t>
      </w:r>
      <w:r w:rsidR="00BF5241" w:rsidRPr="00104227">
        <w:rPr>
          <w:lang w:val="en-US"/>
        </w:rPr>
        <w:t xml:space="preserve"> and</w:t>
      </w:r>
      <w:r w:rsidRPr="00104227">
        <w:rPr>
          <w:lang w:val="en-US"/>
        </w:rPr>
        <w:t>, therefore, there purpose is not to explain or clarify the facts included therein, but to present a different context. Consequently, the Court will not inco</w:t>
      </w:r>
      <w:r w:rsidR="008F3DE6" w:rsidRPr="00104227">
        <w:rPr>
          <w:lang w:val="en-US"/>
        </w:rPr>
        <w:t>r</w:t>
      </w:r>
      <w:r w:rsidRPr="00104227">
        <w:rPr>
          <w:lang w:val="en-US"/>
        </w:rPr>
        <w:t>porate them into the analysis of the context of this case.</w:t>
      </w:r>
    </w:p>
    <w:p w14:paraId="1180E9F6" w14:textId="77777777" w:rsidR="00E12489" w:rsidRPr="00104227" w:rsidRDefault="00E12489" w:rsidP="00E4619F">
      <w:pPr>
        <w:tabs>
          <w:tab w:val="left" w:pos="567"/>
        </w:tabs>
        <w:rPr>
          <w:lang w:eastAsia="es-MX"/>
        </w:rPr>
      </w:pPr>
    </w:p>
    <w:p w14:paraId="199C4C2D" w14:textId="2F9C63DB" w:rsidR="00E12489" w:rsidRPr="00104227" w:rsidRDefault="00B851FA" w:rsidP="00E4619F">
      <w:pPr>
        <w:pStyle w:val="Ttulo2"/>
        <w:ind w:left="990" w:hanging="270"/>
        <w:rPr>
          <w:lang w:val="en-US"/>
        </w:rPr>
      </w:pPr>
      <w:bookmarkStart w:id="114" w:name="_Toc31290559"/>
      <w:r w:rsidRPr="00104227">
        <w:rPr>
          <w:lang w:val="en-US"/>
        </w:rPr>
        <w:t>The presumed victims in this case</w:t>
      </w:r>
      <w:bookmarkEnd w:id="114"/>
    </w:p>
    <w:p w14:paraId="1C230A9B" w14:textId="77777777" w:rsidR="00E12489" w:rsidRPr="00104227" w:rsidRDefault="00E12489" w:rsidP="00E4619F">
      <w:pPr>
        <w:tabs>
          <w:tab w:val="left" w:pos="567"/>
        </w:tabs>
        <w:rPr>
          <w:lang w:eastAsia="es-MX"/>
        </w:rPr>
      </w:pPr>
    </w:p>
    <w:p w14:paraId="075A8EE4" w14:textId="2D778742" w:rsidR="00E12489" w:rsidRPr="00104227" w:rsidRDefault="00814266" w:rsidP="00E4619F">
      <w:pPr>
        <w:pStyle w:val="Numberedparagraphs"/>
        <w:tabs>
          <w:tab w:val="left" w:pos="567"/>
        </w:tabs>
        <w:rPr>
          <w:b/>
          <w:lang w:val="en-US"/>
        </w:rPr>
      </w:pPr>
      <w:r w:rsidRPr="00104227">
        <w:rPr>
          <w:lang w:val="en-US"/>
        </w:rPr>
        <w:t>In their</w:t>
      </w:r>
      <w:r w:rsidR="00E12489" w:rsidRPr="00104227">
        <w:rPr>
          <w:lang w:val="en-US"/>
        </w:rPr>
        <w:t xml:space="preserve"> </w:t>
      </w:r>
      <w:r w:rsidR="00AA3133" w:rsidRPr="00104227">
        <w:rPr>
          <w:lang w:val="en-US"/>
        </w:rPr>
        <w:t>motions and pleadings brief</w:t>
      </w:r>
      <w:r w:rsidR="00E12489" w:rsidRPr="00104227">
        <w:rPr>
          <w:lang w:val="en-US"/>
        </w:rPr>
        <w:t xml:space="preserve">, </w:t>
      </w:r>
      <w:r w:rsidR="002826A6" w:rsidRPr="00104227">
        <w:rPr>
          <w:lang w:val="en-US"/>
        </w:rPr>
        <w:t>the representatives</w:t>
      </w:r>
      <w:r w:rsidR="00E12489" w:rsidRPr="00104227">
        <w:rPr>
          <w:lang w:val="en-US"/>
        </w:rPr>
        <w:t xml:space="preserve"> a</w:t>
      </w:r>
      <w:r w:rsidRPr="00104227">
        <w:rPr>
          <w:lang w:val="en-US"/>
        </w:rPr>
        <w:t xml:space="preserve">dded </w:t>
      </w:r>
      <w:r w:rsidR="00DC1FF9" w:rsidRPr="00104227">
        <w:rPr>
          <w:lang w:val="en-US"/>
        </w:rPr>
        <w:t>Bertha Rosales Gutié</w:t>
      </w:r>
      <w:r w:rsidR="00E12489" w:rsidRPr="00104227">
        <w:rPr>
          <w:lang w:val="en-US"/>
        </w:rPr>
        <w:t>rrez,</w:t>
      </w:r>
      <w:r w:rsidR="00E12489" w:rsidRPr="00104227">
        <w:rPr>
          <w:b/>
          <w:lang w:val="en-US"/>
        </w:rPr>
        <w:t xml:space="preserve"> </w:t>
      </w:r>
      <w:r w:rsidRPr="00104227">
        <w:rPr>
          <w:lang w:val="en-US"/>
        </w:rPr>
        <w:t>the sister of</w:t>
      </w:r>
      <w:r w:rsidR="00E12489" w:rsidRPr="00104227">
        <w:rPr>
          <w:lang w:val="en-US"/>
        </w:rPr>
        <w:t xml:space="preserve"> Georgina Edith </w:t>
      </w:r>
      <w:r w:rsidR="00B01A03" w:rsidRPr="00104227">
        <w:rPr>
          <w:lang w:val="en-US"/>
        </w:rPr>
        <w:t>Rosales</w:t>
      </w:r>
      <w:r w:rsidR="00E12489" w:rsidRPr="00104227">
        <w:rPr>
          <w:lang w:val="en-US"/>
        </w:rPr>
        <w:t xml:space="preserve"> Gutiérrez</w:t>
      </w:r>
      <w:r w:rsidRPr="00104227">
        <w:rPr>
          <w:lang w:val="en-US"/>
        </w:rPr>
        <w:t>, as a presumed victim.</w:t>
      </w:r>
      <w:r w:rsidR="00E12489" w:rsidRPr="00104227">
        <w:rPr>
          <w:rStyle w:val="Refdenotaalpie"/>
          <w:lang w:val="en-US"/>
        </w:rPr>
        <w:footnoteReference w:id="49"/>
      </w:r>
      <w:r w:rsidR="00E12489" w:rsidRPr="00104227">
        <w:rPr>
          <w:lang w:val="en-US"/>
        </w:rPr>
        <w:t xml:space="preserve"> </w:t>
      </w:r>
      <w:r w:rsidRPr="00104227">
        <w:rPr>
          <w:lang w:val="en-US"/>
        </w:rPr>
        <w:t>According to</w:t>
      </w:r>
      <w:r w:rsidR="00E12489" w:rsidRPr="00104227">
        <w:rPr>
          <w:lang w:val="en-US"/>
        </w:rPr>
        <w:t xml:space="preserve"> </w:t>
      </w:r>
      <w:r w:rsidR="002826A6" w:rsidRPr="00104227">
        <w:rPr>
          <w:lang w:val="en-US"/>
        </w:rPr>
        <w:t>the representatives</w:t>
      </w:r>
      <w:r w:rsidR="00E12489" w:rsidRPr="00104227">
        <w:rPr>
          <w:lang w:val="en-US"/>
        </w:rPr>
        <w:t xml:space="preserve">, </w:t>
      </w:r>
      <w:r w:rsidRPr="00104227">
        <w:rPr>
          <w:lang w:val="en-US"/>
        </w:rPr>
        <w:t>owing to a</w:t>
      </w:r>
      <w:r w:rsidR="00E12489" w:rsidRPr="00104227">
        <w:rPr>
          <w:lang w:val="en-US"/>
        </w:rPr>
        <w:t xml:space="preserve"> “</w:t>
      </w:r>
      <w:r w:rsidR="000A14CF" w:rsidRPr="00104227">
        <w:rPr>
          <w:lang w:val="en-US"/>
        </w:rPr>
        <w:t>transcription</w:t>
      </w:r>
      <w:r w:rsidRPr="00104227">
        <w:rPr>
          <w:lang w:val="en-US"/>
        </w:rPr>
        <w:t xml:space="preserve"> </w:t>
      </w:r>
      <w:r w:rsidR="00E12489" w:rsidRPr="00104227">
        <w:rPr>
          <w:lang w:val="en-US"/>
        </w:rPr>
        <w:t xml:space="preserve">error </w:t>
      </w:r>
      <w:r w:rsidRPr="00104227">
        <w:rPr>
          <w:lang w:val="en-US"/>
        </w:rPr>
        <w:t>in the annex to the</w:t>
      </w:r>
      <w:r w:rsidR="00E12489" w:rsidRPr="00104227">
        <w:rPr>
          <w:lang w:val="en-US"/>
        </w:rPr>
        <w:t xml:space="preserve"> </w:t>
      </w:r>
      <w:r w:rsidR="002826A6" w:rsidRPr="00104227">
        <w:rPr>
          <w:lang w:val="en-US"/>
        </w:rPr>
        <w:t>Merits Report</w:t>
      </w:r>
      <w:r w:rsidRPr="00104227">
        <w:rPr>
          <w:lang w:val="en-US"/>
        </w:rPr>
        <w:t xml:space="preserve"> [her name] was omitted,</w:t>
      </w:r>
      <w:r w:rsidR="00E12489" w:rsidRPr="00104227">
        <w:rPr>
          <w:lang w:val="en-US"/>
        </w:rPr>
        <w:t>”</w:t>
      </w:r>
      <w:r w:rsidRPr="00104227">
        <w:rPr>
          <w:lang w:val="en-US"/>
        </w:rPr>
        <w:t xml:space="preserve"> but she had been included in the brief on merits submitted to </w:t>
      </w:r>
      <w:r w:rsidR="00BF5241" w:rsidRPr="00104227">
        <w:rPr>
          <w:lang w:val="en-US"/>
        </w:rPr>
        <w:t>the Commission</w:t>
      </w:r>
      <w:r w:rsidR="00114C70" w:rsidRPr="00104227">
        <w:rPr>
          <w:lang w:val="en-US"/>
        </w:rPr>
        <w:t xml:space="preserve"> </w:t>
      </w:r>
      <w:r w:rsidRPr="00104227">
        <w:rPr>
          <w:lang w:val="en-US"/>
        </w:rPr>
        <w:t xml:space="preserve">in which </w:t>
      </w:r>
      <w:r w:rsidR="0094395C" w:rsidRPr="00104227">
        <w:rPr>
          <w:lang w:val="en-US"/>
        </w:rPr>
        <w:t>the next of kin</w:t>
      </w:r>
      <w:r w:rsidR="00E12489" w:rsidRPr="00104227">
        <w:rPr>
          <w:lang w:val="en-US"/>
        </w:rPr>
        <w:t xml:space="preserve"> </w:t>
      </w:r>
      <w:r w:rsidR="00F12946" w:rsidRPr="00104227">
        <w:rPr>
          <w:lang w:val="en-US"/>
        </w:rPr>
        <w:t>of the eleven women</w:t>
      </w:r>
      <w:r w:rsidR="00E12489" w:rsidRPr="00104227">
        <w:rPr>
          <w:lang w:val="en-US"/>
        </w:rPr>
        <w:t xml:space="preserve"> </w:t>
      </w:r>
      <w:r w:rsidRPr="00104227">
        <w:rPr>
          <w:lang w:val="en-US"/>
        </w:rPr>
        <w:t xml:space="preserve">presumed </w:t>
      </w:r>
      <w:r w:rsidR="000A14CF" w:rsidRPr="00104227">
        <w:rPr>
          <w:lang w:val="en-US"/>
        </w:rPr>
        <w:t>victims</w:t>
      </w:r>
      <w:r w:rsidRPr="00104227">
        <w:rPr>
          <w:lang w:val="en-US"/>
        </w:rPr>
        <w:t xml:space="preserve"> in this case were identified. Neither </w:t>
      </w:r>
      <w:r w:rsidR="00BF5241" w:rsidRPr="00104227">
        <w:rPr>
          <w:lang w:val="en-US"/>
        </w:rPr>
        <w:t>the Commission</w:t>
      </w:r>
      <w:r w:rsidR="00E12489" w:rsidRPr="00104227">
        <w:rPr>
          <w:lang w:val="en-US"/>
        </w:rPr>
        <w:t xml:space="preserve"> n</w:t>
      </w:r>
      <w:r w:rsidRPr="00104227">
        <w:rPr>
          <w:lang w:val="en-US"/>
        </w:rPr>
        <w:t>or</w:t>
      </w:r>
      <w:r w:rsidR="00E12489" w:rsidRPr="00104227">
        <w:rPr>
          <w:lang w:val="en-US"/>
        </w:rPr>
        <w:t xml:space="preserve"> </w:t>
      </w:r>
      <w:r w:rsidR="00AC3BFC" w:rsidRPr="00104227">
        <w:rPr>
          <w:lang w:val="en-US"/>
        </w:rPr>
        <w:t>the State</w:t>
      </w:r>
      <w:r w:rsidR="00E12489" w:rsidRPr="00104227">
        <w:rPr>
          <w:lang w:val="en-US"/>
        </w:rPr>
        <w:t xml:space="preserve"> </w:t>
      </w:r>
      <w:r w:rsidRPr="00104227">
        <w:rPr>
          <w:lang w:val="en-US"/>
        </w:rPr>
        <w:t>referred to this factor.</w:t>
      </w:r>
    </w:p>
    <w:p w14:paraId="3828653E" w14:textId="77777777" w:rsidR="00E12489" w:rsidRPr="00104227" w:rsidRDefault="00E12489" w:rsidP="00E4619F">
      <w:pPr>
        <w:tabs>
          <w:tab w:val="left" w:pos="567"/>
        </w:tabs>
        <w:rPr>
          <w:lang w:eastAsia="es-MX"/>
        </w:rPr>
      </w:pPr>
    </w:p>
    <w:p w14:paraId="025E5019" w14:textId="3CFCB24D" w:rsidR="00E12489" w:rsidRPr="00104227" w:rsidRDefault="00BF5241" w:rsidP="00E11B8E">
      <w:pPr>
        <w:pStyle w:val="Numberedparagraphs"/>
        <w:tabs>
          <w:tab w:val="left" w:pos="567"/>
        </w:tabs>
        <w:rPr>
          <w:lang w:val="en-US" w:eastAsia="es-MX"/>
        </w:rPr>
      </w:pPr>
      <w:r w:rsidRPr="00104227">
        <w:rPr>
          <w:noProof/>
          <w:lang w:val="en-US"/>
        </w:rPr>
        <w:t>Article</w:t>
      </w:r>
      <w:r w:rsidR="00E12489" w:rsidRPr="00104227">
        <w:rPr>
          <w:noProof/>
          <w:lang w:val="en-US"/>
        </w:rPr>
        <w:t xml:space="preserve"> 3</w:t>
      </w:r>
      <w:r w:rsidR="0094395C" w:rsidRPr="00104227">
        <w:rPr>
          <w:noProof/>
          <w:lang w:val="en-US"/>
        </w:rPr>
        <w:t>5(1)</w:t>
      </w:r>
      <w:r w:rsidRPr="00104227">
        <w:rPr>
          <w:noProof/>
          <w:lang w:val="en-US"/>
        </w:rPr>
        <w:t xml:space="preserve"> of the </w:t>
      </w:r>
      <w:r w:rsidR="00814266" w:rsidRPr="00104227">
        <w:rPr>
          <w:noProof/>
          <w:lang w:val="en-US"/>
        </w:rPr>
        <w:t xml:space="preserve">Court’s </w:t>
      </w:r>
      <w:r w:rsidRPr="00104227">
        <w:rPr>
          <w:noProof/>
          <w:lang w:val="en-US"/>
        </w:rPr>
        <w:t xml:space="preserve">Rules of Procedure </w:t>
      </w:r>
      <w:r w:rsidR="00814266" w:rsidRPr="00104227">
        <w:rPr>
          <w:noProof/>
          <w:lang w:val="en-US"/>
        </w:rPr>
        <w:t>establishes that the</w:t>
      </w:r>
      <w:r w:rsidR="00E12489" w:rsidRPr="00104227">
        <w:rPr>
          <w:noProof/>
          <w:lang w:val="en-US"/>
        </w:rPr>
        <w:t xml:space="preserve"> </w:t>
      </w:r>
      <w:r w:rsidR="002826A6" w:rsidRPr="00104227">
        <w:rPr>
          <w:noProof/>
          <w:lang w:val="en-US"/>
        </w:rPr>
        <w:t>Merits Report</w:t>
      </w:r>
      <w:r w:rsidR="00E12489" w:rsidRPr="00104227">
        <w:rPr>
          <w:noProof/>
          <w:lang w:val="en-US"/>
        </w:rPr>
        <w:t xml:space="preserve"> </w:t>
      </w:r>
      <w:r w:rsidR="00814266" w:rsidRPr="00104227">
        <w:rPr>
          <w:noProof/>
          <w:lang w:val="en-US"/>
        </w:rPr>
        <w:t>must identify</w:t>
      </w:r>
      <w:r w:rsidR="007F1912" w:rsidRPr="00104227">
        <w:rPr>
          <w:noProof/>
          <w:lang w:val="en-US"/>
        </w:rPr>
        <w:t xml:space="preserve"> the </w:t>
      </w:r>
      <w:r w:rsidR="00AA3133" w:rsidRPr="00104227">
        <w:rPr>
          <w:noProof/>
          <w:lang w:val="en-US"/>
        </w:rPr>
        <w:t>presumed victims</w:t>
      </w:r>
      <w:r w:rsidR="00E12489" w:rsidRPr="00104227">
        <w:rPr>
          <w:noProof/>
          <w:lang w:val="en-US"/>
        </w:rPr>
        <w:t xml:space="preserve">, </w:t>
      </w:r>
      <w:r w:rsidR="00814266" w:rsidRPr="00104227">
        <w:rPr>
          <w:noProof/>
          <w:lang w:val="en-US"/>
        </w:rPr>
        <w:t>with the exception of the cases established in Article</w:t>
      </w:r>
      <w:r w:rsidR="00E12489" w:rsidRPr="00104227">
        <w:rPr>
          <w:noProof/>
          <w:lang w:val="en-US"/>
        </w:rPr>
        <w:t xml:space="preserve"> 3</w:t>
      </w:r>
      <w:r w:rsidR="0094395C" w:rsidRPr="00104227">
        <w:rPr>
          <w:noProof/>
          <w:lang w:val="en-US"/>
        </w:rPr>
        <w:t>5(2)</w:t>
      </w:r>
      <w:r w:rsidR="00E12489" w:rsidRPr="00104227">
        <w:rPr>
          <w:noProof/>
          <w:lang w:val="en-US"/>
        </w:rPr>
        <w:t xml:space="preserve"> </w:t>
      </w:r>
      <w:r w:rsidR="00C2124F" w:rsidRPr="00104227">
        <w:rPr>
          <w:noProof/>
          <w:lang w:val="en-US"/>
        </w:rPr>
        <w:t>of this instrument</w:t>
      </w:r>
      <w:r w:rsidR="00E12489" w:rsidRPr="00104227">
        <w:rPr>
          <w:noProof/>
          <w:lang w:val="en-US"/>
        </w:rPr>
        <w:t xml:space="preserve">. </w:t>
      </w:r>
      <w:r w:rsidR="00814266" w:rsidRPr="00104227">
        <w:rPr>
          <w:noProof/>
          <w:lang w:val="en-US"/>
        </w:rPr>
        <w:t>In this case</w:t>
      </w:r>
      <w:r w:rsidR="00E12489" w:rsidRPr="00104227">
        <w:rPr>
          <w:noProof/>
          <w:lang w:val="en-US"/>
        </w:rPr>
        <w:t xml:space="preserve">, </w:t>
      </w:r>
      <w:r w:rsidRPr="00104227">
        <w:rPr>
          <w:rFonts w:eastAsia="Verdana" w:cs="Verdana"/>
          <w:lang w:val="en-US"/>
        </w:rPr>
        <w:t>this Court</w:t>
      </w:r>
      <w:r w:rsidR="00E12489" w:rsidRPr="00104227">
        <w:rPr>
          <w:rFonts w:eastAsia="Verdana" w:cs="Verdana"/>
          <w:lang w:val="en-US"/>
        </w:rPr>
        <w:t xml:space="preserve"> </w:t>
      </w:r>
      <w:r w:rsidR="00814266" w:rsidRPr="00104227">
        <w:rPr>
          <w:rFonts w:eastAsia="Verdana" w:cs="Verdana"/>
          <w:lang w:val="en-US"/>
        </w:rPr>
        <w:t xml:space="preserve">notes that </w:t>
      </w:r>
      <w:r w:rsidR="002826A6" w:rsidRPr="00104227">
        <w:rPr>
          <w:rFonts w:eastAsia="Verdana" w:cs="Verdana"/>
          <w:lang w:val="en-US"/>
        </w:rPr>
        <w:t>the representatives</w:t>
      </w:r>
      <w:r w:rsidR="00E12489" w:rsidRPr="00104227">
        <w:rPr>
          <w:rFonts w:eastAsia="Verdana" w:cs="Verdana"/>
          <w:lang w:val="en-US"/>
        </w:rPr>
        <w:t xml:space="preserve"> </w:t>
      </w:r>
      <w:r w:rsidR="00814266" w:rsidRPr="00104227">
        <w:rPr>
          <w:rFonts w:eastAsia="Verdana" w:cs="Verdana"/>
          <w:lang w:val="en-US"/>
        </w:rPr>
        <w:t xml:space="preserve">informed the Commission of the identity of all the presumed victims, including </w:t>
      </w:r>
      <w:r w:rsidR="00814266" w:rsidRPr="00104227">
        <w:rPr>
          <w:lang w:val="en-US"/>
        </w:rPr>
        <w:t>Bertha Rosales Gutiérrez</w:t>
      </w:r>
      <w:r w:rsidR="00E12489" w:rsidRPr="00104227">
        <w:rPr>
          <w:rFonts w:eastAsia="Verdana" w:cs="Verdana"/>
          <w:lang w:val="en-US"/>
        </w:rPr>
        <w:t xml:space="preserve"> </w:t>
      </w:r>
      <w:r w:rsidR="00814266" w:rsidRPr="00104227">
        <w:rPr>
          <w:rFonts w:eastAsia="Verdana" w:cs="Verdana"/>
          <w:lang w:val="en-US"/>
        </w:rPr>
        <w:t xml:space="preserve">at the proper opportunity during the procedure before that organ, </w:t>
      </w:r>
      <w:r w:rsidR="008F3DE6" w:rsidRPr="00104227">
        <w:rPr>
          <w:rFonts w:eastAsia="Verdana" w:cs="Verdana"/>
          <w:lang w:val="en-US"/>
        </w:rPr>
        <w:t>prior to</w:t>
      </w:r>
      <w:r w:rsidR="00814266" w:rsidRPr="00104227">
        <w:rPr>
          <w:rFonts w:eastAsia="Verdana" w:cs="Verdana"/>
          <w:lang w:val="en-US"/>
        </w:rPr>
        <w:t xml:space="preserve"> the issue of the said</w:t>
      </w:r>
      <w:r w:rsidR="00E12489" w:rsidRPr="00104227">
        <w:rPr>
          <w:rFonts w:eastAsia="Verdana" w:cs="Verdana"/>
          <w:lang w:val="en-US"/>
        </w:rPr>
        <w:t xml:space="preserve"> </w:t>
      </w:r>
      <w:r w:rsidR="002826A6" w:rsidRPr="00104227">
        <w:rPr>
          <w:rFonts w:eastAsia="Verdana" w:cs="Verdana"/>
          <w:lang w:val="en-US"/>
        </w:rPr>
        <w:t>Merits Report</w:t>
      </w:r>
      <w:r w:rsidR="00814266" w:rsidRPr="00104227">
        <w:rPr>
          <w:rFonts w:eastAsia="Verdana" w:cs="Verdana"/>
          <w:lang w:val="en-US"/>
        </w:rPr>
        <w:t>.</w:t>
      </w:r>
      <w:r w:rsidR="00E12489" w:rsidRPr="00104227">
        <w:rPr>
          <w:rStyle w:val="Refdenotaalpie"/>
          <w:lang w:val="en-US"/>
        </w:rPr>
        <w:footnoteReference w:id="50"/>
      </w:r>
      <w:r w:rsidR="00E12489" w:rsidRPr="00104227">
        <w:rPr>
          <w:rFonts w:eastAsia="Verdana" w:cs="Verdana"/>
          <w:lang w:val="en-US"/>
        </w:rPr>
        <w:t xml:space="preserve"> </w:t>
      </w:r>
      <w:r w:rsidR="00814266" w:rsidRPr="00104227">
        <w:rPr>
          <w:rFonts w:eastAsia="Verdana" w:cs="Verdana"/>
          <w:lang w:val="en-US"/>
        </w:rPr>
        <w:t xml:space="preserve">Accordingly, the Court notes that the failure to include her </w:t>
      </w:r>
      <w:r w:rsidR="00BC5201" w:rsidRPr="00104227">
        <w:rPr>
          <w:rFonts w:eastAsia="Verdana" w:cs="Verdana"/>
          <w:lang w:val="en-US"/>
        </w:rPr>
        <w:t>in the Merits</w:t>
      </w:r>
      <w:r w:rsidR="002826A6" w:rsidRPr="00104227">
        <w:rPr>
          <w:rFonts w:eastAsia="Verdana" w:cs="Verdana"/>
          <w:lang w:val="en-US"/>
        </w:rPr>
        <w:t xml:space="preserve"> Report</w:t>
      </w:r>
      <w:r w:rsidR="00814266" w:rsidRPr="00104227">
        <w:rPr>
          <w:rFonts w:eastAsia="Verdana" w:cs="Verdana"/>
          <w:lang w:val="en-US"/>
        </w:rPr>
        <w:t>, without</w:t>
      </w:r>
      <w:r w:rsidR="00E12489" w:rsidRPr="00104227">
        <w:rPr>
          <w:rFonts w:eastAsia="Verdana" w:cs="Verdana"/>
          <w:lang w:val="en-US"/>
        </w:rPr>
        <w:t xml:space="preserve"> </w:t>
      </w:r>
      <w:r w:rsidRPr="00104227">
        <w:rPr>
          <w:rFonts w:eastAsia="Verdana" w:cs="Verdana"/>
          <w:lang w:val="en-US"/>
        </w:rPr>
        <w:t>the Commission</w:t>
      </w:r>
      <w:r w:rsidR="00E12489" w:rsidRPr="00104227">
        <w:rPr>
          <w:rFonts w:eastAsia="Verdana" w:cs="Verdana"/>
          <w:lang w:val="en-US"/>
        </w:rPr>
        <w:t xml:space="preserve"> </w:t>
      </w:r>
      <w:r w:rsidR="000A14CF" w:rsidRPr="00104227">
        <w:rPr>
          <w:rFonts w:eastAsia="Verdana" w:cs="Verdana"/>
          <w:lang w:val="en-US"/>
        </w:rPr>
        <w:t>justifying</w:t>
      </w:r>
      <w:r w:rsidR="00814266" w:rsidRPr="00104227">
        <w:rPr>
          <w:rFonts w:eastAsia="Verdana" w:cs="Verdana"/>
          <w:lang w:val="en-US"/>
        </w:rPr>
        <w:t xml:space="preserve"> the reasons for her exclusions, would appear to be a clerical error that should not prevent the Court from considering her a presumed victim</w:t>
      </w:r>
      <w:r w:rsidR="00E12489" w:rsidRPr="00104227">
        <w:rPr>
          <w:rFonts w:eastAsia="Verdana" w:cs="Verdana"/>
          <w:lang w:val="en-US"/>
        </w:rPr>
        <w:t xml:space="preserve">. </w:t>
      </w:r>
      <w:r w:rsidR="00814266" w:rsidRPr="00104227">
        <w:rPr>
          <w:rFonts w:eastAsia="Verdana" w:cs="Verdana"/>
          <w:lang w:val="en-US"/>
        </w:rPr>
        <w:t>Therefore, as it has proceeded in another recent case,</w:t>
      </w:r>
      <w:r w:rsidR="00E12489" w:rsidRPr="00104227">
        <w:rPr>
          <w:rStyle w:val="Refdenotaalpie"/>
          <w:rFonts w:eastAsia="Verdana"/>
          <w:lang w:val="en-US"/>
        </w:rPr>
        <w:footnoteReference w:id="51"/>
      </w:r>
      <w:r w:rsidR="00814266" w:rsidRPr="00104227">
        <w:rPr>
          <w:rFonts w:eastAsia="Verdana" w:cs="Verdana"/>
          <w:lang w:val="en-US"/>
        </w:rPr>
        <w:t xml:space="preserve"> the Court will include her as a presumed victim in this case.</w:t>
      </w:r>
    </w:p>
    <w:p w14:paraId="0A616C2B" w14:textId="77777777" w:rsidR="00814266" w:rsidRPr="00104227" w:rsidRDefault="00814266" w:rsidP="00814266">
      <w:pPr>
        <w:pStyle w:val="Prrafodelista"/>
        <w:numPr>
          <w:ilvl w:val="0"/>
          <w:numId w:val="0"/>
        </w:numPr>
        <w:ind w:left="1440"/>
        <w:rPr>
          <w:lang w:eastAsia="es-MX"/>
        </w:rPr>
      </w:pPr>
    </w:p>
    <w:p w14:paraId="7733785E" w14:textId="77777777" w:rsidR="00E12489" w:rsidRPr="00104227" w:rsidRDefault="00E12489" w:rsidP="00E4619F">
      <w:pPr>
        <w:pStyle w:val="Ttulo1"/>
        <w:tabs>
          <w:tab w:val="left" w:pos="567"/>
        </w:tabs>
      </w:pPr>
      <w:bookmarkStart w:id="115" w:name="_Toc31290560"/>
      <w:r w:rsidRPr="00104227">
        <w:t>VII</w:t>
      </w:r>
      <w:bookmarkEnd w:id="115"/>
    </w:p>
    <w:p w14:paraId="0C9D96B6" w14:textId="5694C1E6" w:rsidR="00E12489" w:rsidRPr="00104227" w:rsidRDefault="00B851FA" w:rsidP="00E4619F">
      <w:pPr>
        <w:pStyle w:val="Ttulo1"/>
        <w:tabs>
          <w:tab w:val="left" w:pos="567"/>
        </w:tabs>
      </w:pPr>
      <w:bookmarkStart w:id="116" w:name="_Toc31290561"/>
      <w:r w:rsidRPr="00104227">
        <w:t>EVIDENCE</w:t>
      </w:r>
      <w:bookmarkEnd w:id="116"/>
    </w:p>
    <w:p w14:paraId="14AB8622" w14:textId="77777777" w:rsidR="00E12489" w:rsidRPr="00104227" w:rsidRDefault="00E12489" w:rsidP="00E4619F">
      <w:pPr>
        <w:tabs>
          <w:tab w:val="left" w:pos="567"/>
        </w:tabs>
        <w:rPr>
          <w:spacing w:val="-4"/>
        </w:rPr>
      </w:pPr>
    </w:p>
    <w:p w14:paraId="13457ACE" w14:textId="3F06B5B7" w:rsidR="00E12489" w:rsidRPr="00104227" w:rsidRDefault="00E12489" w:rsidP="00E4619F">
      <w:pPr>
        <w:pStyle w:val="Ttulo2"/>
        <w:numPr>
          <w:ilvl w:val="0"/>
          <w:numId w:val="91"/>
        </w:numPr>
        <w:ind w:left="990" w:hanging="270"/>
        <w:rPr>
          <w:lang w:val="en-US"/>
        </w:rPr>
      </w:pPr>
      <w:r w:rsidRPr="00104227">
        <w:rPr>
          <w:lang w:val="en-US"/>
        </w:rPr>
        <w:t xml:space="preserve"> </w:t>
      </w:r>
      <w:bookmarkStart w:id="117" w:name="_Toc31290562"/>
      <w:r w:rsidR="00B851FA" w:rsidRPr="00104227">
        <w:rPr>
          <w:lang w:val="en-US"/>
        </w:rPr>
        <w:t>Admission of the documentary evidence</w:t>
      </w:r>
      <w:bookmarkEnd w:id="117"/>
      <w:r w:rsidRPr="00104227">
        <w:rPr>
          <w:lang w:val="en-US"/>
        </w:rPr>
        <w:t xml:space="preserve"> </w:t>
      </w:r>
    </w:p>
    <w:p w14:paraId="6B84EA01" w14:textId="77777777" w:rsidR="00E12489" w:rsidRPr="00104227" w:rsidRDefault="00E12489" w:rsidP="00E4619F">
      <w:pPr>
        <w:tabs>
          <w:tab w:val="left" w:pos="567"/>
        </w:tabs>
        <w:rPr>
          <w:b/>
          <w:i/>
          <w:spacing w:val="-4"/>
        </w:rPr>
      </w:pPr>
    </w:p>
    <w:p w14:paraId="651218E7" w14:textId="59540494" w:rsidR="00E12489" w:rsidRPr="00104227" w:rsidRDefault="00E51410" w:rsidP="00E4619F">
      <w:pPr>
        <w:pStyle w:val="Numberedparagraphs"/>
        <w:tabs>
          <w:tab w:val="left" w:pos="567"/>
        </w:tabs>
        <w:rPr>
          <w:lang w:val="en-US"/>
        </w:rPr>
      </w:pPr>
      <w:r w:rsidRPr="00104227">
        <w:rPr>
          <w:lang w:val="en-US"/>
        </w:rPr>
        <w:t>In this case</w:t>
      </w:r>
      <w:r w:rsidR="00E12489" w:rsidRPr="00104227">
        <w:rPr>
          <w:lang w:val="en-US"/>
        </w:rPr>
        <w:t xml:space="preserve">, </w:t>
      </w:r>
      <w:r w:rsidR="00E11B8E" w:rsidRPr="00104227">
        <w:rPr>
          <w:lang w:val="en-US"/>
        </w:rPr>
        <w:t>as in others</w:t>
      </w:r>
      <w:r w:rsidR="00E12489" w:rsidRPr="00104227">
        <w:rPr>
          <w:lang w:val="en-US"/>
        </w:rPr>
        <w:t xml:space="preserve">, </w:t>
      </w:r>
      <w:r w:rsidR="00BF5241" w:rsidRPr="00104227">
        <w:rPr>
          <w:lang w:val="en-US"/>
        </w:rPr>
        <w:t>th</w:t>
      </w:r>
      <w:r w:rsidR="00E11B8E" w:rsidRPr="00104227">
        <w:rPr>
          <w:lang w:val="en-US"/>
        </w:rPr>
        <w:t>e</w:t>
      </w:r>
      <w:r w:rsidR="00BF5241" w:rsidRPr="00104227">
        <w:rPr>
          <w:lang w:val="en-US"/>
        </w:rPr>
        <w:t xml:space="preserve"> Court</w:t>
      </w:r>
      <w:r w:rsidR="00E12489" w:rsidRPr="00104227">
        <w:rPr>
          <w:lang w:val="en-US"/>
        </w:rPr>
        <w:t xml:space="preserve"> admit</w:t>
      </w:r>
      <w:r w:rsidR="00E11B8E" w:rsidRPr="00104227">
        <w:rPr>
          <w:lang w:val="en-US"/>
        </w:rPr>
        <w:t xml:space="preserve">s those documents presented at the proper time by the parties </w:t>
      </w:r>
      <w:r w:rsidR="00BF5241" w:rsidRPr="00104227">
        <w:rPr>
          <w:lang w:val="en-US"/>
        </w:rPr>
        <w:t>and the Commission</w:t>
      </w:r>
      <w:r w:rsidR="00E12489" w:rsidRPr="00104227">
        <w:rPr>
          <w:lang w:val="en-US"/>
        </w:rPr>
        <w:t xml:space="preserve"> o</w:t>
      </w:r>
      <w:r w:rsidR="00E11B8E" w:rsidRPr="00104227">
        <w:rPr>
          <w:lang w:val="en-US"/>
        </w:rPr>
        <w:t xml:space="preserve">r requested by the Court or its President as helpful evidence, the admissibility of which </w:t>
      </w:r>
      <w:r w:rsidR="008F3DE6" w:rsidRPr="00104227">
        <w:rPr>
          <w:lang w:val="en-US"/>
        </w:rPr>
        <w:t>has</w:t>
      </w:r>
      <w:r w:rsidR="00E11B8E" w:rsidRPr="00104227">
        <w:rPr>
          <w:lang w:val="en-US"/>
        </w:rPr>
        <w:t xml:space="preserve"> not </w:t>
      </w:r>
      <w:r w:rsidR="008F3DE6" w:rsidRPr="00104227">
        <w:rPr>
          <w:lang w:val="en-US"/>
        </w:rPr>
        <w:t xml:space="preserve">been </w:t>
      </w:r>
      <w:r w:rsidR="00E11B8E" w:rsidRPr="00104227">
        <w:rPr>
          <w:lang w:val="en-US"/>
        </w:rPr>
        <w:t>contested or challenged</w:t>
      </w:r>
      <w:r w:rsidR="00E12489" w:rsidRPr="00104227">
        <w:rPr>
          <w:lang w:val="en-US"/>
        </w:rPr>
        <w:t xml:space="preserve"> (</w:t>
      </w:r>
      <w:r w:rsidR="00E12489" w:rsidRPr="00104227">
        <w:rPr>
          <w:i/>
          <w:lang w:val="en-US"/>
        </w:rPr>
        <w:t xml:space="preserve">supra </w:t>
      </w:r>
      <w:r w:rsidR="00BF5241" w:rsidRPr="00104227">
        <w:rPr>
          <w:lang w:val="en-US"/>
        </w:rPr>
        <w:t>paras.</w:t>
      </w:r>
      <w:r w:rsidR="00E12489" w:rsidRPr="00104227">
        <w:rPr>
          <w:lang w:val="en-US"/>
        </w:rPr>
        <w:t xml:space="preserve"> </w:t>
      </w:r>
      <w:r w:rsidR="00E12489" w:rsidRPr="00104227">
        <w:rPr>
          <w:lang w:val="en-US"/>
        </w:rPr>
        <w:fldChar w:fldCharType="begin"/>
      </w:r>
      <w:r w:rsidR="00E12489" w:rsidRPr="00104227">
        <w:rPr>
          <w:lang w:val="en-US"/>
        </w:rPr>
        <w:instrText xml:space="preserve"> REF _Ref499809886 \r \h  \* MERGEFORMAT </w:instrText>
      </w:r>
      <w:r w:rsidR="00E12489" w:rsidRPr="00104227">
        <w:rPr>
          <w:lang w:val="en-US"/>
        </w:rPr>
      </w:r>
      <w:r w:rsidR="00E12489" w:rsidRPr="00104227">
        <w:rPr>
          <w:lang w:val="en-US"/>
        </w:rPr>
        <w:fldChar w:fldCharType="separate"/>
      </w:r>
      <w:r w:rsidR="004276BD">
        <w:rPr>
          <w:lang w:val="en-US"/>
        </w:rPr>
        <w:t>1</w:t>
      </w:r>
      <w:r w:rsidR="00E12489" w:rsidRPr="00104227">
        <w:rPr>
          <w:lang w:val="en-US"/>
        </w:rPr>
        <w:fldChar w:fldCharType="end"/>
      </w:r>
      <w:r w:rsidR="00E12489" w:rsidRPr="00104227">
        <w:rPr>
          <w:lang w:val="en-US"/>
        </w:rPr>
        <w:t xml:space="preserve">, </w:t>
      </w:r>
      <w:r w:rsidR="00E12489" w:rsidRPr="00104227">
        <w:rPr>
          <w:lang w:val="en-US"/>
        </w:rPr>
        <w:fldChar w:fldCharType="begin"/>
      </w:r>
      <w:r w:rsidR="00E12489" w:rsidRPr="00104227">
        <w:rPr>
          <w:lang w:val="en-US"/>
        </w:rPr>
        <w:instrText xml:space="preserve"> REF _Ref499811376 \r \h  \* MERGEFORMAT </w:instrText>
      </w:r>
      <w:r w:rsidR="00E12489" w:rsidRPr="00104227">
        <w:rPr>
          <w:lang w:val="en-US"/>
        </w:rPr>
      </w:r>
      <w:r w:rsidR="00E12489" w:rsidRPr="00104227">
        <w:rPr>
          <w:lang w:val="en-US"/>
        </w:rPr>
        <w:fldChar w:fldCharType="separate"/>
      </w:r>
      <w:r w:rsidR="004276BD">
        <w:rPr>
          <w:lang w:val="en-US"/>
        </w:rPr>
        <w:t>6</w:t>
      </w:r>
      <w:r w:rsidR="00E12489" w:rsidRPr="00104227">
        <w:rPr>
          <w:lang w:val="en-US"/>
        </w:rPr>
        <w:fldChar w:fldCharType="end"/>
      </w:r>
      <w:r w:rsidR="00E12489" w:rsidRPr="00104227">
        <w:rPr>
          <w:lang w:val="en-US"/>
        </w:rPr>
        <w:t xml:space="preserve">, </w:t>
      </w:r>
      <w:r w:rsidR="00E12489" w:rsidRPr="00104227">
        <w:rPr>
          <w:lang w:val="en-US"/>
        </w:rPr>
        <w:fldChar w:fldCharType="begin"/>
      </w:r>
      <w:r w:rsidR="00E12489" w:rsidRPr="00104227">
        <w:rPr>
          <w:lang w:val="en-US"/>
        </w:rPr>
        <w:instrText xml:space="preserve"> REF _Ref499811389 \r \h  \* MERGEFORMAT </w:instrText>
      </w:r>
      <w:r w:rsidR="00E12489" w:rsidRPr="00104227">
        <w:rPr>
          <w:lang w:val="en-US"/>
        </w:rPr>
      </w:r>
      <w:r w:rsidR="00E12489" w:rsidRPr="00104227">
        <w:rPr>
          <w:lang w:val="en-US"/>
        </w:rPr>
        <w:fldChar w:fldCharType="separate"/>
      </w:r>
      <w:r w:rsidR="004276BD">
        <w:rPr>
          <w:lang w:val="en-US"/>
        </w:rPr>
        <w:t>7</w:t>
      </w:r>
      <w:r w:rsidR="00E12489" w:rsidRPr="00104227">
        <w:rPr>
          <w:lang w:val="en-US"/>
        </w:rPr>
        <w:fldChar w:fldCharType="end"/>
      </w:r>
      <w:r w:rsidR="00BF5241" w:rsidRPr="00104227">
        <w:rPr>
          <w:lang w:val="en-US"/>
        </w:rPr>
        <w:t xml:space="preserve"> and </w:t>
      </w:r>
      <w:r w:rsidR="00E12489" w:rsidRPr="00104227">
        <w:rPr>
          <w:lang w:val="en-US"/>
        </w:rPr>
        <w:t>12).</w:t>
      </w:r>
    </w:p>
    <w:p w14:paraId="02524F61" w14:textId="77777777" w:rsidR="00E12489" w:rsidRPr="00104227" w:rsidRDefault="00E12489" w:rsidP="00E4619F">
      <w:pPr>
        <w:tabs>
          <w:tab w:val="left" w:pos="567"/>
        </w:tabs>
        <w:rPr>
          <w:spacing w:val="-4"/>
          <w:lang w:eastAsia="es-MX"/>
        </w:rPr>
      </w:pPr>
    </w:p>
    <w:p w14:paraId="096ED40F" w14:textId="5852D47D" w:rsidR="00E12489" w:rsidRPr="00104227" w:rsidRDefault="00E11B8E" w:rsidP="00953711">
      <w:pPr>
        <w:pStyle w:val="Numberedparagraphs"/>
        <w:tabs>
          <w:tab w:val="left" w:pos="567"/>
        </w:tabs>
        <w:rPr>
          <w:lang w:val="en-US" w:eastAsia="es-MX"/>
        </w:rPr>
      </w:pPr>
      <w:r w:rsidRPr="00104227">
        <w:rPr>
          <w:lang w:val="en-US"/>
        </w:rPr>
        <w:t>Both</w:t>
      </w:r>
      <w:r w:rsidR="00E12489" w:rsidRPr="00104227">
        <w:rPr>
          <w:lang w:val="en-US"/>
        </w:rPr>
        <w:t xml:space="preserve"> </w:t>
      </w:r>
      <w:r w:rsidR="00AC3BFC" w:rsidRPr="00104227">
        <w:rPr>
          <w:lang w:val="en-US"/>
        </w:rPr>
        <w:t>the State</w:t>
      </w:r>
      <w:r w:rsidR="00E12489" w:rsidRPr="00104227">
        <w:rPr>
          <w:lang w:val="en-US"/>
        </w:rPr>
        <w:t xml:space="preserve"> </w:t>
      </w:r>
      <w:r w:rsidRPr="00104227">
        <w:rPr>
          <w:lang w:val="en-US"/>
        </w:rPr>
        <w:t>and</w:t>
      </w:r>
      <w:r w:rsidR="00E12489" w:rsidRPr="00104227">
        <w:rPr>
          <w:lang w:val="en-US"/>
        </w:rPr>
        <w:t xml:space="preserve"> </w:t>
      </w:r>
      <w:r w:rsidR="002826A6" w:rsidRPr="00104227">
        <w:rPr>
          <w:lang w:val="en-US"/>
        </w:rPr>
        <w:t>the representatives</w:t>
      </w:r>
      <w:r w:rsidR="00E12489" w:rsidRPr="00104227">
        <w:rPr>
          <w:lang w:val="en-US"/>
        </w:rPr>
        <w:t xml:space="preserve"> present</w:t>
      </w:r>
      <w:r w:rsidRPr="00104227">
        <w:rPr>
          <w:lang w:val="en-US"/>
        </w:rPr>
        <w:t>ed certain document</w:t>
      </w:r>
      <w:r w:rsidR="008F3DE6" w:rsidRPr="00104227">
        <w:rPr>
          <w:lang w:val="en-US"/>
        </w:rPr>
        <w:t>s</w:t>
      </w:r>
      <w:r w:rsidRPr="00104227">
        <w:rPr>
          <w:lang w:val="en-US"/>
        </w:rPr>
        <w:t xml:space="preserve"> with their final written arguments. In this regard, </w:t>
      </w:r>
      <w:r w:rsidR="002826A6" w:rsidRPr="00104227">
        <w:rPr>
          <w:lang w:val="en-US"/>
        </w:rPr>
        <w:t>the representatives</w:t>
      </w:r>
      <w:r w:rsidR="00E12489" w:rsidRPr="00104227">
        <w:rPr>
          <w:lang w:val="en-US"/>
        </w:rPr>
        <w:t xml:space="preserve"> </w:t>
      </w:r>
      <w:r w:rsidRPr="00104227">
        <w:rPr>
          <w:lang w:val="en-US"/>
        </w:rPr>
        <w:t xml:space="preserve">asked the Court not to admit three of the annexes presented by </w:t>
      </w:r>
      <w:r w:rsidR="00AC3BFC" w:rsidRPr="00104227">
        <w:rPr>
          <w:lang w:val="en-US"/>
        </w:rPr>
        <w:t>the State</w:t>
      </w:r>
      <w:r w:rsidRPr="00104227">
        <w:rPr>
          <w:lang w:val="en-US"/>
        </w:rPr>
        <w:t>.</w:t>
      </w:r>
      <w:r w:rsidR="00E12489" w:rsidRPr="00104227">
        <w:rPr>
          <w:rStyle w:val="Refdenotaalpie"/>
          <w:sz w:val="20"/>
          <w:szCs w:val="20"/>
          <w:lang w:val="en-US"/>
        </w:rPr>
        <w:footnoteReference w:id="52"/>
      </w:r>
      <w:r w:rsidR="00E12489" w:rsidRPr="00104227">
        <w:rPr>
          <w:lang w:val="en-US"/>
        </w:rPr>
        <w:t xml:space="preserve"> </w:t>
      </w:r>
      <w:r w:rsidR="002826A6" w:rsidRPr="00104227">
        <w:rPr>
          <w:lang w:val="en-US"/>
        </w:rPr>
        <w:t>The representatives</w:t>
      </w:r>
      <w:r w:rsidR="00E12489" w:rsidRPr="00104227">
        <w:rPr>
          <w:lang w:val="en-US"/>
        </w:rPr>
        <w:t xml:space="preserve"> </w:t>
      </w:r>
      <w:r w:rsidRPr="00104227">
        <w:rPr>
          <w:lang w:val="en-US"/>
        </w:rPr>
        <w:t>argued that</w:t>
      </w:r>
      <w:r w:rsidR="00E12489" w:rsidRPr="00104227">
        <w:rPr>
          <w:lang w:val="en-US"/>
        </w:rPr>
        <w:t xml:space="preserve"> </w:t>
      </w:r>
      <w:r w:rsidR="00AC3BFC" w:rsidRPr="00104227">
        <w:rPr>
          <w:lang w:val="en-US"/>
        </w:rPr>
        <w:t>the State</w:t>
      </w:r>
      <w:r w:rsidR="00E12489" w:rsidRPr="00104227">
        <w:rPr>
          <w:lang w:val="en-US"/>
        </w:rPr>
        <w:t xml:space="preserve"> </w:t>
      </w:r>
      <w:r w:rsidRPr="00104227">
        <w:rPr>
          <w:lang w:val="en-US"/>
        </w:rPr>
        <w:t xml:space="preserve">had not presented this </w:t>
      </w:r>
      <w:r w:rsidRPr="00104227">
        <w:rPr>
          <w:lang w:val="en-US"/>
        </w:rPr>
        <w:lastRenderedPageBreak/>
        <w:t xml:space="preserve">evidence with its </w:t>
      </w:r>
      <w:r w:rsidR="00AA3133" w:rsidRPr="00104227">
        <w:rPr>
          <w:lang w:val="en-US"/>
        </w:rPr>
        <w:t>answering brief</w:t>
      </w:r>
      <w:r w:rsidR="00E12489" w:rsidRPr="00104227">
        <w:rPr>
          <w:lang w:val="en-US"/>
        </w:rPr>
        <w:t xml:space="preserve"> </w:t>
      </w:r>
      <w:r w:rsidRPr="00104227">
        <w:rPr>
          <w:lang w:val="en-US"/>
        </w:rPr>
        <w:t xml:space="preserve">or alleged valid circumstances that would justify the late presentation of the documents identified as Annexes </w:t>
      </w:r>
      <w:r w:rsidR="00E12489" w:rsidRPr="00104227">
        <w:rPr>
          <w:lang w:val="en-US"/>
        </w:rPr>
        <w:t>1</w:t>
      </w:r>
      <w:r w:rsidR="00E12489" w:rsidRPr="00104227">
        <w:rPr>
          <w:rStyle w:val="Refdenotaalpie"/>
          <w:lang w:val="en-US"/>
        </w:rPr>
        <w:footnoteReference w:id="53"/>
      </w:r>
      <w:r w:rsidRPr="00104227">
        <w:rPr>
          <w:lang w:val="en-US"/>
        </w:rPr>
        <w:t xml:space="preserve"> and</w:t>
      </w:r>
      <w:r w:rsidR="00E12489" w:rsidRPr="00104227">
        <w:rPr>
          <w:lang w:val="en-US"/>
        </w:rPr>
        <w:t xml:space="preserve"> 2</w:t>
      </w:r>
      <w:r w:rsidR="00BF5241" w:rsidRPr="00104227">
        <w:rPr>
          <w:lang w:val="en-US"/>
        </w:rPr>
        <w:t xml:space="preserve"> and </w:t>
      </w:r>
      <w:r w:rsidRPr="00104227">
        <w:rPr>
          <w:lang w:val="en-US"/>
        </w:rPr>
        <w:t>the second document provided in Annex 5 to its final written arguments and, furthermore, that the</w:t>
      </w:r>
      <w:r w:rsidR="008F3DE6" w:rsidRPr="00104227">
        <w:rPr>
          <w:lang w:val="en-US"/>
        </w:rPr>
        <w:t>se documents</w:t>
      </w:r>
      <w:r w:rsidRPr="00104227">
        <w:rPr>
          <w:lang w:val="en-US"/>
        </w:rPr>
        <w:t xml:space="preserve"> did not contribute to clarification of the facts of the case and did not prove what the State claimed. Regarding Annex 2 and the second document of Annex 5, the Court notes that the State submitted them </w:t>
      </w:r>
      <w:r w:rsidR="009D060B" w:rsidRPr="00104227">
        <w:rPr>
          <w:lang w:val="en-US"/>
        </w:rPr>
        <w:t>to substantiate</w:t>
      </w:r>
      <w:r w:rsidRPr="00104227">
        <w:rPr>
          <w:lang w:val="en-US"/>
        </w:rPr>
        <w:t xml:space="preserve"> its </w:t>
      </w:r>
      <w:r w:rsidR="009D060B" w:rsidRPr="00104227">
        <w:rPr>
          <w:lang w:val="en-US"/>
        </w:rPr>
        <w:t>comments</w:t>
      </w:r>
      <w:r w:rsidRPr="00104227">
        <w:rPr>
          <w:lang w:val="en-US"/>
        </w:rPr>
        <w:t xml:space="preserve"> on the statements of two presumed victims. The final written arguments prov</w:t>
      </w:r>
      <w:r w:rsidR="009D060B" w:rsidRPr="00104227">
        <w:rPr>
          <w:lang w:val="en-US"/>
        </w:rPr>
        <w:t>ide</w:t>
      </w:r>
      <w:r w:rsidR="00DF0305" w:rsidRPr="00104227">
        <w:rPr>
          <w:lang w:val="en-US"/>
        </w:rPr>
        <w:t xml:space="preserve"> the </w:t>
      </w:r>
      <w:r w:rsidRPr="00104227">
        <w:rPr>
          <w:lang w:val="en-US"/>
        </w:rPr>
        <w:t xml:space="preserve">procedural opportunity to </w:t>
      </w:r>
      <w:r w:rsidR="009D060B" w:rsidRPr="00104227">
        <w:rPr>
          <w:lang w:val="en-US"/>
        </w:rPr>
        <w:t>submit</w:t>
      </w:r>
      <w:r w:rsidRPr="00104227">
        <w:rPr>
          <w:lang w:val="en-US"/>
        </w:rPr>
        <w:t xml:space="preserve"> observations on the statements received in th</w:t>
      </w:r>
      <w:r w:rsidR="009D060B" w:rsidRPr="00104227">
        <w:rPr>
          <w:lang w:val="en-US"/>
        </w:rPr>
        <w:t>e</w:t>
      </w:r>
      <w:r w:rsidRPr="00104227">
        <w:rPr>
          <w:lang w:val="en-US"/>
        </w:rPr>
        <w:t xml:space="preserve"> case.</w:t>
      </w:r>
      <w:r w:rsidR="00E12489" w:rsidRPr="00104227">
        <w:rPr>
          <w:rStyle w:val="Refdenotaalpie"/>
          <w:lang w:val="en-US"/>
        </w:rPr>
        <w:footnoteReference w:id="54"/>
      </w:r>
      <w:r w:rsidRPr="00104227">
        <w:rPr>
          <w:lang w:val="en-US"/>
        </w:rPr>
        <w:t xml:space="preserve"> Therefore, the Court admits both </w:t>
      </w:r>
      <w:r w:rsidR="009D060B" w:rsidRPr="00104227">
        <w:rPr>
          <w:lang w:val="en-US"/>
        </w:rPr>
        <w:t xml:space="preserve">items </w:t>
      </w:r>
      <w:r w:rsidRPr="00104227">
        <w:rPr>
          <w:lang w:val="en-US"/>
        </w:rPr>
        <w:t xml:space="preserve">of evidence, without prejudice to taking into account the </w:t>
      </w:r>
      <w:r w:rsidR="002826A6" w:rsidRPr="00104227">
        <w:rPr>
          <w:lang w:val="en-US"/>
        </w:rPr>
        <w:t>representatives</w:t>
      </w:r>
      <w:r w:rsidR="009D060B" w:rsidRPr="00104227">
        <w:rPr>
          <w:lang w:val="en-US"/>
        </w:rPr>
        <w:t>’ arguments</w:t>
      </w:r>
      <w:r w:rsidR="00E12489" w:rsidRPr="00104227">
        <w:rPr>
          <w:lang w:val="en-US"/>
        </w:rPr>
        <w:t xml:space="preserve"> </w:t>
      </w:r>
      <w:r w:rsidRPr="00104227">
        <w:rPr>
          <w:lang w:val="en-US"/>
        </w:rPr>
        <w:t xml:space="preserve">concerning their content and assessment. Regarding Annex 1, </w:t>
      </w:r>
      <w:r w:rsidR="00AC1DF6" w:rsidRPr="00104227">
        <w:rPr>
          <w:lang w:val="en-US"/>
        </w:rPr>
        <w:t xml:space="preserve">consisting in videos of selected scenes of the events of </w:t>
      </w:r>
      <w:r w:rsidR="00DF5F3C" w:rsidRPr="00104227">
        <w:rPr>
          <w:lang w:val="en-US"/>
        </w:rPr>
        <w:t>May 3 and 4,</w:t>
      </w:r>
      <w:r w:rsidR="00E12489" w:rsidRPr="00104227">
        <w:rPr>
          <w:lang w:val="en-US"/>
        </w:rPr>
        <w:t xml:space="preserve"> 2006, </w:t>
      </w:r>
      <w:r w:rsidR="00BF5241" w:rsidRPr="00104227">
        <w:rPr>
          <w:lang w:val="en-US"/>
        </w:rPr>
        <w:t>the Court</w:t>
      </w:r>
      <w:r w:rsidR="00E12489" w:rsidRPr="00104227">
        <w:rPr>
          <w:lang w:val="en-US"/>
        </w:rPr>
        <w:t xml:space="preserve"> </w:t>
      </w:r>
      <w:r w:rsidR="00AC1DF6" w:rsidRPr="00104227">
        <w:rPr>
          <w:lang w:val="en-US"/>
        </w:rPr>
        <w:t>considers that, contrary to the</w:t>
      </w:r>
      <w:r w:rsidR="009D060B" w:rsidRPr="00104227">
        <w:rPr>
          <w:lang w:val="en-US"/>
        </w:rPr>
        <w:t xml:space="preserve"> State’s</w:t>
      </w:r>
      <w:r w:rsidR="00AC1DF6" w:rsidRPr="00104227">
        <w:rPr>
          <w:lang w:val="en-US"/>
        </w:rPr>
        <w:t xml:space="preserve"> claims, these videos and the information that can be inferred from them were not requested by the judges during the public hearing before the Court or by its President</w:t>
      </w:r>
      <w:r w:rsidR="009D060B" w:rsidRPr="00104227">
        <w:rPr>
          <w:lang w:val="en-US"/>
        </w:rPr>
        <w:t>; accordingly,</w:t>
      </w:r>
      <w:r w:rsidR="00AC1DF6" w:rsidRPr="00104227">
        <w:rPr>
          <w:lang w:val="en-US"/>
        </w:rPr>
        <w:t xml:space="preserve"> the State has not provided adequate justification for submitting them after the proper procedural moment</w:t>
      </w:r>
      <w:r w:rsidR="009D060B" w:rsidRPr="00104227">
        <w:rPr>
          <w:lang w:val="en-US"/>
        </w:rPr>
        <w:t xml:space="preserve"> – th</w:t>
      </w:r>
      <w:r w:rsidR="00AC1DF6" w:rsidRPr="00104227">
        <w:rPr>
          <w:lang w:val="en-US"/>
        </w:rPr>
        <w:t xml:space="preserve">at is, with the </w:t>
      </w:r>
      <w:r w:rsidR="00AA3133" w:rsidRPr="00104227">
        <w:rPr>
          <w:lang w:val="en-US"/>
        </w:rPr>
        <w:t>answering brief</w:t>
      </w:r>
      <w:r w:rsidR="00E12489" w:rsidRPr="00104227">
        <w:rPr>
          <w:lang w:val="en-US"/>
        </w:rPr>
        <w:t xml:space="preserve">. </w:t>
      </w:r>
      <w:r w:rsidR="00AC1DF6" w:rsidRPr="00104227">
        <w:rPr>
          <w:lang w:val="en-US"/>
        </w:rPr>
        <w:t>Consequently</w:t>
      </w:r>
      <w:r w:rsidR="00E12489" w:rsidRPr="00104227">
        <w:rPr>
          <w:lang w:val="en-US"/>
        </w:rPr>
        <w:t xml:space="preserve">, </w:t>
      </w:r>
      <w:r w:rsidR="00BF5241" w:rsidRPr="00104227">
        <w:rPr>
          <w:lang w:val="en-US"/>
        </w:rPr>
        <w:t>th</w:t>
      </w:r>
      <w:r w:rsidR="00AC1DF6" w:rsidRPr="00104227">
        <w:rPr>
          <w:lang w:val="en-US"/>
        </w:rPr>
        <w:t>e</w:t>
      </w:r>
      <w:r w:rsidR="00BF5241" w:rsidRPr="00104227">
        <w:rPr>
          <w:lang w:val="en-US"/>
        </w:rPr>
        <w:t xml:space="preserve"> Court</w:t>
      </w:r>
      <w:r w:rsidR="00E12489" w:rsidRPr="00104227">
        <w:rPr>
          <w:lang w:val="en-US"/>
        </w:rPr>
        <w:t xml:space="preserve"> consider</w:t>
      </w:r>
      <w:r w:rsidR="00AC1DF6" w:rsidRPr="00104227">
        <w:rPr>
          <w:lang w:val="en-US"/>
        </w:rPr>
        <w:t xml:space="preserve">s that this evidence is time-barred and, </w:t>
      </w:r>
      <w:r w:rsidR="009D060B" w:rsidRPr="00104227">
        <w:rPr>
          <w:lang w:val="en-US"/>
        </w:rPr>
        <w:t>pursuant to</w:t>
      </w:r>
      <w:r w:rsidR="00E12489" w:rsidRPr="00104227">
        <w:rPr>
          <w:lang w:val="en-US"/>
        </w:rPr>
        <w:t xml:space="preserve"> </w:t>
      </w:r>
      <w:r w:rsidR="00BF5241" w:rsidRPr="00104227">
        <w:rPr>
          <w:lang w:val="en-US"/>
        </w:rPr>
        <w:t>Article</w:t>
      </w:r>
      <w:r w:rsidR="00E12489" w:rsidRPr="00104227">
        <w:rPr>
          <w:lang w:val="en-US"/>
        </w:rPr>
        <w:t xml:space="preserve"> 5</w:t>
      </w:r>
      <w:r w:rsidR="00C2124F" w:rsidRPr="00104227">
        <w:rPr>
          <w:lang w:val="en-US"/>
        </w:rPr>
        <w:t>7(2)</w:t>
      </w:r>
      <w:r w:rsidR="00BF5241" w:rsidRPr="00104227">
        <w:rPr>
          <w:lang w:val="en-US"/>
        </w:rPr>
        <w:t xml:space="preserve"> of the Rules of Procedure</w:t>
      </w:r>
      <w:r w:rsidR="00E12489" w:rsidRPr="00104227">
        <w:rPr>
          <w:lang w:val="en-US"/>
        </w:rPr>
        <w:t xml:space="preserve">, </w:t>
      </w:r>
      <w:r w:rsidR="00AC1DF6" w:rsidRPr="00104227">
        <w:rPr>
          <w:lang w:val="en-US"/>
        </w:rPr>
        <w:t>its incorporation into the body of evidence in this case is inadmissible.</w:t>
      </w:r>
    </w:p>
    <w:p w14:paraId="5634FD7C" w14:textId="77777777" w:rsidR="00AC1DF6" w:rsidRPr="00104227" w:rsidRDefault="00AC1DF6" w:rsidP="00AC1DF6">
      <w:pPr>
        <w:pStyle w:val="Numberedparagraphs"/>
        <w:numPr>
          <w:ilvl w:val="0"/>
          <w:numId w:val="0"/>
        </w:numPr>
        <w:tabs>
          <w:tab w:val="left" w:pos="567"/>
        </w:tabs>
        <w:rPr>
          <w:lang w:val="en-US" w:eastAsia="es-MX"/>
        </w:rPr>
      </w:pPr>
    </w:p>
    <w:p w14:paraId="7BCA06F5" w14:textId="4BDEBA94" w:rsidR="00E12489" w:rsidRPr="00104227" w:rsidRDefault="00AC1DF6" w:rsidP="00E4619F">
      <w:pPr>
        <w:pStyle w:val="Numberedparagraphs"/>
        <w:tabs>
          <w:tab w:val="left" w:pos="567"/>
        </w:tabs>
        <w:rPr>
          <w:lang w:val="en-US"/>
        </w:rPr>
      </w:pPr>
      <w:r w:rsidRPr="00104227">
        <w:rPr>
          <w:lang w:val="en-US"/>
        </w:rPr>
        <w:t xml:space="preserve">Lastly, regarding the evidence </w:t>
      </w:r>
      <w:r w:rsidR="009D060B" w:rsidRPr="00104227">
        <w:rPr>
          <w:lang w:val="en-US"/>
        </w:rPr>
        <w:t>on</w:t>
      </w:r>
      <w:r w:rsidRPr="00104227">
        <w:rPr>
          <w:lang w:val="en-US"/>
        </w:rPr>
        <w:t xml:space="preserve"> expen</w:t>
      </w:r>
      <w:r w:rsidR="009D060B" w:rsidRPr="00104227">
        <w:rPr>
          <w:lang w:val="en-US"/>
        </w:rPr>
        <w:t>diture</w:t>
      </w:r>
      <w:r w:rsidRPr="00104227">
        <w:rPr>
          <w:lang w:val="en-US"/>
        </w:rPr>
        <w:t xml:space="preserve"> forwarded by </w:t>
      </w:r>
      <w:r w:rsidR="002826A6" w:rsidRPr="00104227">
        <w:rPr>
          <w:lang w:val="en-US"/>
        </w:rPr>
        <w:t>the representatives</w:t>
      </w:r>
      <w:r w:rsidR="00E12489" w:rsidRPr="00104227">
        <w:rPr>
          <w:lang w:val="en-US"/>
        </w:rPr>
        <w:t xml:space="preserve"> </w:t>
      </w:r>
      <w:r w:rsidRPr="00104227">
        <w:rPr>
          <w:lang w:val="en-US"/>
        </w:rPr>
        <w:t xml:space="preserve">with their final written arguments, the Court will only consider those documents that refer to new </w:t>
      </w:r>
      <w:r w:rsidR="00AA3133" w:rsidRPr="00104227">
        <w:rPr>
          <w:lang w:val="en-US"/>
        </w:rPr>
        <w:t>costs and expenses</w:t>
      </w:r>
      <w:r w:rsidR="00E12489" w:rsidRPr="00104227">
        <w:rPr>
          <w:lang w:val="en-US"/>
        </w:rPr>
        <w:t xml:space="preserve"> </w:t>
      </w:r>
      <w:r w:rsidRPr="00104227">
        <w:rPr>
          <w:lang w:val="en-US"/>
        </w:rPr>
        <w:t xml:space="preserve">incurred by </w:t>
      </w:r>
      <w:r w:rsidR="002826A6" w:rsidRPr="00104227">
        <w:rPr>
          <w:lang w:val="en-US"/>
        </w:rPr>
        <w:t>the representatives</w:t>
      </w:r>
      <w:r w:rsidR="00E12489" w:rsidRPr="00104227">
        <w:rPr>
          <w:lang w:val="en-US"/>
        </w:rPr>
        <w:t xml:space="preserve"> </w:t>
      </w:r>
      <w:r w:rsidRPr="00104227">
        <w:rPr>
          <w:lang w:val="en-US"/>
        </w:rPr>
        <w:t xml:space="preserve">due to the proceedings before this Court; in other words, those incurred following the presentation of the </w:t>
      </w:r>
      <w:r w:rsidR="00AA3133" w:rsidRPr="00104227">
        <w:rPr>
          <w:lang w:val="en-US"/>
        </w:rPr>
        <w:t>motions and pleadings brief</w:t>
      </w:r>
      <w:r w:rsidRPr="00104227">
        <w:rPr>
          <w:lang w:val="en-US"/>
        </w:rPr>
        <w:t>.</w:t>
      </w:r>
      <w:r w:rsidR="00E12489" w:rsidRPr="00104227">
        <w:rPr>
          <w:rStyle w:val="Refdenotaalpie"/>
          <w:sz w:val="20"/>
          <w:szCs w:val="20"/>
          <w:lang w:val="en-US"/>
        </w:rPr>
        <w:footnoteReference w:id="55"/>
      </w:r>
      <w:r w:rsidR="00E12489" w:rsidRPr="00104227">
        <w:rPr>
          <w:lang w:val="en-US"/>
        </w:rPr>
        <w:t xml:space="preserve"> </w:t>
      </w:r>
    </w:p>
    <w:p w14:paraId="1079D819" w14:textId="77777777" w:rsidR="00E12489" w:rsidRPr="00104227" w:rsidRDefault="00E12489" w:rsidP="00E4619F">
      <w:pPr>
        <w:tabs>
          <w:tab w:val="left" w:pos="567"/>
        </w:tabs>
        <w:rPr>
          <w:spacing w:val="-4"/>
          <w:lang w:eastAsia="es-MX"/>
        </w:rPr>
      </w:pPr>
    </w:p>
    <w:p w14:paraId="2D63EA8F" w14:textId="45B01695" w:rsidR="00E12489" w:rsidRPr="00104227" w:rsidRDefault="00B851FA" w:rsidP="00E4619F">
      <w:pPr>
        <w:pStyle w:val="Ttulo2"/>
        <w:ind w:left="990" w:hanging="270"/>
        <w:rPr>
          <w:lang w:val="en-US"/>
        </w:rPr>
      </w:pPr>
      <w:bookmarkStart w:id="118" w:name="_Toc31290563"/>
      <w:r w:rsidRPr="00104227">
        <w:rPr>
          <w:lang w:val="en-US"/>
        </w:rPr>
        <w:t>Admission of the testimonial and expert evidence</w:t>
      </w:r>
      <w:bookmarkEnd w:id="118"/>
    </w:p>
    <w:p w14:paraId="6D2A419E" w14:textId="77777777" w:rsidR="00E12489" w:rsidRPr="00104227" w:rsidRDefault="00E12489" w:rsidP="00E4619F">
      <w:pPr>
        <w:tabs>
          <w:tab w:val="left" w:pos="567"/>
        </w:tabs>
        <w:rPr>
          <w:b/>
          <w:i/>
          <w:spacing w:val="-4"/>
        </w:rPr>
      </w:pPr>
    </w:p>
    <w:p w14:paraId="503D8878" w14:textId="4DFF5F1A" w:rsidR="00E12489" w:rsidRPr="00104227" w:rsidRDefault="00AC1DF6" w:rsidP="00E4619F">
      <w:pPr>
        <w:pStyle w:val="Numberedparagraphs"/>
        <w:tabs>
          <w:tab w:val="left" w:pos="567"/>
        </w:tabs>
        <w:rPr>
          <w:lang w:val="en-US"/>
        </w:rPr>
      </w:pPr>
      <w:r w:rsidRPr="00104227">
        <w:rPr>
          <w:lang w:val="en-US"/>
        </w:rPr>
        <w:t>The</w:t>
      </w:r>
      <w:r w:rsidR="00BF5241" w:rsidRPr="00104227">
        <w:rPr>
          <w:lang w:val="en-US"/>
        </w:rPr>
        <w:t xml:space="preserve"> Court</w:t>
      </w:r>
      <w:r w:rsidR="00E12489" w:rsidRPr="00104227">
        <w:rPr>
          <w:lang w:val="en-US"/>
        </w:rPr>
        <w:t xml:space="preserve"> </w:t>
      </w:r>
      <w:r w:rsidRPr="00104227">
        <w:rPr>
          <w:lang w:val="en-US"/>
        </w:rPr>
        <w:t xml:space="preserve">also finds it </w:t>
      </w:r>
      <w:r w:rsidR="000A14CF" w:rsidRPr="00104227">
        <w:rPr>
          <w:lang w:val="en-US"/>
        </w:rPr>
        <w:t>pertinent</w:t>
      </w:r>
      <w:r w:rsidRPr="00104227">
        <w:rPr>
          <w:lang w:val="en-US"/>
        </w:rPr>
        <w:t xml:space="preserve"> to admit the statements </w:t>
      </w:r>
      <w:r w:rsidR="007F1912" w:rsidRPr="00104227">
        <w:rPr>
          <w:lang w:val="en-US"/>
        </w:rPr>
        <w:t xml:space="preserve">of the </w:t>
      </w:r>
      <w:r w:rsidR="00AA3133" w:rsidRPr="00104227">
        <w:rPr>
          <w:lang w:val="en-US"/>
        </w:rPr>
        <w:t>presumed victims</w:t>
      </w:r>
      <w:r w:rsidR="00E12489" w:rsidRPr="00104227">
        <w:rPr>
          <w:lang w:val="en-US"/>
        </w:rPr>
        <w:t xml:space="preserve">, </w:t>
      </w:r>
      <w:r w:rsidRPr="00104227">
        <w:rPr>
          <w:lang w:val="en-US"/>
        </w:rPr>
        <w:t xml:space="preserve">the deponent for information purposes, and the expert opinions provided during the </w:t>
      </w:r>
      <w:r w:rsidR="00AA3133" w:rsidRPr="00104227">
        <w:rPr>
          <w:lang w:val="en-US"/>
        </w:rPr>
        <w:t>public hearing</w:t>
      </w:r>
      <w:r w:rsidR="00E12489" w:rsidRPr="00104227">
        <w:rPr>
          <w:rStyle w:val="Refdenotaalpie"/>
          <w:lang w:val="en-US"/>
        </w:rPr>
        <w:footnoteReference w:id="56"/>
      </w:r>
      <w:r w:rsidR="00BF5241" w:rsidRPr="00104227">
        <w:rPr>
          <w:lang w:val="en-US"/>
        </w:rPr>
        <w:t xml:space="preserve"> and </w:t>
      </w:r>
      <w:r w:rsidRPr="00104227">
        <w:rPr>
          <w:lang w:val="en-US"/>
        </w:rPr>
        <w:t>by affidavit,</w:t>
      </w:r>
      <w:r w:rsidR="00E12489" w:rsidRPr="00104227">
        <w:rPr>
          <w:rStyle w:val="Refdenotaalpie"/>
          <w:lang w:val="en-US"/>
        </w:rPr>
        <w:footnoteReference w:id="57"/>
      </w:r>
      <w:r w:rsidRPr="00104227">
        <w:rPr>
          <w:lang w:val="en-US"/>
        </w:rPr>
        <w:t xml:space="preserve"> insofar as they are in keeping with the</w:t>
      </w:r>
      <w:r w:rsidR="009D060B" w:rsidRPr="00104227">
        <w:rPr>
          <w:lang w:val="en-US"/>
        </w:rPr>
        <w:t xml:space="preserve"> </w:t>
      </w:r>
      <w:r w:rsidRPr="00104227">
        <w:rPr>
          <w:lang w:val="en-US"/>
        </w:rPr>
        <w:t xml:space="preserve">purpose defined by the </w:t>
      </w:r>
      <w:r w:rsidR="009D060B" w:rsidRPr="00104227">
        <w:rPr>
          <w:lang w:val="en-US"/>
        </w:rPr>
        <w:t>P</w:t>
      </w:r>
      <w:r w:rsidRPr="00104227">
        <w:rPr>
          <w:lang w:val="en-US"/>
        </w:rPr>
        <w:t>resident in the order requiring them and the purpose of this case</w:t>
      </w:r>
      <w:r w:rsidR="00E12489" w:rsidRPr="00104227">
        <w:rPr>
          <w:lang w:val="en-US"/>
        </w:rPr>
        <w:t>.</w:t>
      </w:r>
    </w:p>
    <w:p w14:paraId="06E9CEAB" w14:textId="77777777" w:rsidR="00FE451B" w:rsidRPr="00104227" w:rsidRDefault="00FE451B" w:rsidP="00E4619F">
      <w:pPr>
        <w:pStyle w:val="Ttulo1"/>
        <w:tabs>
          <w:tab w:val="left" w:pos="567"/>
        </w:tabs>
        <w:rPr>
          <w:spacing w:val="-4"/>
        </w:rPr>
      </w:pPr>
      <w:bookmarkStart w:id="119" w:name="_Toc502885896"/>
      <w:bookmarkStart w:id="120" w:name="_Toc511735281"/>
      <w:bookmarkStart w:id="121" w:name="_Toc512447144"/>
      <w:bookmarkStart w:id="122" w:name="_Toc512961803"/>
      <w:bookmarkStart w:id="123" w:name="_Toc513224868"/>
      <w:bookmarkStart w:id="124" w:name="_Toc513225642"/>
      <w:bookmarkStart w:id="125" w:name="_Toc514063394"/>
      <w:bookmarkStart w:id="126" w:name="_Toc527464894"/>
      <w:bookmarkStart w:id="127" w:name="_Toc31290564"/>
      <w:r w:rsidRPr="00104227">
        <w:rPr>
          <w:spacing w:val="-4"/>
        </w:rPr>
        <w:lastRenderedPageBreak/>
        <w:t>VII</w:t>
      </w:r>
      <w:bookmarkEnd w:id="119"/>
      <w:bookmarkEnd w:id="120"/>
      <w:bookmarkEnd w:id="121"/>
      <w:bookmarkEnd w:id="122"/>
      <w:bookmarkEnd w:id="123"/>
      <w:bookmarkEnd w:id="124"/>
      <w:bookmarkEnd w:id="125"/>
      <w:r w:rsidRPr="00104227">
        <w:rPr>
          <w:spacing w:val="-4"/>
        </w:rPr>
        <w:t>I</w:t>
      </w:r>
      <w:bookmarkEnd w:id="126"/>
      <w:bookmarkEnd w:id="127"/>
    </w:p>
    <w:p w14:paraId="52AA30CA" w14:textId="4E90BEC0" w:rsidR="00FE451B" w:rsidRPr="00104227" w:rsidRDefault="00B851FA" w:rsidP="00E4619F">
      <w:pPr>
        <w:pStyle w:val="Ttulo1"/>
        <w:tabs>
          <w:tab w:val="left" w:pos="567"/>
        </w:tabs>
        <w:rPr>
          <w:spacing w:val="-4"/>
        </w:rPr>
      </w:pPr>
      <w:bookmarkStart w:id="128" w:name="_Toc31290565"/>
      <w:r w:rsidRPr="00104227">
        <w:rPr>
          <w:spacing w:val="-4"/>
        </w:rPr>
        <w:t>FACTS</w:t>
      </w:r>
      <w:bookmarkEnd w:id="128"/>
    </w:p>
    <w:p w14:paraId="58680E82" w14:textId="77777777" w:rsidR="00FE451B" w:rsidRPr="00104227" w:rsidRDefault="00FE451B" w:rsidP="00E4619F">
      <w:pPr>
        <w:tabs>
          <w:tab w:val="left" w:pos="567"/>
        </w:tabs>
        <w:rPr>
          <w:lang w:eastAsia="es-MX"/>
        </w:rPr>
      </w:pPr>
    </w:p>
    <w:p w14:paraId="7826EAF7" w14:textId="19464527" w:rsidR="00FE451B" w:rsidRPr="00104227" w:rsidRDefault="000D4C1C" w:rsidP="00E4619F">
      <w:pPr>
        <w:pStyle w:val="Numberedparagraphs"/>
        <w:tabs>
          <w:tab w:val="left" w:pos="567"/>
        </w:tabs>
        <w:rPr>
          <w:lang w:val="en-US"/>
        </w:rPr>
      </w:pPr>
      <w:r w:rsidRPr="00104227">
        <w:rPr>
          <w:lang w:val="en-US" w:eastAsia="es-CR"/>
        </w:rPr>
        <w:t>I</w:t>
      </w:r>
      <w:r w:rsidR="00FE451B" w:rsidRPr="00104227">
        <w:rPr>
          <w:lang w:val="en-US" w:eastAsia="es-CR"/>
        </w:rPr>
        <w:t>n</w:t>
      </w:r>
      <w:r w:rsidRPr="00104227">
        <w:rPr>
          <w:lang w:val="en-US" w:eastAsia="es-CR"/>
        </w:rPr>
        <w:t xml:space="preserve"> this chapter, </w:t>
      </w:r>
      <w:r w:rsidR="00BF5241" w:rsidRPr="00104227">
        <w:rPr>
          <w:lang w:val="en-US" w:eastAsia="es-CR"/>
        </w:rPr>
        <w:t>the Court</w:t>
      </w:r>
      <w:r w:rsidR="00FE451B" w:rsidRPr="00104227">
        <w:rPr>
          <w:lang w:val="en-US" w:eastAsia="es-CR"/>
        </w:rPr>
        <w:t xml:space="preserve"> </w:t>
      </w:r>
      <w:r w:rsidR="00953711" w:rsidRPr="00104227">
        <w:rPr>
          <w:lang w:val="en-US" w:eastAsia="es-CR"/>
        </w:rPr>
        <w:t xml:space="preserve">will set out the relevant facts concerning: </w:t>
      </w:r>
      <w:r w:rsidR="00FE451B" w:rsidRPr="00104227">
        <w:rPr>
          <w:lang w:val="en-US" w:eastAsia="es-CR"/>
        </w:rPr>
        <w:t xml:space="preserve">(A) </w:t>
      </w:r>
      <w:r w:rsidR="00953711" w:rsidRPr="00104227">
        <w:rPr>
          <w:lang w:val="en-US" w:eastAsia="es-CR"/>
        </w:rPr>
        <w:t>the</w:t>
      </w:r>
      <w:r w:rsidR="00FE451B" w:rsidRPr="00104227">
        <w:rPr>
          <w:lang w:val="en-US" w:eastAsia="es-CR"/>
        </w:rPr>
        <w:t xml:space="preserve"> </w:t>
      </w:r>
      <w:r w:rsidR="00B851FA" w:rsidRPr="00104227">
        <w:rPr>
          <w:lang w:val="en-US" w:eastAsia="es-CR"/>
        </w:rPr>
        <w:t>context</w:t>
      </w:r>
      <w:r w:rsidR="00953711" w:rsidRPr="00104227">
        <w:rPr>
          <w:lang w:val="en-US" w:eastAsia="es-CR"/>
        </w:rPr>
        <w:t xml:space="preserve"> in which the facts occurred;</w:t>
      </w:r>
      <w:r w:rsidR="00FE451B" w:rsidRPr="00104227">
        <w:rPr>
          <w:lang w:val="en-US" w:eastAsia="es-CR"/>
        </w:rPr>
        <w:t xml:space="preserve"> (B) </w:t>
      </w:r>
      <w:r w:rsidR="00953711" w:rsidRPr="00104227">
        <w:rPr>
          <w:lang w:val="en-US" w:eastAsia="es-CR"/>
        </w:rPr>
        <w:t xml:space="preserve">the individual facts relating to </w:t>
      </w:r>
      <w:r w:rsidR="00F12946" w:rsidRPr="00104227">
        <w:rPr>
          <w:lang w:val="en-US" w:eastAsia="es-CR"/>
        </w:rPr>
        <w:t>the eleven women</w:t>
      </w:r>
      <w:r w:rsidR="00FE451B" w:rsidRPr="00104227">
        <w:rPr>
          <w:lang w:val="en-US" w:eastAsia="es-CR"/>
        </w:rPr>
        <w:t xml:space="preserve"> </w:t>
      </w:r>
      <w:r w:rsidR="00953711" w:rsidRPr="00104227">
        <w:rPr>
          <w:lang w:val="en-US" w:eastAsia="es-CR"/>
        </w:rPr>
        <w:t>presumed victims</w:t>
      </w:r>
      <w:r w:rsidR="00114C70" w:rsidRPr="00104227">
        <w:rPr>
          <w:lang w:val="en-US" w:eastAsia="es-CR"/>
        </w:rPr>
        <w:t xml:space="preserve"> </w:t>
      </w:r>
      <w:r w:rsidR="00953711" w:rsidRPr="00104227">
        <w:rPr>
          <w:lang w:val="en-US" w:eastAsia="es-CR"/>
        </w:rPr>
        <w:t xml:space="preserve">in this case, </w:t>
      </w:r>
      <w:r w:rsidR="00BF5241" w:rsidRPr="00104227">
        <w:rPr>
          <w:lang w:val="en-US" w:eastAsia="es-CR"/>
        </w:rPr>
        <w:t xml:space="preserve">and </w:t>
      </w:r>
      <w:r w:rsidR="00114C70" w:rsidRPr="00104227">
        <w:rPr>
          <w:lang w:val="en-US" w:eastAsia="es-CR"/>
        </w:rPr>
        <w:t xml:space="preserve">(C) </w:t>
      </w:r>
      <w:r w:rsidR="00953711" w:rsidRPr="00104227">
        <w:rPr>
          <w:lang w:val="en-US" w:eastAsia="es-CR"/>
        </w:rPr>
        <w:t>the facts relating to the investigations conducted as a result of those facts.</w:t>
      </w:r>
    </w:p>
    <w:p w14:paraId="2E59561B" w14:textId="77777777" w:rsidR="00FE451B" w:rsidRPr="00104227" w:rsidRDefault="00FE451B" w:rsidP="00E4619F">
      <w:pPr>
        <w:tabs>
          <w:tab w:val="left" w:pos="567"/>
        </w:tabs>
        <w:rPr>
          <w:lang w:eastAsia="es-CR"/>
        </w:rPr>
      </w:pPr>
    </w:p>
    <w:p w14:paraId="2B139919" w14:textId="55611E67" w:rsidR="00FF5F16" w:rsidRPr="00104227" w:rsidRDefault="00B851FA" w:rsidP="00E4619F">
      <w:pPr>
        <w:pStyle w:val="Ttulo2"/>
        <w:numPr>
          <w:ilvl w:val="0"/>
          <w:numId w:val="64"/>
        </w:numPr>
        <w:tabs>
          <w:tab w:val="left" w:pos="709"/>
        </w:tabs>
        <w:ind w:left="990" w:hanging="270"/>
        <w:rPr>
          <w:lang w:val="en-US"/>
        </w:rPr>
      </w:pPr>
      <w:bookmarkStart w:id="129" w:name="_Toc31290566"/>
      <w:r w:rsidRPr="00104227">
        <w:rPr>
          <w:lang w:val="en-US"/>
        </w:rPr>
        <w:t>Context</w:t>
      </w:r>
      <w:bookmarkEnd w:id="129"/>
    </w:p>
    <w:p w14:paraId="21779F6C" w14:textId="77777777" w:rsidR="00FF5F16" w:rsidRPr="00104227" w:rsidRDefault="00FF5F16" w:rsidP="00E4619F">
      <w:pPr>
        <w:tabs>
          <w:tab w:val="left" w:pos="567"/>
        </w:tabs>
        <w:rPr>
          <w:lang w:eastAsia="es-MX"/>
        </w:rPr>
      </w:pPr>
    </w:p>
    <w:p w14:paraId="6E971C2B" w14:textId="382CC71C" w:rsidR="00101962" w:rsidRPr="00104227" w:rsidRDefault="00101962" w:rsidP="00E4619F">
      <w:pPr>
        <w:pStyle w:val="Ttulo3"/>
        <w:tabs>
          <w:tab w:val="left" w:pos="567"/>
        </w:tabs>
        <w:rPr>
          <w:lang w:val="en-US"/>
        </w:rPr>
      </w:pPr>
      <w:bookmarkStart w:id="130" w:name="_Toc31290567"/>
      <w:r w:rsidRPr="00104227">
        <w:rPr>
          <w:lang w:val="en-US"/>
        </w:rPr>
        <w:t xml:space="preserve">A.1 </w:t>
      </w:r>
      <w:r w:rsidR="00B851FA" w:rsidRPr="00104227">
        <w:rPr>
          <w:lang w:val="en-US"/>
        </w:rPr>
        <w:t>Preliminary considerations</w:t>
      </w:r>
      <w:bookmarkEnd w:id="130"/>
    </w:p>
    <w:p w14:paraId="3620A2FF" w14:textId="77777777" w:rsidR="00101962" w:rsidRPr="00104227" w:rsidRDefault="00101962" w:rsidP="00E4619F">
      <w:pPr>
        <w:tabs>
          <w:tab w:val="left" w:pos="567"/>
        </w:tabs>
      </w:pPr>
    </w:p>
    <w:p w14:paraId="1D19D067" w14:textId="07C396F1" w:rsidR="00101962" w:rsidRPr="00104227" w:rsidRDefault="00953711" w:rsidP="00953711">
      <w:pPr>
        <w:pStyle w:val="Numberedparagraphs"/>
        <w:tabs>
          <w:tab w:val="left" w:pos="567"/>
        </w:tabs>
        <w:rPr>
          <w:lang w:val="en-US"/>
        </w:rPr>
      </w:pPr>
      <w:r w:rsidRPr="00104227">
        <w:rPr>
          <w:lang w:val="en-US"/>
        </w:rPr>
        <w:t>Before analyzing the conte</w:t>
      </w:r>
      <w:r w:rsidR="007E0699" w:rsidRPr="00104227">
        <w:rPr>
          <w:lang w:val="en-US"/>
        </w:rPr>
        <w:t>x</w:t>
      </w:r>
      <w:r w:rsidRPr="00104227">
        <w:rPr>
          <w:lang w:val="en-US"/>
        </w:rPr>
        <w:t>t, t</w:t>
      </w:r>
      <w:r w:rsidR="00BF5241" w:rsidRPr="00104227">
        <w:rPr>
          <w:lang w:val="en-US"/>
        </w:rPr>
        <w:t>he Court</w:t>
      </w:r>
      <w:r w:rsidRPr="00104227">
        <w:rPr>
          <w:lang w:val="en-US"/>
        </w:rPr>
        <w:t xml:space="preserve"> wishes to emphasize that the facts of this case occurred in a democratic State. In this regard, the Court stresses that representative democracy is one of the pillars of the whole system </w:t>
      </w:r>
      <w:r w:rsidR="007E0699" w:rsidRPr="00104227">
        <w:rPr>
          <w:lang w:val="en-US"/>
        </w:rPr>
        <w:t>of which</w:t>
      </w:r>
      <w:r w:rsidRPr="00104227">
        <w:rPr>
          <w:lang w:val="en-US"/>
        </w:rPr>
        <w:t xml:space="preserve"> the Convention forms part</w:t>
      </w:r>
      <w:r w:rsidR="007E0699" w:rsidRPr="00104227">
        <w:rPr>
          <w:lang w:val="en-US"/>
        </w:rPr>
        <w:t>,</w:t>
      </w:r>
      <w:r w:rsidRPr="00104227">
        <w:rPr>
          <w:lang w:val="en-US"/>
        </w:rPr>
        <w:t xml:space="preserve"> and a principle reaffirmed by the States of the Americas in the OAS Charter, a fundamental instrument of the inter-American system.</w:t>
      </w:r>
      <w:r w:rsidR="00101962" w:rsidRPr="00104227">
        <w:rPr>
          <w:rStyle w:val="Refdenotaalpie"/>
          <w:sz w:val="20"/>
          <w:szCs w:val="20"/>
          <w:lang w:val="en-US"/>
        </w:rPr>
        <w:footnoteReference w:id="58"/>
      </w:r>
      <w:r w:rsidR="00101962" w:rsidRPr="00104227">
        <w:rPr>
          <w:lang w:val="en-US"/>
        </w:rPr>
        <w:t xml:space="preserve"> </w:t>
      </w:r>
      <w:r w:rsidRPr="00104227">
        <w:rPr>
          <w:lang w:val="en-US"/>
        </w:rPr>
        <w:t>The OAS Charter</w:t>
      </w:r>
      <w:r w:rsidR="00101962" w:rsidRPr="00104227">
        <w:rPr>
          <w:lang w:val="en-US"/>
        </w:rPr>
        <w:t xml:space="preserve">, </w:t>
      </w:r>
      <w:r w:rsidRPr="00104227">
        <w:rPr>
          <w:lang w:val="en-US"/>
        </w:rPr>
        <w:t xml:space="preserve">the constituent treaty of the organization of which </w:t>
      </w:r>
      <w:r w:rsidR="00BF5241" w:rsidRPr="00104227">
        <w:rPr>
          <w:lang w:val="en-US"/>
        </w:rPr>
        <w:t>Mexico</w:t>
      </w:r>
      <w:r w:rsidR="00101962" w:rsidRPr="00104227">
        <w:rPr>
          <w:lang w:val="en-US"/>
        </w:rPr>
        <w:t xml:space="preserve"> </w:t>
      </w:r>
      <w:r w:rsidRPr="00104227">
        <w:rPr>
          <w:lang w:val="en-US"/>
        </w:rPr>
        <w:t xml:space="preserve">is a State Party since </w:t>
      </w:r>
      <w:r w:rsidR="007E2382" w:rsidRPr="00104227">
        <w:rPr>
          <w:lang w:val="en-US"/>
        </w:rPr>
        <w:t>November 23,</w:t>
      </w:r>
      <w:r w:rsidR="00101962" w:rsidRPr="00104227">
        <w:rPr>
          <w:lang w:val="en-US"/>
        </w:rPr>
        <w:t xml:space="preserve"> 19</w:t>
      </w:r>
      <w:r w:rsidR="00A4165F" w:rsidRPr="00104227">
        <w:rPr>
          <w:lang w:val="en-US"/>
        </w:rPr>
        <w:t>48</w:t>
      </w:r>
      <w:r w:rsidR="00101962" w:rsidRPr="00104227">
        <w:rPr>
          <w:lang w:val="en-US"/>
        </w:rPr>
        <w:t>, establ</w:t>
      </w:r>
      <w:r w:rsidRPr="00104227">
        <w:rPr>
          <w:lang w:val="en-US"/>
        </w:rPr>
        <w:t>ishes as one of its essential purposes “[t]o promote and consolidate representative democracy, with due respect for the principle of non</w:t>
      </w:r>
      <w:r w:rsidR="007E0699" w:rsidRPr="00104227">
        <w:rPr>
          <w:lang w:val="en-US"/>
        </w:rPr>
        <w:t>-</w:t>
      </w:r>
      <w:r w:rsidRPr="00104227">
        <w:rPr>
          <w:lang w:val="en-US"/>
        </w:rPr>
        <w:t>intervention.</w:t>
      </w:r>
      <w:r w:rsidR="00101962" w:rsidRPr="00104227">
        <w:rPr>
          <w:lang w:val="en-US"/>
        </w:rPr>
        <w:t>”</w:t>
      </w:r>
      <w:r w:rsidR="00101962" w:rsidRPr="00104227">
        <w:rPr>
          <w:rStyle w:val="Refdenotaalpie"/>
          <w:sz w:val="20"/>
          <w:szCs w:val="20"/>
          <w:lang w:val="en-US"/>
        </w:rPr>
        <w:footnoteReference w:id="59"/>
      </w:r>
    </w:p>
    <w:p w14:paraId="48ED65FA" w14:textId="77777777" w:rsidR="00101962" w:rsidRPr="00104227" w:rsidRDefault="00101962" w:rsidP="00E4619F">
      <w:pPr>
        <w:tabs>
          <w:tab w:val="left" w:pos="567"/>
        </w:tabs>
        <w:rPr>
          <w:b/>
        </w:rPr>
      </w:pPr>
    </w:p>
    <w:p w14:paraId="566DFB37" w14:textId="69396818" w:rsidR="00101962" w:rsidRPr="00104227" w:rsidRDefault="00953711" w:rsidP="00B174DD">
      <w:pPr>
        <w:pStyle w:val="Numberedparagraphs"/>
        <w:tabs>
          <w:tab w:val="left" w:pos="567"/>
        </w:tabs>
        <w:rPr>
          <w:lang w:val="en-US"/>
        </w:rPr>
      </w:pPr>
      <w:r w:rsidRPr="00104227">
        <w:rPr>
          <w:lang w:val="en-US"/>
        </w:rPr>
        <w:t>The</w:t>
      </w:r>
      <w:r w:rsidR="00BF5241" w:rsidRPr="00104227">
        <w:rPr>
          <w:lang w:val="en-US"/>
        </w:rPr>
        <w:t xml:space="preserve"> Court</w:t>
      </w:r>
      <w:r w:rsidR="00101962" w:rsidRPr="00104227">
        <w:rPr>
          <w:lang w:val="en-US"/>
        </w:rPr>
        <w:t xml:space="preserve"> </w:t>
      </w:r>
      <w:r w:rsidRPr="00104227">
        <w:rPr>
          <w:lang w:val="en-US"/>
        </w:rPr>
        <w:t>also considers it necessary to emphasize that, according to</w:t>
      </w:r>
      <w:r w:rsidR="00B174DD" w:rsidRPr="00104227">
        <w:rPr>
          <w:lang w:val="en-US"/>
        </w:rPr>
        <w:t xml:space="preserve"> Article 28 of the American Convention,</w:t>
      </w:r>
      <w:r w:rsidRPr="00104227">
        <w:rPr>
          <w:lang w:val="en-US"/>
        </w:rPr>
        <w:t xml:space="preserve"> the so-called “</w:t>
      </w:r>
      <w:r w:rsidR="00B174DD" w:rsidRPr="00104227">
        <w:rPr>
          <w:lang w:val="en-US"/>
        </w:rPr>
        <w:t>F</w:t>
      </w:r>
      <w:r w:rsidRPr="00104227">
        <w:rPr>
          <w:lang w:val="en-US"/>
        </w:rPr>
        <w:t xml:space="preserve">ederal </w:t>
      </w:r>
      <w:r w:rsidR="00B174DD" w:rsidRPr="00104227">
        <w:rPr>
          <w:lang w:val="en-US"/>
        </w:rPr>
        <w:t>C</w:t>
      </w:r>
      <w:r w:rsidRPr="00104227">
        <w:rPr>
          <w:lang w:val="en-US"/>
        </w:rPr>
        <w:t>lause</w:t>
      </w:r>
      <w:r w:rsidR="00B174DD" w:rsidRPr="00104227">
        <w:rPr>
          <w:lang w:val="en-US"/>
        </w:rPr>
        <w:t>,</w:t>
      </w:r>
      <w:r w:rsidRPr="00104227">
        <w:rPr>
          <w:lang w:val="en-US"/>
        </w:rPr>
        <w:t>”</w:t>
      </w:r>
      <w:r w:rsidR="00B174DD" w:rsidRPr="00104227">
        <w:rPr>
          <w:lang w:val="en-US"/>
        </w:rPr>
        <w:t xml:space="preserve"> “where a States Party is constituted as a federal state […] it shall implement all the provisions of the Convention over whose subject </w:t>
      </w:r>
      <w:r w:rsidR="007E0699" w:rsidRPr="00104227">
        <w:rPr>
          <w:lang w:val="en-US"/>
        </w:rPr>
        <w:t>m</w:t>
      </w:r>
      <w:r w:rsidR="00B174DD" w:rsidRPr="00104227">
        <w:rPr>
          <w:lang w:val="en-US"/>
        </w:rPr>
        <w:t>atter it exercises legislative and judicial jurisdiction.” In this regard, the Court has established clearly that “according to century-old case law, which has not varied to date, a State cannot argue its federal structure to cease to comply with an international obligation,</w:t>
      </w:r>
      <w:r w:rsidR="00101962" w:rsidRPr="00104227">
        <w:rPr>
          <w:lang w:val="en-US"/>
        </w:rPr>
        <w:t>”</w:t>
      </w:r>
      <w:r w:rsidR="008E4CB2" w:rsidRPr="00104227">
        <w:rPr>
          <w:rStyle w:val="Refdenotaalpie"/>
          <w:sz w:val="20"/>
          <w:szCs w:val="20"/>
          <w:lang w:val="en-US"/>
        </w:rPr>
        <w:footnoteReference w:id="60"/>
      </w:r>
      <w:r w:rsidR="00BF5241" w:rsidRPr="00104227">
        <w:rPr>
          <w:lang w:val="en-US"/>
        </w:rPr>
        <w:t xml:space="preserve"> and </w:t>
      </w:r>
      <w:r w:rsidR="00B174DD" w:rsidRPr="00104227">
        <w:rPr>
          <w:lang w:val="en-US"/>
        </w:rPr>
        <w:t>that</w:t>
      </w:r>
      <w:r w:rsidR="00101962" w:rsidRPr="00104227">
        <w:rPr>
          <w:lang w:val="en-US"/>
        </w:rPr>
        <w:t xml:space="preserve"> “</w:t>
      </w:r>
      <w:r w:rsidR="00B174DD" w:rsidRPr="00104227">
        <w:rPr>
          <w:rFonts w:cs="Arial"/>
          <w:lang w:val="en-US"/>
        </w:rPr>
        <w:t>international provisions that concern the protection of human rights in the States of the Americas, […] must be respected by the States</w:t>
      </w:r>
      <w:r w:rsidR="00E90779" w:rsidRPr="00104227">
        <w:rPr>
          <w:rFonts w:cs="Arial"/>
          <w:lang w:val="en-US"/>
        </w:rPr>
        <w:t xml:space="preserve"> of the Americas that are</w:t>
      </w:r>
      <w:r w:rsidR="00B174DD" w:rsidRPr="00104227">
        <w:rPr>
          <w:rFonts w:cs="Arial"/>
          <w:lang w:val="en-US"/>
        </w:rPr>
        <w:t xml:space="preserve"> </w:t>
      </w:r>
      <w:r w:rsidR="007E0699" w:rsidRPr="00104227">
        <w:rPr>
          <w:rFonts w:cs="Arial"/>
          <w:lang w:val="en-US"/>
        </w:rPr>
        <w:t>p</w:t>
      </w:r>
      <w:r w:rsidR="00B174DD" w:rsidRPr="00104227">
        <w:rPr>
          <w:rFonts w:cs="Arial"/>
          <w:lang w:val="en-US"/>
        </w:rPr>
        <w:t>art</w:t>
      </w:r>
      <w:r w:rsidR="00E90779" w:rsidRPr="00104227">
        <w:rPr>
          <w:rFonts w:cs="Arial"/>
          <w:lang w:val="en-US"/>
        </w:rPr>
        <w:t>ies</w:t>
      </w:r>
      <w:r w:rsidR="00B174DD" w:rsidRPr="00104227">
        <w:rPr>
          <w:rFonts w:cs="Arial"/>
          <w:lang w:val="en-US"/>
        </w:rPr>
        <w:t xml:space="preserve"> to the respective conventions, regardless of whether theirs is a federal or unitary structure.</w:t>
      </w:r>
      <w:r w:rsidR="00101962" w:rsidRPr="00104227">
        <w:rPr>
          <w:lang w:val="en-US"/>
        </w:rPr>
        <w:t>”</w:t>
      </w:r>
      <w:r w:rsidR="008E4CB2" w:rsidRPr="00104227">
        <w:rPr>
          <w:rStyle w:val="Refdenotaalpie"/>
          <w:lang w:val="en-US"/>
        </w:rPr>
        <w:footnoteReference w:id="61"/>
      </w:r>
      <w:r w:rsidR="00101962" w:rsidRPr="00104227">
        <w:rPr>
          <w:lang w:val="en-US"/>
        </w:rPr>
        <w:t xml:space="preserve"> </w:t>
      </w:r>
      <w:r w:rsidR="00B174DD" w:rsidRPr="00104227">
        <w:rPr>
          <w:lang w:val="en-US"/>
        </w:rPr>
        <w:t xml:space="preserve">Thus, the </w:t>
      </w:r>
      <w:r w:rsidR="00BF5241" w:rsidRPr="00104227">
        <w:rPr>
          <w:lang w:val="en-US"/>
        </w:rPr>
        <w:t>Court</w:t>
      </w:r>
      <w:r w:rsidR="00101962" w:rsidRPr="00104227">
        <w:rPr>
          <w:lang w:val="en-US"/>
        </w:rPr>
        <w:t xml:space="preserve"> consider</w:t>
      </w:r>
      <w:r w:rsidR="00B174DD" w:rsidRPr="00104227">
        <w:rPr>
          <w:lang w:val="en-US"/>
        </w:rPr>
        <w:t xml:space="preserve">s that </w:t>
      </w:r>
      <w:r w:rsidR="007E0699" w:rsidRPr="00104227">
        <w:rPr>
          <w:lang w:val="en-US"/>
        </w:rPr>
        <w:t xml:space="preserve">the </w:t>
      </w:r>
      <w:r w:rsidR="00B174DD" w:rsidRPr="00104227">
        <w:rPr>
          <w:lang w:val="en-US"/>
        </w:rPr>
        <w:t>States Parties</w:t>
      </w:r>
      <w:r w:rsidR="00101962" w:rsidRPr="00104227">
        <w:rPr>
          <w:lang w:val="en-US"/>
        </w:rPr>
        <w:t xml:space="preserve"> </w:t>
      </w:r>
      <w:r w:rsidR="00E90779" w:rsidRPr="00104227">
        <w:rPr>
          <w:lang w:val="en-US"/>
        </w:rPr>
        <w:t xml:space="preserve">must respect and </w:t>
      </w:r>
      <w:r w:rsidR="007E0699" w:rsidRPr="00104227">
        <w:rPr>
          <w:lang w:val="en-US"/>
        </w:rPr>
        <w:t>ensure</w:t>
      </w:r>
      <w:r w:rsidR="00E90779" w:rsidRPr="00104227">
        <w:rPr>
          <w:lang w:val="en-US"/>
        </w:rPr>
        <w:t xml:space="preserve"> all the rights </w:t>
      </w:r>
      <w:r w:rsidR="00E466FA" w:rsidRPr="00104227">
        <w:rPr>
          <w:lang w:val="en-US"/>
        </w:rPr>
        <w:t>recognized in</w:t>
      </w:r>
      <w:r w:rsidR="00101962" w:rsidRPr="00104227">
        <w:rPr>
          <w:lang w:val="en-US"/>
        </w:rPr>
        <w:t xml:space="preserve"> </w:t>
      </w:r>
      <w:r w:rsidR="00BF5241" w:rsidRPr="00104227">
        <w:rPr>
          <w:lang w:val="en-US"/>
        </w:rPr>
        <w:t>the American Convention</w:t>
      </w:r>
      <w:r w:rsidR="00101962" w:rsidRPr="00104227">
        <w:rPr>
          <w:lang w:val="en-US"/>
        </w:rPr>
        <w:t xml:space="preserve"> </w:t>
      </w:r>
      <w:r w:rsidR="00E90779" w:rsidRPr="00104227">
        <w:rPr>
          <w:lang w:val="en-US"/>
        </w:rPr>
        <w:t xml:space="preserve">to all persons subject to their jurisdiction, without any limitations or </w:t>
      </w:r>
      <w:r w:rsidR="00E90779" w:rsidRPr="00104227">
        <w:rPr>
          <w:lang w:val="en-US"/>
        </w:rPr>
        <w:lastRenderedPageBreak/>
        <w:t xml:space="preserve">exceptions based on their internal organization. The legal system and practices of the entities that form part of a federal state that is a party to </w:t>
      </w:r>
      <w:r w:rsidR="00BF5241" w:rsidRPr="00104227">
        <w:rPr>
          <w:lang w:val="en-US"/>
        </w:rPr>
        <w:t>the Convention</w:t>
      </w:r>
      <w:r w:rsidR="00101962" w:rsidRPr="00104227">
        <w:rPr>
          <w:lang w:val="en-US"/>
        </w:rPr>
        <w:t xml:space="preserve"> </w:t>
      </w:r>
      <w:r w:rsidR="00E90779" w:rsidRPr="00104227">
        <w:rPr>
          <w:lang w:val="en-US"/>
        </w:rPr>
        <w:t>must abide by</w:t>
      </w:r>
      <w:r w:rsidR="00101962" w:rsidRPr="00104227">
        <w:rPr>
          <w:lang w:val="en-US"/>
        </w:rPr>
        <w:t xml:space="preserve"> </w:t>
      </w:r>
      <w:r w:rsidR="00BF5241" w:rsidRPr="00104227">
        <w:rPr>
          <w:lang w:val="en-US"/>
        </w:rPr>
        <w:t>the American Convention</w:t>
      </w:r>
      <w:r w:rsidR="00E90779" w:rsidRPr="00104227">
        <w:rPr>
          <w:lang w:val="en-US"/>
        </w:rPr>
        <w:t>.</w:t>
      </w:r>
      <w:r w:rsidR="008E4CB2" w:rsidRPr="00104227">
        <w:rPr>
          <w:rStyle w:val="Refdenotaalpie"/>
          <w:lang w:val="en-US"/>
        </w:rPr>
        <w:footnoteReference w:id="62"/>
      </w:r>
    </w:p>
    <w:p w14:paraId="753EB551" w14:textId="77777777" w:rsidR="00101962" w:rsidRPr="00104227" w:rsidRDefault="00101962" w:rsidP="00E4619F">
      <w:pPr>
        <w:tabs>
          <w:tab w:val="left" w:pos="567"/>
        </w:tabs>
        <w:rPr>
          <w:lang w:eastAsia="es-MX"/>
        </w:rPr>
      </w:pPr>
    </w:p>
    <w:p w14:paraId="014F3BAC" w14:textId="54A436D9" w:rsidR="00493BFB" w:rsidRPr="00104227" w:rsidRDefault="003249E9" w:rsidP="00E4619F">
      <w:pPr>
        <w:pStyle w:val="Ttulo3"/>
        <w:tabs>
          <w:tab w:val="left" w:pos="567"/>
        </w:tabs>
        <w:rPr>
          <w:lang w:val="en-US"/>
        </w:rPr>
      </w:pPr>
      <w:bookmarkStart w:id="131" w:name="_Toc433650863"/>
      <w:bookmarkStart w:id="132" w:name="_Toc433650965"/>
      <w:bookmarkStart w:id="133" w:name="_Toc438128474"/>
      <w:bookmarkStart w:id="134" w:name="_Toc527464897"/>
      <w:bookmarkStart w:id="135" w:name="_Toc31290568"/>
      <w:r w:rsidRPr="00104227">
        <w:rPr>
          <w:lang w:val="en-US"/>
        </w:rPr>
        <w:t>A.2</w:t>
      </w:r>
      <w:r w:rsidR="00493BFB" w:rsidRPr="00104227">
        <w:rPr>
          <w:lang w:val="en-US"/>
        </w:rPr>
        <w:t xml:space="preserve"> </w:t>
      </w:r>
      <w:r w:rsidR="008C6D02" w:rsidRPr="00104227">
        <w:rPr>
          <w:lang w:val="en-US"/>
        </w:rPr>
        <w:t>Background to the operation conducted on</w:t>
      </w:r>
      <w:r w:rsidR="00493BFB" w:rsidRPr="00104227">
        <w:rPr>
          <w:lang w:val="en-US"/>
        </w:rPr>
        <w:t xml:space="preserve"> </w:t>
      </w:r>
      <w:r w:rsidR="00DF5F3C" w:rsidRPr="00104227">
        <w:rPr>
          <w:lang w:val="en-US"/>
        </w:rPr>
        <w:t>May 3 and 4,</w:t>
      </w:r>
      <w:r w:rsidR="00493BFB" w:rsidRPr="00104227">
        <w:rPr>
          <w:lang w:val="en-US"/>
        </w:rPr>
        <w:t xml:space="preserve"> </w:t>
      </w:r>
      <w:r w:rsidR="008C6D02" w:rsidRPr="00104227">
        <w:rPr>
          <w:lang w:val="en-US"/>
        </w:rPr>
        <w:t>2006, in</w:t>
      </w:r>
      <w:r w:rsidR="00493BFB" w:rsidRPr="00104227">
        <w:rPr>
          <w:lang w:val="en-US"/>
        </w:rPr>
        <w:t xml:space="preserve"> </w:t>
      </w:r>
      <w:r w:rsidR="008C6D02" w:rsidRPr="00104227">
        <w:rPr>
          <w:lang w:val="en-US"/>
        </w:rPr>
        <w:t>the municipalities of</w:t>
      </w:r>
      <w:r w:rsidR="00493BFB" w:rsidRPr="00104227">
        <w:rPr>
          <w:lang w:val="en-US"/>
        </w:rPr>
        <w:t xml:space="preserve"> Texcoco</w:t>
      </w:r>
      <w:r w:rsidR="00BF5241" w:rsidRPr="00104227">
        <w:rPr>
          <w:lang w:val="en-US"/>
        </w:rPr>
        <w:t xml:space="preserve"> and </w:t>
      </w:r>
      <w:r w:rsidR="00493BFB" w:rsidRPr="00104227">
        <w:rPr>
          <w:lang w:val="en-US"/>
        </w:rPr>
        <w:t xml:space="preserve">San Salvador Atenco, </w:t>
      </w:r>
      <w:r w:rsidR="008C6D02" w:rsidRPr="00104227">
        <w:rPr>
          <w:lang w:val="en-US"/>
        </w:rPr>
        <w:t>state of Mexico</w:t>
      </w:r>
      <w:bookmarkEnd w:id="131"/>
      <w:bookmarkEnd w:id="132"/>
      <w:bookmarkEnd w:id="133"/>
      <w:bookmarkEnd w:id="134"/>
      <w:bookmarkEnd w:id="135"/>
    </w:p>
    <w:p w14:paraId="7C964C2C" w14:textId="77777777" w:rsidR="003249E9" w:rsidRPr="00104227" w:rsidRDefault="003249E9" w:rsidP="00E4619F">
      <w:pPr>
        <w:tabs>
          <w:tab w:val="left" w:pos="567"/>
        </w:tabs>
      </w:pPr>
    </w:p>
    <w:p w14:paraId="09697978" w14:textId="381C9C50" w:rsidR="00221984" w:rsidRPr="00104227" w:rsidRDefault="006B32AA" w:rsidP="00E4619F">
      <w:pPr>
        <w:pStyle w:val="Numberedparagraphs"/>
        <w:tabs>
          <w:tab w:val="left" w:pos="567"/>
        </w:tabs>
        <w:rPr>
          <w:lang w:val="en-US"/>
        </w:rPr>
      </w:pPr>
      <w:bookmarkStart w:id="136" w:name="_Ref532894359"/>
      <w:bookmarkStart w:id="137" w:name="_Ref528938856"/>
      <w:r w:rsidRPr="00104227">
        <w:rPr>
          <w:lang w:val="en-US"/>
        </w:rPr>
        <w:t xml:space="preserve">According to the </w:t>
      </w:r>
      <w:r w:rsidR="0006353E" w:rsidRPr="00104227">
        <w:rPr>
          <w:lang w:val="en-US"/>
        </w:rPr>
        <w:t xml:space="preserve">SCJN </w:t>
      </w:r>
      <w:r w:rsidRPr="00104227">
        <w:rPr>
          <w:lang w:val="en-US"/>
        </w:rPr>
        <w:t>j</w:t>
      </w:r>
      <w:r w:rsidR="00BF5241" w:rsidRPr="00104227">
        <w:rPr>
          <w:lang w:val="en-US"/>
        </w:rPr>
        <w:t>udgment of</w:t>
      </w:r>
      <w:r w:rsidR="00B171E1" w:rsidRPr="00104227">
        <w:rPr>
          <w:lang w:val="en-US"/>
        </w:rPr>
        <w:t xml:space="preserve"> </w:t>
      </w:r>
      <w:r w:rsidRPr="00104227">
        <w:rPr>
          <w:lang w:val="en-US"/>
        </w:rPr>
        <w:t>February 12,</w:t>
      </w:r>
      <w:r w:rsidR="00B171E1" w:rsidRPr="00104227">
        <w:rPr>
          <w:lang w:val="en-US"/>
        </w:rPr>
        <w:t xml:space="preserve"> 2009, </w:t>
      </w:r>
      <w:r w:rsidRPr="00104227">
        <w:rPr>
          <w:lang w:val="en-US"/>
        </w:rPr>
        <w:t>in</w:t>
      </w:r>
      <w:r w:rsidR="00221984" w:rsidRPr="00104227">
        <w:rPr>
          <w:lang w:val="en-US"/>
        </w:rPr>
        <w:t xml:space="preserve"> 2001</w:t>
      </w:r>
      <w:r w:rsidRPr="00104227">
        <w:rPr>
          <w:lang w:val="en-US"/>
        </w:rPr>
        <w:t>,</w:t>
      </w:r>
      <w:r w:rsidR="00221984" w:rsidRPr="00104227">
        <w:rPr>
          <w:lang w:val="en-US"/>
        </w:rPr>
        <w:t xml:space="preserve"> </w:t>
      </w:r>
      <w:r w:rsidRPr="00104227">
        <w:rPr>
          <w:lang w:val="en-US"/>
        </w:rPr>
        <w:t xml:space="preserve">the </w:t>
      </w:r>
      <w:r w:rsidR="007E0699" w:rsidRPr="00104227">
        <w:rPr>
          <w:i/>
          <w:iCs/>
          <w:lang w:val="en-US"/>
        </w:rPr>
        <w:t xml:space="preserve">Frente de Pueblos en Defensa de la Tierra </w:t>
      </w:r>
      <w:r w:rsidR="007E0699" w:rsidRPr="00104227">
        <w:rPr>
          <w:lang w:val="en-US"/>
        </w:rPr>
        <w:t>[</w:t>
      </w:r>
      <w:r w:rsidRPr="00104227">
        <w:rPr>
          <w:lang w:val="en-US"/>
        </w:rPr>
        <w:t>Peoples’ Front in Defense of Land</w:t>
      </w:r>
      <w:r w:rsidR="007E0699" w:rsidRPr="00104227">
        <w:rPr>
          <w:lang w:val="en-US"/>
        </w:rPr>
        <w:t>]</w:t>
      </w:r>
      <w:r w:rsidRPr="00104227">
        <w:rPr>
          <w:lang w:val="en-US"/>
        </w:rPr>
        <w:t xml:space="preserve"> was created </w:t>
      </w:r>
      <w:r w:rsidR="00221984" w:rsidRPr="00104227">
        <w:rPr>
          <w:lang w:val="en-US"/>
        </w:rPr>
        <w:t>(</w:t>
      </w:r>
      <w:r w:rsidR="00BF5241" w:rsidRPr="00104227">
        <w:rPr>
          <w:lang w:val="en-US"/>
        </w:rPr>
        <w:t>hereinafter</w:t>
      </w:r>
      <w:r w:rsidR="00221984" w:rsidRPr="00104227">
        <w:rPr>
          <w:lang w:val="en-US"/>
        </w:rPr>
        <w:t xml:space="preserve"> “FPDT”) </w:t>
      </w:r>
      <w:r w:rsidRPr="00104227">
        <w:rPr>
          <w:lang w:val="en-US"/>
        </w:rPr>
        <w:t>with the “</w:t>
      </w:r>
      <w:r w:rsidR="0080292C" w:rsidRPr="00104227">
        <w:rPr>
          <w:lang w:val="en-US"/>
        </w:rPr>
        <w:t>initial</w:t>
      </w:r>
      <w:r w:rsidRPr="00104227">
        <w:rPr>
          <w:lang w:val="en-US"/>
        </w:rPr>
        <w:t xml:space="preserve"> pu</w:t>
      </w:r>
      <w:r w:rsidR="0080292C" w:rsidRPr="00104227">
        <w:rPr>
          <w:lang w:val="en-US"/>
        </w:rPr>
        <w:t>r</w:t>
      </w:r>
      <w:r w:rsidRPr="00104227">
        <w:rPr>
          <w:lang w:val="en-US"/>
        </w:rPr>
        <w:t>pose of opposing the expropriation of their land on which there was a proposal to construct the Mexico City airport.” The judgment stressed that “they were successful in blocking the construction of the airport on their land and</w:t>
      </w:r>
      <w:r w:rsidR="0080292C" w:rsidRPr="00104227">
        <w:rPr>
          <w:lang w:val="en-US"/>
        </w:rPr>
        <w:t xml:space="preserve"> obtaining</w:t>
      </w:r>
      <w:r w:rsidRPr="00104227">
        <w:rPr>
          <w:lang w:val="en-US"/>
        </w:rPr>
        <w:t xml:space="preserve"> the reversal of the expropriations that had been decreed by the Federal Executive. </w:t>
      </w:r>
      <w:r w:rsidR="00336FBE" w:rsidRPr="00104227">
        <w:rPr>
          <w:lang w:val="en-US"/>
        </w:rPr>
        <w:t>Once this goal had been achieved, they continued as a social organization, pursuing their own claims and supporting the causes of other social movements. Shortly afterwards, they joined 17 social organizations.</w:t>
      </w:r>
      <w:r w:rsidR="00221984" w:rsidRPr="00104227">
        <w:rPr>
          <w:lang w:val="en-US"/>
        </w:rPr>
        <w:t>”</w:t>
      </w:r>
      <w:r w:rsidR="00221984" w:rsidRPr="00104227">
        <w:rPr>
          <w:rStyle w:val="Refdenotaalpie"/>
          <w:lang w:val="en-US"/>
        </w:rPr>
        <w:footnoteReference w:id="63"/>
      </w:r>
      <w:bookmarkEnd w:id="136"/>
    </w:p>
    <w:p w14:paraId="0FE545FB" w14:textId="77777777" w:rsidR="00221984" w:rsidRPr="00104227" w:rsidRDefault="00221984" w:rsidP="00E4619F">
      <w:pPr>
        <w:tabs>
          <w:tab w:val="left" w:pos="567"/>
        </w:tabs>
      </w:pPr>
    </w:p>
    <w:p w14:paraId="39F9EAA0" w14:textId="7A644CE4" w:rsidR="00493BFB" w:rsidRPr="00104227" w:rsidRDefault="00336FBE" w:rsidP="00336FBE">
      <w:pPr>
        <w:pStyle w:val="Numberedparagraphs"/>
        <w:tabs>
          <w:tab w:val="left" w:pos="567"/>
        </w:tabs>
        <w:rPr>
          <w:lang w:val="en-US"/>
        </w:rPr>
      </w:pPr>
      <w:r w:rsidRPr="00104227">
        <w:rPr>
          <w:lang w:val="en-US"/>
        </w:rPr>
        <w:t>In the said judgment</w:t>
      </w:r>
      <w:r w:rsidR="00221984" w:rsidRPr="00104227">
        <w:rPr>
          <w:lang w:val="en-US"/>
        </w:rPr>
        <w:t xml:space="preserve">, </w:t>
      </w:r>
      <w:r w:rsidRPr="00104227">
        <w:rPr>
          <w:lang w:val="en-US"/>
        </w:rPr>
        <w:t>the</w:t>
      </w:r>
      <w:r w:rsidR="00221984" w:rsidRPr="00104227">
        <w:rPr>
          <w:lang w:val="en-US"/>
        </w:rPr>
        <w:t xml:space="preserve"> SCJN </w:t>
      </w:r>
      <w:r w:rsidRPr="00104227">
        <w:rPr>
          <w:lang w:val="en-US"/>
        </w:rPr>
        <w:t>indicated that</w:t>
      </w:r>
      <w:r w:rsidR="0080292C" w:rsidRPr="00104227">
        <w:rPr>
          <w:lang w:val="en-US"/>
        </w:rPr>
        <w:t xml:space="preserve"> one of </w:t>
      </w:r>
      <w:r w:rsidR="00074D63" w:rsidRPr="00104227">
        <w:rPr>
          <w:lang w:val="en-US"/>
        </w:rPr>
        <w:t>the</w:t>
      </w:r>
      <w:r w:rsidR="0080292C" w:rsidRPr="00104227">
        <w:rPr>
          <w:lang w:val="en-US"/>
        </w:rPr>
        <w:t xml:space="preserve"> objectives of the</w:t>
      </w:r>
      <w:r w:rsidRPr="00104227">
        <w:rPr>
          <w:lang w:val="en-US"/>
        </w:rPr>
        <w:t xml:space="preserve"> 2003-2006 Texcoco municipal development plan </w:t>
      </w:r>
      <w:r w:rsidR="0080292C" w:rsidRPr="00104227">
        <w:rPr>
          <w:lang w:val="en-US"/>
        </w:rPr>
        <w:t>was</w:t>
      </w:r>
      <w:r w:rsidRPr="00104227">
        <w:rPr>
          <w:lang w:val="en-US"/>
        </w:rPr>
        <w:t xml:space="preserve"> “the relocation of informal </w:t>
      </w:r>
      <w:r w:rsidR="0080292C" w:rsidRPr="00104227">
        <w:rPr>
          <w:lang w:val="en-US"/>
        </w:rPr>
        <w:t>commerce</w:t>
      </w:r>
      <w:r w:rsidRPr="00104227">
        <w:rPr>
          <w:lang w:val="en-US"/>
        </w:rPr>
        <w:t xml:space="preserve"> located in the municipal capital in order to recover the areas for </w:t>
      </w:r>
      <w:r w:rsidR="0080292C" w:rsidRPr="00104227">
        <w:rPr>
          <w:lang w:val="en-US"/>
        </w:rPr>
        <w:t>general</w:t>
      </w:r>
      <w:r w:rsidRPr="00104227">
        <w:rPr>
          <w:lang w:val="en-US"/>
        </w:rPr>
        <w:t xml:space="preserve"> use and to improve the urban image.</w:t>
      </w:r>
      <w:r w:rsidR="00493BFB" w:rsidRPr="00104227">
        <w:rPr>
          <w:lang w:val="en-US"/>
        </w:rPr>
        <w:t>”</w:t>
      </w:r>
      <w:r w:rsidR="00493BFB" w:rsidRPr="00104227">
        <w:rPr>
          <w:rStyle w:val="Refdenotaalpie"/>
          <w:lang w:val="en-US"/>
        </w:rPr>
        <w:footnoteReference w:id="64"/>
      </w:r>
      <w:r w:rsidRPr="00104227">
        <w:rPr>
          <w:lang w:val="en-US"/>
        </w:rPr>
        <w:t xml:space="preserve"> Accordingly, on October 21,</w:t>
      </w:r>
      <w:r w:rsidR="00493BFB" w:rsidRPr="00104227">
        <w:rPr>
          <w:lang w:val="en-US"/>
        </w:rPr>
        <w:t xml:space="preserve"> 2005</w:t>
      </w:r>
      <w:r w:rsidRPr="00104227">
        <w:rPr>
          <w:lang w:val="en-US"/>
        </w:rPr>
        <w:t>, an agreement was signed between the</w:t>
      </w:r>
      <w:r w:rsidR="0080292C" w:rsidRPr="00104227">
        <w:rPr>
          <w:lang w:val="en-US"/>
        </w:rPr>
        <w:t xml:space="preserve"> local</w:t>
      </w:r>
      <w:r w:rsidRPr="00104227">
        <w:rPr>
          <w:lang w:val="en-US"/>
        </w:rPr>
        <w:t xml:space="preserve"> government and four leaders who said they were the “</w:t>
      </w:r>
      <w:r w:rsidR="0080292C" w:rsidRPr="00104227">
        <w:rPr>
          <w:lang w:val="en-US"/>
        </w:rPr>
        <w:t xml:space="preserve">factual and legal </w:t>
      </w:r>
      <w:r w:rsidRPr="00104227">
        <w:rPr>
          <w:lang w:val="en-US"/>
        </w:rPr>
        <w:t xml:space="preserve">representatives” of the </w:t>
      </w:r>
      <w:r w:rsidR="00650467" w:rsidRPr="00104227">
        <w:rPr>
          <w:lang w:val="en-US"/>
        </w:rPr>
        <w:t>flower</w:t>
      </w:r>
      <w:r w:rsidR="0080292C" w:rsidRPr="00104227">
        <w:rPr>
          <w:lang w:val="en-US"/>
        </w:rPr>
        <w:t>-</w:t>
      </w:r>
      <w:r w:rsidR="00650467" w:rsidRPr="00104227">
        <w:rPr>
          <w:lang w:val="en-US"/>
        </w:rPr>
        <w:t>sellers</w:t>
      </w:r>
      <w:r w:rsidRPr="00104227">
        <w:rPr>
          <w:lang w:val="en-US"/>
        </w:rPr>
        <w:t xml:space="preserve"> who traded in front of the Belisario Domínguez market</w:t>
      </w:r>
      <w:r w:rsidR="00493BFB" w:rsidRPr="00104227">
        <w:rPr>
          <w:lang w:val="en-US"/>
        </w:rPr>
        <w:t xml:space="preserve">. </w:t>
      </w:r>
      <w:r w:rsidRPr="00104227">
        <w:rPr>
          <w:lang w:val="en-US"/>
        </w:rPr>
        <w:t xml:space="preserve">In this agreement, it was </w:t>
      </w:r>
      <w:r w:rsidR="00074D63" w:rsidRPr="00104227">
        <w:rPr>
          <w:lang w:val="en-US"/>
        </w:rPr>
        <w:t>decided</w:t>
      </w:r>
      <w:r w:rsidRPr="00104227">
        <w:rPr>
          <w:lang w:val="en-US"/>
        </w:rPr>
        <w:t xml:space="preserve"> that the </w:t>
      </w:r>
      <w:r w:rsidR="00650467" w:rsidRPr="00104227">
        <w:rPr>
          <w:lang w:val="en-US"/>
        </w:rPr>
        <w:t>flower-sellers</w:t>
      </w:r>
      <w:r w:rsidRPr="00104227">
        <w:rPr>
          <w:lang w:val="en-US"/>
        </w:rPr>
        <w:t xml:space="preserve"> would be relocated to the Texcoco Agricultural Products</w:t>
      </w:r>
      <w:r w:rsidR="0080292C" w:rsidRPr="00104227">
        <w:rPr>
          <w:lang w:val="en-US"/>
        </w:rPr>
        <w:t xml:space="preserve"> and Flowers </w:t>
      </w:r>
      <w:r w:rsidR="00074D63" w:rsidRPr="00104227">
        <w:rPr>
          <w:lang w:val="en-US"/>
        </w:rPr>
        <w:t>Market</w:t>
      </w:r>
      <w:r w:rsidR="0049081E" w:rsidRPr="00104227">
        <w:rPr>
          <w:lang w:val="en-US"/>
        </w:rPr>
        <w:t xml:space="preserve">, </w:t>
      </w:r>
      <w:r w:rsidRPr="00104227">
        <w:rPr>
          <w:lang w:val="en-US"/>
        </w:rPr>
        <w:t>where the municipality gave them a space where each florist would be allocated a sta</w:t>
      </w:r>
      <w:r w:rsidR="00074D63" w:rsidRPr="00104227">
        <w:rPr>
          <w:lang w:val="en-US"/>
        </w:rPr>
        <w:t>ll</w:t>
      </w:r>
      <w:r w:rsidRPr="00104227">
        <w:rPr>
          <w:lang w:val="en-US"/>
        </w:rPr>
        <w:t xml:space="preserve">. On April 3, </w:t>
      </w:r>
      <w:r w:rsidR="00493BFB" w:rsidRPr="00104227">
        <w:rPr>
          <w:lang w:val="en-US"/>
        </w:rPr>
        <w:t xml:space="preserve">2006, </w:t>
      </w:r>
      <w:r w:rsidRPr="00104227">
        <w:rPr>
          <w:lang w:val="en-US"/>
        </w:rPr>
        <w:t>the</w:t>
      </w:r>
      <w:r w:rsidR="00493BFB" w:rsidRPr="00104227">
        <w:rPr>
          <w:lang w:val="en-US"/>
        </w:rPr>
        <w:t xml:space="preserve"> Director </w:t>
      </w:r>
      <w:r w:rsidR="0080292C" w:rsidRPr="00104227">
        <w:rPr>
          <w:lang w:val="en-US"/>
        </w:rPr>
        <w:t>for</w:t>
      </w:r>
      <w:r w:rsidRPr="00104227">
        <w:rPr>
          <w:lang w:val="en-US"/>
        </w:rPr>
        <w:t xml:space="preserve"> Trade Regulation</w:t>
      </w:r>
      <w:r w:rsidR="00493BFB" w:rsidRPr="00104227">
        <w:rPr>
          <w:lang w:val="en-US"/>
        </w:rPr>
        <w:t xml:space="preserve"> </w:t>
      </w:r>
      <w:r w:rsidRPr="00104227">
        <w:rPr>
          <w:lang w:val="en-US"/>
        </w:rPr>
        <w:t xml:space="preserve">of the </w:t>
      </w:r>
      <w:r w:rsidR="0080292C" w:rsidRPr="00104227">
        <w:rPr>
          <w:lang w:val="en-US"/>
        </w:rPr>
        <w:t xml:space="preserve">Texcoco </w:t>
      </w:r>
      <w:r w:rsidRPr="00104227">
        <w:rPr>
          <w:lang w:val="en-US"/>
        </w:rPr>
        <w:t>municipality</w:t>
      </w:r>
      <w:r w:rsidR="00493BFB" w:rsidRPr="00104227">
        <w:rPr>
          <w:lang w:val="en-US"/>
        </w:rPr>
        <w:t xml:space="preserve"> </w:t>
      </w:r>
      <w:r w:rsidRPr="00104227">
        <w:rPr>
          <w:lang w:val="en-US"/>
        </w:rPr>
        <w:t>opened an administrative inquir</w:t>
      </w:r>
      <w:r w:rsidR="0080292C" w:rsidRPr="00104227">
        <w:rPr>
          <w:lang w:val="en-US"/>
        </w:rPr>
        <w:t>y</w:t>
      </w:r>
      <w:r w:rsidRPr="00104227">
        <w:rPr>
          <w:lang w:val="en-US"/>
        </w:rPr>
        <w:t xml:space="preserve"> </w:t>
      </w:r>
      <w:r w:rsidR="0080292C" w:rsidRPr="00104227">
        <w:rPr>
          <w:lang w:val="en-US"/>
        </w:rPr>
        <w:t>claiming</w:t>
      </w:r>
      <w:r w:rsidRPr="00104227">
        <w:rPr>
          <w:lang w:val="en-US"/>
        </w:rPr>
        <w:t xml:space="preserve"> that eight </w:t>
      </w:r>
      <w:r w:rsidR="00650467" w:rsidRPr="00104227">
        <w:rPr>
          <w:lang w:val="en-US"/>
        </w:rPr>
        <w:t>flower-sellers</w:t>
      </w:r>
      <w:r w:rsidRPr="00104227">
        <w:rPr>
          <w:lang w:val="en-US"/>
        </w:rPr>
        <w:t xml:space="preserve"> had not relocated and continued </w:t>
      </w:r>
      <w:r w:rsidR="0080292C" w:rsidRPr="00104227">
        <w:rPr>
          <w:lang w:val="en-US"/>
        </w:rPr>
        <w:t>trading</w:t>
      </w:r>
      <w:r w:rsidRPr="00104227">
        <w:rPr>
          <w:lang w:val="en-US"/>
        </w:rPr>
        <w:t xml:space="preserve"> in front of the Belisario Domínguez market; the following day, he requested the support of the Head of </w:t>
      </w:r>
      <w:r w:rsidR="004416D2" w:rsidRPr="00104227">
        <w:rPr>
          <w:lang w:val="en-US"/>
        </w:rPr>
        <w:t>the Public Roads and Inspectors Department in this regard.</w:t>
      </w:r>
      <w:r w:rsidR="00493BFB" w:rsidRPr="00104227">
        <w:rPr>
          <w:rStyle w:val="Refdenotaalpie"/>
          <w:lang w:val="en-US"/>
        </w:rPr>
        <w:footnoteReference w:id="65"/>
      </w:r>
      <w:bookmarkEnd w:id="137"/>
      <w:r w:rsidR="00493BFB" w:rsidRPr="00104227">
        <w:rPr>
          <w:lang w:val="en-US"/>
        </w:rPr>
        <w:t xml:space="preserve"> </w:t>
      </w:r>
    </w:p>
    <w:p w14:paraId="43AAD4FD" w14:textId="77777777" w:rsidR="00493BFB" w:rsidRPr="00104227" w:rsidRDefault="00493BFB" w:rsidP="00E4619F">
      <w:pPr>
        <w:tabs>
          <w:tab w:val="left" w:pos="567"/>
        </w:tabs>
      </w:pPr>
    </w:p>
    <w:p w14:paraId="0BB9D816" w14:textId="26A1368E" w:rsidR="00493BFB" w:rsidRPr="00104227" w:rsidRDefault="004416D2" w:rsidP="00E4619F">
      <w:pPr>
        <w:pStyle w:val="Numberedparagraphs"/>
        <w:tabs>
          <w:tab w:val="left" w:pos="567"/>
        </w:tabs>
        <w:rPr>
          <w:lang w:val="en-US"/>
        </w:rPr>
      </w:pPr>
      <w:r w:rsidRPr="00104227">
        <w:rPr>
          <w:lang w:val="en-US"/>
        </w:rPr>
        <w:t>The</w:t>
      </w:r>
      <w:r w:rsidR="00221984" w:rsidRPr="00104227">
        <w:rPr>
          <w:lang w:val="en-US"/>
        </w:rPr>
        <w:t xml:space="preserve"> SCJN </w:t>
      </w:r>
      <w:r w:rsidRPr="00104227">
        <w:rPr>
          <w:lang w:val="en-US"/>
        </w:rPr>
        <w:t xml:space="preserve">also emphasized that, on April 11, </w:t>
      </w:r>
      <w:r w:rsidR="00493BFB" w:rsidRPr="00104227">
        <w:rPr>
          <w:lang w:val="en-US"/>
        </w:rPr>
        <w:t>2006</w:t>
      </w:r>
      <w:r w:rsidRPr="00104227">
        <w:rPr>
          <w:lang w:val="en-US"/>
        </w:rPr>
        <w:t>,</w:t>
      </w:r>
      <w:r w:rsidR="00493BFB" w:rsidRPr="00104227">
        <w:rPr>
          <w:lang w:val="en-US"/>
        </w:rPr>
        <w:t xml:space="preserve"> person</w:t>
      </w:r>
      <w:r w:rsidRPr="00104227">
        <w:rPr>
          <w:lang w:val="en-US"/>
        </w:rPr>
        <w:t>ne</w:t>
      </w:r>
      <w:r w:rsidR="00493BFB" w:rsidRPr="00104227">
        <w:rPr>
          <w:lang w:val="en-US"/>
        </w:rPr>
        <w:t xml:space="preserve">l </w:t>
      </w:r>
      <w:r w:rsidRPr="00104227">
        <w:rPr>
          <w:lang w:val="en-US"/>
        </w:rPr>
        <w:t>of</w:t>
      </w:r>
      <w:r w:rsidR="00493BFB" w:rsidRPr="00104227">
        <w:rPr>
          <w:lang w:val="en-US"/>
        </w:rPr>
        <w:t xml:space="preserve"> </w:t>
      </w:r>
      <w:r w:rsidRPr="00104227">
        <w:rPr>
          <w:lang w:val="en-US"/>
        </w:rPr>
        <w:t>the Trade Regulation</w:t>
      </w:r>
      <w:r w:rsidR="00074D63" w:rsidRPr="00104227">
        <w:rPr>
          <w:lang w:val="en-US"/>
        </w:rPr>
        <w:t xml:space="preserve"> Directorate</w:t>
      </w:r>
      <w:r w:rsidR="00BF5241" w:rsidRPr="00104227">
        <w:rPr>
          <w:lang w:val="en-US"/>
        </w:rPr>
        <w:t xml:space="preserve"> and </w:t>
      </w:r>
      <w:r w:rsidRPr="00104227">
        <w:rPr>
          <w:lang w:val="en-US"/>
        </w:rPr>
        <w:t>agents of the municipal police force</w:t>
      </w:r>
      <w:r w:rsidR="00493BFB" w:rsidRPr="00104227">
        <w:rPr>
          <w:lang w:val="en-US"/>
        </w:rPr>
        <w:t xml:space="preserve"> </w:t>
      </w:r>
      <w:r w:rsidRPr="00104227">
        <w:rPr>
          <w:lang w:val="en-US"/>
        </w:rPr>
        <w:t>tried to prevent the flower-</w:t>
      </w:r>
      <w:r w:rsidR="00074D63" w:rsidRPr="00104227">
        <w:rPr>
          <w:lang w:val="en-US"/>
        </w:rPr>
        <w:t>sellers</w:t>
      </w:r>
      <w:r w:rsidRPr="00104227">
        <w:rPr>
          <w:lang w:val="en-US"/>
        </w:rPr>
        <w:t xml:space="preserve"> from setting up their</w:t>
      </w:r>
      <w:r w:rsidR="00D2655F" w:rsidRPr="00104227">
        <w:rPr>
          <w:lang w:val="en-US"/>
        </w:rPr>
        <w:t xml:space="preserve"> stalls</w:t>
      </w:r>
      <w:r w:rsidRPr="00104227">
        <w:rPr>
          <w:lang w:val="en-US"/>
        </w:rPr>
        <w:t xml:space="preserve">. However, the authorities underscored that, shortly afterwards, between 30 and 40 individuals </w:t>
      </w:r>
      <w:r w:rsidR="00074D63" w:rsidRPr="00104227">
        <w:rPr>
          <w:lang w:val="en-US"/>
        </w:rPr>
        <w:t xml:space="preserve">armed </w:t>
      </w:r>
      <w:r w:rsidRPr="00104227">
        <w:rPr>
          <w:lang w:val="en-US"/>
        </w:rPr>
        <w:t>with machetes</w:t>
      </w:r>
      <w:r w:rsidR="00074D63" w:rsidRPr="00104227">
        <w:rPr>
          <w:lang w:val="en-US"/>
        </w:rPr>
        <w:t xml:space="preserve"> – incl</w:t>
      </w:r>
      <w:r w:rsidRPr="00104227">
        <w:rPr>
          <w:lang w:val="en-US"/>
        </w:rPr>
        <w:t xml:space="preserve">uding Texcoco </w:t>
      </w:r>
      <w:r w:rsidR="00650467" w:rsidRPr="00104227">
        <w:rPr>
          <w:lang w:val="en-US"/>
        </w:rPr>
        <w:t>flower-sellers</w:t>
      </w:r>
      <w:r w:rsidRPr="00104227">
        <w:rPr>
          <w:lang w:val="en-US"/>
        </w:rPr>
        <w:t>, but also members of the FP</w:t>
      </w:r>
      <w:r w:rsidR="00074D63" w:rsidRPr="00104227">
        <w:rPr>
          <w:lang w:val="en-US"/>
        </w:rPr>
        <w:t>D</w:t>
      </w:r>
      <w:r w:rsidRPr="00104227">
        <w:rPr>
          <w:lang w:val="en-US"/>
        </w:rPr>
        <w:t>T</w:t>
      </w:r>
      <w:r w:rsidR="00074D63" w:rsidRPr="00104227">
        <w:rPr>
          <w:lang w:val="en-US"/>
        </w:rPr>
        <w:t xml:space="preserve"> – arrived </w:t>
      </w:r>
      <w:r w:rsidRPr="00104227">
        <w:rPr>
          <w:lang w:val="en-US"/>
        </w:rPr>
        <w:t xml:space="preserve">and this gave rise to a confrontation in which some </w:t>
      </w:r>
      <w:r w:rsidR="00074D63" w:rsidRPr="00104227">
        <w:rPr>
          <w:lang w:val="en-US"/>
        </w:rPr>
        <w:t xml:space="preserve">Directorate </w:t>
      </w:r>
      <w:r w:rsidRPr="00104227">
        <w:rPr>
          <w:lang w:val="en-US"/>
        </w:rPr>
        <w:t xml:space="preserve">vehicles were damaged. </w:t>
      </w:r>
      <w:r w:rsidR="00AA3133" w:rsidRPr="00104227">
        <w:rPr>
          <w:lang w:val="en-US"/>
        </w:rPr>
        <w:t xml:space="preserve">The </w:t>
      </w:r>
      <w:r w:rsidRPr="00104227">
        <w:rPr>
          <w:lang w:val="en-US"/>
        </w:rPr>
        <w:t xml:space="preserve">deputy Municipal </w:t>
      </w:r>
      <w:r w:rsidR="00AA3133" w:rsidRPr="00104227">
        <w:rPr>
          <w:lang w:val="en-US"/>
        </w:rPr>
        <w:t>President</w:t>
      </w:r>
      <w:r w:rsidR="00493BFB" w:rsidRPr="00104227">
        <w:rPr>
          <w:lang w:val="en-US"/>
        </w:rPr>
        <w:t xml:space="preserve"> </w:t>
      </w:r>
      <w:r w:rsidRPr="00104227">
        <w:rPr>
          <w:lang w:val="en-US"/>
        </w:rPr>
        <w:t xml:space="preserve">informed the Commissioner of the </w:t>
      </w:r>
      <w:r w:rsidR="00074D63" w:rsidRPr="00104227">
        <w:rPr>
          <w:lang w:val="en-US"/>
        </w:rPr>
        <w:t>s</w:t>
      </w:r>
      <w:r w:rsidRPr="00104227">
        <w:rPr>
          <w:lang w:val="en-US"/>
        </w:rPr>
        <w:t>tat</w:t>
      </w:r>
      <w:r w:rsidR="009075C6" w:rsidRPr="00104227">
        <w:rPr>
          <w:lang w:val="en-US"/>
        </w:rPr>
        <w:t>e</w:t>
      </w:r>
      <w:r w:rsidRPr="00104227">
        <w:rPr>
          <w:lang w:val="en-US"/>
        </w:rPr>
        <w:t xml:space="preserve"> Security Agency that “groups organized by informal traders were trying to threaten the stability of the municipal government,” because “they were threatening to take over the offices of</w:t>
      </w:r>
      <w:r w:rsidR="00074D63" w:rsidRPr="00104227">
        <w:rPr>
          <w:lang w:val="en-US"/>
        </w:rPr>
        <w:t xml:space="preserve"> the</w:t>
      </w:r>
      <w:r w:rsidRPr="00104227">
        <w:rPr>
          <w:lang w:val="en-US"/>
        </w:rPr>
        <w:t xml:space="preserve"> </w:t>
      </w:r>
      <w:r w:rsidR="009075C6" w:rsidRPr="00104227">
        <w:rPr>
          <w:lang w:val="en-US"/>
        </w:rPr>
        <w:t>City Hall</w:t>
      </w:r>
      <w:r w:rsidRPr="00104227">
        <w:rPr>
          <w:lang w:val="en-US"/>
        </w:rPr>
        <w:t xml:space="preserve"> […with] the support of the </w:t>
      </w:r>
      <w:r w:rsidR="00493BFB" w:rsidRPr="00104227">
        <w:rPr>
          <w:lang w:val="en-US"/>
        </w:rPr>
        <w:t xml:space="preserve">[FPDT] </w:t>
      </w:r>
      <w:r w:rsidRPr="00104227">
        <w:rPr>
          <w:lang w:val="en-US"/>
        </w:rPr>
        <w:t>from the municipality of</w:t>
      </w:r>
      <w:r w:rsidR="00493BFB" w:rsidRPr="00104227">
        <w:rPr>
          <w:lang w:val="en-US"/>
        </w:rPr>
        <w:t xml:space="preserve"> Atenco”</w:t>
      </w:r>
      <w:r w:rsidR="00BF5241" w:rsidRPr="00104227">
        <w:rPr>
          <w:lang w:val="en-US"/>
        </w:rPr>
        <w:t xml:space="preserve"> and </w:t>
      </w:r>
      <w:r w:rsidRPr="00104227">
        <w:rPr>
          <w:lang w:val="en-US"/>
        </w:rPr>
        <w:t>requested that members of the Support and Reaction Force be sent.</w:t>
      </w:r>
      <w:r w:rsidR="00493BFB" w:rsidRPr="00104227">
        <w:rPr>
          <w:rStyle w:val="Refdenotaalpie"/>
          <w:lang w:val="en-US"/>
        </w:rPr>
        <w:footnoteReference w:id="66"/>
      </w:r>
    </w:p>
    <w:p w14:paraId="73A3863A" w14:textId="77777777" w:rsidR="00493BFB" w:rsidRPr="00104227" w:rsidRDefault="00493BFB" w:rsidP="00E4619F">
      <w:pPr>
        <w:tabs>
          <w:tab w:val="left" w:pos="567"/>
        </w:tabs>
      </w:pPr>
    </w:p>
    <w:p w14:paraId="6F58E8C2" w14:textId="0AB52050" w:rsidR="00493BFB" w:rsidRPr="00104227" w:rsidRDefault="009075C6" w:rsidP="00E4619F">
      <w:pPr>
        <w:pStyle w:val="Numberedparagraphs"/>
        <w:tabs>
          <w:tab w:val="left" w:pos="567"/>
        </w:tabs>
        <w:rPr>
          <w:lang w:val="en-US"/>
        </w:rPr>
      </w:pPr>
      <w:r w:rsidRPr="00104227">
        <w:rPr>
          <w:lang w:val="en-US"/>
        </w:rPr>
        <w:lastRenderedPageBreak/>
        <w:t xml:space="preserve">According to the information </w:t>
      </w:r>
      <w:r w:rsidR="00074D63" w:rsidRPr="00104227">
        <w:rPr>
          <w:lang w:val="en-US"/>
        </w:rPr>
        <w:t>contained in</w:t>
      </w:r>
      <w:r w:rsidRPr="00104227">
        <w:rPr>
          <w:lang w:val="en-US"/>
        </w:rPr>
        <w:t xml:space="preserve"> </w:t>
      </w:r>
      <w:r w:rsidR="00074D63" w:rsidRPr="00104227">
        <w:rPr>
          <w:lang w:val="en-US"/>
        </w:rPr>
        <w:t xml:space="preserve">the </w:t>
      </w:r>
      <w:r w:rsidRPr="00104227">
        <w:rPr>
          <w:lang w:val="en-US"/>
        </w:rPr>
        <w:t>SCJN</w:t>
      </w:r>
      <w:r w:rsidR="0006353E" w:rsidRPr="00104227">
        <w:rPr>
          <w:lang w:val="en-US"/>
        </w:rPr>
        <w:t xml:space="preserve"> </w:t>
      </w:r>
      <w:r w:rsidRPr="00104227">
        <w:rPr>
          <w:lang w:val="en-US"/>
        </w:rPr>
        <w:t>j</w:t>
      </w:r>
      <w:r w:rsidR="00BF5241" w:rsidRPr="00104227">
        <w:rPr>
          <w:lang w:val="en-US"/>
        </w:rPr>
        <w:t>udgment</w:t>
      </w:r>
      <w:r w:rsidRPr="00104227">
        <w:rPr>
          <w:lang w:val="en-US"/>
        </w:rPr>
        <w:t>,</w:t>
      </w:r>
      <w:r w:rsidR="00BF5241" w:rsidRPr="00104227">
        <w:rPr>
          <w:lang w:val="en-US"/>
        </w:rPr>
        <w:t xml:space="preserve"> </w:t>
      </w:r>
      <w:r w:rsidRPr="00104227">
        <w:rPr>
          <w:lang w:val="en-US"/>
        </w:rPr>
        <w:t>starting on</w:t>
      </w:r>
      <w:r w:rsidR="00221C95" w:rsidRPr="00104227">
        <w:rPr>
          <w:lang w:val="en-US"/>
        </w:rPr>
        <w:t xml:space="preserve"> </w:t>
      </w:r>
      <w:r w:rsidRPr="00104227">
        <w:rPr>
          <w:lang w:val="en-US"/>
        </w:rPr>
        <w:t>April 12,</w:t>
      </w:r>
      <w:r w:rsidR="00493BFB" w:rsidRPr="00104227">
        <w:rPr>
          <w:lang w:val="en-US"/>
        </w:rPr>
        <w:t xml:space="preserve"> 2006</w:t>
      </w:r>
      <w:r w:rsidRPr="00104227">
        <w:rPr>
          <w:lang w:val="en-US"/>
        </w:rPr>
        <w:t xml:space="preserve">, </w:t>
      </w:r>
      <w:r w:rsidR="00493BFB" w:rsidRPr="00104227">
        <w:rPr>
          <w:lang w:val="en-US"/>
        </w:rPr>
        <w:t>se</w:t>
      </w:r>
      <w:r w:rsidRPr="00104227">
        <w:rPr>
          <w:lang w:val="en-US"/>
        </w:rPr>
        <w:t>curity me</w:t>
      </w:r>
      <w:r w:rsidR="00D2655F" w:rsidRPr="00104227">
        <w:rPr>
          <w:lang w:val="en-US"/>
        </w:rPr>
        <w:t>asures</w:t>
      </w:r>
      <w:r w:rsidRPr="00104227">
        <w:rPr>
          <w:lang w:val="en-US"/>
        </w:rPr>
        <w:t xml:space="preserve"> were put in place in the City Hall</w:t>
      </w:r>
      <w:r w:rsidR="00221C95" w:rsidRPr="00104227">
        <w:rPr>
          <w:lang w:val="en-US"/>
        </w:rPr>
        <w:t xml:space="preserve">, </w:t>
      </w:r>
      <w:r w:rsidRPr="00104227">
        <w:rPr>
          <w:lang w:val="en-US"/>
        </w:rPr>
        <w:t xml:space="preserve">as well as </w:t>
      </w:r>
      <w:r w:rsidR="00074D63" w:rsidRPr="00104227">
        <w:rPr>
          <w:lang w:val="en-US"/>
        </w:rPr>
        <w:t>o</w:t>
      </w:r>
      <w:r w:rsidRPr="00104227">
        <w:rPr>
          <w:lang w:val="en-US"/>
        </w:rPr>
        <w:t xml:space="preserve">n </w:t>
      </w:r>
      <w:r w:rsidR="00221C95" w:rsidRPr="00104227">
        <w:rPr>
          <w:lang w:val="en-US"/>
        </w:rPr>
        <w:t>Fray Pedro de Gante</w:t>
      </w:r>
      <w:r w:rsidRPr="00104227">
        <w:rPr>
          <w:lang w:val="en-US"/>
        </w:rPr>
        <w:t xml:space="preserve"> Street, in front of the market, with municipal and state police,</w:t>
      </w:r>
      <w:r w:rsidR="0006353E" w:rsidRPr="00104227">
        <w:rPr>
          <w:rStyle w:val="Refdenotaalpie"/>
          <w:lang w:val="en-US"/>
        </w:rPr>
        <w:footnoteReference w:id="67"/>
      </w:r>
      <w:r w:rsidR="00221C95" w:rsidRPr="00104227">
        <w:rPr>
          <w:lang w:val="en-US"/>
        </w:rPr>
        <w:t xml:space="preserve"> </w:t>
      </w:r>
      <w:r w:rsidRPr="00104227">
        <w:rPr>
          <w:lang w:val="en-US"/>
        </w:rPr>
        <w:t>and this was reinforced on</w:t>
      </w:r>
      <w:r w:rsidR="00221C95" w:rsidRPr="00104227">
        <w:rPr>
          <w:lang w:val="en-US"/>
        </w:rPr>
        <w:t xml:space="preserve"> </w:t>
      </w:r>
      <w:r w:rsidRPr="00104227">
        <w:rPr>
          <w:lang w:val="en-US"/>
        </w:rPr>
        <w:t>April 24,</w:t>
      </w:r>
      <w:r w:rsidR="00221C95" w:rsidRPr="00104227">
        <w:rPr>
          <w:lang w:val="en-US"/>
        </w:rPr>
        <w:t xml:space="preserve"> 2006, </w:t>
      </w:r>
      <w:r w:rsidRPr="00104227">
        <w:rPr>
          <w:lang w:val="en-US"/>
        </w:rPr>
        <w:t xml:space="preserve">to </w:t>
      </w:r>
      <w:r w:rsidR="00074D63" w:rsidRPr="00104227">
        <w:rPr>
          <w:lang w:val="en-US"/>
        </w:rPr>
        <w:t>prevent</w:t>
      </w:r>
      <w:r w:rsidRPr="00104227">
        <w:rPr>
          <w:lang w:val="en-US"/>
        </w:rPr>
        <w:t xml:space="preserve"> the flower-</w:t>
      </w:r>
      <w:r w:rsidR="00074D63" w:rsidRPr="00104227">
        <w:rPr>
          <w:lang w:val="en-US"/>
        </w:rPr>
        <w:t>sellers</w:t>
      </w:r>
      <w:r w:rsidRPr="00104227">
        <w:rPr>
          <w:lang w:val="en-US"/>
        </w:rPr>
        <w:t xml:space="preserve"> from setting up their</w:t>
      </w:r>
      <w:r w:rsidR="00D2655F" w:rsidRPr="00104227">
        <w:rPr>
          <w:lang w:val="en-US"/>
        </w:rPr>
        <w:t xml:space="preserve"> stalls</w:t>
      </w:r>
      <w:r w:rsidRPr="00104227">
        <w:rPr>
          <w:lang w:val="en-US"/>
        </w:rPr>
        <w:t xml:space="preserve"> there. However, the florist</w:t>
      </w:r>
      <w:r w:rsidR="00074D63" w:rsidRPr="00104227">
        <w:rPr>
          <w:lang w:val="en-US"/>
        </w:rPr>
        <w:t>s</w:t>
      </w:r>
      <w:r w:rsidRPr="00104227">
        <w:rPr>
          <w:lang w:val="en-US"/>
        </w:rPr>
        <w:t xml:space="preserve"> and the members of the </w:t>
      </w:r>
      <w:r w:rsidR="00493BFB" w:rsidRPr="00104227">
        <w:rPr>
          <w:lang w:val="en-US"/>
        </w:rPr>
        <w:t xml:space="preserve">FPDT </w:t>
      </w:r>
      <w:r w:rsidR="00D90043" w:rsidRPr="00104227">
        <w:rPr>
          <w:lang w:val="en-US"/>
        </w:rPr>
        <w:t>set up</w:t>
      </w:r>
      <w:r w:rsidR="00D2655F" w:rsidRPr="00104227">
        <w:rPr>
          <w:lang w:val="en-US"/>
        </w:rPr>
        <w:t xml:space="preserve"> stalls</w:t>
      </w:r>
      <w:r w:rsidRPr="00104227">
        <w:rPr>
          <w:lang w:val="en-US"/>
        </w:rPr>
        <w:t xml:space="preserve"> in front of the </w:t>
      </w:r>
      <w:r w:rsidR="00336FBE" w:rsidRPr="00104227">
        <w:rPr>
          <w:lang w:val="en-US"/>
        </w:rPr>
        <w:t>Belisario Domínguez market</w:t>
      </w:r>
      <w:r w:rsidR="00BF5241" w:rsidRPr="00104227">
        <w:rPr>
          <w:lang w:val="en-US"/>
        </w:rPr>
        <w:t xml:space="preserve"> and</w:t>
      </w:r>
      <w:r w:rsidRPr="00104227">
        <w:rPr>
          <w:lang w:val="en-US"/>
        </w:rPr>
        <w:t xml:space="preserve">, although they held meetings with officials from the Office of the Attorney General of the </w:t>
      </w:r>
      <w:r w:rsidR="00D2655F" w:rsidRPr="00104227">
        <w:rPr>
          <w:lang w:val="en-US"/>
        </w:rPr>
        <w:t>s</w:t>
      </w:r>
      <w:r w:rsidRPr="00104227">
        <w:rPr>
          <w:lang w:val="en-US"/>
        </w:rPr>
        <w:t xml:space="preserve">tate </w:t>
      </w:r>
      <w:r w:rsidR="00D2655F" w:rsidRPr="00104227">
        <w:rPr>
          <w:lang w:val="en-US"/>
        </w:rPr>
        <w:t>of</w:t>
      </w:r>
      <w:r w:rsidRPr="00104227">
        <w:rPr>
          <w:lang w:val="en-US"/>
        </w:rPr>
        <w:t xml:space="preserve"> Mexico (</w:t>
      </w:r>
      <w:r w:rsidR="00493BFB" w:rsidRPr="00104227">
        <w:rPr>
          <w:lang w:val="en-US"/>
        </w:rPr>
        <w:t>PGJEM</w:t>
      </w:r>
      <w:r w:rsidRPr="00104227">
        <w:rPr>
          <w:lang w:val="en-US"/>
        </w:rPr>
        <w:t>)</w:t>
      </w:r>
      <w:r w:rsidR="00D2655F" w:rsidRPr="00104227">
        <w:rPr>
          <w:lang w:val="en-US"/>
        </w:rPr>
        <w:t>, they failed to reach an agreement.</w:t>
      </w:r>
      <w:r w:rsidR="00493BFB" w:rsidRPr="00104227">
        <w:rPr>
          <w:rStyle w:val="Refdenotaalpie"/>
          <w:lang w:val="en-US"/>
        </w:rPr>
        <w:footnoteReference w:id="68"/>
      </w:r>
      <w:r w:rsidR="00493BFB" w:rsidRPr="00104227">
        <w:rPr>
          <w:lang w:val="en-US"/>
        </w:rPr>
        <w:t xml:space="preserve"> </w:t>
      </w:r>
      <w:r w:rsidR="00D2655F" w:rsidRPr="00104227">
        <w:rPr>
          <w:lang w:val="en-US"/>
        </w:rPr>
        <w:t>On</w:t>
      </w:r>
      <w:r w:rsidR="00493BFB" w:rsidRPr="00104227">
        <w:rPr>
          <w:lang w:val="en-US"/>
        </w:rPr>
        <w:t xml:space="preserve"> </w:t>
      </w:r>
      <w:r w:rsidRPr="00104227">
        <w:rPr>
          <w:lang w:val="en-US"/>
        </w:rPr>
        <w:t>May 2,</w:t>
      </w:r>
      <w:r w:rsidR="00493BFB" w:rsidRPr="00104227">
        <w:rPr>
          <w:lang w:val="en-US"/>
        </w:rPr>
        <w:t xml:space="preserve"> 2006, </w:t>
      </w:r>
      <w:r w:rsidR="00D2655F" w:rsidRPr="00104227">
        <w:rPr>
          <w:lang w:val="en-US"/>
        </w:rPr>
        <w:t xml:space="preserve">during another meeting, attended by </w:t>
      </w:r>
      <w:r w:rsidR="00493BFB" w:rsidRPr="00104227">
        <w:rPr>
          <w:lang w:val="en-US"/>
        </w:rPr>
        <w:t>Patricia Romero Hernández (</w:t>
      </w:r>
      <w:r w:rsidR="00D2655F" w:rsidRPr="00104227">
        <w:rPr>
          <w:lang w:val="en-US"/>
        </w:rPr>
        <w:t xml:space="preserve">leader of the </w:t>
      </w:r>
      <w:r w:rsidR="00650467" w:rsidRPr="00104227">
        <w:rPr>
          <w:lang w:val="en-US"/>
        </w:rPr>
        <w:t>flower-sellers</w:t>
      </w:r>
      <w:r w:rsidR="00493BFB" w:rsidRPr="00104227">
        <w:rPr>
          <w:lang w:val="en-US"/>
        </w:rPr>
        <w:t>)</w:t>
      </w:r>
      <w:r w:rsidR="00D90043" w:rsidRPr="00104227">
        <w:rPr>
          <w:lang w:val="en-US"/>
        </w:rPr>
        <w:t>,</w:t>
      </w:r>
      <w:r w:rsidR="00493BFB" w:rsidRPr="00104227">
        <w:rPr>
          <w:lang w:val="en-US"/>
        </w:rPr>
        <w:t xml:space="preserve"> Ignacio de</w:t>
      </w:r>
      <w:r w:rsidR="00F71912" w:rsidRPr="00104227">
        <w:rPr>
          <w:lang w:val="en-US"/>
        </w:rPr>
        <w:t>l Valle Medina (</w:t>
      </w:r>
      <w:r w:rsidR="00D2655F" w:rsidRPr="00104227">
        <w:rPr>
          <w:lang w:val="en-US"/>
        </w:rPr>
        <w:t>leader of the</w:t>
      </w:r>
      <w:r w:rsidR="00F71912" w:rsidRPr="00104227">
        <w:rPr>
          <w:lang w:val="en-US"/>
        </w:rPr>
        <w:t xml:space="preserve"> FDPT)</w:t>
      </w:r>
      <w:r w:rsidR="00BF5241" w:rsidRPr="00104227">
        <w:rPr>
          <w:lang w:val="en-US"/>
        </w:rPr>
        <w:t xml:space="preserve"> and </w:t>
      </w:r>
      <w:r w:rsidR="00D2655F" w:rsidRPr="00104227">
        <w:rPr>
          <w:lang w:val="en-US"/>
        </w:rPr>
        <w:t xml:space="preserve">authorities </w:t>
      </w:r>
      <w:r w:rsidR="002826A6" w:rsidRPr="00104227">
        <w:rPr>
          <w:lang w:val="en-US"/>
        </w:rPr>
        <w:t xml:space="preserve">of the </w:t>
      </w:r>
      <w:r w:rsidR="00D2655F" w:rsidRPr="00104227">
        <w:rPr>
          <w:lang w:val="en-US"/>
        </w:rPr>
        <w:t>s</w:t>
      </w:r>
      <w:r w:rsidR="00AC3BFC" w:rsidRPr="00104227">
        <w:rPr>
          <w:lang w:val="en-US"/>
        </w:rPr>
        <w:t>tate</w:t>
      </w:r>
      <w:r w:rsidR="00493BFB" w:rsidRPr="00104227">
        <w:rPr>
          <w:lang w:val="en-US"/>
        </w:rPr>
        <w:t xml:space="preserve"> </w:t>
      </w:r>
      <w:r w:rsidR="00D2655F" w:rsidRPr="00104227">
        <w:rPr>
          <w:lang w:val="en-US"/>
        </w:rPr>
        <w:t>of</w:t>
      </w:r>
      <w:r w:rsidR="00493BFB" w:rsidRPr="00104227">
        <w:rPr>
          <w:lang w:val="en-US"/>
        </w:rPr>
        <w:t xml:space="preserve"> </w:t>
      </w:r>
      <w:r w:rsidR="00BF5241" w:rsidRPr="00104227">
        <w:rPr>
          <w:lang w:val="en-US"/>
        </w:rPr>
        <w:t>Mexico</w:t>
      </w:r>
      <w:r w:rsidR="00493BFB" w:rsidRPr="00104227">
        <w:rPr>
          <w:lang w:val="en-US"/>
        </w:rPr>
        <w:t xml:space="preserve">, </w:t>
      </w:r>
      <w:r w:rsidR="00D2655F" w:rsidRPr="00104227">
        <w:rPr>
          <w:lang w:val="en-US"/>
        </w:rPr>
        <w:t>but without the presence of any authority from</w:t>
      </w:r>
      <w:r w:rsidR="00493BFB" w:rsidRPr="00104227">
        <w:rPr>
          <w:lang w:val="en-US"/>
        </w:rPr>
        <w:t xml:space="preserve"> </w:t>
      </w:r>
      <w:r w:rsidR="00336FBE" w:rsidRPr="00104227">
        <w:rPr>
          <w:lang w:val="en-US"/>
        </w:rPr>
        <w:t>the municipality of</w:t>
      </w:r>
      <w:r w:rsidR="002D501B" w:rsidRPr="00104227">
        <w:rPr>
          <w:lang w:val="en-US"/>
        </w:rPr>
        <w:t xml:space="preserve"> Texco</w:t>
      </w:r>
      <w:r w:rsidR="00493BFB" w:rsidRPr="00104227">
        <w:rPr>
          <w:lang w:val="en-US"/>
        </w:rPr>
        <w:t xml:space="preserve">co, </w:t>
      </w:r>
      <w:r w:rsidR="00D2655F" w:rsidRPr="00104227">
        <w:rPr>
          <w:lang w:val="en-US"/>
        </w:rPr>
        <w:t>the</w:t>
      </w:r>
      <w:r w:rsidR="00221C95" w:rsidRPr="00104227">
        <w:rPr>
          <w:lang w:val="en-US"/>
        </w:rPr>
        <w:t xml:space="preserve"> Director </w:t>
      </w:r>
      <w:r w:rsidR="00D82948" w:rsidRPr="00104227">
        <w:rPr>
          <w:lang w:val="en-US"/>
        </w:rPr>
        <w:t xml:space="preserve">General </w:t>
      </w:r>
      <w:r w:rsidR="00D2655F" w:rsidRPr="00104227">
        <w:rPr>
          <w:lang w:val="en-US"/>
        </w:rPr>
        <w:t xml:space="preserve">for Governance gave his assent to the request to withdraw the </w:t>
      </w:r>
      <w:r w:rsidR="00B665DF" w:rsidRPr="00104227">
        <w:rPr>
          <w:lang w:val="en-US"/>
        </w:rPr>
        <w:t>law enforcement personnel</w:t>
      </w:r>
      <w:r w:rsidR="00D2655F" w:rsidRPr="00104227">
        <w:rPr>
          <w:lang w:val="en-US"/>
        </w:rPr>
        <w:t xml:space="preserve"> from around the market, “so that they could set up their stalls there the following day when the Day of the Holy Cross was celebrated.</w:t>
      </w:r>
      <w:r w:rsidR="00F71912" w:rsidRPr="00104227">
        <w:rPr>
          <w:lang w:val="en-US"/>
        </w:rPr>
        <w:t>”</w:t>
      </w:r>
      <w:r w:rsidR="00493BFB" w:rsidRPr="00104227">
        <w:rPr>
          <w:rStyle w:val="Refdenotaalpie"/>
          <w:lang w:val="en-US"/>
        </w:rPr>
        <w:footnoteReference w:id="69"/>
      </w:r>
      <w:r w:rsidR="00D2655F" w:rsidRPr="00104227">
        <w:rPr>
          <w:lang w:val="en-US"/>
        </w:rPr>
        <w:t xml:space="preserve"> However, that same day, </w:t>
      </w:r>
      <w:r w:rsidR="004416D2" w:rsidRPr="00104227">
        <w:rPr>
          <w:lang w:val="en-US"/>
        </w:rPr>
        <w:t xml:space="preserve">the </w:t>
      </w:r>
      <w:r w:rsidR="00D2655F" w:rsidRPr="00104227">
        <w:rPr>
          <w:lang w:val="en-US"/>
        </w:rPr>
        <w:t xml:space="preserve">Texcoco </w:t>
      </w:r>
      <w:r w:rsidR="004416D2" w:rsidRPr="00104227">
        <w:rPr>
          <w:lang w:val="en-US"/>
        </w:rPr>
        <w:t>municipal police force</w:t>
      </w:r>
      <w:r w:rsidR="00493BFB" w:rsidRPr="00104227">
        <w:rPr>
          <w:lang w:val="en-US"/>
        </w:rPr>
        <w:t xml:space="preserve"> </w:t>
      </w:r>
      <w:r w:rsidR="00D2655F" w:rsidRPr="00104227">
        <w:rPr>
          <w:lang w:val="en-US"/>
        </w:rPr>
        <w:t xml:space="preserve">reinforced the security measures that had been set up on April </w:t>
      </w:r>
      <w:r w:rsidRPr="00104227">
        <w:rPr>
          <w:lang w:val="en-US"/>
        </w:rPr>
        <w:t>12,</w:t>
      </w:r>
      <w:r w:rsidR="00493BFB" w:rsidRPr="00104227">
        <w:rPr>
          <w:lang w:val="en-US"/>
        </w:rPr>
        <w:t xml:space="preserve"> 2006</w:t>
      </w:r>
      <w:r w:rsidR="00D2655F" w:rsidRPr="00104227">
        <w:rPr>
          <w:lang w:val="en-US"/>
        </w:rPr>
        <w:t>.</w:t>
      </w:r>
      <w:r w:rsidR="00ED0819" w:rsidRPr="00104227">
        <w:rPr>
          <w:rStyle w:val="Refdenotaalpie"/>
          <w:lang w:val="en-US"/>
        </w:rPr>
        <w:footnoteReference w:id="70"/>
      </w:r>
      <w:r w:rsidR="00493BFB" w:rsidRPr="00104227">
        <w:rPr>
          <w:lang w:val="en-US"/>
        </w:rPr>
        <w:t xml:space="preserve"> </w:t>
      </w:r>
      <w:r w:rsidR="00D2655F" w:rsidRPr="00104227">
        <w:rPr>
          <w:lang w:val="en-US"/>
        </w:rPr>
        <w:t>Municipal, state and federal police agents took part in the operations on</w:t>
      </w:r>
      <w:r w:rsidR="007A3198" w:rsidRPr="00104227">
        <w:rPr>
          <w:lang w:val="en-US"/>
        </w:rPr>
        <w:t xml:space="preserve"> </w:t>
      </w:r>
      <w:r w:rsidR="00DF5F3C" w:rsidRPr="00104227">
        <w:rPr>
          <w:lang w:val="en-US"/>
        </w:rPr>
        <w:t>May 3 and 4,</w:t>
      </w:r>
      <w:r w:rsidR="007A3198" w:rsidRPr="00104227">
        <w:rPr>
          <w:lang w:val="en-US"/>
        </w:rPr>
        <w:t xml:space="preserve"> 2006</w:t>
      </w:r>
      <w:r w:rsidR="00D2655F" w:rsidRPr="00104227">
        <w:rPr>
          <w:lang w:val="en-US"/>
        </w:rPr>
        <w:t>.</w:t>
      </w:r>
      <w:r w:rsidR="00493BFB" w:rsidRPr="00104227">
        <w:rPr>
          <w:rStyle w:val="Refdenotaalpie"/>
          <w:lang w:val="en-US"/>
        </w:rPr>
        <w:footnoteReference w:id="71"/>
      </w:r>
      <w:r w:rsidR="00493BFB" w:rsidRPr="00104227">
        <w:rPr>
          <w:lang w:val="en-US"/>
        </w:rPr>
        <w:t xml:space="preserve"> </w:t>
      </w:r>
    </w:p>
    <w:p w14:paraId="40E64540" w14:textId="77777777" w:rsidR="00493BFB" w:rsidRPr="00104227" w:rsidRDefault="00493BFB" w:rsidP="00E4619F">
      <w:pPr>
        <w:tabs>
          <w:tab w:val="left" w:pos="567"/>
        </w:tabs>
      </w:pPr>
      <w:bookmarkStart w:id="138" w:name="_Toc433650865"/>
      <w:bookmarkStart w:id="139" w:name="_Toc433650967"/>
      <w:bookmarkStart w:id="140" w:name="_Toc438128476"/>
    </w:p>
    <w:p w14:paraId="5CFB7BF2" w14:textId="43818E50" w:rsidR="00493BFB" w:rsidRPr="00104227" w:rsidRDefault="00E611C6" w:rsidP="00E4619F">
      <w:pPr>
        <w:pStyle w:val="Ttulo3"/>
        <w:tabs>
          <w:tab w:val="left" w:pos="567"/>
        </w:tabs>
        <w:rPr>
          <w:lang w:val="en-US"/>
        </w:rPr>
      </w:pPr>
      <w:bookmarkStart w:id="141" w:name="_Toc527464898"/>
      <w:bookmarkStart w:id="142" w:name="_Toc31290569"/>
      <w:r w:rsidRPr="00104227">
        <w:rPr>
          <w:lang w:val="en-US"/>
        </w:rPr>
        <w:t>A.3</w:t>
      </w:r>
      <w:r w:rsidR="00493BFB" w:rsidRPr="00104227">
        <w:rPr>
          <w:lang w:val="en-US"/>
        </w:rPr>
        <w:t xml:space="preserve"> </w:t>
      </w:r>
      <w:r w:rsidR="008C6D02" w:rsidRPr="00104227">
        <w:rPr>
          <w:lang w:val="en-US"/>
        </w:rPr>
        <w:t>The operation</w:t>
      </w:r>
      <w:r w:rsidR="00493BFB" w:rsidRPr="00104227">
        <w:rPr>
          <w:lang w:val="en-US"/>
        </w:rPr>
        <w:t xml:space="preserve"> </w:t>
      </w:r>
      <w:r w:rsidR="00B851FA" w:rsidRPr="00104227">
        <w:rPr>
          <w:lang w:val="en-US"/>
        </w:rPr>
        <w:t>of May 3,</w:t>
      </w:r>
      <w:r w:rsidR="00493BFB" w:rsidRPr="00104227">
        <w:rPr>
          <w:lang w:val="en-US"/>
        </w:rPr>
        <w:t xml:space="preserve"> 2006</w:t>
      </w:r>
      <w:bookmarkEnd w:id="138"/>
      <w:bookmarkEnd w:id="139"/>
      <w:bookmarkEnd w:id="140"/>
      <w:bookmarkEnd w:id="141"/>
      <w:bookmarkEnd w:id="142"/>
    </w:p>
    <w:p w14:paraId="36CEC8A2" w14:textId="77777777" w:rsidR="00493BFB" w:rsidRPr="00104227" w:rsidRDefault="00493BFB" w:rsidP="00E4619F">
      <w:pPr>
        <w:tabs>
          <w:tab w:val="left" w:pos="567"/>
        </w:tabs>
      </w:pPr>
    </w:p>
    <w:p w14:paraId="35F3C0E6" w14:textId="7D927503" w:rsidR="00493BFB" w:rsidRPr="00104227" w:rsidRDefault="00493BFB" w:rsidP="00E4619F">
      <w:pPr>
        <w:pStyle w:val="Numberedparagraphs"/>
        <w:tabs>
          <w:tab w:val="left" w:pos="567"/>
        </w:tabs>
        <w:rPr>
          <w:lang w:val="en-US"/>
        </w:rPr>
      </w:pPr>
      <w:r w:rsidRPr="00104227">
        <w:rPr>
          <w:lang w:val="en-US"/>
        </w:rPr>
        <w:t>A</w:t>
      </w:r>
      <w:r w:rsidR="00650467" w:rsidRPr="00104227">
        <w:rPr>
          <w:lang w:val="en-US"/>
        </w:rPr>
        <w:t xml:space="preserve">t approximately 4 a.m., members of the </w:t>
      </w:r>
      <w:r w:rsidR="004416D2" w:rsidRPr="00104227">
        <w:rPr>
          <w:lang w:val="en-US"/>
        </w:rPr>
        <w:t>municipal police force</w:t>
      </w:r>
      <w:r w:rsidR="009624FE" w:rsidRPr="00104227">
        <w:rPr>
          <w:lang w:val="en-US"/>
        </w:rPr>
        <w:t xml:space="preserve"> </w:t>
      </w:r>
      <w:r w:rsidR="00650467" w:rsidRPr="00104227">
        <w:rPr>
          <w:lang w:val="en-US"/>
        </w:rPr>
        <w:t>were deployed in front of the</w:t>
      </w:r>
      <w:r w:rsidRPr="00104227">
        <w:rPr>
          <w:lang w:val="en-US"/>
        </w:rPr>
        <w:t xml:space="preserve"> </w:t>
      </w:r>
      <w:r w:rsidR="00336FBE" w:rsidRPr="00104227">
        <w:rPr>
          <w:lang w:val="en-US"/>
        </w:rPr>
        <w:t>Belisario Domínguez market</w:t>
      </w:r>
      <w:r w:rsidR="00650467" w:rsidRPr="00104227">
        <w:rPr>
          <w:lang w:val="en-US"/>
        </w:rPr>
        <w:t xml:space="preserve"> to avoid the flowe</w:t>
      </w:r>
      <w:r w:rsidR="00DB4331" w:rsidRPr="00104227">
        <w:rPr>
          <w:lang w:val="en-US"/>
        </w:rPr>
        <w:t>r</w:t>
      </w:r>
      <w:r w:rsidR="00650467" w:rsidRPr="00104227">
        <w:rPr>
          <w:lang w:val="en-US"/>
        </w:rPr>
        <w:t>-</w:t>
      </w:r>
      <w:r w:rsidR="00DB4331" w:rsidRPr="00104227">
        <w:rPr>
          <w:lang w:val="en-US"/>
        </w:rPr>
        <w:t>sellers</w:t>
      </w:r>
      <w:r w:rsidR="00650467" w:rsidRPr="00104227">
        <w:rPr>
          <w:lang w:val="en-US"/>
        </w:rPr>
        <w:t xml:space="preserve"> setting up their stalls, while around </w:t>
      </w:r>
      <w:r w:rsidRPr="00104227">
        <w:rPr>
          <w:lang w:val="en-US"/>
        </w:rPr>
        <w:t xml:space="preserve"> 320 </w:t>
      </w:r>
      <w:r w:rsidR="00650467" w:rsidRPr="00104227">
        <w:rPr>
          <w:lang w:val="en-US"/>
        </w:rPr>
        <w:t xml:space="preserve">state police agents were deployed nearby as </w:t>
      </w:r>
      <w:r w:rsidR="00D82948" w:rsidRPr="00104227">
        <w:rPr>
          <w:lang w:val="en-US"/>
        </w:rPr>
        <w:t>“</w:t>
      </w:r>
      <w:r w:rsidR="00650467" w:rsidRPr="00104227">
        <w:rPr>
          <w:lang w:val="en-US"/>
        </w:rPr>
        <w:t xml:space="preserve">dissuasive on-site support.” At around 7 a.m. more municipal agents arrived. Then, at around 7.10 a.m., the Texcoco flower-sellers and the members of the </w:t>
      </w:r>
      <w:r w:rsidRPr="00104227">
        <w:rPr>
          <w:lang w:val="en-US"/>
        </w:rPr>
        <w:t xml:space="preserve">FPDT, </w:t>
      </w:r>
      <w:r w:rsidR="00650467" w:rsidRPr="00104227">
        <w:rPr>
          <w:lang w:val="en-US"/>
        </w:rPr>
        <w:t xml:space="preserve">who were carrying machetes, </w:t>
      </w:r>
      <w:r w:rsidR="001D29E1" w:rsidRPr="00104227">
        <w:rPr>
          <w:lang w:val="en-US"/>
        </w:rPr>
        <w:t>clubs</w:t>
      </w:r>
      <w:r w:rsidR="00650467" w:rsidRPr="00104227">
        <w:rPr>
          <w:lang w:val="en-US"/>
        </w:rPr>
        <w:t>, stones and explosive material, began to approach the</w:t>
      </w:r>
      <w:r w:rsidRPr="00104227">
        <w:rPr>
          <w:lang w:val="en-US"/>
        </w:rPr>
        <w:t xml:space="preserve"> </w:t>
      </w:r>
      <w:r w:rsidR="00336FBE" w:rsidRPr="00104227">
        <w:rPr>
          <w:lang w:val="en-US"/>
        </w:rPr>
        <w:t>Belisario Domínguez market</w:t>
      </w:r>
      <w:r w:rsidR="00650467" w:rsidRPr="00104227">
        <w:rPr>
          <w:lang w:val="en-US"/>
        </w:rPr>
        <w:t>.</w:t>
      </w:r>
      <w:r w:rsidRPr="00104227">
        <w:rPr>
          <w:rStyle w:val="Refdenotaalpie"/>
          <w:lang w:val="en-US"/>
        </w:rPr>
        <w:footnoteReference w:id="72"/>
      </w:r>
    </w:p>
    <w:p w14:paraId="633C0D6C" w14:textId="77777777" w:rsidR="00493BFB" w:rsidRPr="00104227" w:rsidRDefault="00493BFB" w:rsidP="00E4619F">
      <w:pPr>
        <w:tabs>
          <w:tab w:val="left" w:pos="567"/>
        </w:tabs>
      </w:pPr>
    </w:p>
    <w:p w14:paraId="11DBC838" w14:textId="71E61D99" w:rsidR="00493BFB" w:rsidRPr="00104227" w:rsidRDefault="00650467" w:rsidP="00E4619F">
      <w:pPr>
        <w:pStyle w:val="Numberedparagraphs"/>
        <w:tabs>
          <w:tab w:val="left" w:pos="567"/>
        </w:tabs>
        <w:rPr>
          <w:lang w:val="en-US"/>
        </w:rPr>
      </w:pPr>
      <w:r w:rsidRPr="00104227">
        <w:rPr>
          <w:lang w:val="en-US"/>
        </w:rPr>
        <w:t>At around</w:t>
      </w:r>
      <w:r w:rsidR="00493BFB" w:rsidRPr="00104227">
        <w:rPr>
          <w:lang w:val="en-US"/>
        </w:rPr>
        <w:t xml:space="preserve"> 7</w:t>
      </w:r>
      <w:r w:rsidRPr="00104227">
        <w:rPr>
          <w:lang w:val="en-US"/>
        </w:rPr>
        <w:t>.</w:t>
      </w:r>
      <w:r w:rsidR="00493BFB" w:rsidRPr="00104227">
        <w:rPr>
          <w:lang w:val="en-US"/>
        </w:rPr>
        <w:t>25</w:t>
      </w:r>
      <w:r w:rsidRPr="00104227">
        <w:rPr>
          <w:lang w:val="en-US"/>
        </w:rPr>
        <w:t xml:space="preserve"> a.m., a group of flowe</w:t>
      </w:r>
      <w:r w:rsidR="00D82948" w:rsidRPr="00104227">
        <w:rPr>
          <w:lang w:val="en-US"/>
        </w:rPr>
        <w:t>r</w:t>
      </w:r>
      <w:r w:rsidRPr="00104227">
        <w:rPr>
          <w:lang w:val="en-US"/>
        </w:rPr>
        <w:t xml:space="preserve">-sellers and </w:t>
      </w:r>
      <w:r w:rsidR="00D82948" w:rsidRPr="00104227">
        <w:rPr>
          <w:lang w:val="en-US"/>
        </w:rPr>
        <w:t>their supporters</w:t>
      </w:r>
      <w:r w:rsidRPr="00104227">
        <w:rPr>
          <w:lang w:val="en-US"/>
        </w:rPr>
        <w:t xml:space="preserve"> tried to set up stalls </w:t>
      </w:r>
      <w:r w:rsidR="00D82948" w:rsidRPr="00104227">
        <w:rPr>
          <w:lang w:val="en-US"/>
        </w:rPr>
        <w:t xml:space="preserve">to sell </w:t>
      </w:r>
      <w:r w:rsidRPr="00104227">
        <w:rPr>
          <w:lang w:val="en-US"/>
        </w:rPr>
        <w:t xml:space="preserve">flowers in front of the market, </w:t>
      </w:r>
      <w:r w:rsidR="00D82948" w:rsidRPr="00104227">
        <w:rPr>
          <w:lang w:val="en-US"/>
        </w:rPr>
        <w:t>but</w:t>
      </w:r>
      <w:r w:rsidRPr="00104227">
        <w:rPr>
          <w:lang w:val="en-US"/>
        </w:rPr>
        <w:t xml:space="preserve"> this was prevented by</w:t>
      </w:r>
      <w:r w:rsidR="00D82948" w:rsidRPr="00104227">
        <w:rPr>
          <w:lang w:val="en-US"/>
        </w:rPr>
        <w:t xml:space="preserve"> the </w:t>
      </w:r>
      <w:r w:rsidR="004416D2" w:rsidRPr="00104227">
        <w:rPr>
          <w:lang w:val="en-US"/>
        </w:rPr>
        <w:t>Trade Regulation</w:t>
      </w:r>
      <w:r w:rsidR="00D82948" w:rsidRPr="00104227">
        <w:rPr>
          <w:lang w:val="en-US"/>
        </w:rPr>
        <w:t xml:space="preserve"> Directorate personnel</w:t>
      </w:r>
      <w:r w:rsidRPr="00104227">
        <w:rPr>
          <w:lang w:val="en-US"/>
        </w:rPr>
        <w:t>. Consequently, the</w:t>
      </w:r>
      <w:r w:rsidR="00D82948" w:rsidRPr="00104227">
        <w:rPr>
          <w:lang w:val="en-US"/>
        </w:rPr>
        <w:t xml:space="preserve"> group</w:t>
      </w:r>
      <w:r w:rsidRPr="00104227">
        <w:rPr>
          <w:lang w:val="en-US"/>
        </w:rPr>
        <w:t xml:space="preserve"> </w:t>
      </w:r>
      <w:r w:rsidR="00D82948" w:rsidRPr="00104227">
        <w:rPr>
          <w:lang w:val="en-US"/>
        </w:rPr>
        <w:t>retreated</w:t>
      </w:r>
      <w:r w:rsidRPr="00104227">
        <w:rPr>
          <w:lang w:val="en-US"/>
        </w:rPr>
        <w:t xml:space="preserve"> to the corner of </w:t>
      </w:r>
      <w:r w:rsidR="00493BFB" w:rsidRPr="00104227">
        <w:rPr>
          <w:lang w:val="en-US"/>
        </w:rPr>
        <w:t>Fray Pedro de Gante</w:t>
      </w:r>
      <w:r w:rsidRPr="00104227">
        <w:rPr>
          <w:lang w:val="en-US"/>
        </w:rPr>
        <w:t xml:space="preserve"> Street</w:t>
      </w:r>
      <w:r w:rsidR="00BF5241" w:rsidRPr="00104227">
        <w:rPr>
          <w:lang w:val="en-US"/>
        </w:rPr>
        <w:t xml:space="preserve"> and </w:t>
      </w:r>
      <w:r w:rsidR="00493BFB" w:rsidRPr="00104227">
        <w:rPr>
          <w:lang w:val="en-US"/>
        </w:rPr>
        <w:t>Manuel González</w:t>
      </w:r>
      <w:r w:rsidRPr="00104227">
        <w:rPr>
          <w:lang w:val="en-US"/>
        </w:rPr>
        <w:t xml:space="preserve"> Street where they met up with a</w:t>
      </w:r>
      <w:r w:rsidR="00D82948" w:rsidRPr="00104227">
        <w:rPr>
          <w:lang w:val="en-US"/>
        </w:rPr>
        <w:t xml:space="preserve"> second</w:t>
      </w:r>
      <w:r w:rsidRPr="00104227">
        <w:rPr>
          <w:lang w:val="en-US"/>
        </w:rPr>
        <w:t xml:space="preserve"> group. A confrontation occurred between the police and the group of flower-sellers and </w:t>
      </w:r>
      <w:r w:rsidR="00493BFB" w:rsidRPr="00104227">
        <w:rPr>
          <w:lang w:val="en-US"/>
        </w:rPr>
        <w:t>FPDT</w:t>
      </w:r>
      <w:r w:rsidR="001D29E1" w:rsidRPr="00104227">
        <w:rPr>
          <w:lang w:val="en-US"/>
        </w:rPr>
        <w:t xml:space="preserve"> </w:t>
      </w:r>
      <w:r w:rsidR="00D82948" w:rsidRPr="00104227">
        <w:rPr>
          <w:lang w:val="en-US"/>
        </w:rPr>
        <w:t xml:space="preserve">members </w:t>
      </w:r>
      <w:r w:rsidR="001D29E1" w:rsidRPr="00104227">
        <w:rPr>
          <w:lang w:val="en-US"/>
        </w:rPr>
        <w:t>because, when trying to make them “retreat, the said police and Trade Regulation</w:t>
      </w:r>
      <w:r w:rsidR="00D82948" w:rsidRPr="00104227">
        <w:rPr>
          <w:lang w:val="en-US"/>
        </w:rPr>
        <w:t xml:space="preserve"> Directorate personnel</w:t>
      </w:r>
      <w:r w:rsidR="001D29E1" w:rsidRPr="00104227">
        <w:rPr>
          <w:lang w:val="en-US"/>
        </w:rPr>
        <w:t xml:space="preserve"> </w:t>
      </w:r>
      <w:r w:rsidR="00D82948" w:rsidRPr="00104227">
        <w:rPr>
          <w:lang w:val="en-US"/>
        </w:rPr>
        <w:t xml:space="preserve">beat </w:t>
      </w:r>
      <w:r w:rsidR="001D29E1" w:rsidRPr="00104227">
        <w:rPr>
          <w:lang w:val="en-US"/>
        </w:rPr>
        <w:t>them with batons and clubs</w:t>
      </w:r>
      <w:r w:rsidR="008867F2" w:rsidRPr="00104227">
        <w:rPr>
          <w:lang w:val="en-US"/>
        </w:rPr>
        <w:t>,</w:t>
      </w:r>
      <w:r w:rsidR="00BF5241" w:rsidRPr="00104227">
        <w:rPr>
          <w:lang w:val="en-US"/>
        </w:rPr>
        <w:t xml:space="preserve"> and</w:t>
      </w:r>
      <w:r w:rsidR="008867F2" w:rsidRPr="00104227">
        <w:rPr>
          <w:lang w:val="en-US"/>
        </w:rPr>
        <w:t xml:space="preserve"> [</w:t>
      </w:r>
      <w:r w:rsidR="001D29E1" w:rsidRPr="00104227">
        <w:rPr>
          <w:lang w:val="en-US"/>
        </w:rPr>
        <w:t>the flower-sellers</w:t>
      </w:r>
      <w:r w:rsidR="00BF5241" w:rsidRPr="00104227">
        <w:rPr>
          <w:lang w:val="en-US"/>
        </w:rPr>
        <w:t xml:space="preserve"> and </w:t>
      </w:r>
      <w:r w:rsidR="008867F2" w:rsidRPr="00104227">
        <w:rPr>
          <w:lang w:val="en-US"/>
        </w:rPr>
        <w:t>FPDT</w:t>
      </w:r>
      <w:r w:rsidR="00D82948" w:rsidRPr="00104227">
        <w:rPr>
          <w:lang w:val="en-US"/>
        </w:rPr>
        <w:t xml:space="preserve"> members</w:t>
      </w:r>
      <w:r w:rsidR="008867F2" w:rsidRPr="00104227">
        <w:rPr>
          <w:lang w:val="en-US"/>
        </w:rPr>
        <w:t>]</w:t>
      </w:r>
      <w:r w:rsidR="001D29E1" w:rsidRPr="00104227">
        <w:rPr>
          <w:lang w:val="en-US"/>
        </w:rPr>
        <w:t xml:space="preserve">, </w:t>
      </w:r>
      <w:r w:rsidR="0080773E">
        <w:rPr>
          <w:lang w:val="en-US"/>
        </w:rPr>
        <w:t>to avoid</w:t>
      </w:r>
      <w:r w:rsidR="001D29E1" w:rsidRPr="00104227">
        <w:rPr>
          <w:lang w:val="en-US"/>
        </w:rPr>
        <w:t xml:space="preserve"> retreat</w:t>
      </w:r>
      <w:r w:rsidR="0080773E">
        <w:rPr>
          <w:lang w:val="en-US"/>
        </w:rPr>
        <w:t>ing</w:t>
      </w:r>
      <w:r w:rsidR="001D29E1" w:rsidRPr="00104227">
        <w:rPr>
          <w:lang w:val="en-US"/>
        </w:rPr>
        <w:t xml:space="preserve">, </w:t>
      </w:r>
      <w:r w:rsidR="00D82948" w:rsidRPr="00104227">
        <w:rPr>
          <w:lang w:val="en-US"/>
        </w:rPr>
        <w:t>h</w:t>
      </w:r>
      <w:r w:rsidR="001D29E1" w:rsidRPr="00104227">
        <w:rPr>
          <w:lang w:val="en-US"/>
        </w:rPr>
        <w:t xml:space="preserve">it back at </w:t>
      </w:r>
      <w:r w:rsidR="001D29E1" w:rsidRPr="00104227">
        <w:rPr>
          <w:lang w:val="en-US"/>
        </w:rPr>
        <w:lastRenderedPageBreak/>
        <w:t>them with machetes, clubs and stones.” This confrontation lasted several minutes and, as a result, both police agents and civilians were injured</w:t>
      </w:r>
      <w:r w:rsidR="00D82948" w:rsidRPr="00104227">
        <w:rPr>
          <w:lang w:val="en-US"/>
        </w:rPr>
        <w:t>,</w:t>
      </w:r>
      <w:r w:rsidR="001D29E1" w:rsidRPr="00104227">
        <w:rPr>
          <w:lang w:val="en-US"/>
        </w:rPr>
        <w:t xml:space="preserve"> and three </w:t>
      </w:r>
      <w:r w:rsidR="00D82948" w:rsidRPr="00104227">
        <w:rPr>
          <w:lang w:val="en-US"/>
        </w:rPr>
        <w:t>people</w:t>
      </w:r>
      <w:r w:rsidR="001D29E1" w:rsidRPr="00104227">
        <w:rPr>
          <w:lang w:val="en-US"/>
        </w:rPr>
        <w:t xml:space="preserve"> were detained by the </w:t>
      </w:r>
      <w:r w:rsidR="00B665DF" w:rsidRPr="00104227">
        <w:rPr>
          <w:lang w:val="en-US"/>
        </w:rPr>
        <w:t>law enforcement agents</w:t>
      </w:r>
      <w:r w:rsidR="001D29E1" w:rsidRPr="00104227">
        <w:rPr>
          <w:lang w:val="en-US"/>
        </w:rPr>
        <w:t>.</w:t>
      </w:r>
      <w:r w:rsidR="008867F2" w:rsidRPr="00104227">
        <w:rPr>
          <w:rStyle w:val="Refdenotaalpie"/>
          <w:lang w:val="en-US"/>
        </w:rPr>
        <w:footnoteReference w:id="73"/>
      </w:r>
    </w:p>
    <w:p w14:paraId="379CD9F8" w14:textId="77777777" w:rsidR="00493BFB" w:rsidRPr="00104227" w:rsidRDefault="00493BFB" w:rsidP="00E4619F">
      <w:pPr>
        <w:tabs>
          <w:tab w:val="left" w:pos="567"/>
        </w:tabs>
      </w:pPr>
    </w:p>
    <w:p w14:paraId="1762DFD4" w14:textId="47856CE8" w:rsidR="00493BFB" w:rsidRPr="00104227" w:rsidRDefault="00E71D2A" w:rsidP="00E4619F">
      <w:pPr>
        <w:pStyle w:val="Numberedparagraphs"/>
        <w:tabs>
          <w:tab w:val="left" w:pos="567"/>
        </w:tabs>
        <w:rPr>
          <w:lang w:val="en-US"/>
        </w:rPr>
      </w:pPr>
      <w:bookmarkStart w:id="143" w:name="_Ref527365876"/>
      <w:r w:rsidRPr="00104227">
        <w:rPr>
          <w:lang w:val="en-US"/>
        </w:rPr>
        <w:t>Some people</w:t>
      </w:r>
      <w:r w:rsidR="00CA330F" w:rsidRPr="00104227">
        <w:rPr>
          <w:lang w:val="en-US"/>
        </w:rPr>
        <w:t xml:space="preserve"> withdrew and entered a private </w:t>
      </w:r>
      <w:r w:rsidR="000A14CF" w:rsidRPr="00104227">
        <w:rPr>
          <w:lang w:val="en-US"/>
        </w:rPr>
        <w:t>building</w:t>
      </w:r>
      <w:r w:rsidR="00CA330F" w:rsidRPr="00104227">
        <w:rPr>
          <w:lang w:val="en-US"/>
        </w:rPr>
        <w:t xml:space="preserve"> located around 500 meters from the pla</w:t>
      </w:r>
      <w:r w:rsidRPr="00104227">
        <w:rPr>
          <w:lang w:val="en-US"/>
        </w:rPr>
        <w:t>c</w:t>
      </w:r>
      <w:r w:rsidR="00CA330F" w:rsidRPr="00104227">
        <w:rPr>
          <w:lang w:val="en-US"/>
        </w:rPr>
        <w:t xml:space="preserve">e where the conflict had started, but </w:t>
      </w:r>
      <w:r w:rsidRPr="00104227">
        <w:rPr>
          <w:lang w:val="en-US"/>
        </w:rPr>
        <w:t>others</w:t>
      </w:r>
      <w:r w:rsidR="00CA330F" w:rsidRPr="00104227">
        <w:rPr>
          <w:lang w:val="en-US"/>
        </w:rPr>
        <w:t xml:space="preserve"> continued throwing stones and rockets at the police and the personnel </w:t>
      </w:r>
      <w:r w:rsidR="00650467" w:rsidRPr="00104227">
        <w:rPr>
          <w:lang w:val="en-US"/>
        </w:rPr>
        <w:t xml:space="preserve">of the </w:t>
      </w:r>
      <w:r w:rsidR="004416D2" w:rsidRPr="00104227">
        <w:rPr>
          <w:lang w:val="en-US"/>
        </w:rPr>
        <w:t>Trade Regulation</w:t>
      </w:r>
      <w:r w:rsidRPr="00104227">
        <w:rPr>
          <w:lang w:val="en-US"/>
        </w:rPr>
        <w:t xml:space="preserve"> Directorate</w:t>
      </w:r>
      <w:r w:rsidR="00CA330F" w:rsidRPr="00104227">
        <w:rPr>
          <w:lang w:val="en-US"/>
        </w:rPr>
        <w:t>.</w:t>
      </w:r>
      <w:r w:rsidR="00493BFB" w:rsidRPr="00104227">
        <w:rPr>
          <w:rStyle w:val="Refdenotaalpie"/>
          <w:lang w:val="en-US"/>
        </w:rPr>
        <w:footnoteReference w:id="74"/>
      </w:r>
      <w:bookmarkEnd w:id="143"/>
    </w:p>
    <w:p w14:paraId="47318E99" w14:textId="77777777" w:rsidR="00493BFB" w:rsidRPr="00104227" w:rsidRDefault="00493BFB" w:rsidP="00E4619F">
      <w:pPr>
        <w:tabs>
          <w:tab w:val="left" w:pos="567"/>
        </w:tabs>
      </w:pPr>
    </w:p>
    <w:p w14:paraId="5C7CF8C4" w14:textId="17CEDEE0" w:rsidR="00493BFB" w:rsidRPr="00104227" w:rsidRDefault="00CA330F" w:rsidP="00CA330F">
      <w:pPr>
        <w:pStyle w:val="Numberedparagraphs"/>
        <w:tabs>
          <w:tab w:val="left" w:pos="567"/>
        </w:tabs>
        <w:rPr>
          <w:lang w:val="en-US"/>
        </w:rPr>
      </w:pPr>
      <w:bookmarkStart w:id="144" w:name="_Ref527365883"/>
      <w:r w:rsidRPr="00104227">
        <w:rPr>
          <w:lang w:val="en-US"/>
        </w:rPr>
        <w:t xml:space="preserve">Following this confrontation, the state police, members of the Support and Reaction Forces, began to intervene. </w:t>
      </w:r>
      <w:r w:rsidR="00E71D2A" w:rsidRPr="00104227">
        <w:rPr>
          <w:lang w:val="en-US"/>
        </w:rPr>
        <w:t>As</w:t>
      </w:r>
      <w:r w:rsidRPr="00104227">
        <w:rPr>
          <w:lang w:val="en-US"/>
        </w:rPr>
        <w:t xml:space="preserve"> this group of police agents</w:t>
      </w:r>
      <w:r w:rsidR="00E71D2A" w:rsidRPr="00104227">
        <w:rPr>
          <w:lang w:val="en-US"/>
        </w:rPr>
        <w:t xml:space="preserve"> advanced</w:t>
      </w:r>
      <w:r w:rsidRPr="00104227">
        <w:rPr>
          <w:lang w:val="en-US"/>
        </w:rPr>
        <w:t xml:space="preserve">, the civilians who had remained on Manuel González Street also took refuge </w:t>
      </w:r>
      <w:r w:rsidR="00E71D2A" w:rsidRPr="00104227">
        <w:rPr>
          <w:lang w:val="en-US"/>
        </w:rPr>
        <w:t>i</w:t>
      </w:r>
      <w:r w:rsidRPr="00104227">
        <w:rPr>
          <w:lang w:val="en-US"/>
        </w:rPr>
        <w:t>n</w:t>
      </w:r>
      <w:r w:rsidR="00E71D2A" w:rsidRPr="00104227">
        <w:rPr>
          <w:lang w:val="en-US"/>
        </w:rPr>
        <w:t>side</w:t>
      </w:r>
      <w:r w:rsidRPr="00104227">
        <w:rPr>
          <w:lang w:val="en-US"/>
        </w:rPr>
        <w:t xml:space="preserve"> the private </w:t>
      </w:r>
      <w:r w:rsidR="00A576F6" w:rsidRPr="00104227">
        <w:rPr>
          <w:lang w:val="en-US"/>
        </w:rPr>
        <w:t>property</w:t>
      </w:r>
      <w:r w:rsidRPr="00104227">
        <w:rPr>
          <w:lang w:val="en-US"/>
        </w:rPr>
        <w:t>. At approximately 7.50 a.m., members of the said police unit set up a security cordon around th</w:t>
      </w:r>
      <w:r w:rsidR="00A576F6" w:rsidRPr="00104227">
        <w:rPr>
          <w:lang w:val="en-US"/>
        </w:rPr>
        <w:t>e</w:t>
      </w:r>
      <w:r w:rsidRPr="00104227">
        <w:rPr>
          <w:lang w:val="en-US"/>
        </w:rPr>
        <w:t xml:space="preserve"> building preventing other FPDT</w:t>
      </w:r>
      <w:r w:rsidR="00E71D2A" w:rsidRPr="00104227">
        <w:rPr>
          <w:lang w:val="en-US"/>
        </w:rPr>
        <w:t xml:space="preserve"> members</w:t>
      </w:r>
      <w:r w:rsidRPr="00104227">
        <w:rPr>
          <w:lang w:val="en-US"/>
        </w:rPr>
        <w:t xml:space="preserve"> from entering or leaving.</w:t>
      </w:r>
      <w:r w:rsidR="00493BFB" w:rsidRPr="00104227">
        <w:rPr>
          <w:rStyle w:val="Refdenotaalpie"/>
          <w:lang w:val="en-US"/>
        </w:rPr>
        <w:footnoteReference w:id="75"/>
      </w:r>
      <w:r w:rsidRPr="00104227">
        <w:rPr>
          <w:lang w:val="en-US"/>
        </w:rPr>
        <w:t xml:space="preserve"> About an hour and a half after the security cordon had been set up around the said private </w:t>
      </w:r>
      <w:r w:rsidR="00A576F6" w:rsidRPr="00104227">
        <w:rPr>
          <w:lang w:val="en-US"/>
        </w:rPr>
        <w:t>property</w:t>
      </w:r>
      <w:r w:rsidRPr="00104227">
        <w:rPr>
          <w:lang w:val="en-US"/>
        </w:rPr>
        <w:t>, a group of a</w:t>
      </w:r>
      <w:r w:rsidR="00E71D2A" w:rsidRPr="00104227">
        <w:rPr>
          <w:lang w:val="en-US"/>
        </w:rPr>
        <w:t>bout</w:t>
      </w:r>
      <w:r w:rsidRPr="00104227">
        <w:rPr>
          <w:lang w:val="en-US"/>
        </w:rPr>
        <w:t xml:space="preserve"> 200 people blocked both lanes of the Los Reyes-Lechería highway in front of the main entrance to the municipality of San Salvador Atenco</w:t>
      </w:r>
      <w:r w:rsidR="00E71D2A" w:rsidRPr="00104227">
        <w:rPr>
          <w:lang w:val="en-US"/>
        </w:rPr>
        <w:t xml:space="preserve"> </w:t>
      </w:r>
      <w:r w:rsidRPr="00104227">
        <w:rPr>
          <w:lang w:val="en-US"/>
        </w:rPr>
        <w:t>to protest the events that had occurred in front of the Belisario Domínguez market.</w:t>
      </w:r>
      <w:r w:rsidR="00493BFB" w:rsidRPr="00104227">
        <w:rPr>
          <w:rStyle w:val="Refdenotaalpie"/>
          <w:lang w:val="en-US"/>
        </w:rPr>
        <w:footnoteReference w:id="76"/>
      </w:r>
      <w:bookmarkEnd w:id="144"/>
      <w:r w:rsidR="00493BFB" w:rsidRPr="00104227">
        <w:rPr>
          <w:lang w:val="en-US"/>
        </w:rPr>
        <w:t xml:space="preserve"> </w:t>
      </w:r>
    </w:p>
    <w:p w14:paraId="416059A9" w14:textId="77777777" w:rsidR="00493BFB" w:rsidRPr="00104227" w:rsidRDefault="00493BFB" w:rsidP="00E4619F">
      <w:pPr>
        <w:pStyle w:val="Numberedparagraphs"/>
        <w:numPr>
          <w:ilvl w:val="0"/>
          <w:numId w:val="0"/>
        </w:numPr>
        <w:tabs>
          <w:tab w:val="left" w:pos="567"/>
        </w:tabs>
        <w:rPr>
          <w:lang w:val="en-US"/>
        </w:rPr>
      </w:pPr>
    </w:p>
    <w:p w14:paraId="7E1FDEEF" w14:textId="4B6930C0" w:rsidR="00493BFB" w:rsidRPr="00104227" w:rsidRDefault="00CA330F" w:rsidP="004D28E2">
      <w:pPr>
        <w:pStyle w:val="Numberedparagraphs"/>
        <w:tabs>
          <w:tab w:val="left" w:pos="567"/>
        </w:tabs>
        <w:rPr>
          <w:lang w:val="en-US"/>
        </w:rPr>
      </w:pPr>
      <w:r w:rsidRPr="00104227">
        <w:rPr>
          <w:lang w:val="en-US"/>
        </w:rPr>
        <w:t xml:space="preserve">The people who blocked the highway set fire to </w:t>
      </w:r>
      <w:r w:rsidR="000A14CF" w:rsidRPr="00104227">
        <w:rPr>
          <w:lang w:val="en-US"/>
        </w:rPr>
        <w:t>tires</w:t>
      </w:r>
      <w:r w:rsidRPr="00104227">
        <w:rPr>
          <w:lang w:val="en-US"/>
        </w:rPr>
        <w:t xml:space="preserve"> there; some of them carried machetes, they had Molotov cocktails, rockets, a large number of stones, clubs and a home-made canon, </w:t>
      </w:r>
      <w:r w:rsidR="00BF7419" w:rsidRPr="00104227">
        <w:rPr>
          <w:lang w:val="en-US"/>
        </w:rPr>
        <w:t xml:space="preserve">and </w:t>
      </w:r>
      <w:r w:rsidRPr="00104227">
        <w:rPr>
          <w:lang w:val="en-US"/>
        </w:rPr>
        <w:t>they “</w:t>
      </w:r>
      <w:r w:rsidR="00BF7419" w:rsidRPr="00104227">
        <w:rPr>
          <w:lang w:val="en-US"/>
        </w:rPr>
        <w:t>placed a pipeline transporting ammonia” in front of their blockade.</w:t>
      </w:r>
      <w:r w:rsidR="006D0F8E" w:rsidRPr="00104227">
        <w:rPr>
          <w:rStyle w:val="Refdenotaalpie"/>
          <w:lang w:val="en-US"/>
        </w:rPr>
        <w:footnoteReference w:id="77"/>
      </w:r>
      <w:r w:rsidR="006D0F8E" w:rsidRPr="00104227">
        <w:rPr>
          <w:lang w:val="en-US"/>
        </w:rPr>
        <w:t xml:space="preserve"> </w:t>
      </w:r>
      <w:r w:rsidR="00BF7419" w:rsidRPr="00104227">
        <w:rPr>
          <w:lang w:val="en-US"/>
        </w:rPr>
        <w:t xml:space="preserve">In addition, during the blockade, </w:t>
      </w:r>
      <w:r w:rsidR="00493BFB" w:rsidRPr="00104227">
        <w:rPr>
          <w:lang w:val="en-US"/>
        </w:rPr>
        <w:t xml:space="preserve">FPDT </w:t>
      </w:r>
      <w:r w:rsidR="00E71D2A" w:rsidRPr="00104227">
        <w:rPr>
          <w:lang w:val="en-US"/>
        </w:rPr>
        <w:t xml:space="preserve">members </w:t>
      </w:r>
      <w:r w:rsidR="00493BFB" w:rsidRPr="00104227">
        <w:rPr>
          <w:lang w:val="en-US"/>
        </w:rPr>
        <w:t>ret</w:t>
      </w:r>
      <w:r w:rsidR="00BF7419" w:rsidRPr="00104227">
        <w:rPr>
          <w:lang w:val="en-US"/>
        </w:rPr>
        <w:t xml:space="preserve">ained several police agents and took away their weapons, </w:t>
      </w:r>
      <w:r w:rsidR="00E71D2A" w:rsidRPr="00104227">
        <w:rPr>
          <w:lang w:val="en-US"/>
        </w:rPr>
        <w:t xml:space="preserve">and </w:t>
      </w:r>
      <w:r w:rsidR="00BF7419" w:rsidRPr="00104227">
        <w:rPr>
          <w:lang w:val="en-US"/>
        </w:rPr>
        <w:t xml:space="preserve">detained an official van carrying a prisoner, and two police patrol cars. Consequently, </w:t>
      </w:r>
      <w:r w:rsidR="00DF0305" w:rsidRPr="00104227">
        <w:rPr>
          <w:lang w:val="en-US"/>
        </w:rPr>
        <w:t>the state Security Agency</w:t>
      </w:r>
      <w:r w:rsidR="00BF7419" w:rsidRPr="00104227">
        <w:rPr>
          <w:lang w:val="en-US"/>
        </w:rPr>
        <w:t xml:space="preserve"> and the Federal Preventive Police coordinated the concentration of approximately 194 state police and 154 federal police on the premises of the Federal Preventive Police. At around 1.30 p.m., they advanced along the Texcoco-Lechería highway forming two compact units. As they advanced, an intense confrontation arose started by Molotov cocktails, stones and rockets launched at the police by the protestors. The two units of police agents began to break ranks and to separate because the Molotov cocktails set fire to the ground; the</w:t>
      </w:r>
      <w:r w:rsidR="00E71D2A" w:rsidRPr="00104227">
        <w:rPr>
          <w:lang w:val="en-US"/>
        </w:rPr>
        <w:t>n, they</w:t>
      </w:r>
      <w:r w:rsidR="00BF7419" w:rsidRPr="00104227">
        <w:rPr>
          <w:lang w:val="en-US"/>
        </w:rPr>
        <w:t xml:space="preserve"> began to retreat in a disorderly manner owing to the intensity of the stones and rockets launched at them, as well as the projectiles fired from the home-made canon. Some of the police who lagged behind were surrounded and beaten. The confrontation lasted about 30 minutes, during which some police</w:t>
      </w:r>
      <w:r w:rsidR="00E71D2A" w:rsidRPr="00104227">
        <w:rPr>
          <w:lang w:val="en-US"/>
        </w:rPr>
        <w:t xml:space="preserve"> agents gathered together</w:t>
      </w:r>
      <w:r w:rsidR="00BF7419" w:rsidRPr="00104227">
        <w:rPr>
          <w:lang w:val="en-US"/>
        </w:rPr>
        <w:t xml:space="preserve"> and advanced, </w:t>
      </w:r>
      <w:r w:rsidR="00E71D2A" w:rsidRPr="00104227">
        <w:rPr>
          <w:lang w:val="en-US"/>
        </w:rPr>
        <w:t xml:space="preserve">and </w:t>
      </w:r>
      <w:r w:rsidR="00BF7419" w:rsidRPr="00104227">
        <w:rPr>
          <w:lang w:val="en-US"/>
        </w:rPr>
        <w:t>some of them t</w:t>
      </w:r>
      <w:r w:rsidR="00E71D2A" w:rsidRPr="00104227">
        <w:rPr>
          <w:lang w:val="en-US"/>
        </w:rPr>
        <w:t>ried to</w:t>
      </w:r>
      <w:r w:rsidR="00BF7419" w:rsidRPr="00104227">
        <w:rPr>
          <w:lang w:val="en-US"/>
        </w:rPr>
        <w:t xml:space="preserve"> liberate their companions who were surrounded by the protestors, but </w:t>
      </w:r>
      <w:r w:rsidR="00E71D2A" w:rsidRPr="00104227">
        <w:rPr>
          <w:lang w:val="en-US"/>
        </w:rPr>
        <w:t xml:space="preserve">they </w:t>
      </w:r>
      <w:r w:rsidR="00BF7419" w:rsidRPr="00104227">
        <w:rPr>
          <w:lang w:val="en-US"/>
        </w:rPr>
        <w:t>the</w:t>
      </w:r>
      <w:r w:rsidR="00E71D2A" w:rsidRPr="00104227">
        <w:rPr>
          <w:lang w:val="en-US"/>
        </w:rPr>
        <w:t>n</w:t>
      </w:r>
      <w:r w:rsidR="00BF7419" w:rsidRPr="00104227">
        <w:rPr>
          <w:lang w:val="en-US"/>
        </w:rPr>
        <w:t xml:space="preserve"> backed off again. At about 2.45 p.m. the contingents from </w:t>
      </w:r>
      <w:r w:rsidR="00DF0305" w:rsidRPr="00104227">
        <w:rPr>
          <w:lang w:val="en-US"/>
        </w:rPr>
        <w:t>the state Security Agency</w:t>
      </w:r>
      <w:r w:rsidR="00BF7419" w:rsidRPr="00104227">
        <w:rPr>
          <w:lang w:val="en-US"/>
        </w:rPr>
        <w:t xml:space="preserve"> and the Federal Preventive Police reassembled and once again advanced, but without forming compact units, and a second confrontation began. As they advanced in this second </w:t>
      </w:r>
      <w:r w:rsidR="004D28E2" w:rsidRPr="00104227">
        <w:rPr>
          <w:lang w:val="en-US"/>
        </w:rPr>
        <w:t>confrontation,</w:t>
      </w:r>
      <w:r w:rsidR="00BF7419" w:rsidRPr="00104227">
        <w:rPr>
          <w:lang w:val="en-US"/>
        </w:rPr>
        <w:t xml:space="preserve"> they </w:t>
      </w:r>
      <w:r w:rsidR="00E71D2A" w:rsidRPr="00104227">
        <w:rPr>
          <w:lang w:val="en-US"/>
        </w:rPr>
        <w:t>arrested</w:t>
      </w:r>
      <w:r w:rsidR="00BF7419" w:rsidRPr="00104227">
        <w:rPr>
          <w:lang w:val="en-US"/>
        </w:rPr>
        <w:t xml:space="preserve"> some individuals who were on the highway.</w:t>
      </w:r>
      <w:r w:rsidR="00493BFB" w:rsidRPr="00104227">
        <w:rPr>
          <w:rStyle w:val="Refdenotaalpie"/>
          <w:lang w:val="en-US"/>
        </w:rPr>
        <w:footnoteReference w:id="78"/>
      </w:r>
    </w:p>
    <w:p w14:paraId="0E8BD79B" w14:textId="77777777" w:rsidR="00E71D2A" w:rsidRPr="00104227" w:rsidRDefault="00E71D2A" w:rsidP="00E71D2A">
      <w:pPr>
        <w:pStyle w:val="Numberedparagraphs"/>
        <w:numPr>
          <w:ilvl w:val="0"/>
          <w:numId w:val="0"/>
        </w:numPr>
        <w:tabs>
          <w:tab w:val="left" w:pos="567"/>
        </w:tabs>
        <w:rPr>
          <w:lang w:val="en-US"/>
        </w:rPr>
      </w:pPr>
    </w:p>
    <w:p w14:paraId="27B87023" w14:textId="0C9C8D1E" w:rsidR="00493BFB" w:rsidRPr="00104227" w:rsidRDefault="004D28E2" w:rsidP="00E4619F">
      <w:pPr>
        <w:pStyle w:val="Numberedparagraphs"/>
        <w:tabs>
          <w:tab w:val="left" w:pos="567"/>
        </w:tabs>
        <w:rPr>
          <w:lang w:val="en-US"/>
        </w:rPr>
      </w:pPr>
      <w:r w:rsidRPr="00104227">
        <w:rPr>
          <w:lang w:val="en-US"/>
        </w:rPr>
        <w:t xml:space="preserve">Owing to these confrontations, </w:t>
      </w:r>
      <w:r w:rsidR="00DF0305" w:rsidRPr="00104227">
        <w:rPr>
          <w:lang w:val="en-US"/>
        </w:rPr>
        <w:t>the state Security Agency</w:t>
      </w:r>
      <w:r w:rsidRPr="00104227">
        <w:rPr>
          <w:lang w:val="en-US"/>
        </w:rPr>
        <w:t xml:space="preserve"> implemented a police operation involving between 320 and 420 state police agents to </w:t>
      </w:r>
      <w:r w:rsidR="00E71D2A" w:rsidRPr="00104227">
        <w:rPr>
          <w:lang w:val="en-US"/>
        </w:rPr>
        <w:t>arrest</w:t>
      </w:r>
      <w:r w:rsidRPr="00104227">
        <w:rPr>
          <w:lang w:val="en-US"/>
        </w:rPr>
        <w:t xml:space="preserve"> the people who were in</w:t>
      </w:r>
      <w:r w:rsidR="00E71D2A" w:rsidRPr="00104227">
        <w:rPr>
          <w:lang w:val="en-US"/>
        </w:rPr>
        <w:t>side the</w:t>
      </w:r>
      <w:r w:rsidRPr="00104227">
        <w:rPr>
          <w:lang w:val="en-US"/>
        </w:rPr>
        <w:t xml:space="preserve"> </w:t>
      </w:r>
      <w:r w:rsidRPr="00104227">
        <w:rPr>
          <w:lang w:val="en-US"/>
        </w:rPr>
        <w:lastRenderedPageBreak/>
        <w:t xml:space="preserve">private </w:t>
      </w:r>
      <w:r w:rsidR="00A576F6" w:rsidRPr="00104227">
        <w:rPr>
          <w:lang w:val="en-US"/>
        </w:rPr>
        <w:t xml:space="preserve">property </w:t>
      </w:r>
      <w:r w:rsidRPr="00104227">
        <w:rPr>
          <w:lang w:val="en-US"/>
        </w:rPr>
        <w:t xml:space="preserve">on </w:t>
      </w:r>
      <w:r w:rsidR="00D50CE8" w:rsidRPr="00104227">
        <w:rPr>
          <w:lang w:val="en-US"/>
        </w:rPr>
        <w:t xml:space="preserve">Manuel González </w:t>
      </w:r>
      <w:r w:rsidRPr="00104227">
        <w:rPr>
          <w:lang w:val="en-US"/>
        </w:rPr>
        <w:t xml:space="preserve">Street </w:t>
      </w:r>
      <w:r w:rsidR="00D50CE8" w:rsidRPr="00104227">
        <w:rPr>
          <w:lang w:val="en-US"/>
        </w:rPr>
        <w:t>(</w:t>
      </w:r>
      <w:r w:rsidR="00D50CE8" w:rsidRPr="00104227">
        <w:rPr>
          <w:i/>
          <w:lang w:val="en-US"/>
        </w:rPr>
        <w:t>supra</w:t>
      </w:r>
      <w:r w:rsidR="00D50CE8" w:rsidRPr="00104227">
        <w:rPr>
          <w:lang w:val="en-US"/>
        </w:rPr>
        <w:t xml:space="preserve"> </w:t>
      </w:r>
      <w:r w:rsidR="00BF5241" w:rsidRPr="00104227">
        <w:rPr>
          <w:lang w:val="en-US"/>
        </w:rPr>
        <w:t>paras.</w:t>
      </w:r>
      <w:r w:rsidR="00D50CE8" w:rsidRPr="00104227">
        <w:rPr>
          <w:lang w:val="en-US"/>
        </w:rPr>
        <w:t xml:space="preserve"> </w:t>
      </w:r>
      <w:r w:rsidR="00C87835" w:rsidRPr="00104227">
        <w:rPr>
          <w:lang w:val="en-US"/>
        </w:rPr>
        <w:fldChar w:fldCharType="begin"/>
      </w:r>
      <w:r w:rsidR="00C87835" w:rsidRPr="00104227">
        <w:rPr>
          <w:lang w:val="en-US"/>
        </w:rPr>
        <w:instrText xml:space="preserve"> REF _Ref527365876 \r \h </w:instrText>
      </w:r>
      <w:r w:rsidR="006E365C" w:rsidRPr="00104227">
        <w:rPr>
          <w:lang w:val="en-US"/>
        </w:rPr>
        <w:instrText xml:space="preserve"> \* MERGEFORMAT </w:instrText>
      </w:r>
      <w:r w:rsidR="00C87835" w:rsidRPr="00104227">
        <w:rPr>
          <w:lang w:val="en-US"/>
        </w:rPr>
      </w:r>
      <w:r w:rsidR="00C87835" w:rsidRPr="00104227">
        <w:rPr>
          <w:lang w:val="en-US"/>
        </w:rPr>
        <w:fldChar w:fldCharType="separate"/>
      </w:r>
      <w:r w:rsidR="004276BD">
        <w:rPr>
          <w:lang w:val="en-US"/>
        </w:rPr>
        <w:t>62</w:t>
      </w:r>
      <w:r w:rsidR="00C87835" w:rsidRPr="00104227">
        <w:rPr>
          <w:lang w:val="en-US"/>
        </w:rPr>
        <w:fldChar w:fldCharType="end"/>
      </w:r>
      <w:r w:rsidR="00BF5241" w:rsidRPr="00104227">
        <w:rPr>
          <w:lang w:val="en-US"/>
        </w:rPr>
        <w:t xml:space="preserve"> and </w:t>
      </w:r>
      <w:r w:rsidR="00C87835" w:rsidRPr="00104227">
        <w:rPr>
          <w:lang w:val="en-US"/>
        </w:rPr>
        <w:fldChar w:fldCharType="begin"/>
      </w:r>
      <w:r w:rsidR="00C87835" w:rsidRPr="00104227">
        <w:rPr>
          <w:lang w:val="en-US"/>
        </w:rPr>
        <w:instrText xml:space="preserve"> REF _Ref527365883 \r \h </w:instrText>
      </w:r>
      <w:r w:rsidR="006E365C" w:rsidRPr="00104227">
        <w:rPr>
          <w:lang w:val="en-US"/>
        </w:rPr>
        <w:instrText xml:space="preserve"> \* MERGEFORMAT </w:instrText>
      </w:r>
      <w:r w:rsidR="00C87835" w:rsidRPr="00104227">
        <w:rPr>
          <w:lang w:val="en-US"/>
        </w:rPr>
      </w:r>
      <w:r w:rsidR="00C87835" w:rsidRPr="00104227">
        <w:rPr>
          <w:lang w:val="en-US"/>
        </w:rPr>
        <w:fldChar w:fldCharType="separate"/>
      </w:r>
      <w:r w:rsidR="004276BD">
        <w:rPr>
          <w:lang w:val="en-US"/>
        </w:rPr>
        <w:t>63</w:t>
      </w:r>
      <w:r w:rsidR="00C87835" w:rsidRPr="00104227">
        <w:rPr>
          <w:lang w:val="en-US"/>
        </w:rPr>
        <w:fldChar w:fldCharType="end"/>
      </w:r>
      <w:r w:rsidR="00C87835" w:rsidRPr="00104227">
        <w:rPr>
          <w:lang w:val="en-US"/>
        </w:rPr>
        <w:t>)</w:t>
      </w:r>
      <w:r w:rsidR="00493BFB" w:rsidRPr="00104227">
        <w:rPr>
          <w:lang w:val="en-US"/>
        </w:rPr>
        <w:t xml:space="preserve">. </w:t>
      </w:r>
      <w:r w:rsidR="00C87835" w:rsidRPr="00104227">
        <w:rPr>
          <w:lang w:val="en-US"/>
        </w:rPr>
        <w:t>M</w:t>
      </w:r>
      <w:r w:rsidRPr="00104227">
        <w:rPr>
          <w:lang w:val="en-US"/>
        </w:rPr>
        <w:t>embers</w:t>
      </w:r>
      <w:r w:rsidR="00650467" w:rsidRPr="00104227">
        <w:rPr>
          <w:lang w:val="en-US"/>
        </w:rPr>
        <w:t xml:space="preserve"> of the </w:t>
      </w:r>
      <w:r w:rsidR="004416D2" w:rsidRPr="00104227">
        <w:rPr>
          <w:lang w:val="en-US"/>
        </w:rPr>
        <w:t>municipal police force</w:t>
      </w:r>
      <w:r w:rsidR="00493BFB" w:rsidRPr="00104227">
        <w:rPr>
          <w:lang w:val="en-US"/>
        </w:rPr>
        <w:t xml:space="preserve"> </w:t>
      </w:r>
      <w:r w:rsidRPr="00104227">
        <w:rPr>
          <w:lang w:val="en-US"/>
        </w:rPr>
        <w:t xml:space="preserve">also </w:t>
      </w:r>
      <w:r w:rsidR="000B0C40" w:rsidRPr="00104227">
        <w:rPr>
          <w:lang w:val="en-US"/>
        </w:rPr>
        <w:t>detained</w:t>
      </w:r>
      <w:r w:rsidRPr="00104227">
        <w:rPr>
          <w:lang w:val="en-US"/>
        </w:rPr>
        <w:t xml:space="preserve"> other individuals who were in the market at the time </w:t>
      </w:r>
      <w:r w:rsidR="000B0C40" w:rsidRPr="00104227">
        <w:rPr>
          <w:lang w:val="en-US"/>
        </w:rPr>
        <w:t>of</w:t>
      </w:r>
      <w:r w:rsidRPr="00104227">
        <w:rPr>
          <w:lang w:val="en-US"/>
        </w:rPr>
        <w:t xml:space="preserve"> th</w:t>
      </w:r>
      <w:r w:rsidR="000B0C40" w:rsidRPr="00104227">
        <w:rPr>
          <w:lang w:val="en-US"/>
        </w:rPr>
        <w:t>e</w:t>
      </w:r>
      <w:r w:rsidRPr="00104227">
        <w:rPr>
          <w:lang w:val="en-US"/>
        </w:rPr>
        <w:t xml:space="preserve"> operation.</w:t>
      </w:r>
      <w:r w:rsidR="00493BFB" w:rsidRPr="00104227">
        <w:rPr>
          <w:rStyle w:val="Refdenotaalpie"/>
          <w:lang w:val="en-US"/>
        </w:rPr>
        <w:footnoteReference w:id="79"/>
      </w:r>
      <w:r w:rsidR="00493BFB" w:rsidRPr="00104227">
        <w:rPr>
          <w:lang w:val="en-US"/>
        </w:rPr>
        <w:t xml:space="preserve"> A</w:t>
      </w:r>
      <w:r w:rsidRPr="00104227">
        <w:rPr>
          <w:lang w:val="en-US"/>
        </w:rPr>
        <w:t>t approximately 5.30 p.m. members of the state police force entered the building and detained those who were inside, many of whom were beate</w:t>
      </w:r>
      <w:r w:rsidR="000A14CF" w:rsidRPr="00104227">
        <w:rPr>
          <w:lang w:val="en-US"/>
        </w:rPr>
        <w:t>n</w:t>
      </w:r>
      <w:r w:rsidRPr="00104227">
        <w:rPr>
          <w:lang w:val="en-US"/>
        </w:rPr>
        <w:t xml:space="preserve"> and assaulted by the police, even though they had already been subdued.</w:t>
      </w:r>
      <w:bookmarkStart w:id="145" w:name="_Ref532970350"/>
      <w:r w:rsidR="00493BFB" w:rsidRPr="00104227">
        <w:rPr>
          <w:rStyle w:val="Refdenotaalpie"/>
          <w:lang w:val="en-US"/>
        </w:rPr>
        <w:footnoteReference w:id="80"/>
      </w:r>
      <w:bookmarkEnd w:id="145"/>
      <w:r w:rsidRPr="00104227">
        <w:rPr>
          <w:lang w:val="en-US"/>
        </w:rPr>
        <w:t xml:space="preserve"> The operation ended at around 5.50 p.m.</w:t>
      </w:r>
      <w:r w:rsidR="00493BFB" w:rsidRPr="00104227">
        <w:rPr>
          <w:rStyle w:val="Refdenotaalpie"/>
          <w:lang w:val="en-US"/>
        </w:rPr>
        <w:footnoteReference w:id="81"/>
      </w:r>
      <w:r w:rsidR="00BF5241" w:rsidRPr="00104227">
        <w:rPr>
          <w:lang w:val="en-US"/>
        </w:rPr>
        <w:t xml:space="preserve"> and</w:t>
      </w:r>
      <w:r w:rsidRPr="00104227">
        <w:rPr>
          <w:lang w:val="en-US"/>
        </w:rPr>
        <w:t xml:space="preserve"> resulted in the detention of 84 people in</w:t>
      </w:r>
      <w:r w:rsidR="000B0C40" w:rsidRPr="00104227">
        <w:rPr>
          <w:lang w:val="en-US"/>
        </w:rPr>
        <w:t>side</w:t>
      </w:r>
      <w:r w:rsidRPr="00104227">
        <w:rPr>
          <w:lang w:val="en-US"/>
        </w:rPr>
        <w:t xml:space="preserve"> the building and two in the market.</w:t>
      </w:r>
      <w:r w:rsidR="00493BFB" w:rsidRPr="00104227">
        <w:rPr>
          <w:rStyle w:val="Refdenotaalpie"/>
          <w:lang w:val="en-US"/>
        </w:rPr>
        <w:footnoteReference w:id="82"/>
      </w:r>
    </w:p>
    <w:p w14:paraId="69B2A52F" w14:textId="77777777" w:rsidR="00493BFB" w:rsidRPr="00104227" w:rsidRDefault="00493BFB" w:rsidP="00E4619F">
      <w:pPr>
        <w:tabs>
          <w:tab w:val="left" w:pos="567"/>
        </w:tabs>
      </w:pPr>
    </w:p>
    <w:p w14:paraId="0577FE4E" w14:textId="0D2346FC" w:rsidR="00493BFB" w:rsidRPr="00104227" w:rsidRDefault="004D28E2" w:rsidP="00E4619F">
      <w:pPr>
        <w:pStyle w:val="Numberedparagraphs"/>
        <w:tabs>
          <w:tab w:val="left" w:pos="567"/>
        </w:tabs>
        <w:rPr>
          <w:lang w:val="en-US"/>
        </w:rPr>
      </w:pPr>
      <w:r w:rsidRPr="00104227">
        <w:rPr>
          <w:lang w:val="en-US"/>
        </w:rPr>
        <w:t xml:space="preserve">At about 5.40 p.m., the police began to transfer those who had been detained to the </w:t>
      </w:r>
      <w:r w:rsidR="008013A7" w:rsidRPr="00104227">
        <w:rPr>
          <w:lang w:val="en-US"/>
        </w:rPr>
        <w:t>“Santiaguito”</w:t>
      </w:r>
      <w:r w:rsidR="0082614F" w:rsidRPr="00104227">
        <w:rPr>
          <w:lang w:val="en-US"/>
        </w:rPr>
        <w:t xml:space="preserve"> </w:t>
      </w:r>
      <w:r w:rsidRPr="00104227">
        <w:rPr>
          <w:lang w:val="en-US"/>
        </w:rPr>
        <w:t xml:space="preserve">Social Rehabilitation Center </w:t>
      </w:r>
      <w:r w:rsidR="0082614F" w:rsidRPr="00104227">
        <w:rPr>
          <w:lang w:val="en-US"/>
        </w:rPr>
        <w:t>(</w:t>
      </w:r>
      <w:r w:rsidR="00BF5241" w:rsidRPr="00104227">
        <w:rPr>
          <w:lang w:val="en-US"/>
        </w:rPr>
        <w:t>hereinafter</w:t>
      </w:r>
      <w:r w:rsidR="0082614F" w:rsidRPr="00104227">
        <w:rPr>
          <w:lang w:val="en-US"/>
        </w:rPr>
        <w:t xml:space="preserve"> “</w:t>
      </w:r>
      <w:r w:rsidR="00493BFB" w:rsidRPr="00104227">
        <w:rPr>
          <w:lang w:val="en-US"/>
        </w:rPr>
        <w:t>CEPRESO</w:t>
      </w:r>
      <w:r w:rsidR="0082614F" w:rsidRPr="00104227">
        <w:rPr>
          <w:lang w:val="en-US"/>
        </w:rPr>
        <w:t>”)</w:t>
      </w:r>
      <w:r w:rsidR="00493BFB" w:rsidRPr="00104227">
        <w:rPr>
          <w:lang w:val="en-US"/>
        </w:rPr>
        <w:t xml:space="preserve">, </w:t>
      </w:r>
      <w:r w:rsidR="000B0C40" w:rsidRPr="00104227">
        <w:rPr>
          <w:lang w:val="en-US"/>
        </w:rPr>
        <w:t xml:space="preserve">either </w:t>
      </w:r>
      <w:r w:rsidRPr="00104227">
        <w:rPr>
          <w:lang w:val="en-US"/>
        </w:rPr>
        <w:t>as</w:t>
      </w:r>
      <w:r w:rsidR="008F27D0" w:rsidRPr="00104227">
        <w:rPr>
          <w:lang w:val="en-US"/>
        </w:rPr>
        <w:t xml:space="preserve"> people who had been </w:t>
      </w:r>
      <w:r w:rsidR="000B0C40" w:rsidRPr="00104227">
        <w:rPr>
          <w:lang w:val="en-US"/>
        </w:rPr>
        <w:t xml:space="preserve">captured </w:t>
      </w:r>
      <w:r w:rsidR="00493BFB" w:rsidRPr="00104227">
        <w:rPr>
          <w:lang w:val="en-US"/>
        </w:rPr>
        <w:t>o</w:t>
      </w:r>
      <w:r w:rsidR="008F27D0" w:rsidRPr="00104227">
        <w:rPr>
          <w:lang w:val="en-US"/>
        </w:rPr>
        <w:t>r</w:t>
      </w:r>
      <w:r w:rsidR="000B0C40" w:rsidRPr="00104227">
        <w:rPr>
          <w:lang w:val="en-US"/>
        </w:rPr>
        <w:t xml:space="preserve"> who were</w:t>
      </w:r>
      <w:r w:rsidR="00493BFB" w:rsidRPr="00104227">
        <w:rPr>
          <w:lang w:val="en-US"/>
        </w:rPr>
        <w:t xml:space="preserve"> “</w:t>
      </w:r>
      <w:r w:rsidR="000B0C40" w:rsidRPr="00104227">
        <w:rPr>
          <w:lang w:val="en-US"/>
        </w:rPr>
        <w:t>being held</w:t>
      </w:r>
      <w:r w:rsidR="008F27D0" w:rsidRPr="00104227">
        <w:rPr>
          <w:lang w:val="en-US"/>
        </w:rPr>
        <w:t>.</w:t>
      </w:r>
      <w:r w:rsidR="0082614F" w:rsidRPr="00104227">
        <w:rPr>
          <w:lang w:val="en-US"/>
        </w:rPr>
        <w:t>”</w:t>
      </w:r>
      <w:r w:rsidR="008F27D0" w:rsidRPr="00104227">
        <w:rPr>
          <w:lang w:val="en-US"/>
        </w:rPr>
        <w:t xml:space="preserve"> When they were arrested, these people were bundled into vans that, in some cases, took them first to the offices of the Texcoco Assistant Attorney General of the </w:t>
      </w:r>
      <w:r w:rsidR="00493BFB" w:rsidRPr="00104227">
        <w:rPr>
          <w:lang w:val="en-US"/>
        </w:rPr>
        <w:t>PGJEM</w:t>
      </w:r>
      <w:r w:rsidR="008F27D0" w:rsidRPr="00104227">
        <w:rPr>
          <w:lang w:val="en-US"/>
        </w:rPr>
        <w:t xml:space="preserve">, </w:t>
      </w:r>
      <w:r w:rsidR="00BF5241" w:rsidRPr="00104227">
        <w:rPr>
          <w:lang w:val="en-US"/>
        </w:rPr>
        <w:t xml:space="preserve">and </w:t>
      </w:r>
      <w:r w:rsidR="008F27D0" w:rsidRPr="00104227">
        <w:rPr>
          <w:lang w:val="en-US"/>
        </w:rPr>
        <w:t>from there to buses that would take them to the prison; while, in other cases, they were transferred directly to the CEPRESO in vans. The transfers were carried out by the judicial police and the state police.</w:t>
      </w:r>
      <w:r w:rsidR="00493BFB" w:rsidRPr="00104227">
        <w:rPr>
          <w:rStyle w:val="Refdenotaalpie"/>
          <w:lang w:val="en-US"/>
        </w:rPr>
        <w:footnoteReference w:id="83"/>
      </w:r>
    </w:p>
    <w:p w14:paraId="4A2E1676" w14:textId="77777777" w:rsidR="00493BFB" w:rsidRPr="00104227" w:rsidRDefault="00493BFB" w:rsidP="00E4619F">
      <w:pPr>
        <w:tabs>
          <w:tab w:val="left" w:pos="567"/>
        </w:tabs>
      </w:pPr>
    </w:p>
    <w:p w14:paraId="65208CB3" w14:textId="79E9F536" w:rsidR="00493BFB" w:rsidRPr="00104227" w:rsidRDefault="00E611C6" w:rsidP="00E4619F">
      <w:pPr>
        <w:pStyle w:val="Ttulo3"/>
        <w:tabs>
          <w:tab w:val="left" w:pos="567"/>
        </w:tabs>
        <w:rPr>
          <w:lang w:val="en-US"/>
        </w:rPr>
      </w:pPr>
      <w:bookmarkStart w:id="146" w:name="_Toc433650866"/>
      <w:bookmarkStart w:id="147" w:name="_Toc433650968"/>
      <w:bookmarkStart w:id="148" w:name="_Toc438128477"/>
      <w:bookmarkStart w:id="149" w:name="_Toc527464899"/>
      <w:bookmarkStart w:id="150" w:name="_Toc31290570"/>
      <w:r w:rsidRPr="00104227">
        <w:rPr>
          <w:lang w:val="en-US"/>
        </w:rPr>
        <w:t>A.4</w:t>
      </w:r>
      <w:r w:rsidR="00493BFB" w:rsidRPr="00104227">
        <w:rPr>
          <w:lang w:val="en-US"/>
        </w:rPr>
        <w:t xml:space="preserve"> </w:t>
      </w:r>
      <w:r w:rsidR="008C6D02" w:rsidRPr="00104227">
        <w:rPr>
          <w:lang w:val="en-US"/>
        </w:rPr>
        <w:t>The operation</w:t>
      </w:r>
      <w:r w:rsidR="00493BFB" w:rsidRPr="00104227">
        <w:rPr>
          <w:lang w:val="en-US"/>
        </w:rPr>
        <w:t xml:space="preserve"> </w:t>
      </w:r>
      <w:r w:rsidR="00B851FA" w:rsidRPr="00104227">
        <w:rPr>
          <w:lang w:val="en-US"/>
        </w:rPr>
        <w:t>of May 4,</w:t>
      </w:r>
      <w:r w:rsidR="00493BFB" w:rsidRPr="00104227">
        <w:rPr>
          <w:lang w:val="en-US"/>
        </w:rPr>
        <w:t xml:space="preserve"> 2006</w:t>
      </w:r>
      <w:bookmarkEnd w:id="146"/>
      <w:bookmarkEnd w:id="147"/>
      <w:bookmarkEnd w:id="148"/>
      <w:bookmarkEnd w:id="149"/>
      <w:bookmarkEnd w:id="150"/>
    </w:p>
    <w:p w14:paraId="2CC29515" w14:textId="77777777" w:rsidR="00493BFB" w:rsidRPr="00104227" w:rsidRDefault="00493BFB" w:rsidP="00E4619F">
      <w:pPr>
        <w:tabs>
          <w:tab w:val="left" w:pos="567"/>
        </w:tabs>
      </w:pPr>
    </w:p>
    <w:p w14:paraId="4415555B" w14:textId="5120D819" w:rsidR="00493BFB" w:rsidRPr="00104227" w:rsidRDefault="008F27D0" w:rsidP="00E4619F">
      <w:pPr>
        <w:pStyle w:val="Numberedparagraphs"/>
        <w:tabs>
          <w:tab w:val="left" w:pos="567"/>
        </w:tabs>
        <w:rPr>
          <w:lang w:val="en-US"/>
        </w:rPr>
      </w:pPr>
      <w:r w:rsidRPr="00104227">
        <w:rPr>
          <w:lang w:val="en-US"/>
        </w:rPr>
        <w:t>According to information in the</w:t>
      </w:r>
      <w:r w:rsidR="000B0C40" w:rsidRPr="00104227">
        <w:rPr>
          <w:lang w:val="en-US"/>
        </w:rPr>
        <w:t xml:space="preserve"> SCJN</w:t>
      </w:r>
      <w:r w:rsidRPr="00104227">
        <w:rPr>
          <w:lang w:val="en-US"/>
        </w:rPr>
        <w:t xml:space="preserve"> j</w:t>
      </w:r>
      <w:r w:rsidR="00BF5241" w:rsidRPr="00104227">
        <w:rPr>
          <w:lang w:val="en-US"/>
        </w:rPr>
        <w:t>udgment</w:t>
      </w:r>
      <w:r w:rsidR="00EA79B3" w:rsidRPr="00104227">
        <w:rPr>
          <w:lang w:val="en-US"/>
        </w:rPr>
        <w:t xml:space="preserve">, </w:t>
      </w:r>
      <w:r w:rsidRPr="00104227">
        <w:rPr>
          <w:lang w:val="en-US"/>
        </w:rPr>
        <w:t>during the evening of</w:t>
      </w:r>
      <w:r w:rsidR="00B851FA" w:rsidRPr="00104227">
        <w:rPr>
          <w:lang w:val="en-US"/>
        </w:rPr>
        <w:t xml:space="preserve"> May 3,</w:t>
      </w:r>
      <w:r w:rsidR="00493BFB" w:rsidRPr="00104227">
        <w:rPr>
          <w:lang w:val="en-US"/>
        </w:rPr>
        <w:t xml:space="preserve"> 2006, </w:t>
      </w:r>
      <w:r w:rsidRPr="00104227">
        <w:rPr>
          <w:lang w:val="en-US"/>
        </w:rPr>
        <w:t>around</w:t>
      </w:r>
      <w:r w:rsidR="00493BFB" w:rsidRPr="00104227">
        <w:rPr>
          <w:lang w:val="en-US"/>
        </w:rPr>
        <w:t xml:space="preserve"> 1</w:t>
      </w:r>
      <w:r w:rsidRPr="00104227">
        <w:rPr>
          <w:lang w:val="en-US"/>
        </w:rPr>
        <w:t>,</w:t>
      </w:r>
      <w:r w:rsidR="00493BFB" w:rsidRPr="00104227">
        <w:rPr>
          <w:lang w:val="en-US"/>
        </w:rPr>
        <w:t xml:space="preserve">815 </w:t>
      </w:r>
      <w:r w:rsidRPr="00104227">
        <w:rPr>
          <w:lang w:val="en-US"/>
        </w:rPr>
        <w:t>state police and 628 federal police – some of whom had taken part in that day’s operation – assembled in different points</w:t>
      </w:r>
      <w:r w:rsidR="00493BFB" w:rsidRPr="00104227">
        <w:rPr>
          <w:lang w:val="en-US"/>
        </w:rPr>
        <w:t xml:space="preserve"> </w:t>
      </w:r>
      <w:r w:rsidR="00336FBE" w:rsidRPr="00104227">
        <w:rPr>
          <w:lang w:val="en-US"/>
        </w:rPr>
        <w:t>of the municipality of</w:t>
      </w:r>
      <w:r w:rsidR="00493BFB" w:rsidRPr="00104227">
        <w:rPr>
          <w:lang w:val="en-US"/>
        </w:rPr>
        <w:t xml:space="preserve"> Texcoco</w:t>
      </w:r>
      <w:r w:rsidRPr="00104227">
        <w:rPr>
          <w:lang w:val="en-US"/>
        </w:rPr>
        <w:t>.</w:t>
      </w:r>
      <w:r w:rsidR="006076AC" w:rsidRPr="00104227">
        <w:rPr>
          <w:rStyle w:val="Refdenotaalpie"/>
          <w:lang w:val="en-US"/>
        </w:rPr>
        <w:footnoteReference w:id="84"/>
      </w:r>
      <w:r w:rsidRPr="00104227">
        <w:rPr>
          <w:lang w:val="en-US"/>
        </w:rPr>
        <w:t xml:space="preserve"> That night, a meeting was held attended by different state and federal authorities, including the Governor </w:t>
      </w:r>
      <w:r w:rsidR="002826A6" w:rsidRPr="00104227">
        <w:rPr>
          <w:lang w:val="en-US"/>
        </w:rPr>
        <w:t xml:space="preserve">of the </w:t>
      </w:r>
      <w:r w:rsidR="00CA330F" w:rsidRPr="00104227">
        <w:rPr>
          <w:lang w:val="en-US"/>
        </w:rPr>
        <w:t>state of Mexico</w:t>
      </w:r>
      <w:r w:rsidR="00C825D4" w:rsidRPr="00104227">
        <w:rPr>
          <w:lang w:val="en-US"/>
        </w:rPr>
        <w:t>,</w:t>
      </w:r>
      <w:r w:rsidR="00493BFB" w:rsidRPr="00104227">
        <w:rPr>
          <w:lang w:val="en-US"/>
        </w:rPr>
        <w:t xml:space="preserve"> </w:t>
      </w:r>
      <w:r w:rsidRPr="00104227">
        <w:rPr>
          <w:lang w:val="en-US"/>
        </w:rPr>
        <w:t xml:space="preserve">during which it was decided to use </w:t>
      </w:r>
      <w:r w:rsidR="00B665DF" w:rsidRPr="00104227">
        <w:rPr>
          <w:lang w:val="en-US"/>
        </w:rPr>
        <w:t>law enforcement personnel</w:t>
      </w:r>
      <w:r w:rsidRPr="00104227">
        <w:rPr>
          <w:lang w:val="en-US"/>
        </w:rPr>
        <w:t xml:space="preserve"> to unblock the Texcoco-Lechería highway</w:t>
      </w:r>
      <w:r w:rsidR="00493BFB" w:rsidRPr="00104227">
        <w:rPr>
          <w:lang w:val="en-US"/>
        </w:rPr>
        <w:t>, libera</w:t>
      </w:r>
      <w:r w:rsidRPr="00104227">
        <w:rPr>
          <w:lang w:val="en-US"/>
        </w:rPr>
        <w:t xml:space="preserve">te the public servants who had been retained, recover the equipment, weapons and patrol cars that had been </w:t>
      </w:r>
      <w:r w:rsidR="000B0C40" w:rsidRPr="00104227">
        <w:rPr>
          <w:lang w:val="en-US"/>
        </w:rPr>
        <w:t>seized</w:t>
      </w:r>
      <w:r w:rsidRPr="00104227">
        <w:rPr>
          <w:lang w:val="en-US"/>
        </w:rPr>
        <w:t xml:space="preserve">, bring before the authorities those who had been detained </w:t>
      </w:r>
      <w:r w:rsidRPr="00104227">
        <w:rPr>
          <w:i/>
          <w:iCs/>
          <w:lang w:val="en-US"/>
        </w:rPr>
        <w:t>in flagrante delicto</w:t>
      </w:r>
      <w:r w:rsidRPr="00104227">
        <w:rPr>
          <w:lang w:val="en-US"/>
        </w:rPr>
        <w:t xml:space="preserve"> and “re-establish the rule of law” in </w:t>
      </w:r>
      <w:r w:rsidR="00493BFB" w:rsidRPr="00104227">
        <w:rPr>
          <w:lang w:val="en-US"/>
        </w:rPr>
        <w:t>San Salvador Atenco</w:t>
      </w:r>
      <w:r w:rsidR="007D076D" w:rsidRPr="00104227">
        <w:rPr>
          <w:lang w:val="en-US"/>
        </w:rPr>
        <w:t xml:space="preserve">. </w:t>
      </w:r>
      <w:r w:rsidRPr="00104227">
        <w:rPr>
          <w:lang w:val="en-US"/>
        </w:rPr>
        <w:t>The Governor</w:t>
      </w:r>
      <w:r w:rsidR="007D076D" w:rsidRPr="00104227">
        <w:rPr>
          <w:lang w:val="en-US"/>
        </w:rPr>
        <w:t xml:space="preserve">, </w:t>
      </w:r>
      <w:r w:rsidRPr="00104227">
        <w:rPr>
          <w:lang w:val="en-US"/>
        </w:rPr>
        <w:t>the Secretary for Public Security</w:t>
      </w:r>
      <w:r w:rsidR="00BF5241" w:rsidRPr="00104227">
        <w:rPr>
          <w:lang w:val="en-US"/>
        </w:rPr>
        <w:t xml:space="preserve"> and </w:t>
      </w:r>
      <w:r w:rsidRPr="00104227">
        <w:rPr>
          <w:lang w:val="en-US"/>
        </w:rPr>
        <w:t>the National Coordinator</w:t>
      </w:r>
      <w:r w:rsidR="007D076D" w:rsidRPr="00104227">
        <w:rPr>
          <w:lang w:val="en-US"/>
        </w:rPr>
        <w:t xml:space="preserve"> </w:t>
      </w:r>
      <w:r w:rsidRPr="00104227">
        <w:rPr>
          <w:lang w:val="en-US"/>
        </w:rPr>
        <w:t>of the Public Security Council</w:t>
      </w:r>
      <w:r w:rsidR="007D076D" w:rsidRPr="00104227">
        <w:rPr>
          <w:lang w:val="en-US"/>
        </w:rPr>
        <w:t xml:space="preserve"> </w:t>
      </w:r>
      <w:r w:rsidRPr="00104227">
        <w:rPr>
          <w:lang w:val="en-US"/>
        </w:rPr>
        <w:t>withdrew</w:t>
      </w:r>
      <w:r w:rsidR="007D076D" w:rsidRPr="00104227">
        <w:rPr>
          <w:lang w:val="en-US"/>
        </w:rPr>
        <w:t xml:space="preserve"> “[</w:t>
      </w:r>
      <w:r w:rsidRPr="00104227">
        <w:rPr>
          <w:lang w:val="en-US"/>
        </w:rPr>
        <w:t>w</w:t>
      </w:r>
      <w:r w:rsidR="007D076D" w:rsidRPr="00104227">
        <w:rPr>
          <w:lang w:val="en-US"/>
        </w:rPr>
        <w:t>]</w:t>
      </w:r>
      <w:r w:rsidRPr="00104227">
        <w:rPr>
          <w:lang w:val="en-US"/>
        </w:rPr>
        <w:t xml:space="preserve">hen it was agreed to use </w:t>
      </w:r>
      <w:r w:rsidR="00B665DF" w:rsidRPr="00104227">
        <w:rPr>
          <w:lang w:val="en-US"/>
        </w:rPr>
        <w:t>law enforcement personnel</w:t>
      </w:r>
      <w:r w:rsidRPr="00104227">
        <w:rPr>
          <w:lang w:val="en-US"/>
        </w:rPr>
        <w:t>.” The specific strategy of the police operation was defined in a second meeting, without the Governor</w:t>
      </w:r>
      <w:r w:rsidR="00BF5241" w:rsidRPr="00104227">
        <w:rPr>
          <w:lang w:val="en-US"/>
        </w:rPr>
        <w:t xml:space="preserve"> and </w:t>
      </w:r>
      <w:r w:rsidRPr="00104227">
        <w:rPr>
          <w:lang w:val="en-US"/>
        </w:rPr>
        <w:t>the Secretary for Public Security</w:t>
      </w:r>
      <w:r w:rsidR="00493BFB" w:rsidRPr="00104227">
        <w:rPr>
          <w:lang w:val="en-US"/>
        </w:rPr>
        <w:t xml:space="preserve">, </w:t>
      </w:r>
      <w:r w:rsidRPr="00104227">
        <w:rPr>
          <w:lang w:val="en-US"/>
        </w:rPr>
        <w:t xml:space="preserve">but with the other state and federal authorities and </w:t>
      </w:r>
      <w:r w:rsidR="006F401F" w:rsidRPr="00104227">
        <w:rPr>
          <w:lang w:val="en-US"/>
        </w:rPr>
        <w:t xml:space="preserve">Staff Officers </w:t>
      </w:r>
      <w:r w:rsidRPr="00104227">
        <w:rPr>
          <w:lang w:val="en-US"/>
        </w:rPr>
        <w:t xml:space="preserve">of the Federal Preventive Police and this ended in the early morning hours </w:t>
      </w:r>
      <w:r w:rsidR="00B851FA" w:rsidRPr="00104227">
        <w:rPr>
          <w:lang w:val="en-US"/>
        </w:rPr>
        <w:t>of May 4,</w:t>
      </w:r>
      <w:r w:rsidR="00493BFB" w:rsidRPr="00104227">
        <w:rPr>
          <w:lang w:val="en-US"/>
        </w:rPr>
        <w:t xml:space="preserve"> 2006</w:t>
      </w:r>
      <w:r w:rsidRPr="00104227">
        <w:rPr>
          <w:lang w:val="en-US"/>
        </w:rPr>
        <w:t>.</w:t>
      </w:r>
      <w:r w:rsidR="00493BFB" w:rsidRPr="00104227">
        <w:rPr>
          <w:rStyle w:val="Refdenotaalpie"/>
          <w:lang w:val="en-US"/>
        </w:rPr>
        <w:footnoteReference w:id="85"/>
      </w:r>
    </w:p>
    <w:p w14:paraId="69B4D418" w14:textId="77777777" w:rsidR="00856FE0" w:rsidRPr="00104227" w:rsidRDefault="00856FE0" w:rsidP="00856FE0">
      <w:pPr>
        <w:pStyle w:val="Numberedparagraphs"/>
        <w:numPr>
          <w:ilvl w:val="0"/>
          <w:numId w:val="0"/>
        </w:numPr>
        <w:tabs>
          <w:tab w:val="left" w:pos="567"/>
        </w:tabs>
        <w:rPr>
          <w:lang w:val="en-US"/>
        </w:rPr>
      </w:pPr>
    </w:p>
    <w:p w14:paraId="017868FE" w14:textId="31A96A5D" w:rsidR="00493BFB" w:rsidRPr="00104227" w:rsidRDefault="00856FE0" w:rsidP="00E4619F">
      <w:pPr>
        <w:pStyle w:val="Numberedparagraphs"/>
        <w:tabs>
          <w:tab w:val="left" w:pos="567"/>
        </w:tabs>
        <w:rPr>
          <w:lang w:val="en-US"/>
        </w:rPr>
      </w:pPr>
      <w:r w:rsidRPr="00104227">
        <w:rPr>
          <w:lang w:val="en-US"/>
        </w:rPr>
        <w:t xml:space="preserve">As previously mentioned, </w:t>
      </w:r>
      <w:r w:rsidR="00B851FA" w:rsidRPr="00104227">
        <w:rPr>
          <w:lang w:val="en-US"/>
        </w:rPr>
        <w:t>on May 3,</w:t>
      </w:r>
      <w:r w:rsidR="00493BFB" w:rsidRPr="00104227">
        <w:rPr>
          <w:lang w:val="en-US"/>
        </w:rPr>
        <w:t xml:space="preserve"> 2006</w:t>
      </w:r>
      <w:r w:rsidR="00DF0305" w:rsidRPr="00104227">
        <w:rPr>
          <w:lang w:val="en-US"/>
        </w:rPr>
        <w:t xml:space="preserve">, the protestors </w:t>
      </w:r>
      <w:r w:rsidR="006F401F" w:rsidRPr="00104227">
        <w:rPr>
          <w:lang w:val="en-US"/>
        </w:rPr>
        <w:t xml:space="preserve">had </w:t>
      </w:r>
      <w:r w:rsidR="00DF0305" w:rsidRPr="00104227">
        <w:rPr>
          <w:lang w:val="en-US"/>
        </w:rPr>
        <w:t>blocked</w:t>
      </w:r>
      <w:r w:rsidR="00493BFB" w:rsidRPr="00104227">
        <w:rPr>
          <w:lang w:val="en-US"/>
        </w:rPr>
        <w:t xml:space="preserve"> </w:t>
      </w:r>
      <w:r w:rsidR="008F27D0" w:rsidRPr="00104227">
        <w:rPr>
          <w:lang w:val="en-US"/>
        </w:rPr>
        <w:t>the Texcoco-Lechería highway</w:t>
      </w:r>
      <w:r w:rsidR="00493BFB" w:rsidRPr="00104227">
        <w:rPr>
          <w:lang w:val="en-US"/>
        </w:rPr>
        <w:t xml:space="preserve"> </w:t>
      </w:r>
      <w:r w:rsidR="00DF0305" w:rsidRPr="00104227">
        <w:rPr>
          <w:lang w:val="en-US"/>
        </w:rPr>
        <w:t xml:space="preserve">in two </w:t>
      </w:r>
      <w:r w:rsidR="006F401F" w:rsidRPr="00104227">
        <w:rPr>
          <w:lang w:val="en-US"/>
        </w:rPr>
        <w:t>places</w:t>
      </w:r>
      <w:r w:rsidR="00DF0305" w:rsidRPr="00104227">
        <w:rPr>
          <w:lang w:val="en-US"/>
        </w:rPr>
        <w:t xml:space="preserve">, one at the entrance to the village of </w:t>
      </w:r>
      <w:r w:rsidR="00493BFB" w:rsidRPr="00104227">
        <w:rPr>
          <w:lang w:val="en-US"/>
        </w:rPr>
        <w:t>Acuexcómac,</w:t>
      </w:r>
      <w:r w:rsidR="00BF5241" w:rsidRPr="00104227">
        <w:rPr>
          <w:lang w:val="en-US"/>
        </w:rPr>
        <w:t xml:space="preserve"> and </w:t>
      </w:r>
      <w:r w:rsidR="00DF0305" w:rsidRPr="00104227">
        <w:rPr>
          <w:lang w:val="en-US"/>
        </w:rPr>
        <w:t xml:space="preserve">the other at </w:t>
      </w:r>
      <w:r w:rsidR="00493BFB" w:rsidRPr="00104227">
        <w:rPr>
          <w:lang w:val="en-US"/>
        </w:rPr>
        <w:t>San Salvador Atenco</w:t>
      </w:r>
      <w:r w:rsidR="00DF0305" w:rsidRPr="00104227">
        <w:rPr>
          <w:lang w:val="en-US"/>
        </w:rPr>
        <w:t>.</w:t>
      </w:r>
      <w:r w:rsidR="00493BFB" w:rsidRPr="00104227">
        <w:rPr>
          <w:rStyle w:val="Refdenotaalpie"/>
          <w:lang w:val="en-US"/>
        </w:rPr>
        <w:footnoteReference w:id="86"/>
      </w:r>
      <w:r w:rsidR="00493BFB" w:rsidRPr="00104227">
        <w:rPr>
          <w:lang w:val="en-US"/>
        </w:rPr>
        <w:t xml:space="preserve"> </w:t>
      </w:r>
      <w:r w:rsidR="00DF0305" w:rsidRPr="00104227">
        <w:rPr>
          <w:lang w:val="en-US"/>
        </w:rPr>
        <w:t>At approximately</w:t>
      </w:r>
      <w:r w:rsidR="00493BFB" w:rsidRPr="00104227">
        <w:rPr>
          <w:lang w:val="en-US"/>
        </w:rPr>
        <w:t xml:space="preserve"> 6</w:t>
      </w:r>
      <w:r w:rsidR="00DF0305" w:rsidRPr="00104227">
        <w:rPr>
          <w:lang w:val="en-US"/>
        </w:rPr>
        <w:t>.</w:t>
      </w:r>
      <w:r w:rsidR="00493BFB" w:rsidRPr="00104227">
        <w:rPr>
          <w:lang w:val="en-US"/>
        </w:rPr>
        <w:t>30</w:t>
      </w:r>
      <w:r w:rsidR="00DF0305" w:rsidRPr="00104227">
        <w:rPr>
          <w:lang w:val="en-US"/>
        </w:rPr>
        <w:t xml:space="preserve"> a.m.</w:t>
      </w:r>
      <w:r w:rsidR="00493BFB" w:rsidRPr="00104227">
        <w:rPr>
          <w:lang w:val="en-US"/>
        </w:rPr>
        <w:t xml:space="preserve"> </w:t>
      </w:r>
      <w:r w:rsidR="00B851FA" w:rsidRPr="00104227">
        <w:rPr>
          <w:lang w:val="en-US"/>
        </w:rPr>
        <w:t>o</w:t>
      </w:r>
      <w:r w:rsidR="00DF0305" w:rsidRPr="00104227">
        <w:rPr>
          <w:lang w:val="en-US"/>
        </w:rPr>
        <w:t>n</w:t>
      </w:r>
      <w:r w:rsidR="00B851FA" w:rsidRPr="00104227">
        <w:rPr>
          <w:lang w:val="en-US"/>
        </w:rPr>
        <w:t xml:space="preserve"> May 4,</w:t>
      </w:r>
      <w:r w:rsidR="00493BFB" w:rsidRPr="00104227">
        <w:rPr>
          <w:lang w:val="en-US"/>
        </w:rPr>
        <w:t xml:space="preserve"> 2006, </w:t>
      </w:r>
      <w:r w:rsidR="00DF0305" w:rsidRPr="00104227">
        <w:rPr>
          <w:lang w:val="en-US"/>
        </w:rPr>
        <w:t>members of the state and feder</w:t>
      </w:r>
      <w:r w:rsidR="006F401F" w:rsidRPr="00104227">
        <w:rPr>
          <w:lang w:val="en-US"/>
        </w:rPr>
        <w:t>a</w:t>
      </w:r>
      <w:r w:rsidR="00DF0305" w:rsidRPr="00104227">
        <w:rPr>
          <w:lang w:val="en-US"/>
        </w:rPr>
        <w:t xml:space="preserve">l </w:t>
      </w:r>
      <w:r w:rsidR="00DF0305" w:rsidRPr="00104227">
        <w:rPr>
          <w:lang w:val="en-US"/>
        </w:rPr>
        <w:lastRenderedPageBreak/>
        <w:t xml:space="preserve">police advanced along the public highway and liberated the blockade at the entrance to </w:t>
      </w:r>
      <w:r w:rsidR="00493BFB" w:rsidRPr="00104227">
        <w:rPr>
          <w:lang w:val="en-US"/>
        </w:rPr>
        <w:t xml:space="preserve">Acuexcómac </w:t>
      </w:r>
      <w:r w:rsidR="00DF0305" w:rsidRPr="00104227">
        <w:rPr>
          <w:lang w:val="en-US"/>
        </w:rPr>
        <w:t>without the protestors opposing resistance.</w:t>
      </w:r>
      <w:r w:rsidR="00493BFB" w:rsidRPr="00104227">
        <w:rPr>
          <w:rStyle w:val="Refdenotaalpie"/>
          <w:lang w:val="en-US"/>
        </w:rPr>
        <w:footnoteReference w:id="87"/>
      </w:r>
      <w:r w:rsidR="00493BFB" w:rsidRPr="00104227">
        <w:rPr>
          <w:lang w:val="en-US"/>
        </w:rPr>
        <w:t xml:space="preserve"> </w:t>
      </w:r>
      <w:r w:rsidR="00DF0305" w:rsidRPr="00104227">
        <w:rPr>
          <w:lang w:val="en-US"/>
        </w:rPr>
        <w:t>In the case of the blockade at</w:t>
      </w:r>
      <w:r w:rsidR="00493BFB" w:rsidRPr="00104227">
        <w:rPr>
          <w:lang w:val="en-US"/>
        </w:rPr>
        <w:t xml:space="preserve"> San Salvador Atenco, </w:t>
      </w:r>
      <w:r w:rsidR="00DF0305" w:rsidRPr="00104227">
        <w:rPr>
          <w:lang w:val="en-US"/>
        </w:rPr>
        <w:t xml:space="preserve">there was a confrontation between the protestors and the police that ended with the retreat of the protestors and the unblocking </w:t>
      </w:r>
      <w:r w:rsidR="008F27D0" w:rsidRPr="00104227">
        <w:rPr>
          <w:lang w:val="en-US"/>
        </w:rPr>
        <w:t>of the Texcoco-Lechería highway</w:t>
      </w:r>
      <w:r w:rsidR="00D574BD" w:rsidRPr="00104227">
        <w:rPr>
          <w:lang w:val="en-US"/>
        </w:rPr>
        <w:t xml:space="preserve"> </w:t>
      </w:r>
      <w:r w:rsidR="00DF0305" w:rsidRPr="00104227">
        <w:rPr>
          <w:lang w:val="en-US"/>
        </w:rPr>
        <w:t>at around</w:t>
      </w:r>
      <w:r w:rsidR="00D574BD" w:rsidRPr="00104227">
        <w:rPr>
          <w:lang w:val="en-US"/>
        </w:rPr>
        <w:t xml:space="preserve"> 7</w:t>
      </w:r>
      <w:r w:rsidR="00DF0305" w:rsidRPr="00104227">
        <w:rPr>
          <w:lang w:val="en-US"/>
        </w:rPr>
        <w:t>.</w:t>
      </w:r>
      <w:r w:rsidR="00D574BD" w:rsidRPr="00104227">
        <w:rPr>
          <w:lang w:val="en-US"/>
        </w:rPr>
        <w:t xml:space="preserve">10 </w:t>
      </w:r>
      <w:r w:rsidR="00DF0305" w:rsidRPr="00104227">
        <w:rPr>
          <w:lang w:val="en-US"/>
        </w:rPr>
        <w:t>a.m.</w:t>
      </w:r>
      <w:r w:rsidR="00493BFB" w:rsidRPr="00104227">
        <w:rPr>
          <w:rStyle w:val="Refdenotaalpie"/>
          <w:lang w:val="en-US"/>
        </w:rPr>
        <w:footnoteReference w:id="88"/>
      </w:r>
      <w:r w:rsidR="00493BFB" w:rsidRPr="00104227">
        <w:rPr>
          <w:lang w:val="en-US"/>
        </w:rPr>
        <w:t xml:space="preserve"> </w:t>
      </w:r>
      <w:r w:rsidR="00DF0305" w:rsidRPr="00104227">
        <w:rPr>
          <w:lang w:val="en-US"/>
        </w:rPr>
        <w:t>The police agents who had been retained were liberated or escaped during the day.</w:t>
      </w:r>
      <w:bookmarkStart w:id="151" w:name="_Ref532970355"/>
      <w:r w:rsidR="00BF4DA5" w:rsidRPr="00104227">
        <w:rPr>
          <w:rStyle w:val="Refdenotaalpie"/>
          <w:lang w:val="en-US"/>
        </w:rPr>
        <w:footnoteReference w:id="89"/>
      </w:r>
      <w:bookmarkEnd w:id="151"/>
    </w:p>
    <w:p w14:paraId="03607F17" w14:textId="77777777" w:rsidR="00493BFB" w:rsidRPr="00104227" w:rsidRDefault="00493BFB" w:rsidP="00E4619F">
      <w:pPr>
        <w:tabs>
          <w:tab w:val="left" w:pos="567"/>
        </w:tabs>
      </w:pPr>
    </w:p>
    <w:p w14:paraId="30A0FFB1" w14:textId="0068190D" w:rsidR="00E915A7" w:rsidRPr="00104227" w:rsidRDefault="00DF0305" w:rsidP="00E4619F">
      <w:pPr>
        <w:pStyle w:val="Numberedparagraphs"/>
        <w:tabs>
          <w:tab w:val="left" w:pos="567"/>
        </w:tabs>
        <w:rPr>
          <w:lang w:val="en-US"/>
        </w:rPr>
      </w:pPr>
      <w:bookmarkStart w:id="152" w:name="_Ref528938885"/>
      <w:r w:rsidRPr="00104227">
        <w:rPr>
          <w:lang w:val="en-US"/>
        </w:rPr>
        <w:t xml:space="preserve">Police were deployed in the main square of </w:t>
      </w:r>
      <w:r w:rsidR="00493BFB" w:rsidRPr="00104227">
        <w:rPr>
          <w:lang w:val="en-US"/>
        </w:rPr>
        <w:t xml:space="preserve">San Salvador Atenco, </w:t>
      </w:r>
      <w:r w:rsidRPr="00104227">
        <w:rPr>
          <w:lang w:val="en-US"/>
        </w:rPr>
        <w:t xml:space="preserve">where they </w:t>
      </w:r>
      <w:r w:rsidR="006F401F" w:rsidRPr="00104227">
        <w:rPr>
          <w:lang w:val="en-US"/>
        </w:rPr>
        <w:t>arrested</w:t>
      </w:r>
      <w:r w:rsidRPr="00104227">
        <w:rPr>
          <w:lang w:val="en-US"/>
        </w:rPr>
        <w:t xml:space="preserve"> some individuals and took control of the installations of the municipal auditorium and </w:t>
      </w:r>
      <w:r w:rsidRPr="00104227">
        <w:rPr>
          <w:i/>
          <w:iCs/>
          <w:lang w:val="en-US"/>
        </w:rPr>
        <w:t>ejidal</w:t>
      </w:r>
      <w:r w:rsidRPr="00104227">
        <w:rPr>
          <w:lang w:val="en-US"/>
        </w:rPr>
        <w:t xml:space="preserve"> offices.</w:t>
      </w:r>
      <w:r w:rsidR="00493BFB" w:rsidRPr="00104227">
        <w:rPr>
          <w:rStyle w:val="Refdenotaalpie"/>
          <w:lang w:val="en-US"/>
        </w:rPr>
        <w:footnoteReference w:id="90"/>
      </w:r>
      <w:r w:rsidR="00493BFB" w:rsidRPr="00104227">
        <w:rPr>
          <w:lang w:val="en-US"/>
        </w:rPr>
        <w:t xml:space="preserve"> </w:t>
      </w:r>
      <w:r w:rsidRPr="00104227">
        <w:rPr>
          <w:lang w:val="en-US"/>
        </w:rPr>
        <w:t xml:space="preserve">Also, after taking control of the main square of </w:t>
      </w:r>
      <w:r w:rsidR="00BF4DA5" w:rsidRPr="00104227">
        <w:rPr>
          <w:lang w:val="en-US"/>
        </w:rPr>
        <w:t xml:space="preserve">San Salvador Atenco, </w:t>
      </w:r>
      <w:r w:rsidRPr="00104227">
        <w:rPr>
          <w:lang w:val="en-US"/>
        </w:rPr>
        <w:t>members of the Federal Preventive Police</w:t>
      </w:r>
      <w:r w:rsidR="00BF5241" w:rsidRPr="00104227">
        <w:rPr>
          <w:lang w:val="en-US"/>
        </w:rPr>
        <w:t xml:space="preserve"> and</w:t>
      </w:r>
      <w:r w:rsidRPr="00104227">
        <w:rPr>
          <w:lang w:val="en-US"/>
        </w:rPr>
        <w:t xml:space="preserve"> of the state Security Agency</w:t>
      </w:r>
      <w:r w:rsidR="00BF4DA5" w:rsidRPr="00104227">
        <w:rPr>
          <w:lang w:val="en-US"/>
        </w:rPr>
        <w:t xml:space="preserve"> </w:t>
      </w:r>
      <w:r w:rsidRPr="00104227">
        <w:rPr>
          <w:lang w:val="en-US"/>
        </w:rPr>
        <w:t xml:space="preserve">deployed </w:t>
      </w:r>
      <w:r w:rsidR="006F401F" w:rsidRPr="00104227">
        <w:rPr>
          <w:lang w:val="en-US"/>
        </w:rPr>
        <w:t>o</w:t>
      </w:r>
      <w:r w:rsidRPr="00104227">
        <w:rPr>
          <w:lang w:val="en-US"/>
        </w:rPr>
        <w:t xml:space="preserve">n various streets of the town where they </w:t>
      </w:r>
      <w:r w:rsidR="006F401F" w:rsidRPr="00104227">
        <w:rPr>
          <w:lang w:val="en-US"/>
        </w:rPr>
        <w:t>arrested</w:t>
      </w:r>
      <w:r w:rsidRPr="00104227">
        <w:rPr>
          <w:lang w:val="en-US"/>
        </w:rPr>
        <w:t xml:space="preserve"> several people. Also, during </w:t>
      </w:r>
      <w:r w:rsidR="008C6D02" w:rsidRPr="00104227">
        <w:rPr>
          <w:lang w:val="en-US"/>
        </w:rPr>
        <w:t>the operation</w:t>
      </w:r>
      <w:r w:rsidR="006F401F" w:rsidRPr="00104227">
        <w:rPr>
          <w:lang w:val="en-US"/>
        </w:rPr>
        <w:t xml:space="preserve">, </w:t>
      </w:r>
      <w:r w:rsidRPr="00104227">
        <w:rPr>
          <w:lang w:val="en-US"/>
        </w:rPr>
        <w:t>members of both the state Security Agency</w:t>
      </w:r>
      <w:r w:rsidR="00493BFB" w:rsidRPr="00104227">
        <w:rPr>
          <w:lang w:val="en-US"/>
        </w:rPr>
        <w:t xml:space="preserve"> </w:t>
      </w:r>
      <w:r w:rsidRPr="00104227">
        <w:rPr>
          <w:lang w:val="en-US"/>
        </w:rPr>
        <w:t>and the Federal Preventive Police</w:t>
      </w:r>
      <w:r w:rsidR="00493BFB" w:rsidRPr="00104227">
        <w:rPr>
          <w:lang w:val="en-US"/>
        </w:rPr>
        <w:t xml:space="preserve"> </w:t>
      </w:r>
      <w:r w:rsidR="006C5975" w:rsidRPr="00104227">
        <w:rPr>
          <w:lang w:val="en-US"/>
        </w:rPr>
        <w:t>ent</w:t>
      </w:r>
      <w:r w:rsidRPr="00104227">
        <w:rPr>
          <w:lang w:val="en-US"/>
        </w:rPr>
        <w:t xml:space="preserve">ered private homes, without a court order, </w:t>
      </w:r>
      <w:r w:rsidR="006F401F" w:rsidRPr="00104227">
        <w:rPr>
          <w:lang w:val="en-US"/>
        </w:rPr>
        <w:t>with</w:t>
      </w:r>
      <w:r w:rsidR="002461C8" w:rsidRPr="00104227">
        <w:rPr>
          <w:lang w:val="en-US"/>
        </w:rPr>
        <w:t xml:space="preserve"> the justification that they were pursuing individuals </w:t>
      </w:r>
      <w:r w:rsidR="002461C8" w:rsidRPr="00104227">
        <w:rPr>
          <w:i/>
          <w:iCs/>
          <w:lang w:val="en-US"/>
        </w:rPr>
        <w:t>in flagrante delicto</w:t>
      </w:r>
      <w:r w:rsidR="002461C8" w:rsidRPr="00104227">
        <w:rPr>
          <w:lang w:val="en-US"/>
        </w:rPr>
        <w:t>.</w:t>
      </w:r>
      <w:r w:rsidRPr="00104227">
        <w:rPr>
          <w:lang w:val="en-US"/>
        </w:rPr>
        <w:t xml:space="preserve"> </w:t>
      </w:r>
      <w:r w:rsidR="006F401F" w:rsidRPr="00104227">
        <w:rPr>
          <w:lang w:val="en-US"/>
        </w:rPr>
        <w:t>In this regard</w:t>
      </w:r>
      <w:r w:rsidR="00493BFB" w:rsidRPr="00104227">
        <w:rPr>
          <w:lang w:val="en-US"/>
        </w:rPr>
        <w:t xml:space="preserve">, 72 </w:t>
      </w:r>
      <w:r w:rsidR="002461C8" w:rsidRPr="00104227">
        <w:rPr>
          <w:lang w:val="en-US"/>
        </w:rPr>
        <w:t>of the</w:t>
      </w:r>
      <w:r w:rsidR="00493BFB" w:rsidRPr="00104227">
        <w:rPr>
          <w:lang w:val="en-US"/>
        </w:rPr>
        <w:t xml:space="preserve"> 106 </w:t>
      </w:r>
      <w:r w:rsidR="002461C8" w:rsidRPr="00104227">
        <w:rPr>
          <w:lang w:val="en-US"/>
        </w:rPr>
        <w:t>individuals detained on</w:t>
      </w:r>
      <w:r w:rsidR="00B851FA" w:rsidRPr="00104227">
        <w:rPr>
          <w:lang w:val="en-US"/>
        </w:rPr>
        <w:t xml:space="preserve"> May 4,</w:t>
      </w:r>
      <w:r w:rsidR="00E915A7" w:rsidRPr="00104227">
        <w:rPr>
          <w:lang w:val="en-US"/>
        </w:rPr>
        <w:t xml:space="preserve"> 2006</w:t>
      </w:r>
      <w:r w:rsidR="006F401F" w:rsidRPr="00104227">
        <w:rPr>
          <w:lang w:val="en-US"/>
        </w:rPr>
        <w:t>,</w:t>
      </w:r>
      <w:r w:rsidR="002461C8" w:rsidRPr="00104227">
        <w:rPr>
          <w:lang w:val="en-US"/>
        </w:rPr>
        <w:t xml:space="preserve"> stated that they had been arrested </w:t>
      </w:r>
      <w:r w:rsidR="006F401F" w:rsidRPr="00104227">
        <w:rPr>
          <w:lang w:val="en-US"/>
        </w:rPr>
        <w:t>inside</w:t>
      </w:r>
      <w:r w:rsidR="002461C8" w:rsidRPr="00104227">
        <w:rPr>
          <w:lang w:val="en-US"/>
        </w:rPr>
        <w:t xml:space="preserve"> private homes.</w:t>
      </w:r>
      <w:r w:rsidR="00493BFB" w:rsidRPr="00104227">
        <w:rPr>
          <w:rStyle w:val="Refdenotaalpie"/>
          <w:lang w:val="en-US"/>
        </w:rPr>
        <w:footnoteReference w:id="91"/>
      </w:r>
      <w:r w:rsidR="00493BFB" w:rsidRPr="00104227">
        <w:rPr>
          <w:lang w:val="en-US"/>
        </w:rPr>
        <w:t xml:space="preserve"> </w:t>
      </w:r>
      <w:r w:rsidR="002461C8" w:rsidRPr="00104227">
        <w:rPr>
          <w:lang w:val="en-US"/>
        </w:rPr>
        <w:t>According to the</w:t>
      </w:r>
      <w:r w:rsidR="00BF5241" w:rsidRPr="00104227">
        <w:rPr>
          <w:lang w:val="en-US"/>
        </w:rPr>
        <w:t xml:space="preserve"> </w:t>
      </w:r>
      <w:r w:rsidR="00F12946" w:rsidRPr="00104227">
        <w:rPr>
          <w:lang w:val="en-US"/>
        </w:rPr>
        <w:t>National Human Rights Commission</w:t>
      </w:r>
      <w:r w:rsidR="002461C8" w:rsidRPr="00104227">
        <w:rPr>
          <w:lang w:val="en-US"/>
        </w:rPr>
        <w:t>,</w:t>
      </w:r>
      <w:r w:rsidR="00E915A7" w:rsidRPr="00104227">
        <w:rPr>
          <w:lang w:val="en-US"/>
        </w:rPr>
        <w:t xml:space="preserve"> “</w:t>
      </w:r>
      <w:r w:rsidR="006F401F" w:rsidRPr="00104227">
        <w:rPr>
          <w:lang w:val="en-US"/>
        </w:rPr>
        <w:t>several</w:t>
      </w:r>
      <w:r w:rsidR="002461C8" w:rsidRPr="00104227">
        <w:rPr>
          <w:lang w:val="en-US"/>
        </w:rPr>
        <w:t xml:space="preserve"> arrests were made</w:t>
      </w:r>
      <w:r w:rsidR="004F6203" w:rsidRPr="00104227">
        <w:rPr>
          <w:lang w:val="en-US"/>
        </w:rPr>
        <w:t xml:space="preserve"> when the protestors were forced </w:t>
      </w:r>
      <w:r w:rsidR="002461C8" w:rsidRPr="00104227">
        <w:rPr>
          <w:lang w:val="en-US"/>
        </w:rPr>
        <w:t>to retreat with</w:t>
      </w:r>
      <w:r w:rsidR="004F6203" w:rsidRPr="00104227">
        <w:rPr>
          <w:lang w:val="en-US"/>
        </w:rPr>
        <w:t xml:space="preserve"> tear</w:t>
      </w:r>
      <w:r w:rsidR="002461C8" w:rsidRPr="00104227">
        <w:rPr>
          <w:lang w:val="en-US"/>
        </w:rPr>
        <w:t xml:space="preserve"> gas; this possibly caused confusion and allowed the members </w:t>
      </w:r>
      <w:r w:rsidRPr="00104227">
        <w:rPr>
          <w:lang w:val="en-US"/>
        </w:rPr>
        <w:t>of the state Security Agency</w:t>
      </w:r>
      <w:r w:rsidR="00BF5241" w:rsidRPr="00104227">
        <w:rPr>
          <w:lang w:val="en-US"/>
        </w:rPr>
        <w:t xml:space="preserve"> and</w:t>
      </w:r>
      <w:r w:rsidRPr="00104227">
        <w:rPr>
          <w:lang w:val="en-US"/>
        </w:rPr>
        <w:t xml:space="preserve"> the Federal Preventive Police</w:t>
      </w:r>
      <w:r w:rsidR="002461C8" w:rsidRPr="00104227">
        <w:rPr>
          <w:lang w:val="en-US"/>
        </w:rPr>
        <w:t xml:space="preserve"> to detain several people who had not taken part in the events or committed the violent acts </w:t>
      </w:r>
      <w:r w:rsidR="004F6203" w:rsidRPr="00104227">
        <w:rPr>
          <w:lang w:val="en-US"/>
        </w:rPr>
        <w:t xml:space="preserve">of which </w:t>
      </w:r>
      <w:r w:rsidR="002461C8" w:rsidRPr="00104227">
        <w:rPr>
          <w:lang w:val="en-US"/>
        </w:rPr>
        <w:t>they were accused.</w:t>
      </w:r>
      <w:r w:rsidR="00E915A7" w:rsidRPr="00104227">
        <w:rPr>
          <w:lang w:val="en-US"/>
        </w:rPr>
        <w:t>”</w:t>
      </w:r>
      <w:r w:rsidR="00E915A7" w:rsidRPr="00104227">
        <w:rPr>
          <w:rStyle w:val="Refdenotaalpie"/>
          <w:lang w:val="en-US"/>
        </w:rPr>
        <w:footnoteReference w:id="92"/>
      </w:r>
      <w:r w:rsidR="00E915A7" w:rsidRPr="00104227">
        <w:rPr>
          <w:lang w:val="en-US"/>
        </w:rPr>
        <w:t xml:space="preserve"> </w:t>
      </w:r>
      <w:r w:rsidR="002461C8" w:rsidRPr="00104227">
        <w:rPr>
          <w:lang w:val="en-US"/>
        </w:rPr>
        <w:t>Those detained</w:t>
      </w:r>
      <w:r w:rsidR="00DC6877" w:rsidRPr="00104227">
        <w:rPr>
          <w:lang w:val="en-US"/>
        </w:rPr>
        <w:t xml:space="preserve"> </w:t>
      </w:r>
      <w:r w:rsidR="00B851FA" w:rsidRPr="00104227">
        <w:rPr>
          <w:lang w:val="en-US"/>
        </w:rPr>
        <w:t>on May 4,</w:t>
      </w:r>
      <w:r w:rsidR="00DC6877" w:rsidRPr="00104227">
        <w:rPr>
          <w:lang w:val="en-US"/>
        </w:rPr>
        <w:t xml:space="preserve"> 2006</w:t>
      </w:r>
      <w:r w:rsidR="002461C8" w:rsidRPr="00104227">
        <w:rPr>
          <w:lang w:val="en-US"/>
        </w:rPr>
        <w:t>, were taken, first, on foot and, then, in pick-ups (some of them private vehicles and others police vehicles) to the buses in which they were transferred to the</w:t>
      </w:r>
      <w:r w:rsidR="00DC6877" w:rsidRPr="00104227">
        <w:rPr>
          <w:lang w:val="en-US"/>
        </w:rPr>
        <w:t xml:space="preserve"> CEPRESO</w:t>
      </w:r>
      <w:r w:rsidR="002461C8" w:rsidRPr="00104227">
        <w:rPr>
          <w:lang w:val="en-US"/>
        </w:rPr>
        <w:t>.</w:t>
      </w:r>
      <w:r w:rsidR="00DC6877" w:rsidRPr="00104227">
        <w:rPr>
          <w:rStyle w:val="Refdenotaalpie"/>
          <w:lang w:val="en-US"/>
        </w:rPr>
        <w:footnoteReference w:id="93"/>
      </w:r>
      <w:bookmarkEnd w:id="152"/>
    </w:p>
    <w:p w14:paraId="0E27C217" w14:textId="77777777" w:rsidR="00493BFB" w:rsidRPr="00104227" w:rsidRDefault="00493BFB" w:rsidP="00E4619F">
      <w:pPr>
        <w:tabs>
          <w:tab w:val="left" w:pos="567"/>
        </w:tabs>
      </w:pPr>
      <w:r w:rsidRPr="00104227">
        <w:t xml:space="preserve"> </w:t>
      </w:r>
    </w:p>
    <w:p w14:paraId="264DB231" w14:textId="688C2C73" w:rsidR="00493BFB" w:rsidRPr="00104227" w:rsidRDefault="00E611C6" w:rsidP="00E4619F">
      <w:pPr>
        <w:pStyle w:val="Ttulo3"/>
        <w:tabs>
          <w:tab w:val="left" w:pos="567"/>
        </w:tabs>
        <w:rPr>
          <w:lang w:val="en-US"/>
        </w:rPr>
      </w:pPr>
      <w:bookmarkStart w:id="153" w:name="_Toc433650867"/>
      <w:bookmarkStart w:id="154" w:name="_Toc433650969"/>
      <w:bookmarkStart w:id="155" w:name="_Toc438128478"/>
      <w:bookmarkStart w:id="156" w:name="_Toc527464900"/>
      <w:bookmarkStart w:id="157" w:name="_Toc31290571"/>
      <w:r w:rsidRPr="00104227">
        <w:rPr>
          <w:lang w:val="en-US"/>
        </w:rPr>
        <w:t>A.5</w:t>
      </w:r>
      <w:r w:rsidR="00493BFB" w:rsidRPr="00104227">
        <w:rPr>
          <w:lang w:val="en-US"/>
        </w:rPr>
        <w:t xml:space="preserve"> </w:t>
      </w:r>
      <w:r w:rsidR="008C6D02" w:rsidRPr="00104227">
        <w:rPr>
          <w:lang w:val="en-US"/>
        </w:rPr>
        <w:t>Reports of police abuse during the operation</w:t>
      </w:r>
      <w:r w:rsidR="002461C8" w:rsidRPr="00104227">
        <w:rPr>
          <w:lang w:val="en-US"/>
        </w:rPr>
        <w:t>s</w:t>
      </w:r>
      <w:r w:rsidR="008C6D02" w:rsidRPr="00104227">
        <w:rPr>
          <w:lang w:val="en-US"/>
        </w:rPr>
        <w:t xml:space="preserve"> on</w:t>
      </w:r>
      <w:r w:rsidR="00493BFB" w:rsidRPr="00104227">
        <w:rPr>
          <w:lang w:val="en-US"/>
        </w:rPr>
        <w:t xml:space="preserve"> </w:t>
      </w:r>
      <w:r w:rsidR="00DF5F3C" w:rsidRPr="00104227">
        <w:rPr>
          <w:lang w:val="en-US"/>
        </w:rPr>
        <w:t>May 3 and 4,</w:t>
      </w:r>
      <w:r w:rsidR="00493BFB" w:rsidRPr="00104227">
        <w:rPr>
          <w:lang w:val="en-US"/>
        </w:rPr>
        <w:t xml:space="preserve"> </w:t>
      </w:r>
      <w:r w:rsidR="008C6D02" w:rsidRPr="00104227">
        <w:rPr>
          <w:lang w:val="en-US"/>
        </w:rPr>
        <w:t>2006, in</w:t>
      </w:r>
      <w:r w:rsidR="00493BFB" w:rsidRPr="00104227">
        <w:rPr>
          <w:lang w:val="en-US"/>
        </w:rPr>
        <w:t xml:space="preserve"> </w:t>
      </w:r>
      <w:r w:rsidR="000206AE" w:rsidRPr="00104227">
        <w:rPr>
          <w:lang w:val="en-US"/>
        </w:rPr>
        <w:t>Texcoco</w:t>
      </w:r>
      <w:r w:rsidR="00BF5241" w:rsidRPr="00104227">
        <w:rPr>
          <w:lang w:val="en-US"/>
        </w:rPr>
        <w:t xml:space="preserve"> and </w:t>
      </w:r>
      <w:r w:rsidR="000206AE" w:rsidRPr="00104227">
        <w:rPr>
          <w:lang w:val="en-US"/>
        </w:rPr>
        <w:t xml:space="preserve">San Salvador Atenco, </w:t>
      </w:r>
      <w:r w:rsidR="008C6D02" w:rsidRPr="00104227">
        <w:rPr>
          <w:lang w:val="en-US"/>
        </w:rPr>
        <w:t>state of Mexico</w:t>
      </w:r>
      <w:bookmarkEnd w:id="153"/>
      <w:bookmarkEnd w:id="154"/>
      <w:bookmarkEnd w:id="155"/>
      <w:bookmarkEnd w:id="156"/>
      <w:bookmarkEnd w:id="157"/>
    </w:p>
    <w:p w14:paraId="1B278471" w14:textId="77777777" w:rsidR="00493BFB" w:rsidRPr="00104227" w:rsidRDefault="00493BFB" w:rsidP="00E4619F">
      <w:pPr>
        <w:tabs>
          <w:tab w:val="left" w:pos="567"/>
        </w:tabs>
      </w:pPr>
    </w:p>
    <w:p w14:paraId="1563B9AA" w14:textId="222AF29E" w:rsidR="00EA7AEB" w:rsidRPr="00104227" w:rsidRDefault="002461C8" w:rsidP="00E4619F">
      <w:pPr>
        <w:pStyle w:val="Numberedparagraphs"/>
        <w:tabs>
          <w:tab w:val="left" w:pos="567"/>
        </w:tabs>
        <w:rPr>
          <w:lang w:val="en-US"/>
        </w:rPr>
      </w:pPr>
      <w:r w:rsidRPr="00104227">
        <w:rPr>
          <w:lang w:val="en-US"/>
        </w:rPr>
        <w:t xml:space="preserve">Most of the people detained during the operations on </w:t>
      </w:r>
      <w:r w:rsidR="00DF5F3C" w:rsidRPr="00104227">
        <w:rPr>
          <w:lang w:val="en-US"/>
        </w:rPr>
        <w:t>May 3 and 4,</w:t>
      </w:r>
      <w:r w:rsidR="002C6369" w:rsidRPr="00104227">
        <w:rPr>
          <w:lang w:val="en-US"/>
        </w:rPr>
        <w:t xml:space="preserve"> 2006, </w:t>
      </w:r>
      <w:r w:rsidRPr="00104227">
        <w:rPr>
          <w:lang w:val="en-US"/>
        </w:rPr>
        <w:t xml:space="preserve">reported police abuse including </w:t>
      </w:r>
      <w:r w:rsidR="000A14CF" w:rsidRPr="00104227">
        <w:rPr>
          <w:lang w:val="en-US"/>
        </w:rPr>
        <w:t>physical</w:t>
      </w:r>
      <w:r w:rsidRPr="00104227">
        <w:rPr>
          <w:lang w:val="en-US"/>
        </w:rPr>
        <w:t xml:space="preserve"> assault, death threats, kicks, </w:t>
      </w:r>
      <w:r w:rsidR="000777FE" w:rsidRPr="00104227">
        <w:rPr>
          <w:lang w:val="en-US"/>
        </w:rPr>
        <w:t>blows with clubs, and insults, and</w:t>
      </w:r>
      <w:r w:rsidRPr="00104227">
        <w:rPr>
          <w:lang w:val="en-US"/>
        </w:rPr>
        <w:t xml:space="preserve"> </w:t>
      </w:r>
      <w:r w:rsidR="000777FE" w:rsidRPr="00104227">
        <w:rPr>
          <w:lang w:val="en-US"/>
        </w:rPr>
        <w:t>having their possessions taken, either during the confrontations, or on being arrested, or in the offices</w:t>
      </w:r>
      <w:r w:rsidR="00DF0305" w:rsidRPr="00104227">
        <w:rPr>
          <w:lang w:val="en-US"/>
        </w:rPr>
        <w:t xml:space="preserve"> of the Federal Preventive Police</w:t>
      </w:r>
      <w:r w:rsidR="00EA7AEB" w:rsidRPr="00104227">
        <w:rPr>
          <w:lang w:val="en-US"/>
        </w:rPr>
        <w:t xml:space="preserve"> o</w:t>
      </w:r>
      <w:r w:rsidR="000777FE" w:rsidRPr="00104227">
        <w:rPr>
          <w:lang w:val="en-US"/>
        </w:rPr>
        <w:t xml:space="preserve">r during their transfer </w:t>
      </w:r>
      <w:r w:rsidR="004F6203" w:rsidRPr="00104227">
        <w:rPr>
          <w:lang w:val="en-US"/>
        </w:rPr>
        <w:t xml:space="preserve">to, </w:t>
      </w:r>
      <w:r w:rsidR="000777FE" w:rsidRPr="00104227">
        <w:rPr>
          <w:lang w:val="en-US"/>
        </w:rPr>
        <w:t>or entry into</w:t>
      </w:r>
      <w:r w:rsidR="004F6203" w:rsidRPr="00104227">
        <w:rPr>
          <w:lang w:val="en-US"/>
        </w:rPr>
        <w:t>,</w:t>
      </w:r>
      <w:r w:rsidR="000777FE" w:rsidRPr="00104227">
        <w:rPr>
          <w:lang w:val="en-US"/>
        </w:rPr>
        <w:t xml:space="preserve"> the Office of the Texcoco Assistant Attorney General</w:t>
      </w:r>
      <w:r w:rsidR="00EA7AEB" w:rsidRPr="00104227">
        <w:rPr>
          <w:lang w:val="en-US"/>
        </w:rPr>
        <w:t xml:space="preserve"> </w:t>
      </w:r>
      <w:r w:rsidR="000777FE" w:rsidRPr="00104227">
        <w:rPr>
          <w:lang w:val="en-US"/>
        </w:rPr>
        <w:t>and/or the</w:t>
      </w:r>
      <w:r w:rsidR="00493BFB" w:rsidRPr="00104227">
        <w:rPr>
          <w:lang w:val="en-US"/>
        </w:rPr>
        <w:t xml:space="preserve"> </w:t>
      </w:r>
      <w:r w:rsidR="00EA7AEB" w:rsidRPr="00104227">
        <w:rPr>
          <w:lang w:val="en-US"/>
        </w:rPr>
        <w:t>CEPRESO</w:t>
      </w:r>
      <w:r w:rsidR="000777FE" w:rsidRPr="00104227">
        <w:rPr>
          <w:lang w:val="en-US"/>
        </w:rPr>
        <w:t>.</w:t>
      </w:r>
      <w:r w:rsidR="00EA7AEB" w:rsidRPr="00104227">
        <w:rPr>
          <w:rStyle w:val="Refdenotaalpie"/>
          <w:lang w:val="en-US"/>
        </w:rPr>
        <w:footnoteReference w:id="94"/>
      </w:r>
      <w:r w:rsidR="000777FE" w:rsidRPr="00104227">
        <w:rPr>
          <w:lang w:val="en-US"/>
        </w:rPr>
        <w:t xml:space="preserve"> Some individuals were referred to a hospital </w:t>
      </w:r>
      <w:r w:rsidR="000777FE" w:rsidRPr="00104227">
        <w:rPr>
          <w:lang w:val="en-US"/>
        </w:rPr>
        <w:lastRenderedPageBreak/>
        <w:t>owing to the severity of their injuries,</w:t>
      </w:r>
      <w:r w:rsidR="00493BFB" w:rsidRPr="00104227">
        <w:rPr>
          <w:rStyle w:val="Refdenotaalpie"/>
          <w:lang w:val="en-US"/>
        </w:rPr>
        <w:footnoteReference w:id="95"/>
      </w:r>
      <w:r w:rsidR="00BF5241" w:rsidRPr="00104227">
        <w:rPr>
          <w:lang w:val="en-US"/>
        </w:rPr>
        <w:t xml:space="preserve"> and </w:t>
      </w:r>
      <w:r w:rsidR="000777FE" w:rsidRPr="00104227">
        <w:rPr>
          <w:lang w:val="en-US"/>
        </w:rPr>
        <w:t xml:space="preserve">several of the women detained reported having </w:t>
      </w:r>
      <w:r w:rsidR="00404106" w:rsidRPr="00104227">
        <w:rPr>
          <w:lang w:val="en-US"/>
        </w:rPr>
        <w:t>been subjected to</w:t>
      </w:r>
      <w:r w:rsidR="000777FE" w:rsidRPr="00104227">
        <w:rPr>
          <w:lang w:val="en-US"/>
        </w:rPr>
        <w:t xml:space="preserve"> sexual </w:t>
      </w:r>
      <w:r w:rsidR="00404106" w:rsidRPr="00104227">
        <w:rPr>
          <w:lang w:val="en-US"/>
        </w:rPr>
        <w:t>abus</w:t>
      </w:r>
      <w:r w:rsidR="000777FE" w:rsidRPr="00104227">
        <w:rPr>
          <w:lang w:val="en-US"/>
        </w:rPr>
        <w:t>e.</w:t>
      </w:r>
      <w:r w:rsidR="00EA7AEB" w:rsidRPr="00104227">
        <w:rPr>
          <w:rStyle w:val="Refdenotaalpie"/>
          <w:lang w:val="en-US"/>
        </w:rPr>
        <w:footnoteReference w:id="96"/>
      </w:r>
      <w:r w:rsidR="00EA7AEB" w:rsidRPr="00104227">
        <w:rPr>
          <w:lang w:val="en-US"/>
        </w:rPr>
        <w:t xml:space="preserve"> </w:t>
      </w:r>
    </w:p>
    <w:p w14:paraId="3939B369" w14:textId="77777777" w:rsidR="00EA7AEB" w:rsidRPr="00104227" w:rsidRDefault="00EA7AEB" w:rsidP="00E4619F">
      <w:pPr>
        <w:tabs>
          <w:tab w:val="left" w:pos="567"/>
        </w:tabs>
        <w:rPr>
          <w:lang w:eastAsia="es-MX"/>
        </w:rPr>
      </w:pPr>
    </w:p>
    <w:p w14:paraId="68B284F7" w14:textId="25DD0F14" w:rsidR="00493BFB" w:rsidRPr="00104227" w:rsidRDefault="000777FE" w:rsidP="00E4619F">
      <w:pPr>
        <w:pStyle w:val="Numberedparagraphs"/>
        <w:tabs>
          <w:tab w:val="left" w:pos="567"/>
        </w:tabs>
        <w:rPr>
          <w:lang w:val="en-US"/>
        </w:rPr>
      </w:pPr>
      <w:r w:rsidRPr="00104227">
        <w:rPr>
          <w:lang w:val="en-US"/>
        </w:rPr>
        <w:t>In this regard</w:t>
      </w:r>
      <w:r w:rsidR="00CA4C6F" w:rsidRPr="00104227">
        <w:rPr>
          <w:lang w:val="en-US"/>
        </w:rPr>
        <w:t xml:space="preserve">, </w:t>
      </w:r>
      <w:r w:rsidR="008F27D0" w:rsidRPr="00104227">
        <w:rPr>
          <w:lang w:val="en-US"/>
        </w:rPr>
        <w:t>the SCJN</w:t>
      </w:r>
      <w:r w:rsidR="00493BFB" w:rsidRPr="00104227">
        <w:rPr>
          <w:lang w:val="en-US"/>
        </w:rPr>
        <w:t xml:space="preserve"> determin</w:t>
      </w:r>
      <w:r w:rsidRPr="00104227">
        <w:rPr>
          <w:lang w:val="en-US"/>
        </w:rPr>
        <w:t>ed</w:t>
      </w:r>
      <w:r w:rsidR="00C378DA" w:rsidRPr="00104227">
        <w:rPr>
          <w:rStyle w:val="Refdenotaalpie"/>
          <w:rFonts w:cs="TimesNewRoman"/>
          <w:lang w:val="en-US"/>
        </w:rPr>
        <w:footnoteReference w:id="97"/>
      </w:r>
      <w:r w:rsidR="00493BFB" w:rsidRPr="00104227">
        <w:rPr>
          <w:lang w:val="en-US"/>
        </w:rPr>
        <w:t xml:space="preserve"> </w:t>
      </w:r>
      <w:r w:rsidRPr="00104227">
        <w:rPr>
          <w:lang w:val="en-US"/>
        </w:rPr>
        <w:t>that fifty</w:t>
      </w:r>
      <w:r w:rsidR="00493BFB" w:rsidRPr="00104227">
        <w:rPr>
          <w:lang w:val="en-US"/>
        </w:rPr>
        <w:t xml:space="preserve"> </w:t>
      </w:r>
      <w:r w:rsidR="00DC4844" w:rsidRPr="00104227">
        <w:rPr>
          <w:lang w:val="en-US"/>
        </w:rPr>
        <w:t xml:space="preserve">(50) </w:t>
      </w:r>
      <w:r w:rsidRPr="00104227">
        <w:rPr>
          <w:lang w:val="en-US"/>
        </w:rPr>
        <w:t xml:space="preserve">women had been detained on </w:t>
      </w:r>
      <w:r w:rsidR="00DF5F3C" w:rsidRPr="00104227">
        <w:rPr>
          <w:lang w:val="en-US"/>
        </w:rPr>
        <w:t>May 3 and 4,</w:t>
      </w:r>
      <w:r w:rsidR="00493BFB" w:rsidRPr="00104227">
        <w:rPr>
          <w:lang w:val="en-US"/>
        </w:rPr>
        <w:t xml:space="preserve"> 2006, </w:t>
      </w:r>
      <w:r w:rsidRPr="00104227">
        <w:rPr>
          <w:lang w:val="en-US"/>
        </w:rPr>
        <w:t xml:space="preserve">and, of these, thirty-one </w:t>
      </w:r>
      <w:r w:rsidR="00DC4844" w:rsidRPr="00104227">
        <w:rPr>
          <w:lang w:val="en-US"/>
        </w:rPr>
        <w:t>(</w:t>
      </w:r>
      <w:r w:rsidR="00493BFB" w:rsidRPr="00104227">
        <w:rPr>
          <w:lang w:val="en-US"/>
        </w:rPr>
        <w:t>31</w:t>
      </w:r>
      <w:r w:rsidR="00DC4844" w:rsidRPr="00104227">
        <w:rPr>
          <w:lang w:val="en-US"/>
        </w:rPr>
        <w:t>)</w:t>
      </w:r>
      <w:r w:rsidR="00493BFB" w:rsidRPr="00104227">
        <w:rPr>
          <w:lang w:val="en-US"/>
        </w:rPr>
        <w:t xml:space="preserve"> </w:t>
      </w:r>
      <w:r w:rsidRPr="00104227">
        <w:rPr>
          <w:lang w:val="en-US"/>
        </w:rPr>
        <w:t xml:space="preserve">stated that they had been sexually </w:t>
      </w:r>
      <w:r w:rsidR="000A14CF" w:rsidRPr="00104227">
        <w:rPr>
          <w:lang w:val="en-US"/>
        </w:rPr>
        <w:t>assaulted</w:t>
      </w:r>
      <w:r w:rsidRPr="00104227">
        <w:rPr>
          <w:lang w:val="en-US"/>
        </w:rPr>
        <w:t xml:space="preserve"> in different ways by police at the time of their arrest, in the vans or vehicles in which they were taken to the buses, entering or while in the buses used for their transfer to the </w:t>
      </w:r>
      <w:r w:rsidR="00493BFB" w:rsidRPr="00104227">
        <w:rPr>
          <w:lang w:val="en-US"/>
        </w:rPr>
        <w:t>CEPRESO</w:t>
      </w:r>
      <w:r w:rsidR="00935839" w:rsidRPr="00104227">
        <w:rPr>
          <w:lang w:val="en-US"/>
        </w:rPr>
        <w:t>,</w:t>
      </w:r>
      <w:r w:rsidR="00BF5241" w:rsidRPr="00104227">
        <w:rPr>
          <w:lang w:val="en-US"/>
        </w:rPr>
        <w:t xml:space="preserve"> and</w:t>
      </w:r>
      <w:r w:rsidRPr="00104227">
        <w:rPr>
          <w:lang w:val="en-US"/>
        </w:rPr>
        <w:t xml:space="preserve"> on entering the prison.</w:t>
      </w:r>
      <w:r w:rsidR="00493BFB" w:rsidRPr="00104227">
        <w:rPr>
          <w:rStyle w:val="Refdenotaalpie"/>
          <w:rFonts w:cs="TimesNewRoman"/>
          <w:lang w:val="en-US"/>
        </w:rPr>
        <w:footnoteReference w:id="98"/>
      </w:r>
      <w:r w:rsidR="00493BFB" w:rsidRPr="00104227">
        <w:rPr>
          <w:lang w:val="en-US"/>
        </w:rPr>
        <w:t xml:space="preserve"> </w:t>
      </w:r>
    </w:p>
    <w:p w14:paraId="23A3E607" w14:textId="77777777" w:rsidR="00493BFB" w:rsidRPr="00104227" w:rsidRDefault="00493BFB" w:rsidP="00E4619F">
      <w:pPr>
        <w:tabs>
          <w:tab w:val="left" w:pos="567"/>
        </w:tabs>
      </w:pPr>
    </w:p>
    <w:p w14:paraId="61BC5C67" w14:textId="4F68E233" w:rsidR="00493BFB" w:rsidRPr="00104227" w:rsidRDefault="000777FE" w:rsidP="000777FE">
      <w:pPr>
        <w:pStyle w:val="Numberedparagraphs"/>
        <w:tabs>
          <w:tab w:val="left" w:pos="567"/>
        </w:tabs>
        <w:rPr>
          <w:lang w:val="en-US"/>
        </w:rPr>
      </w:pPr>
      <w:r w:rsidRPr="00104227">
        <w:rPr>
          <w:lang w:val="en-US"/>
        </w:rPr>
        <w:t>According to</w:t>
      </w:r>
      <w:r w:rsidR="00493BFB" w:rsidRPr="00104227">
        <w:rPr>
          <w:lang w:val="en-US"/>
        </w:rPr>
        <w:t xml:space="preserve"> </w:t>
      </w:r>
      <w:r w:rsidR="008F27D0" w:rsidRPr="00104227">
        <w:rPr>
          <w:lang w:val="en-US"/>
        </w:rPr>
        <w:t>the SCJN</w:t>
      </w:r>
      <w:r w:rsidR="00BF5241" w:rsidRPr="00104227">
        <w:rPr>
          <w:lang w:val="en-US"/>
        </w:rPr>
        <w:t xml:space="preserve"> and </w:t>
      </w:r>
      <w:r w:rsidRPr="00104227">
        <w:rPr>
          <w:lang w:val="en-US"/>
        </w:rPr>
        <w:t>the</w:t>
      </w:r>
      <w:r w:rsidR="00493BFB" w:rsidRPr="00104227">
        <w:rPr>
          <w:lang w:val="en-US"/>
        </w:rPr>
        <w:t xml:space="preserve"> CNDH, </w:t>
      </w:r>
      <w:r w:rsidRPr="00104227">
        <w:rPr>
          <w:lang w:val="en-US"/>
        </w:rPr>
        <w:t>the abuse reported consisted in: groping, touching</w:t>
      </w:r>
      <w:r w:rsidR="00493BFB" w:rsidRPr="00104227">
        <w:rPr>
          <w:lang w:val="en-US"/>
        </w:rPr>
        <w:t xml:space="preserve">, </w:t>
      </w:r>
      <w:r w:rsidRPr="00104227">
        <w:rPr>
          <w:lang w:val="en-US"/>
        </w:rPr>
        <w:t>squeezing</w:t>
      </w:r>
      <w:r w:rsidR="00BF5241" w:rsidRPr="00104227">
        <w:rPr>
          <w:lang w:val="en-US"/>
        </w:rPr>
        <w:t xml:space="preserve"> and </w:t>
      </w:r>
      <w:r w:rsidRPr="00104227">
        <w:rPr>
          <w:lang w:val="en-US"/>
        </w:rPr>
        <w:t>pinching</w:t>
      </w:r>
      <w:r w:rsidR="00493BFB" w:rsidRPr="00104227">
        <w:rPr>
          <w:lang w:val="en-US"/>
        </w:rPr>
        <w:t xml:space="preserve"> </w:t>
      </w:r>
      <w:r w:rsidRPr="00104227">
        <w:rPr>
          <w:lang w:val="en-US"/>
        </w:rPr>
        <w:t xml:space="preserve">breasts, nipples, legs, pubic area, buttocks, anus and vagina, in some cases on top of clothing and, in others, establishing direct contact with the skin; introduction of fingers and tongue in the mouth; placing </w:t>
      </w:r>
      <w:r w:rsidR="00935839" w:rsidRPr="00104227">
        <w:rPr>
          <w:lang w:val="en-US"/>
        </w:rPr>
        <w:t>a</w:t>
      </w:r>
      <w:r w:rsidRPr="00104227">
        <w:rPr>
          <w:lang w:val="en-US"/>
        </w:rPr>
        <w:t xml:space="preserve"> baton between the legs; rubbing the penis against the body; obligation to perform “oral sex” by the introduction of the penis into the mouth; vaginal penetration with the fingers, and introduction of foreign objects into the vagina. According to the </w:t>
      </w:r>
      <w:r w:rsidR="004432A6" w:rsidRPr="00104227">
        <w:rPr>
          <w:lang w:val="en-US"/>
        </w:rPr>
        <w:t>complaint</w:t>
      </w:r>
      <w:r w:rsidRPr="00104227">
        <w:rPr>
          <w:lang w:val="en-US"/>
        </w:rPr>
        <w:t xml:space="preserve">s, these acts were accompanied by obscene words, threats, blows and </w:t>
      </w:r>
      <w:r w:rsidR="00935839" w:rsidRPr="00104227">
        <w:rPr>
          <w:lang w:val="en-US"/>
        </w:rPr>
        <w:t>tearing</w:t>
      </w:r>
      <w:r w:rsidRPr="00104227">
        <w:rPr>
          <w:lang w:val="en-US"/>
        </w:rPr>
        <w:t xml:space="preserve"> at their underclothes.</w:t>
      </w:r>
      <w:r w:rsidR="00493BFB" w:rsidRPr="00104227">
        <w:rPr>
          <w:rStyle w:val="Refdenotaalpie"/>
          <w:rFonts w:cs="TimesNewRoman"/>
          <w:lang w:val="en-US"/>
        </w:rPr>
        <w:footnoteReference w:id="99"/>
      </w:r>
      <w:r w:rsidRPr="00104227">
        <w:rPr>
          <w:lang w:val="en-US"/>
        </w:rPr>
        <w:t xml:space="preserve"> Most women stated that, using blows and threats, they were obliged to remain with the</w:t>
      </w:r>
      <w:r w:rsidR="00935839" w:rsidRPr="00104227">
        <w:rPr>
          <w:lang w:val="en-US"/>
        </w:rPr>
        <w:t>ir</w:t>
      </w:r>
      <w:r w:rsidRPr="00104227">
        <w:rPr>
          <w:lang w:val="en-US"/>
        </w:rPr>
        <w:t xml:space="preserve"> heads down, their eyes closed and, in some cases, their faces were covered with their own clothing.</w:t>
      </w:r>
      <w:r w:rsidR="00493BFB" w:rsidRPr="00104227">
        <w:rPr>
          <w:rStyle w:val="Refdenotaalpie"/>
          <w:rFonts w:cs="TimesNewRoman"/>
          <w:lang w:val="en-US"/>
        </w:rPr>
        <w:footnoteReference w:id="100"/>
      </w:r>
    </w:p>
    <w:p w14:paraId="3B1409AC" w14:textId="77777777" w:rsidR="00493BFB" w:rsidRPr="00104227" w:rsidRDefault="00493BFB" w:rsidP="00E4619F">
      <w:pPr>
        <w:pStyle w:val="PrrafodeSentencia"/>
        <w:numPr>
          <w:ilvl w:val="0"/>
          <w:numId w:val="0"/>
        </w:numPr>
        <w:rPr>
          <w:lang w:val="en-US"/>
        </w:rPr>
      </w:pPr>
    </w:p>
    <w:p w14:paraId="0AC3D465" w14:textId="1FD8850A" w:rsidR="00493BFB" w:rsidRPr="00104227" w:rsidRDefault="00493BFB" w:rsidP="00E4619F">
      <w:pPr>
        <w:pStyle w:val="Ttulo3"/>
        <w:tabs>
          <w:tab w:val="left" w:pos="567"/>
        </w:tabs>
        <w:rPr>
          <w:lang w:val="en-US"/>
        </w:rPr>
      </w:pPr>
      <w:bookmarkStart w:id="158" w:name="_Toc433650869"/>
      <w:bookmarkStart w:id="159" w:name="_Toc433650971"/>
      <w:bookmarkStart w:id="160" w:name="_Toc438128480"/>
      <w:bookmarkStart w:id="161" w:name="_Toc527464901"/>
      <w:bookmarkStart w:id="162" w:name="_Toc31290572"/>
      <w:r w:rsidRPr="00104227">
        <w:rPr>
          <w:lang w:val="en-US"/>
        </w:rPr>
        <w:t>A.</w:t>
      </w:r>
      <w:r w:rsidR="00E611C6" w:rsidRPr="00104227">
        <w:rPr>
          <w:lang w:val="en-US"/>
        </w:rPr>
        <w:t>6</w:t>
      </w:r>
      <w:r w:rsidRPr="00104227">
        <w:rPr>
          <w:lang w:val="en-US"/>
        </w:rPr>
        <w:t xml:space="preserve"> </w:t>
      </w:r>
      <w:r w:rsidR="008C6D02" w:rsidRPr="00104227">
        <w:rPr>
          <w:lang w:val="en-US"/>
        </w:rPr>
        <w:t>Initial statements of senior state officials on the report of sexual violence</w:t>
      </w:r>
      <w:r w:rsidRPr="00104227">
        <w:rPr>
          <w:lang w:val="en-US"/>
        </w:rPr>
        <w:t xml:space="preserve"> </w:t>
      </w:r>
      <w:r w:rsidR="008C6D02" w:rsidRPr="00104227">
        <w:rPr>
          <w:lang w:val="en-US"/>
        </w:rPr>
        <w:t>in the context of the operations of</w:t>
      </w:r>
      <w:r w:rsidRPr="00104227">
        <w:rPr>
          <w:lang w:val="en-US"/>
        </w:rPr>
        <w:t xml:space="preserve"> </w:t>
      </w:r>
      <w:r w:rsidR="00DF5F3C" w:rsidRPr="00104227">
        <w:rPr>
          <w:lang w:val="en-US"/>
        </w:rPr>
        <w:t>May 3 and 4,</w:t>
      </w:r>
      <w:r w:rsidRPr="00104227">
        <w:rPr>
          <w:lang w:val="en-US"/>
        </w:rPr>
        <w:t xml:space="preserve"> 2006</w:t>
      </w:r>
      <w:bookmarkEnd w:id="158"/>
      <w:bookmarkEnd w:id="159"/>
      <w:bookmarkEnd w:id="160"/>
      <w:bookmarkEnd w:id="161"/>
      <w:bookmarkEnd w:id="162"/>
    </w:p>
    <w:p w14:paraId="15B7D00E" w14:textId="77777777" w:rsidR="00493BFB" w:rsidRPr="00104227" w:rsidRDefault="00493BFB" w:rsidP="00E4619F">
      <w:pPr>
        <w:pStyle w:val="PrrafodeSentencia"/>
        <w:numPr>
          <w:ilvl w:val="0"/>
          <w:numId w:val="0"/>
        </w:numPr>
        <w:rPr>
          <w:lang w:val="en-US"/>
        </w:rPr>
      </w:pPr>
    </w:p>
    <w:p w14:paraId="7D68CB10" w14:textId="29063BA0" w:rsidR="00493BFB" w:rsidRPr="00104227" w:rsidRDefault="000777FE" w:rsidP="000777FE">
      <w:pPr>
        <w:pStyle w:val="Numberedparagraphs"/>
        <w:tabs>
          <w:tab w:val="left" w:pos="567"/>
        </w:tabs>
        <w:rPr>
          <w:lang w:val="en-US"/>
        </w:rPr>
      </w:pPr>
      <w:bookmarkStart w:id="163" w:name="_Ref528949566"/>
      <w:r w:rsidRPr="00104227">
        <w:rPr>
          <w:lang w:val="en-US"/>
        </w:rPr>
        <w:t>Based on statements made in a newspaper article published on May 12</w:t>
      </w:r>
      <w:r w:rsidR="009075C6" w:rsidRPr="00104227">
        <w:rPr>
          <w:lang w:val="en-US"/>
        </w:rPr>
        <w:t>,</w:t>
      </w:r>
      <w:r w:rsidR="00493BFB" w:rsidRPr="00104227">
        <w:rPr>
          <w:lang w:val="en-US"/>
        </w:rPr>
        <w:t xml:space="preserve"> 2006, </w:t>
      </w:r>
      <w:r w:rsidR="008F27D0" w:rsidRPr="00104227">
        <w:rPr>
          <w:lang w:val="en-US"/>
        </w:rPr>
        <w:t>the Governor</w:t>
      </w:r>
      <w:r w:rsidR="002826A6" w:rsidRPr="00104227">
        <w:rPr>
          <w:lang w:val="en-US"/>
        </w:rPr>
        <w:t xml:space="preserve"> of the </w:t>
      </w:r>
      <w:r w:rsidR="00CA330F" w:rsidRPr="00104227">
        <w:rPr>
          <w:lang w:val="en-US"/>
        </w:rPr>
        <w:t>state of Mexico</w:t>
      </w:r>
      <w:r w:rsidR="00493BFB" w:rsidRPr="00104227">
        <w:rPr>
          <w:lang w:val="en-US"/>
        </w:rPr>
        <w:t xml:space="preserve"> declar</w:t>
      </w:r>
      <w:r w:rsidRPr="00104227">
        <w:rPr>
          <w:lang w:val="en-US"/>
        </w:rPr>
        <w:t xml:space="preserve">ed that, </w:t>
      </w:r>
      <w:r w:rsidR="00935839" w:rsidRPr="00104227">
        <w:rPr>
          <w:lang w:val="en-US"/>
        </w:rPr>
        <w:t>on</w:t>
      </w:r>
      <w:r w:rsidRPr="00104227">
        <w:rPr>
          <w:lang w:val="en-US"/>
        </w:rPr>
        <w:t xml:space="preserve"> “the issue of the individuals supposedly raped, no accusations have been made; no one has filed a report; none of the women filed a report before the judicial authority that they had been raped.</w:t>
      </w:r>
      <w:r w:rsidR="00493BFB" w:rsidRPr="00104227">
        <w:rPr>
          <w:lang w:val="en-US"/>
        </w:rPr>
        <w:t>”</w:t>
      </w:r>
      <w:r w:rsidR="00493BFB" w:rsidRPr="00104227">
        <w:rPr>
          <w:rStyle w:val="Refdenotaalpie"/>
          <w:lang w:val="en-US"/>
        </w:rPr>
        <w:footnoteReference w:id="101"/>
      </w:r>
      <w:r w:rsidR="00493BFB" w:rsidRPr="00104227">
        <w:rPr>
          <w:lang w:val="en-US"/>
        </w:rPr>
        <w:t xml:space="preserve"> </w:t>
      </w:r>
      <w:r w:rsidRPr="00104227">
        <w:rPr>
          <w:lang w:val="en-US"/>
        </w:rPr>
        <w:t>Subsequently</w:t>
      </w:r>
      <w:r w:rsidR="00884088" w:rsidRPr="00104227">
        <w:rPr>
          <w:lang w:val="en-US"/>
        </w:rPr>
        <w:t xml:space="preserve">, </w:t>
      </w:r>
      <w:r w:rsidRPr="00104227">
        <w:rPr>
          <w:lang w:val="en-US"/>
        </w:rPr>
        <w:t>on May 17,</w:t>
      </w:r>
      <w:r w:rsidR="00493BFB" w:rsidRPr="00104227">
        <w:rPr>
          <w:lang w:val="en-US"/>
        </w:rPr>
        <w:t xml:space="preserve"> 2006</w:t>
      </w:r>
      <w:r w:rsidRPr="00104227">
        <w:rPr>
          <w:lang w:val="en-US"/>
        </w:rPr>
        <w:t xml:space="preserve">, the newspapers published a report that the said Governor, following a meeting with the CNDH, had acknowledged that the information received could </w:t>
      </w:r>
      <w:r w:rsidR="00A84F20" w:rsidRPr="00104227">
        <w:rPr>
          <w:lang w:val="en-US"/>
        </w:rPr>
        <w:t>prove that some police agents had committed excesses.</w:t>
      </w:r>
      <w:r w:rsidR="00493BFB" w:rsidRPr="00104227">
        <w:rPr>
          <w:rStyle w:val="Refdenotaalpie"/>
          <w:lang w:val="en-US"/>
        </w:rPr>
        <w:footnoteReference w:id="102"/>
      </w:r>
      <w:r w:rsidR="00A84F20" w:rsidRPr="00104227">
        <w:rPr>
          <w:lang w:val="en-US"/>
        </w:rPr>
        <w:t xml:space="preserve"> However, on the same date, information was published that the</w:t>
      </w:r>
      <w:r w:rsidR="00884088" w:rsidRPr="00104227">
        <w:rPr>
          <w:lang w:val="en-US"/>
        </w:rPr>
        <w:t xml:space="preserve"> </w:t>
      </w:r>
      <w:r w:rsidR="00BF5241" w:rsidRPr="00104227">
        <w:rPr>
          <w:lang w:val="en-US"/>
        </w:rPr>
        <w:t>Secretary</w:t>
      </w:r>
      <w:r w:rsidR="00493BFB" w:rsidRPr="00104227">
        <w:rPr>
          <w:lang w:val="en-US"/>
        </w:rPr>
        <w:t xml:space="preserve"> General </w:t>
      </w:r>
      <w:r w:rsidR="00A84F20" w:rsidRPr="00104227">
        <w:rPr>
          <w:lang w:val="en-US"/>
        </w:rPr>
        <w:t xml:space="preserve">for Governance </w:t>
      </w:r>
      <w:r w:rsidR="002826A6" w:rsidRPr="00104227">
        <w:rPr>
          <w:lang w:val="en-US"/>
        </w:rPr>
        <w:t xml:space="preserve">of the </w:t>
      </w:r>
      <w:r w:rsidR="00CA330F" w:rsidRPr="00104227">
        <w:rPr>
          <w:lang w:val="en-US"/>
        </w:rPr>
        <w:t>state of Mexico</w:t>
      </w:r>
      <w:r w:rsidR="00493BFB" w:rsidRPr="00104227">
        <w:rPr>
          <w:lang w:val="en-US"/>
        </w:rPr>
        <w:t xml:space="preserve"> </w:t>
      </w:r>
      <w:r w:rsidR="00884088" w:rsidRPr="00104227">
        <w:rPr>
          <w:lang w:val="en-US"/>
        </w:rPr>
        <w:t>ha</w:t>
      </w:r>
      <w:r w:rsidR="00A84F20" w:rsidRPr="00104227">
        <w:rPr>
          <w:lang w:val="en-US"/>
        </w:rPr>
        <w:t xml:space="preserve">d indicated that “the government of the state of Mexico was </w:t>
      </w:r>
      <w:r w:rsidR="00A84F20" w:rsidRPr="00104227">
        <w:rPr>
          <w:lang w:val="en-US"/>
        </w:rPr>
        <w:lastRenderedPageBreak/>
        <w:t xml:space="preserve">unable to open an investigation into the presumed rape perpetrated against women by the police as there were no legal grounds </w:t>
      </w:r>
      <w:r w:rsidR="00935839" w:rsidRPr="00104227">
        <w:rPr>
          <w:lang w:val="en-US"/>
        </w:rPr>
        <w:t>for</w:t>
      </w:r>
      <w:r w:rsidR="00A84F20" w:rsidRPr="00104227">
        <w:rPr>
          <w:lang w:val="en-US"/>
        </w:rPr>
        <w:t xml:space="preserve"> this, because there had been no gynecological examinations and no specific criminal accusations had been filed.</w:t>
      </w:r>
      <w:r w:rsidR="00493BFB" w:rsidRPr="00104227">
        <w:rPr>
          <w:lang w:val="en-US"/>
        </w:rPr>
        <w:t>”</w:t>
      </w:r>
      <w:r w:rsidR="00493BFB" w:rsidRPr="00104227">
        <w:rPr>
          <w:rStyle w:val="Refdenotaalpie"/>
          <w:lang w:val="en-US"/>
        </w:rPr>
        <w:footnoteReference w:id="103"/>
      </w:r>
      <w:bookmarkEnd w:id="163"/>
    </w:p>
    <w:p w14:paraId="384325FD" w14:textId="77777777" w:rsidR="00493BFB" w:rsidRPr="00104227" w:rsidRDefault="00493BFB" w:rsidP="00E4619F">
      <w:pPr>
        <w:tabs>
          <w:tab w:val="left" w:pos="567"/>
        </w:tabs>
      </w:pPr>
    </w:p>
    <w:p w14:paraId="6BB529C3" w14:textId="4CA24BF2" w:rsidR="00493BFB" w:rsidRPr="00104227" w:rsidRDefault="00A84F20" w:rsidP="00E4619F">
      <w:pPr>
        <w:pStyle w:val="Numberedparagraphs"/>
        <w:tabs>
          <w:tab w:val="left" w:pos="567"/>
        </w:tabs>
        <w:rPr>
          <w:lang w:val="en-US"/>
        </w:rPr>
      </w:pPr>
      <w:bookmarkStart w:id="164" w:name="_Ref528949573"/>
      <w:r w:rsidRPr="00104227">
        <w:rPr>
          <w:lang w:val="en-US"/>
        </w:rPr>
        <w:t>Subsequently</w:t>
      </w:r>
      <w:r w:rsidR="00884088" w:rsidRPr="00104227">
        <w:rPr>
          <w:lang w:val="en-US"/>
        </w:rPr>
        <w:t xml:space="preserve">, </w:t>
      </w:r>
      <w:r w:rsidRPr="00104227">
        <w:rPr>
          <w:lang w:val="en-US"/>
        </w:rPr>
        <w:t>on June 16,</w:t>
      </w:r>
      <w:r w:rsidR="00493BFB" w:rsidRPr="00104227">
        <w:rPr>
          <w:lang w:val="en-US"/>
        </w:rPr>
        <w:t xml:space="preserve"> 2006</w:t>
      </w:r>
      <w:r w:rsidRPr="00104227">
        <w:rPr>
          <w:lang w:val="en-US"/>
        </w:rPr>
        <w:t>, a newspaper published that</w:t>
      </w:r>
      <w:r w:rsidR="00493BFB" w:rsidRPr="00104227">
        <w:rPr>
          <w:lang w:val="en-US"/>
        </w:rPr>
        <w:t xml:space="preserve"> </w:t>
      </w:r>
      <w:r w:rsidR="008F27D0" w:rsidRPr="00104227">
        <w:rPr>
          <w:lang w:val="en-US"/>
        </w:rPr>
        <w:t>the Governor</w:t>
      </w:r>
      <w:r w:rsidR="002826A6" w:rsidRPr="00104227">
        <w:rPr>
          <w:lang w:val="en-US"/>
        </w:rPr>
        <w:t xml:space="preserve"> of the </w:t>
      </w:r>
      <w:r w:rsidR="00AC3BFC" w:rsidRPr="00104227">
        <w:rPr>
          <w:lang w:val="en-US"/>
        </w:rPr>
        <w:t>State</w:t>
      </w:r>
      <w:r w:rsidR="00884088" w:rsidRPr="00104227">
        <w:rPr>
          <w:lang w:val="en-US"/>
        </w:rPr>
        <w:t xml:space="preserve"> ha</w:t>
      </w:r>
      <w:r w:rsidRPr="00104227">
        <w:rPr>
          <w:lang w:val="en-US"/>
        </w:rPr>
        <w:t xml:space="preserve">d declared that “it is </w:t>
      </w:r>
      <w:r w:rsidR="00935839" w:rsidRPr="00104227">
        <w:rPr>
          <w:lang w:val="en-US"/>
        </w:rPr>
        <w:t xml:space="preserve">a </w:t>
      </w:r>
      <w:r w:rsidR="00737519" w:rsidRPr="00104227">
        <w:rPr>
          <w:lang w:val="en-US"/>
        </w:rPr>
        <w:t>well-known</w:t>
      </w:r>
      <w:r w:rsidR="00935839" w:rsidRPr="00104227">
        <w:rPr>
          <w:lang w:val="en-US"/>
        </w:rPr>
        <w:t xml:space="preserve"> fact</w:t>
      </w:r>
      <w:r w:rsidRPr="00104227">
        <w:rPr>
          <w:lang w:val="en-US"/>
        </w:rPr>
        <w:t xml:space="preserve"> that</w:t>
      </w:r>
      <w:r w:rsidR="00935839" w:rsidRPr="00104227">
        <w:rPr>
          <w:lang w:val="en-US"/>
        </w:rPr>
        <w:t>,</w:t>
      </w:r>
      <w:r w:rsidRPr="00104227">
        <w:rPr>
          <w:lang w:val="en-US"/>
        </w:rPr>
        <w:t xml:space="preserve"> in the manual for insurgent groups, radical groups, the first thing the manual advises is that women should denounce that they have been raped.</w:t>
      </w:r>
      <w:r w:rsidR="00493BFB" w:rsidRPr="00104227">
        <w:rPr>
          <w:lang w:val="en-US"/>
        </w:rPr>
        <w:t>”</w:t>
      </w:r>
      <w:r w:rsidR="00493BFB" w:rsidRPr="00104227">
        <w:rPr>
          <w:rStyle w:val="Refdenotaalpie"/>
          <w:lang w:val="en-US"/>
        </w:rPr>
        <w:footnoteReference w:id="104"/>
      </w:r>
      <w:r w:rsidR="00493BFB" w:rsidRPr="00104227">
        <w:rPr>
          <w:lang w:val="en-US"/>
        </w:rPr>
        <w:t xml:space="preserve"> </w:t>
      </w:r>
      <w:r w:rsidRPr="00104227">
        <w:rPr>
          <w:lang w:val="en-US"/>
        </w:rPr>
        <w:t>In addition, it appear</w:t>
      </w:r>
      <w:r w:rsidR="00935839" w:rsidRPr="00104227">
        <w:rPr>
          <w:lang w:val="en-US"/>
        </w:rPr>
        <w:t>s</w:t>
      </w:r>
      <w:r w:rsidRPr="00104227">
        <w:rPr>
          <w:lang w:val="en-US"/>
        </w:rPr>
        <w:t xml:space="preserve"> that he </w:t>
      </w:r>
      <w:r w:rsidR="00935839" w:rsidRPr="00104227">
        <w:rPr>
          <w:lang w:val="en-US"/>
        </w:rPr>
        <w:t>al</w:t>
      </w:r>
      <w:r w:rsidRPr="00104227">
        <w:rPr>
          <w:lang w:val="en-US"/>
        </w:rPr>
        <w:t>so stated that, if those who had committed offenses were identified, they would be punished pursuant to the law.</w:t>
      </w:r>
      <w:r w:rsidR="00493BFB" w:rsidRPr="00104227">
        <w:rPr>
          <w:rStyle w:val="Refdenotaalpie"/>
          <w:lang w:val="en-US"/>
        </w:rPr>
        <w:footnoteReference w:id="105"/>
      </w:r>
      <w:r w:rsidR="00493BFB" w:rsidRPr="00104227">
        <w:rPr>
          <w:lang w:val="en-US"/>
        </w:rPr>
        <w:t xml:space="preserve"> </w:t>
      </w:r>
      <w:r w:rsidRPr="00104227">
        <w:rPr>
          <w:lang w:val="en-US"/>
        </w:rPr>
        <w:t>Then,</w:t>
      </w:r>
      <w:r w:rsidR="00DF475C" w:rsidRPr="00104227">
        <w:rPr>
          <w:lang w:val="en-US"/>
        </w:rPr>
        <w:t xml:space="preserve"> </w:t>
      </w:r>
      <w:r w:rsidRPr="00104227">
        <w:rPr>
          <w:lang w:val="en-US"/>
        </w:rPr>
        <w:t>on June 27,</w:t>
      </w:r>
      <w:r w:rsidR="00493BFB" w:rsidRPr="00104227">
        <w:rPr>
          <w:lang w:val="en-US"/>
        </w:rPr>
        <w:t xml:space="preserve"> 2006</w:t>
      </w:r>
      <w:r w:rsidRPr="00104227">
        <w:rPr>
          <w:lang w:val="en-US"/>
        </w:rPr>
        <w:t>,</w:t>
      </w:r>
      <w:r w:rsidR="00493BFB" w:rsidRPr="00104227">
        <w:rPr>
          <w:lang w:val="en-US"/>
        </w:rPr>
        <w:t xml:space="preserve"> </w:t>
      </w:r>
      <w:r w:rsidRPr="00104227">
        <w:rPr>
          <w:lang w:val="en-US"/>
        </w:rPr>
        <w:t xml:space="preserve">the declarations of the </w:t>
      </w:r>
      <w:r w:rsidR="00493BFB" w:rsidRPr="00104227">
        <w:rPr>
          <w:lang w:val="en-US"/>
        </w:rPr>
        <w:t>Com</w:t>
      </w:r>
      <w:r w:rsidRPr="00104227">
        <w:rPr>
          <w:lang w:val="en-US"/>
        </w:rPr>
        <w:t>missione</w:t>
      </w:r>
      <w:r w:rsidR="00935839" w:rsidRPr="00104227">
        <w:rPr>
          <w:lang w:val="en-US"/>
        </w:rPr>
        <w:t>r</w:t>
      </w:r>
      <w:r w:rsidR="00493BFB" w:rsidRPr="00104227">
        <w:rPr>
          <w:lang w:val="en-US"/>
        </w:rPr>
        <w:t xml:space="preserve"> </w:t>
      </w:r>
      <w:r w:rsidR="00DF0305" w:rsidRPr="00104227">
        <w:rPr>
          <w:lang w:val="en-US"/>
        </w:rPr>
        <w:t>of the state Security Agency</w:t>
      </w:r>
      <w:r w:rsidRPr="00104227">
        <w:rPr>
          <w:lang w:val="en-US"/>
        </w:rPr>
        <w:t xml:space="preserve"> were published, </w:t>
      </w:r>
      <w:r w:rsidR="00935839" w:rsidRPr="00104227">
        <w:rPr>
          <w:lang w:val="en-US"/>
        </w:rPr>
        <w:t xml:space="preserve">in which </w:t>
      </w:r>
      <w:r w:rsidRPr="00104227">
        <w:rPr>
          <w:lang w:val="en-US"/>
        </w:rPr>
        <w:t>he a</w:t>
      </w:r>
      <w:r w:rsidR="00820641" w:rsidRPr="00104227">
        <w:rPr>
          <w:lang w:val="en-US"/>
        </w:rPr>
        <w:t>t</w:t>
      </w:r>
      <w:r w:rsidRPr="00104227">
        <w:rPr>
          <w:lang w:val="en-US"/>
        </w:rPr>
        <w:t xml:space="preserve">tributed the supposed </w:t>
      </w:r>
      <w:r w:rsidR="00820641" w:rsidRPr="00104227">
        <w:rPr>
          <w:lang w:val="en-US"/>
        </w:rPr>
        <w:t xml:space="preserve">police </w:t>
      </w:r>
      <w:r w:rsidRPr="00104227">
        <w:rPr>
          <w:lang w:val="en-US"/>
        </w:rPr>
        <w:t>abuse to “high levels of stress,” and indicated that “if the women</w:t>
      </w:r>
      <w:r w:rsidR="00820641" w:rsidRPr="00104227">
        <w:rPr>
          <w:lang w:val="en-US"/>
        </w:rPr>
        <w:t>, for reasons of modesty,</w:t>
      </w:r>
      <w:r w:rsidRPr="00104227">
        <w:rPr>
          <w:lang w:val="en-US"/>
        </w:rPr>
        <w:t xml:space="preserve"> </w:t>
      </w:r>
      <w:r w:rsidR="00820641" w:rsidRPr="00104227">
        <w:rPr>
          <w:lang w:val="en-US"/>
        </w:rPr>
        <w:t>had not</w:t>
      </w:r>
      <w:r w:rsidRPr="00104227">
        <w:rPr>
          <w:lang w:val="en-US"/>
        </w:rPr>
        <w:t xml:space="preserve"> let doctors examine them, it was because no one had done anything to them.</w:t>
      </w:r>
      <w:r w:rsidR="00493BFB" w:rsidRPr="00104227">
        <w:rPr>
          <w:lang w:val="en-US"/>
        </w:rPr>
        <w:t>”</w:t>
      </w:r>
      <w:r w:rsidR="00493BFB" w:rsidRPr="00104227">
        <w:rPr>
          <w:rStyle w:val="Refdenotaalpie"/>
          <w:lang w:val="en-US"/>
        </w:rPr>
        <w:footnoteReference w:id="106"/>
      </w:r>
      <w:bookmarkEnd w:id="164"/>
    </w:p>
    <w:p w14:paraId="5B020A09" w14:textId="77777777" w:rsidR="00493BFB" w:rsidRPr="00104227" w:rsidRDefault="00493BFB" w:rsidP="00E4619F">
      <w:pPr>
        <w:tabs>
          <w:tab w:val="left" w:pos="567"/>
        </w:tabs>
      </w:pPr>
    </w:p>
    <w:p w14:paraId="72DDB82F" w14:textId="65F46404" w:rsidR="00493BFB" w:rsidRPr="00104227" w:rsidRDefault="008C6D02" w:rsidP="00E4619F">
      <w:pPr>
        <w:pStyle w:val="Ttulo2"/>
        <w:ind w:left="990" w:hanging="270"/>
        <w:rPr>
          <w:lang w:val="en-US"/>
        </w:rPr>
      </w:pPr>
      <w:bookmarkStart w:id="165" w:name="_Toc31290573"/>
      <w:r w:rsidRPr="00104227">
        <w:rPr>
          <w:lang w:val="en-US"/>
        </w:rPr>
        <w:t>The facts with regard to the eleven women</w:t>
      </w:r>
      <w:r w:rsidR="002A198A" w:rsidRPr="00104227">
        <w:rPr>
          <w:vertAlign w:val="superscript"/>
          <w:lang w:val="en-US"/>
        </w:rPr>
        <w:footnoteReference w:id="107"/>
      </w:r>
      <w:bookmarkEnd w:id="165"/>
      <w:r w:rsidR="00493BFB" w:rsidRPr="00104227">
        <w:rPr>
          <w:lang w:val="en-US"/>
        </w:rPr>
        <w:t xml:space="preserve"> </w:t>
      </w:r>
    </w:p>
    <w:p w14:paraId="3EEFDD22" w14:textId="77777777" w:rsidR="00493BFB" w:rsidRPr="00104227" w:rsidRDefault="00493BFB" w:rsidP="00E4619F">
      <w:pPr>
        <w:tabs>
          <w:tab w:val="left" w:pos="567"/>
        </w:tabs>
      </w:pPr>
    </w:p>
    <w:p w14:paraId="36036F45" w14:textId="5C557EA9" w:rsidR="005B7172" w:rsidRPr="00104227" w:rsidRDefault="009E536E" w:rsidP="00E4619F">
      <w:pPr>
        <w:pStyle w:val="Ttulo3"/>
        <w:tabs>
          <w:tab w:val="left" w:pos="567"/>
        </w:tabs>
        <w:rPr>
          <w:lang w:val="en-US"/>
        </w:rPr>
      </w:pPr>
      <w:bookmarkStart w:id="166" w:name="_Toc31290574"/>
      <w:r w:rsidRPr="00104227">
        <w:rPr>
          <w:lang w:val="en-US"/>
        </w:rPr>
        <w:t xml:space="preserve">B.1 </w:t>
      </w:r>
      <w:r w:rsidR="008C6D02" w:rsidRPr="00104227">
        <w:rPr>
          <w:lang w:val="en-US"/>
        </w:rPr>
        <w:t xml:space="preserve">The </w:t>
      </w:r>
      <w:r w:rsidR="00820641" w:rsidRPr="00104227">
        <w:rPr>
          <w:lang w:val="en-US"/>
        </w:rPr>
        <w:t>i</w:t>
      </w:r>
      <w:r w:rsidR="008C6D02" w:rsidRPr="00104227">
        <w:rPr>
          <w:lang w:val="en-US"/>
        </w:rPr>
        <w:t>nitial detentions</w:t>
      </w:r>
      <w:bookmarkEnd w:id="166"/>
    </w:p>
    <w:p w14:paraId="576B1D54" w14:textId="77777777" w:rsidR="005B7172" w:rsidRPr="00104227" w:rsidRDefault="005B7172" w:rsidP="00E4619F">
      <w:pPr>
        <w:tabs>
          <w:tab w:val="left" w:pos="567"/>
        </w:tabs>
      </w:pPr>
    </w:p>
    <w:p w14:paraId="0AE013D7" w14:textId="25CD15CD" w:rsidR="008D3A5E" w:rsidRPr="0080773E" w:rsidRDefault="00B851FA" w:rsidP="00E4619F">
      <w:pPr>
        <w:pStyle w:val="Numberedparagraphs"/>
        <w:tabs>
          <w:tab w:val="left" w:pos="567"/>
        </w:tabs>
        <w:rPr>
          <w:lang w:val="es-CR"/>
        </w:rPr>
      </w:pPr>
      <w:bookmarkStart w:id="167" w:name="_Ref532935559"/>
      <w:r w:rsidRPr="0080773E">
        <w:rPr>
          <w:lang w:val="es-CR"/>
        </w:rPr>
        <w:t>On May 3,</w:t>
      </w:r>
      <w:r w:rsidR="008D3A5E" w:rsidRPr="0080773E">
        <w:rPr>
          <w:lang w:val="es-CR"/>
        </w:rPr>
        <w:t xml:space="preserve"> 2006</w:t>
      </w:r>
      <w:r w:rsidR="00447310" w:rsidRPr="0080773E">
        <w:rPr>
          <w:lang w:val="es-CR"/>
        </w:rPr>
        <w:t xml:space="preserve">, </w:t>
      </w:r>
      <w:r w:rsidR="008D3A5E" w:rsidRPr="0080773E">
        <w:rPr>
          <w:lang w:val="es-CR"/>
        </w:rPr>
        <w:t>Yolanda Muñoz Diosdada</w:t>
      </w:r>
      <w:r w:rsidR="005C0355" w:rsidRPr="0080773E">
        <w:rPr>
          <w:lang w:val="es-CR"/>
        </w:rPr>
        <w:t>,</w:t>
      </w:r>
      <w:r w:rsidR="008D3A5E" w:rsidRPr="00104227">
        <w:rPr>
          <w:rStyle w:val="Refdenotaalpie"/>
          <w:lang w:val="en-US"/>
        </w:rPr>
        <w:footnoteReference w:id="108"/>
      </w:r>
      <w:r w:rsidR="008D3A5E" w:rsidRPr="0080773E">
        <w:rPr>
          <w:lang w:val="es-CR"/>
        </w:rPr>
        <w:t xml:space="preserve"> Ana María Velasco Rodríguez</w:t>
      </w:r>
      <w:r w:rsidR="005C0355" w:rsidRPr="0080773E">
        <w:rPr>
          <w:lang w:val="es-CR"/>
        </w:rPr>
        <w:t>,</w:t>
      </w:r>
      <w:r w:rsidR="008D3A5E" w:rsidRPr="00104227">
        <w:rPr>
          <w:rStyle w:val="Refdenotaalpie"/>
          <w:lang w:val="en-US"/>
        </w:rPr>
        <w:footnoteReference w:id="109"/>
      </w:r>
      <w:r w:rsidR="008D3A5E" w:rsidRPr="0080773E">
        <w:rPr>
          <w:lang w:val="es-CR"/>
        </w:rPr>
        <w:t xml:space="preserve"> </w:t>
      </w:r>
      <w:r w:rsidR="0047539E" w:rsidRPr="0080773E">
        <w:rPr>
          <w:lang w:val="es-CR"/>
        </w:rPr>
        <w:t>Angélica Patricia Torres</w:t>
      </w:r>
      <w:r w:rsidR="008D3A5E" w:rsidRPr="0080773E">
        <w:rPr>
          <w:lang w:val="es-CR"/>
        </w:rPr>
        <w:t xml:space="preserve"> Linares</w:t>
      </w:r>
      <w:r w:rsidR="005C0355" w:rsidRPr="0080773E">
        <w:rPr>
          <w:lang w:val="es-CR"/>
        </w:rPr>
        <w:t>,</w:t>
      </w:r>
      <w:r w:rsidR="008D3A5E" w:rsidRPr="00104227">
        <w:rPr>
          <w:rStyle w:val="Refdenotaalpie"/>
          <w:lang w:val="en-US"/>
        </w:rPr>
        <w:footnoteReference w:id="110"/>
      </w:r>
      <w:r w:rsidR="008D3A5E" w:rsidRPr="0080773E">
        <w:rPr>
          <w:lang w:val="es-CR"/>
        </w:rPr>
        <w:t xml:space="preserve"> María Patricia Romero Hernández</w:t>
      </w:r>
      <w:r w:rsidR="008D3A5E" w:rsidRPr="00104227">
        <w:rPr>
          <w:rStyle w:val="Refdenotaalpie"/>
          <w:lang w:val="en-US"/>
        </w:rPr>
        <w:footnoteReference w:id="111"/>
      </w:r>
      <w:r w:rsidR="00BF5241" w:rsidRPr="0080773E">
        <w:rPr>
          <w:lang w:val="es-CR"/>
        </w:rPr>
        <w:t xml:space="preserve"> and </w:t>
      </w:r>
      <w:r w:rsidR="008D3A5E" w:rsidRPr="0080773E">
        <w:rPr>
          <w:lang w:val="es-CR"/>
        </w:rPr>
        <w:t>María Cristina Sánchez Hernández</w:t>
      </w:r>
      <w:r w:rsidR="008D3A5E" w:rsidRPr="00104227">
        <w:rPr>
          <w:rStyle w:val="Refdenotaalpie"/>
          <w:lang w:val="en-US"/>
        </w:rPr>
        <w:footnoteReference w:id="112"/>
      </w:r>
      <w:r w:rsidR="00447310" w:rsidRPr="0080773E">
        <w:rPr>
          <w:lang w:val="es-CR"/>
        </w:rPr>
        <w:t xml:space="preserve"> were detained</w:t>
      </w:r>
      <w:r w:rsidR="008D3A5E" w:rsidRPr="0080773E">
        <w:rPr>
          <w:lang w:val="es-CR"/>
        </w:rPr>
        <w:t>.</w:t>
      </w:r>
      <w:bookmarkEnd w:id="167"/>
    </w:p>
    <w:p w14:paraId="3952A10F" w14:textId="5BF9F0DC" w:rsidR="006B526F" w:rsidRPr="00104227" w:rsidRDefault="008D3A5E" w:rsidP="00E4619F">
      <w:pPr>
        <w:pStyle w:val="Numberedparagraphs"/>
        <w:tabs>
          <w:tab w:val="left" w:pos="567"/>
        </w:tabs>
        <w:rPr>
          <w:lang w:val="en-US"/>
        </w:rPr>
      </w:pPr>
      <w:r w:rsidRPr="0080773E">
        <w:rPr>
          <w:lang w:val="es-CR"/>
        </w:rPr>
        <w:lastRenderedPageBreak/>
        <w:t xml:space="preserve"> </w:t>
      </w:r>
      <w:bookmarkStart w:id="168" w:name="_Ref532894688"/>
      <w:r w:rsidR="00015517" w:rsidRPr="00104227">
        <w:rPr>
          <w:lang w:val="en-US"/>
        </w:rPr>
        <w:t xml:space="preserve">Regarding the circumstances of their detention: </w:t>
      </w:r>
      <w:r w:rsidRPr="00104227">
        <w:rPr>
          <w:lang w:val="en-US"/>
        </w:rPr>
        <w:t xml:space="preserve">Yolanda Muñoz Diosdada </w:t>
      </w:r>
      <w:r w:rsidR="00015517" w:rsidRPr="00104227">
        <w:rPr>
          <w:lang w:val="en-US"/>
        </w:rPr>
        <w:t>was on her w</w:t>
      </w:r>
      <w:r w:rsidR="006E5DBA" w:rsidRPr="00104227">
        <w:rPr>
          <w:lang w:val="en-US"/>
        </w:rPr>
        <w:t>a</w:t>
      </w:r>
      <w:r w:rsidR="00015517" w:rsidRPr="00104227">
        <w:rPr>
          <w:lang w:val="en-US"/>
        </w:rPr>
        <w:t>y to the market to sell denim</w:t>
      </w:r>
      <w:r w:rsidR="006E5DBA" w:rsidRPr="00104227">
        <w:rPr>
          <w:lang w:val="en-US"/>
        </w:rPr>
        <w:t xml:space="preserve"> </w:t>
      </w:r>
      <w:r w:rsidR="00BD2A81" w:rsidRPr="00104227">
        <w:rPr>
          <w:lang w:val="en-US"/>
        </w:rPr>
        <w:t>articles</w:t>
      </w:r>
      <w:r w:rsidR="00015517" w:rsidRPr="00104227">
        <w:rPr>
          <w:lang w:val="en-US"/>
        </w:rPr>
        <w:t xml:space="preserve"> </w:t>
      </w:r>
      <w:r w:rsidR="006E5DBA" w:rsidRPr="00104227">
        <w:rPr>
          <w:lang w:val="en-US"/>
        </w:rPr>
        <w:t>accompanied by</w:t>
      </w:r>
      <w:r w:rsidR="00015517" w:rsidRPr="00104227">
        <w:rPr>
          <w:lang w:val="en-US"/>
        </w:rPr>
        <w:t xml:space="preserve"> her son aged 17</w:t>
      </w:r>
      <w:r w:rsidRPr="00104227">
        <w:rPr>
          <w:lang w:val="en-US"/>
        </w:rPr>
        <w:t>; Ana María Velasco Rodríguez ha</w:t>
      </w:r>
      <w:r w:rsidR="006B526F" w:rsidRPr="00104227">
        <w:rPr>
          <w:lang w:val="en-US"/>
        </w:rPr>
        <w:t xml:space="preserve">d gone shopping for the Day of the Holy Cross </w:t>
      </w:r>
      <w:r w:rsidR="006053F3" w:rsidRPr="00104227">
        <w:rPr>
          <w:lang w:val="en-US"/>
        </w:rPr>
        <w:t>with</w:t>
      </w:r>
      <w:r w:rsidR="006B526F" w:rsidRPr="00104227">
        <w:rPr>
          <w:lang w:val="en-US"/>
        </w:rPr>
        <w:t xml:space="preserve"> her brother and sister-in-law, </w:t>
      </w:r>
      <w:r w:rsidR="00BF5241" w:rsidRPr="00104227">
        <w:rPr>
          <w:lang w:val="en-US"/>
        </w:rPr>
        <w:t xml:space="preserve">and </w:t>
      </w:r>
      <w:r w:rsidR="0047539E" w:rsidRPr="00104227">
        <w:rPr>
          <w:lang w:val="en-US"/>
        </w:rPr>
        <w:t>Angélica Patricia Torres</w:t>
      </w:r>
      <w:r w:rsidRPr="00104227">
        <w:rPr>
          <w:lang w:val="en-US"/>
        </w:rPr>
        <w:t xml:space="preserve"> Linares </w:t>
      </w:r>
      <w:r w:rsidR="006B526F" w:rsidRPr="00104227">
        <w:rPr>
          <w:lang w:val="en-US"/>
        </w:rPr>
        <w:t>was in</w:t>
      </w:r>
      <w:r w:rsidRPr="00104227">
        <w:rPr>
          <w:lang w:val="en-US"/>
        </w:rPr>
        <w:t xml:space="preserve"> San Salvador Atenco </w:t>
      </w:r>
      <w:r w:rsidR="006B526F" w:rsidRPr="00104227">
        <w:rPr>
          <w:lang w:val="en-US"/>
        </w:rPr>
        <w:t xml:space="preserve">gathering information for her thesis with a friend. </w:t>
      </w:r>
      <w:r w:rsidRPr="00104227">
        <w:rPr>
          <w:lang w:val="en-US"/>
        </w:rPr>
        <w:t>María Patricia Romero Hernández</w:t>
      </w:r>
      <w:r w:rsidR="00BF5241" w:rsidRPr="00104227">
        <w:rPr>
          <w:lang w:val="en-US"/>
        </w:rPr>
        <w:t xml:space="preserve"> and </w:t>
      </w:r>
      <w:r w:rsidRPr="00104227">
        <w:rPr>
          <w:lang w:val="en-US"/>
        </w:rPr>
        <w:t>María Cristina Sánchez Hernández</w:t>
      </w:r>
      <w:r w:rsidR="006B526F" w:rsidRPr="00104227">
        <w:rPr>
          <w:lang w:val="en-US"/>
        </w:rPr>
        <w:t>, by chance, were near</w:t>
      </w:r>
      <w:r w:rsidR="006E5DBA" w:rsidRPr="00104227">
        <w:rPr>
          <w:lang w:val="en-US"/>
        </w:rPr>
        <w:t>by</w:t>
      </w:r>
      <w:r w:rsidR="006B526F" w:rsidRPr="00104227">
        <w:rPr>
          <w:lang w:val="en-US"/>
        </w:rPr>
        <w:t xml:space="preserve"> where the protest took place; the former was on her way to open the family’s butcher’s shop in the market, together with her father and her son, while the latter was walking with her husband along the street with the flower warehouse, when they encountered the police operation. </w:t>
      </w:r>
    </w:p>
    <w:bookmarkEnd w:id="168"/>
    <w:p w14:paraId="4D93CA09" w14:textId="77777777" w:rsidR="008D3A5E" w:rsidRPr="00104227" w:rsidRDefault="008D3A5E" w:rsidP="00E4619F">
      <w:pPr>
        <w:tabs>
          <w:tab w:val="left" w:pos="567"/>
        </w:tabs>
      </w:pPr>
    </w:p>
    <w:p w14:paraId="0C94A24C" w14:textId="198ACA37" w:rsidR="006B526F" w:rsidRPr="00104227" w:rsidRDefault="006E5DBA" w:rsidP="00E4619F">
      <w:pPr>
        <w:pStyle w:val="Numberedparagraphs"/>
        <w:tabs>
          <w:tab w:val="left" w:pos="567"/>
        </w:tabs>
        <w:rPr>
          <w:lang w:val="en-US"/>
        </w:rPr>
      </w:pPr>
      <w:r w:rsidRPr="00104227">
        <w:rPr>
          <w:lang w:val="en-US"/>
        </w:rPr>
        <w:t xml:space="preserve">Regarding </w:t>
      </w:r>
      <w:r w:rsidR="006B526F" w:rsidRPr="00104227">
        <w:rPr>
          <w:lang w:val="en-US"/>
        </w:rPr>
        <w:t xml:space="preserve">the first three women, they all reported that, on encountering police agents who were attacking people and firing tear gas, they took refuge </w:t>
      </w:r>
      <w:r w:rsidRPr="00104227">
        <w:rPr>
          <w:lang w:val="en-US"/>
        </w:rPr>
        <w:t>i</w:t>
      </w:r>
      <w:r w:rsidR="006B526F" w:rsidRPr="00104227">
        <w:rPr>
          <w:lang w:val="en-US"/>
        </w:rPr>
        <w:t>n</w:t>
      </w:r>
      <w:r w:rsidRPr="00104227">
        <w:rPr>
          <w:lang w:val="en-US"/>
        </w:rPr>
        <w:t>side a</w:t>
      </w:r>
      <w:r w:rsidR="006B526F" w:rsidRPr="00104227">
        <w:rPr>
          <w:lang w:val="en-US"/>
        </w:rPr>
        <w:t xml:space="preserve"> private </w:t>
      </w:r>
      <w:r w:rsidRPr="00104227">
        <w:rPr>
          <w:lang w:val="en-US"/>
        </w:rPr>
        <w:t>home</w:t>
      </w:r>
      <w:r w:rsidR="006B526F" w:rsidRPr="00104227">
        <w:rPr>
          <w:lang w:val="en-US"/>
        </w:rPr>
        <w:t xml:space="preserve">, where the police entered and arrested them. They reported that “once they had been subdued, they were put on the floor,” one on top of another. The police also fired </w:t>
      </w:r>
      <w:r w:rsidRPr="00104227">
        <w:rPr>
          <w:lang w:val="en-US"/>
        </w:rPr>
        <w:t xml:space="preserve">tear </w:t>
      </w:r>
      <w:r w:rsidR="006B526F" w:rsidRPr="00104227">
        <w:rPr>
          <w:lang w:val="en-US"/>
        </w:rPr>
        <w:t>gas and pulled them out</w:t>
      </w:r>
      <w:r w:rsidR="00A80C2D" w:rsidRPr="00104227">
        <w:rPr>
          <w:lang w:val="en-US"/>
        </w:rPr>
        <w:t xml:space="preserve"> onto the street</w:t>
      </w:r>
      <w:r w:rsidR="006B526F" w:rsidRPr="00104227">
        <w:rPr>
          <w:lang w:val="en-US"/>
        </w:rPr>
        <w:t xml:space="preserve"> by the hair, hitting them and insulting them.</w:t>
      </w:r>
    </w:p>
    <w:p w14:paraId="49893BB8" w14:textId="77777777" w:rsidR="008D3A5E" w:rsidRPr="00104227" w:rsidRDefault="008D3A5E" w:rsidP="00E4619F">
      <w:pPr>
        <w:tabs>
          <w:tab w:val="left" w:pos="567"/>
        </w:tabs>
        <w:rPr>
          <w:lang w:eastAsia="es-MX"/>
        </w:rPr>
      </w:pPr>
    </w:p>
    <w:p w14:paraId="087DC0B6" w14:textId="55F95CA5" w:rsidR="006B526F" w:rsidRPr="00104227" w:rsidRDefault="006B526F" w:rsidP="00E4619F">
      <w:pPr>
        <w:pStyle w:val="Numberedparagraphs"/>
        <w:tabs>
          <w:tab w:val="left" w:pos="567"/>
        </w:tabs>
        <w:rPr>
          <w:lang w:val="en-US"/>
        </w:rPr>
      </w:pPr>
      <w:bookmarkStart w:id="169" w:name="_Ref532907342"/>
      <w:r w:rsidRPr="00104227">
        <w:rPr>
          <w:lang w:val="en-US"/>
        </w:rPr>
        <w:t>I</w:t>
      </w:r>
      <w:r w:rsidR="008D3A5E" w:rsidRPr="00104227">
        <w:rPr>
          <w:lang w:val="en-US"/>
        </w:rPr>
        <w:t xml:space="preserve">n particular, </w:t>
      </w:r>
      <w:r w:rsidR="008D3A5E" w:rsidRPr="00104227">
        <w:rPr>
          <w:i/>
          <w:lang w:val="en-US"/>
        </w:rPr>
        <w:t>Yolanda Muñoz Diosdada</w:t>
      </w:r>
      <w:r w:rsidR="008D3A5E" w:rsidRPr="00104227">
        <w:rPr>
          <w:lang w:val="en-US"/>
        </w:rPr>
        <w:t xml:space="preserve"> indic</w:t>
      </w:r>
      <w:r w:rsidRPr="00104227">
        <w:rPr>
          <w:lang w:val="en-US"/>
        </w:rPr>
        <w:t>ated that she was</w:t>
      </w:r>
      <w:r w:rsidR="000A14CF" w:rsidRPr="00104227">
        <w:rPr>
          <w:lang w:val="en-US"/>
        </w:rPr>
        <w:t xml:space="preserve"> “</w:t>
      </w:r>
      <w:r w:rsidRPr="00104227">
        <w:rPr>
          <w:lang w:val="en-US"/>
        </w:rPr>
        <w:t>hit on the head and kicked.” Specifically, she recalled that a state police agent hit her left cheek with his closed fist, stating that they were all “whores, bitches, now</w:t>
      </w:r>
      <w:r w:rsidR="006E5DBA" w:rsidRPr="00104227">
        <w:rPr>
          <w:lang w:val="en-US"/>
        </w:rPr>
        <w:t xml:space="preserve"> you’re fucked”</w:t>
      </w:r>
      <w:r w:rsidRPr="00104227">
        <w:rPr>
          <w:lang w:val="en-US"/>
        </w:rPr>
        <w:t xml:space="preserve"> </w:t>
      </w:r>
      <w:r w:rsidR="00AF59B7" w:rsidRPr="00104227">
        <w:rPr>
          <w:lang w:val="en-US"/>
        </w:rPr>
        <w:t xml:space="preserve">and that “while the truck came, the state police continued to hit us. One of the police agents who was in the street said: </w:t>
      </w:r>
      <w:r w:rsidR="0079229B" w:rsidRPr="00104227">
        <w:rPr>
          <w:lang w:val="en-US"/>
        </w:rPr>
        <w:t>‘</w:t>
      </w:r>
      <w:r w:rsidR="00AF59B7" w:rsidRPr="00104227">
        <w:rPr>
          <w:lang w:val="en-US"/>
        </w:rPr>
        <w:t xml:space="preserve">stop hitting them because we’re going to get them out and the </w:t>
      </w:r>
      <w:r w:rsidR="006E5DBA" w:rsidRPr="00104227">
        <w:rPr>
          <w:lang w:val="en-US"/>
        </w:rPr>
        <w:t>media</w:t>
      </w:r>
      <w:r w:rsidR="00AF59B7" w:rsidRPr="00104227">
        <w:rPr>
          <w:lang w:val="en-US"/>
        </w:rPr>
        <w:t xml:space="preserve"> are here.</w:t>
      </w:r>
      <w:r w:rsidR="0079229B" w:rsidRPr="00104227">
        <w:rPr>
          <w:lang w:val="en-US"/>
        </w:rPr>
        <w:t>’</w:t>
      </w:r>
      <w:r w:rsidR="00AF59B7" w:rsidRPr="00104227">
        <w:rPr>
          <w:lang w:val="en-US"/>
        </w:rPr>
        <w:t>” She indicated that “finally, they lift</w:t>
      </w:r>
      <w:r w:rsidR="0079229B" w:rsidRPr="00104227">
        <w:rPr>
          <w:lang w:val="en-US"/>
        </w:rPr>
        <w:t>e</w:t>
      </w:r>
      <w:r w:rsidR="00AF59B7" w:rsidRPr="00104227">
        <w:rPr>
          <w:lang w:val="en-US"/>
        </w:rPr>
        <w:t xml:space="preserve">d her </w:t>
      </w:r>
      <w:r w:rsidR="0079229B" w:rsidRPr="00104227">
        <w:rPr>
          <w:lang w:val="en-US"/>
        </w:rPr>
        <w:t>up</w:t>
      </w:r>
      <w:r w:rsidR="00A80C2D" w:rsidRPr="00104227">
        <w:rPr>
          <w:lang w:val="en-US"/>
        </w:rPr>
        <w:t xml:space="preserve">, </w:t>
      </w:r>
      <w:r w:rsidR="00AF59B7" w:rsidRPr="00104227">
        <w:rPr>
          <w:lang w:val="en-US"/>
        </w:rPr>
        <w:t>cover</w:t>
      </w:r>
      <w:r w:rsidR="0079229B" w:rsidRPr="00104227">
        <w:rPr>
          <w:lang w:val="en-US"/>
        </w:rPr>
        <w:t>ed</w:t>
      </w:r>
      <w:r w:rsidR="00AF59B7" w:rsidRPr="00104227">
        <w:rPr>
          <w:lang w:val="en-US"/>
        </w:rPr>
        <w:t xml:space="preserve"> her face with her clothes, asking her not to lift up her head, and put her in the truck.” She state</w:t>
      </w:r>
      <w:r w:rsidR="0079229B" w:rsidRPr="00104227">
        <w:rPr>
          <w:lang w:val="en-US"/>
        </w:rPr>
        <w:t>d</w:t>
      </w:r>
      <w:r w:rsidR="00AF59B7" w:rsidRPr="00104227">
        <w:rPr>
          <w:lang w:val="en-US"/>
        </w:rPr>
        <w:t xml:space="preserve"> that the police told them loudly that, since no one knew the exact number of people who had been detained, they “were going to set fire to them or throw them in the </w:t>
      </w:r>
      <w:r w:rsidR="00A80C2D" w:rsidRPr="00104227">
        <w:rPr>
          <w:lang w:val="en-US"/>
        </w:rPr>
        <w:t>river</w:t>
      </w:r>
      <w:r w:rsidR="00AF59B7" w:rsidRPr="00104227">
        <w:rPr>
          <w:lang w:val="en-US"/>
        </w:rPr>
        <w:t>.” She added that, at some point, she lost sight of her son, and only saw him again in the prison, injured.</w:t>
      </w:r>
    </w:p>
    <w:bookmarkEnd w:id="169"/>
    <w:p w14:paraId="0A2FA5A1" w14:textId="77777777" w:rsidR="008D3A5E" w:rsidRPr="00104227" w:rsidRDefault="008D3A5E" w:rsidP="00E4619F">
      <w:pPr>
        <w:pStyle w:val="PrrafodeSentencia"/>
        <w:numPr>
          <w:ilvl w:val="0"/>
          <w:numId w:val="0"/>
        </w:numPr>
        <w:rPr>
          <w:lang w:val="en-US"/>
        </w:rPr>
      </w:pPr>
    </w:p>
    <w:p w14:paraId="56E36149" w14:textId="56544480" w:rsidR="00AF59B7" w:rsidRPr="00104227" w:rsidRDefault="008D3A5E" w:rsidP="00E4619F">
      <w:pPr>
        <w:pStyle w:val="Numberedparagraphs"/>
        <w:tabs>
          <w:tab w:val="left" w:pos="567"/>
        </w:tabs>
        <w:rPr>
          <w:lang w:val="en-US"/>
        </w:rPr>
      </w:pPr>
      <w:bookmarkStart w:id="170" w:name="_Ref532907996"/>
      <w:r w:rsidRPr="00104227">
        <w:rPr>
          <w:i/>
          <w:lang w:val="en-US"/>
        </w:rPr>
        <w:t>Ana María Velasco Rodríguez</w:t>
      </w:r>
      <w:r w:rsidRPr="00104227">
        <w:rPr>
          <w:lang w:val="en-US"/>
        </w:rPr>
        <w:t xml:space="preserve"> </w:t>
      </w:r>
      <w:r w:rsidR="00AF59B7" w:rsidRPr="00104227">
        <w:rPr>
          <w:lang w:val="en-US"/>
        </w:rPr>
        <w:t xml:space="preserve">indicated that she </w:t>
      </w:r>
      <w:r w:rsidR="00A80C2D" w:rsidRPr="00104227">
        <w:rPr>
          <w:lang w:val="en-US"/>
        </w:rPr>
        <w:t>had been</w:t>
      </w:r>
      <w:r w:rsidR="00AF59B7" w:rsidRPr="00104227">
        <w:rPr>
          <w:lang w:val="en-US"/>
        </w:rPr>
        <w:t xml:space="preserve"> beaten with batons and kicked on different part of her body and that a woman from the state police took her belongings and slapped her. In particular, she recalled that they asked her who Ignacio del Valle was and, when she </w:t>
      </w:r>
      <w:r w:rsidR="00A80C2D" w:rsidRPr="00104227">
        <w:rPr>
          <w:lang w:val="en-US"/>
        </w:rPr>
        <w:t xml:space="preserve">said </w:t>
      </w:r>
      <w:r w:rsidR="00AF59B7" w:rsidRPr="00104227">
        <w:rPr>
          <w:lang w:val="en-US"/>
        </w:rPr>
        <w:t xml:space="preserve">she did not know him, they hit her and </w:t>
      </w:r>
      <w:r w:rsidR="0079229B" w:rsidRPr="00104227">
        <w:rPr>
          <w:lang w:val="en-US"/>
        </w:rPr>
        <w:t>ranted at her with</w:t>
      </w:r>
      <w:r w:rsidR="00AF59B7" w:rsidRPr="00104227">
        <w:rPr>
          <w:lang w:val="en-US"/>
        </w:rPr>
        <w:t xml:space="preserve"> “words such as ‘bitch’ and ‘whore.’”</w:t>
      </w:r>
      <w:r w:rsidR="005D06A6" w:rsidRPr="00104227">
        <w:rPr>
          <w:lang w:val="en-US"/>
        </w:rPr>
        <w:t xml:space="preserve"> In addition, she reported that, seeing that she was not bleeding, “they used more force and said</w:t>
      </w:r>
      <w:r w:rsidR="00707CAE" w:rsidRPr="00104227">
        <w:rPr>
          <w:lang w:val="en-US"/>
        </w:rPr>
        <w:t>:</w:t>
      </w:r>
      <w:r w:rsidR="005D06A6" w:rsidRPr="00104227">
        <w:rPr>
          <w:lang w:val="en-US"/>
        </w:rPr>
        <w:t xml:space="preserve"> ‘this bitch is clean, hit her more,’ while they continued to kick her and beat her with batons.” </w:t>
      </w:r>
    </w:p>
    <w:bookmarkEnd w:id="170"/>
    <w:p w14:paraId="38A7AC2D" w14:textId="77777777" w:rsidR="008D3A5E" w:rsidRPr="00104227" w:rsidRDefault="008D3A5E" w:rsidP="00E4619F">
      <w:pPr>
        <w:tabs>
          <w:tab w:val="left" w:pos="567"/>
        </w:tabs>
        <w:rPr>
          <w:lang w:eastAsia="es-MX"/>
        </w:rPr>
      </w:pPr>
    </w:p>
    <w:p w14:paraId="1385091A" w14:textId="65632E3B" w:rsidR="008D3A5E" w:rsidRPr="00104227" w:rsidRDefault="0047539E" w:rsidP="00E4619F">
      <w:pPr>
        <w:pStyle w:val="Numberedparagraphs"/>
        <w:tabs>
          <w:tab w:val="left" w:pos="567"/>
        </w:tabs>
        <w:rPr>
          <w:lang w:val="en-US"/>
        </w:rPr>
      </w:pPr>
      <w:bookmarkStart w:id="171" w:name="_Ref532908444"/>
      <w:r w:rsidRPr="00104227">
        <w:rPr>
          <w:i/>
          <w:lang w:val="en-US"/>
        </w:rPr>
        <w:t>Angélica Patricia Torres</w:t>
      </w:r>
      <w:r w:rsidR="008D3A5E" w:rsidRPr="00104227">
        <w:rPr>
          <w:i/>
          <w:lang w:val="en-US"/>
        </w:rPr>
        <w:t xml:space="preserve"> Linares</w:t>
      </w:r>
      <w:r w:rsidR="008D3A5E" w:rsidRPr="00104227">
        <w:rPr>
          <w:lang w:val="en-US"/>
        </w:rPr>
        <w:t xml:space="preserve"> r</w:t>
      </w:r>
      <w:r w:rsidR="002C4CAD" w:rsidRPr="00104227">
        <w:rPr>
          <w:lang w:val="en-US"/>
        </w:rPr>
        <w:t>eported</w:t>
      </w:r>
      <w:r w:rsidR="0079229B" w:rsidRPr="00104227">
        <w:rPr>
          <w:lang w:val="en-US"/>
        </w:rPr>
        <w:t xml:space="preserve"> </w:t>
      </w:r>
      <w:r w:rsidR="002C4CAD" w:rsidRPr="00104227">
        <w:rPr>
          <w:lang w:val="en-US"/>
        </w:rPr>
        <w:t xml:space="preserve">that the police placed her </w:t>
      </w:r>
      <w:r w:rsidR="000A14CF" w:rsidRPr="00104227">
        <w:rPr>
          <w:lang w:val="en-US"/>
        </w:rPr>
        <w:t>against</w:t>
      </w:r>
      <w:r w:rsidR="002C4CAD" w:rsidRPr="00104227">
        <w:rPr>
          <w:lang w:val="en-US"/>
        </w:rPr>
        <w:t xml:space="preserve"> a wall and beat her with a baton while they questioned her. She stressed that this interrogation was filmed and that, after she had answered the questions, the police threatened her, saying: </w:t>
      </w:r>
      <w:r w:rsidR="008D3A5E" w:rsidRPr="00104227">
        <w:rPr>
          <w:lang w:val="en-US"/>
        </w:rPr>
        <w:t>“</w:t>
      </w:r>
      <w:r w:rsidR="002C4CAD" w:rsidRPr="00104227">
        <w:rPr>
          <w:lang w:val="en-US"/>
        </w:rPr>
        <w:t>now we</w:t>
      </w:r>
      <w:r w:rsidR="0079229B" w:rsidRPr="00104227">
        <w:rPr>
          <w:lang w:val="en-US"/>
        </w:rPr>
        <w:t>’v</w:t>
      </w:r>
      <w:r w:rsidR="002C4CAD" w:rsidRPr="00104227">
        <w:rPr>
          <w:lang w:val="en-US"/>
        </w:rPr>
        <w:t>e</w:t>
      </w:r>
      <w:r w:rsidR="0079229B" w:rsidRPr="00104227">
        <w:rPr>
          <w:lang w:val="en-US"/>
        </w:rPr>
        <w:t xml:space="preserve"> got</w:t>
      </w:r>
      <w:r w:rsidR="002C4CAD" w:rsidRPr="00104227">
        <w:rPr>
          <w:lang w:val="en-US"/>
        </w:rPr>
        <w:t xml:space="preserve"> your name and address, you and your family</w:t>
      </w:r>
      <w:r w:rsidR="008D3A5E" w:rsidRPr="00104227">
        <w:rPr>
          <w:lang w:val="en-US"/>
        </w:rPr>
        <w:t xml:space="preserve"> </w:t>
      </w:r>
      <w:r w:rsidR="0079229B" w:rsidRPr="00104227">
        <w:rPr>
          <w:lang w:val="en-US"/>
        </w:rPr>
        <w:t>are fucked</w:t>
      </w:r>
      <w:r w:rsidR="002C4CAD" w:rsidRPr="00104227">
        <w:rPr>
          <w:lang w:val="en-US"/>
        </w:rPr>
        <w:t>.</w:t>
      </w:r>
      <w:r w:rsidR="008D3A5E" w:rsidRPr="00104227">
        <w:rPr>
          <w:lang w:val="en-US"/>
        </w:rPr>
        <w:t>”</w:t>
      </w:r>
      <w:r w:rsidR="002C4CAD" w:rsidRPr="00104227">
        <w:rPr>
          <w:lang w:val="en-US"/>
        </w:rPr>
        <w:t xml:space="preserve"> She indicated that in addition to the death threats, the police agents threatened to rape her</w:t>
      </w:r>
      <w:r w:rsidR="00A80C2D" w:rsidRPr="00104227">
        <w:rPr>
          <w:lang w:val="en-US"/>
        </w:rPr>
        <w:t>; in particular,</w:t>
      </w:r>
      <w:r w:rsidR="002C4CAD" w:rsidRPr="00104227">
        <w:rPr>
          <w:lang w:val="en-US"/>
        </w:rPr>
        <w:t xml:space="preserve"> she underscored</w:t>
      </w:r>
      <w:r w:rsidR="00A80C2D" w:rsidRPr="00104227">
        <w:rPr>
          <w:lang w:val="en-US"/>
        </w:rPr>
        <w:t xml:space="preserve"> </w:t>
      </w:r>
      <w:r w:rsidR="002C4CAD" w:rsidRPr="00104227">
        <w:rPr>
          <w:lang w:val="en-US"/>
        </w:rPr>
        <w:t xml:space="preserve">that a female police agent “seeing the fear in </w:t>
      </w:r>
      <w:r w:rsidR="00A80C2D" w:rsidRPr="00104227">
        <w:rPr>
          <w:lang w:val="en-US"/>
        </w:rPr>
        <w:t>[</w:t>
      </w:r>
      <w:r w:rsidR="002C4CAD" w:rsidRPr="00104227">
        <w:rPr>
          <w:lang w:val="en-US"/>
        </w:rPr>
        <w:t>her</w:t>
      </w:r>
      <w:r w:rsidR="00A80C2D" w:rsidRPr="00104227">
        <w:rPr>
          <w:lang w:val="en-US"/>
        </w:rPr>
        <w:t>]</w:t>
      </w:r>
      <w:r w:rsidR="002C4CAD" w:rsidRPr="00104227">
        <w:rPr>
          <w:lang w:val="en-US"/>
        </w:rPr>
        <w:t xml:space="preserve"> face as [she …] looked at the police agent who was giving orders, said to </w:t>
      </w:r>
      <w:r w:rsidR="00A80C2D" w:rsidRPr="00104227">
        <w:rPr>
          <w:lang w:val="en-US"/>
        </w:rPr>
        <w:t>[</w:t>
      </w:r>
      <w:r w:rsidR="002C4CAD" w:rsidRPr="00104227">
        <w:rPr>
          <w:lang w:val="en-US"/>
        </w:rPr>
        <w:t>her</w:t>
      </w:r>
      <w:r w:rsidR="00A80C2D" w:rsidRPr="00104227">
        <w:rPr>
          <w:lang w:val="en-US"/>
        </w:rPr>
        <w:t>]</w:t>
      </w:r>
      <w:r w:rsidR="002C4CAD" w:rsidRPr="00104227">
        <w:rPr>
          <w:lang w:val="en-US"/>
        </w:rPr>
        <w:t>: ‘what, you liked it? Well, soon they’re all going to rape you</w:t>
      </w:r>
      <w:r w:rsidR="0079229B" w:rsidRPr="00104227">
        <w:rPr>
          <w:lang w:val="en-US"/>
        </w:rPr>
        <w:t>, bitch</w:t>
      </w:r>
      <w:r w:rsidR="002C4CAD" w:rsidRPr="00104227">
        <w:rPr>
          <w:lang w:val="en-US" w:eastAsia="ko-KR"/>
        </w:rPr>
        <w:t>.</w:t>
      </w:r>
      <w:r w:rsidR="008D3A5E" w:rsidRPr="00104227">
        <w:rPr>
          <w:lang w:val="en-US" w:eastAsia="ko-KR"/>
        </w:rPr>
        <w:t>’”</w:t>
      </w:r>
      <w:r w:rsidR="002C4CAD" w:rsidRPr="00104227">
        <w:rPr>
          <w:lang w:val="en-US" w:eastAsia="ko-KR"/>
        </w:rPr>
        <w:t xml:space="preserve"> She added that, while she was being beate</w:t>
      </w:r>
      <w:r w:rsidR="000A14CF" w:rsidRPr="00104227">
        <w:rPr>
          <w:lang w:val="en-US" w:eastAsia="ko-KR"/>
        </w:rPr>
        <w:t>n</w:t>
      </w:r>
      <w:r w:rsidR="002C4CAD" w:rsidRPr="00104227">
        <w:rPr>
          <w:lang w:val="en-US" w:eastAsia="ko-KR"/>
        </w:rPr>
        <w:t xml:space="preserve">, they asked her </w:t>
      </w:r>
      <w:r w:rsidR="004B2DE9" w:rsidRPr="00104227">
        <w:rPr>
          <w:lang w:val="en-US" w:eastAsia="ko-KR"/>
        </w:rPr>
        <w:t xml:space="preserve">what she was </w:t>
      </w:r>
      <w:r w:rsidR="002C4CAD" w:rsidRPr="00104227">
        <w:rPr>
          <w:lang w:val="en-US" w:eastAsia="ko-KR"/>
        </w:rPr>
        <w:t>doing there</w:t>
      </w:r>
      <w:r w:rsidR="004B2DE9" w:rsidRPr="00104227">
        <w:rPr>
          <w:lang w:val="en-US" w:eastAsia="ko-KR"/>
        </w:rPr>
        <w:t xml:space="preserve"> and said</w:t>
      </w:r>
      <w:r w:rsidR="00A80C2D" w:rsidRPr="00104227">
        <w:rPr>
          <w:lang w:val="en-US" w:eastAsia="ko-KR"/>
        </w:rPr>
        <w:t>,</w:t>
      </w:r>
      <w:r w:rsidR="004B2DE9" w:rsidRPr="00104227">
        <w:rPr>
          <w:lang w:val="en-US" w:eastAsia="ko-KR"/>
        </w:rPr>
        <w:t xml:space="preserve"> “w</w:t>
      </w:r>
      <w:r w:rsidR="002C4CAD" w:rsidRPr="00104227">
        <w:rPr>
          <w:lang w:val="en-US" w:eastAsia="ko-KR"/>
        </w:rPr>
        <w:t xml:space="preserve">omen </w:t>
      </w:r>
      <w:r w:rsidR="004B2DE9" w:rsidRPr="00104227">
        <w:rPr>
          <w:lang w:val="en-US" w:eastAsia="ko-KR"/>
        </w:rPr>
        <w:t xml:space="preserve">are </w:t>
      </w:r>
      <w:r w:rsidR="002C4CAD" w:rsidRPr="00104227">
        <w:rPr>
          <w:lang w:val="en-US" w:eastAsia="ko-KR"/>
        </w:rPr>
        <w:t xml:space="preserve">only useful for making tortillas, that </w:t>
      </w:r>
      <w:r w:rsidR="00627A76">
        <w:rPr>
          <w:lang w:val="en-US" w:eastAsia="ko-KR"/>
        </w:rPr>
        <w:t>[she]</w:t>
      </w:r>
      <w:r w:rsidR="002C4CAD" w:rsidRPr="00104227">
        <w:rPr>
          <w:lang w:val="en-US" w:eastAsia="ko-KR"/>
        </w:rPr>
        <w:t xml:space="preserve"> should be at home; that this was happening to </w:t>
      </w:r>
      <w:r w:rsidR="00627A76">
        <w:rPr>
          <w:lang w:val="en-US" w:eastAsia="ko-KR"/>
        </w:rPr>
        <w:t>[her]</w:t>
      </w:r>
      <w:r w:rsidR="002C4CAD" w:rsidRPr="00104227">
        <w:rPr>
          <w:lang w:val="en-US" w:eastAsia="ko-KR"/>
        </w:rPr>
        <w:t xml:space="preserve"> because </w:t>
      </w:r>
      <w:r w:rsidR="00627A76">
        <w:rPr>
          <w:lang w:val="en-US" w:eastAsia="ko-KR"/>
        </w:rPr>
        <w:t>[she]</w:t>
      </w:r>
      <w:r w:rsidR="002C4CAD" w:rsidRPr="00104227">
        <w:rPr>
          <w:lang w:val="en-US" w:eastAsia="ko-KR"/>
        </w:rPr>
        <w:t xml:space="preserve"> was not at home.” After questioning her, they pushed her </w:t>
      </w:r>
      <w:r w:rsidR="002C4CAD" w:rsidRPr="00104227">
        <w:rPr>
          <w:lang w:val="en-US" w:eastAsia="ko-KR"/>
        </w:rPr>
        <w:lastRenderedPageBreak/>
        <w:t>against the wall, took away her belongings, the sweater she was wearing and her blouse, leaving her in her brassiere, and giving back some of her cloth</w:t>
      </w:r>
      <w:r w:rsidR="004B2DE9" w:rsidRPr="00104227">
        <w:rPr>
          <w:lang w:val="en-US" w:eastAsia="ko-KR"/>
        </w:rPr>
        <w:t>es</w:t>
      </w:r>
      <w:r w:rsidR="002C4CAD" w:rsidRPr="00104227">
        <w:rPr>
          <w:lang w:val="en-US" w:eastAsia="ko-KR"/>
        </w:rPr>
        <w:t xml:space="preserve"> later. She reported that they were taken out into the </w:t>
      </w:r>
      <w:r w:rsidR="004B2DE9" w:rsidRPr="00104227">
        <w:rPr>
          <w:lang w:val="en-US" w:eastAsia="ko-KR"/>
        </w:rPr>
        <w:t>s</w:t>
      </w:r>
      <w:r w:rsidR="002C4CAD" w:rsidRPr="00104227">
        <w:rPr>
          <w:lang w:val="en-US" w:eastAsia="ko-KR"/>
        </w:rPr>
        <w:t xml:space="preserve">treet, where the police began to hit </w:t>
      </w:r>
      <w:r w:rsidR="004B2DE9" w:rsidRPr="00104227">
        <w:rPr>
          <w:lang w:val="en-US" w:eastAsia="ko-KR"/>
        </w:rPr>
        <w:t>their</w:t>
      </w:r>
      <w:r w:rsidR="00D6191E" w:rsidRPr="00104227">
        <w:rPr>
          <w:lang w:val="en-US" w:eastAsia="ko-KR"/>
        </w:rPr>
        <w:t xml:space="preserve"> head</w:t>
      </w:r>
      <w:r w:rsidR="004B2DE9" w:rsidRPr="00104227">
        <w:rPr>
          <w:lang w:val="en-US" w:eastAsia="ko-KR"/>
        </w:rPr>
        <w:t>s</w:t>
      </w:r>
      <w:r w:rsidR="00D6191E" w:rsidRPr="00104227">
        <w:rPr>
          <w:lang w:val="en-US" w:eastAsia="ko-KR"/>
        </w:rPr>
        <w:t>, arms, shoulders and back</w:t>
      </w:r>
      <w:r w:rsidR="004B2DE9" w:rsidRPr="00104227">
        <w:rPr>
          <w:lang w:val="en-US" w:eastAsia="ko-KR"/>
        </w:rPr>
        <w:t>s</w:t>
      </w:r>
      <w:r w:rsidR="00D6191E" w:rsidRPr="00104227">
        <w:rPr>
          <w:lang w:val="en-US" w:eastAsia="ko-KR"/>
        </w:rPr>
        <w:t xml:space="preserve"> with something hard</w:t>
      </w:r>
      <w:r w:rsidR="008D3A5E" w:rsidRPr="00104227">
        <w:rPr>
          <w:lang w:val="en-US"/>
        </w:rPr>
        <w:t xml:space="preserve">. </w:t>
      </w:r>
      <w:r w:rsidR="00D6191E" w:rsidRPr="00104227">
        <w:rPr>
          <w:lang w:val="en-US"/>
        </w:rPr>
        <w:t>The</w:t>
      </w:r>
      <w:r w:rsidR="004B2DE9" w:rsidRPr="00104227">
        <w:rPr>
          <w:lang w:val="en-US"/>
        </w:rPr>
        <w:t xml:space="preserve"> police</w:t>
      </w:r>
      <w:r w:rsidR="00D6191E" w:rsidRPr="00104227">
        <w:rPr>
          <w:lang w:val="en-US"/>
        </w:rPr>
        <w:t xml:space="preserve"> continued to beat them while taking them to a bus in which there were other detainees and they </w:t>
      </w:r>
      <w:r w:rsidR="004B2DE9" w:rsidRPr="00104227">
        <w:rPr>
          <w:lang w:val="en-US"/>
        </w:rPr>
        <w:t xml:space="preserve">were </w:t>
      </w:r>
      <w:r w:rsidR="00D6191E" w:rsidRPr="00104227">
        <w:rPr>
          <w:lang w:val="en-US"/>
        </w:rPr>
        <w:t>piled on top of the others.</w:t>
      </w:r>
      <w:bookmarkEnd w:id="171"/>
    </w:p>
    <w:p w14:paraId="71BADA3F" w14:textId="77777777" w:rsidR="008D3A5E" w:rsidRPr="00104227" w:rsidRDefault="008D3A5E" w:rsidP="00E4619F">
      <w:pPr>
        <w:tabs>
          <w:tab w:val="left" w:pos="567"/>
        </w:tabs>
      </w:pPr>
    </w:p>
    <w:p w14:paraId="28539EBF" w14:textId="22E20001" w:rsidR="008D3A5E" w:rsidRPr="00104227" w:rsidRDefault="00A6777E" w:rsidP="005C0355">
      <w:pPr>
        <w:pStyle w:val="Numberedparagraphs"/>
        <w:tabs>
          <w:tab w:val="left" w:pos="567"/>
        </w:tabs>
        <w:rPr>
          <w:lang w:val="en-US"/>
        </w:rPr>
      </w:pPr>
      <w:bookmarkStart w:id="172" w:name="_Ref532907784"/>
      <w:r w:rsidRPr="00104227">
        <w:rPr>
          <w:lang w:val="en-US"/>
        </w:rPr>
        <w:t>In the case of the last two women who were detained on May 3, they were both carrying out their normal activities when they encountered the police</w:t>
      </w:r>
      <w:r w:rsidR="008D3A5E" w:rsidRPr="00104227">
        <w:rPr>
          <w:lang w:val="en-US"/>
        </w:rPr>
        <w:t xml:space="preserve">. </w:t>
      </w:r>
      <w:r w:rsidR="008D3A5E" w:rsidRPr="00104227">
        <w:rPr>
          <w:i/>
          <w:lang w:val="en-US"/>
        </w:rPr>
        <w:t>María Patricia Romero Hernández</w:t>
      </w:r>
      <w:r w:rsidR="008D3A5E" w:rsidRPr="00104227">
        <w:rPr>
          <w:lang w:val="en-US"/>
        </w:rPr>
        <w:t xml:space="preserve"> </w:t>
      </w:r>
      <w:r w:rsidRPr="00104227">
        <w:rPr>
          <w:lang w:val="en-US"/>
        </w:rPr>
        <w:t>was detained near her family’s butcher’s shop in the</w:t>
      </w:r>
      <w:r w:rsidR="008D3A5E" w:rsidRPr="00104227">
        <w:rPr>
          <w:lang w:val="en-US"/>
        </w:rPr>
        <w:t xml:space="preserve"> </w:t>
      </w:r>
      <w:r w:rsidR="00336FBE" w:rsidRPr="00104227">
        <w:rPr>
          <w:lang w:val="en-US"/>
        </w:rPr>
        <w:t>Belisario Domínguez market</w:t>
      </w:r>
      <w:r w:rsidR="008D3A5E" w:rsidRPr="00104227">
        <w:rPr>
          <w:lang w:val="en-US"/>
        </w:rPr>
        <w:t xml:space="preserve">, </w:t>
      </w:r>
      <w:r w:rsidRPr="00104227">
        <w:rPr>
          <w:lang w:val="en-US"/>
        </w:rPr>
        <w:t>together with her son and her father, after approaching one of the agents to ask why they were attacking the flower sellers. She recalled that, on seeing that her son was filming what was happening, the police began to hit him viciously and the Assistant Chief of Police ordered: “</w:t>
      </w:r>
      <w:r w:rsidR="004B2DE9" w:rsidRPr="00104227">
        <w:rPr>
          <w:lang w:val="en-US"/>
        </w:rPr>
        <w:t>hit him, the son of a bitch.”</w:t>
      </w:r>
      <w:r w:rsidRPr="00104227">
        <w:rPr>
          <w:lang w:val="en-US"/>
        </w:rPr>
        <w:t xml:space="preserve"> She reported that, on seeing this, she tried to approach her son in order to shield him, but three female police agents subdued her and she was then arrested by the municipal agents. She narrated that she was handcuffed</w:t>
      </w:r>
      <w:r w:rsidR="004B2DE9" w:rsidRPr="00104227">
        <w:rPr>
          <w:lang w:val="en-US"/>
        </w:rPr>
        <w:t xml:space="preserve"> and</w:t>
      </w:r>
      <w:r w:rsidRPr="00104227">
        <w:rPr>
          <w:lang w:val="en-US"/>
        </w:rPr>
        <w:t xml:space="preserve"> beaten, and her personal belongings and money were taken. Then, she was </w:t>
      </w:r>
      <w:r w:rsidR="005C0355" w:rsidRPr="00104227">
        <w:rPr>
          <w:lang w:val="en-US"/>
        </w:rPr>
        <w:t xml:space="preserve">forcibly transferred to a </w:t>
      </w:r>
      <w:r w:rsidR="004416D2" w:rsidRPr="00104227">
        <w:rPr>
          <w:lang w:val="en-US"/>
        </w:rPr>
        <w:t xml:space="preserve">municipal police </w:t>
      </w:r>
      <w:r w:rsidR="005C0355" w:rsidRPr="00104227">
        <w:rPr>
          <w:lang w:val="en-US"/>
        </w:rPr>
        <w:t xml:space="preserve">van </w:t>
      </w:r>
      <w:r w:rsidR="00BF5241" w:rsidRPr="00104227">
        <w:rPr>
          <w:lang w:val="en-US"/>
        </w:rPr>
        <w:t>an</w:t>
      </w:r>
      <w:r w:rsidR="004B2DE9" w:rsidRPr="00104227">
        <w:rPr>
          <w:lang w:val="en-US"/>
        </w:rPr>
        <w:t>d</w:t>
      </w:r>
      <w:r w:rsidR="005C0355" w:rsidRPr="00104227">
        <w:rPr>
          <w:lang w:val="en-US"/>
        </w:rPr>
        <w:t xml:space="preserve"> pushed in face down. </w:t>
      </w:r>
      <w:r w:rsidR="008D3A5E" w:rsidRPr="00104227">
        <w:rPr>
          <w:i/>
          <w:lang w:val="en-US"/>
        </w:rPr>
        <w:t>María Cristina Sánchez Hernández</w:t>
      </w:r>
      <w:r w:rsidR="008D3A5E" w:rsidRPr="00104227">
        <w:rPr>
          <w:lang w:val="en-US"/>
        </w:rPr>
        <w:t xml:space="preserve"> </w:t>
      </w:r>
      <w:r w:rsidR="005C0355" w:rsidRPr="00104227">
        <w:rPr>
          <w:lang w:val="en-US"/>
        </w:rPr>
        <w:t xml:space="preserve">was detained when she was walking with her husband </w:t>
      </w:r>
      <w:r w:rsidR="004B2DE9" w:rsidRPr="00104227">
        <w:rPr>
          <w:lang w:val="en-US"/>
        </w:rPr>
        <w:t>by</w:t>
      </w:r>
      <w:r w:rsidR="005C0355" w:rsidRPr="00104227">
        <w:rPr>
          <w:lang w:val="en-US"/>
        </w:rPr>
        <w:t xml:space="preserve"> the flower warehouse, whe</w:t>
      </w:r>
      <w:r w:rsidR="004B2DE9" w:rsidRPr="00104227">
        <w:rPr>
          <w:lang w:val="en-US"/>
        </w:rPr>
        <w:t>n</w:t>
      </w:r>
      <w:r w:rsidR="005C0355" w:rsidRPr="00104227">
        <w:rPr>
          <w:lang w:val="en-US"/>
        </w:rPr>
        <w:t xml:space="preserve"> the police entered using tea</w:t>
      </w:r>
      <w:r w:rsidR="004B2DE9" w:rsidRPr="00104227">
        <w:rPr>
          <w:lang w:val="en-US"/>
        </w:rPr>
        <w:t>r</w:t>
      </w:r>
      <w:r w:rsidR="005C0355" w:rsidRPr="00104227">
        <w:rPr>
          <w:lang w:val="en-US"/>
        </w:rPr>
        <w:t xml:space="preserve"> gas,</w:t>
      </w:r>
      <w:r w:rsidR="003C16A9" w:rsidRPr="00104227">
        <w:rPr>
          <w:lang w:val="en-US"/>
        </w:rPr>
        <w:t xml:space="preserve"> and</w:t>
      </w:r>
      <w:r w:rsidR="005C0355" w:rsidRPr="00104227">
        <w:rPr>
          <w:lang w:val="en-US"/>
        </w:rPr>
        <w:t xml:space="preserve"> hitting all those present</w:t>
      </w:r>
      <w:r w:rsidR="003C16A9" w:rsidRPr="00104227">
        <w:rPr>
          <w:lang w:val="en-US"/>
        </w:rPr>
        <w:t xml:space="preserve"> viciously</w:t>
      </w:r>
      <w:r w:rsidR="005C0355" w:rsidRPr="00104227">
        <w:rPr>
          <w:lang w:val="en-US"/>
        </w:rPr>
        <w:t xml:space="preserve">. She indicated that the police put her </w:t>
      </w:r>
      <w:r w:rsidR="003C16A9" w:rsidRPr="00104227">
        <w:rPr>
          <w:lang w:val="en-US"/>
        </w:rPr>
        <w:t xml:space="preserve">in </w:t>
      </w:r>
      <w:r w:rsidR="005C0355" w:rsidRPr="00104227">
        <w:rPr>
          <w:lang w:val="en-US"/>
        </w:rPr>
        <w:t>a truck, saying that they were going to kill them and throw them in the river</w:t>
      </w:r>
      <w:r w:rsidR="008D3A5E" w:rsidRPr="00104227">
        <w:rPr>
          <w:lang w:val="en-US"/>
        </w:rPr>
        <w:t>.</w:t>
      </w:r>
      <w:bookmarkEnd w:id="172"/>
    </w:p>
    <w:p w14:paraId="2AFDC29B" w14:textId="77777777" w:rsidR="008D3A5E" w:rsidRPr="00104227" w:rsidRDefault="008D3A5E" w:rsidP="00E4619F">
      <w:pPr>
        <w:tabs>
          <w:tab w:val="left" w:pos="567"/>
        </w:tabs>
        <w:rPr>
          <w:lang w:eastAsia="es-MX"/>
        </w:rPr>
      </w:pPr>
    </w:p>
    <w:p w14:paraId="641F7725" w14:textId="1FAFF63A" w:rsidR="008D3A5E" w:rsidRPr="00104227" w:rsidRDefault="00B851FA" w:rsidP="00E4619F">
      <w:pPr>
        <w:pStyle w:val="Numberedparagraphs"/>
        <w:tabs>
          <w:tab w:val="left" w:pos="567"/>
        </w:tabs>
        <w:rPr>
          <w:lang w:val="en-US"/>
        </w:rPr>
      </w:pPr>
      <w:r w:rsidRPr="00104227">
        <w:rPr>
          <w:lang w:val="en-US"/>
        </w:rPr>
        <w:t>On May 4,</w:t>
      </w:r>
      <w:r w:rsidR="008D3A5E" w:rsidRPr="00104227">
        <w:rPr>
          <w:lang w:val="en-US"/>
        </w:rPr>
        <w:t xml:space="preserve"> 2006</w:t>
      </w:r>
      <w:r w:rsidR="005C0355" w:rsidRPr="00104227">
        <w:rPr>
          <w:lang w:val="en-US"/>
        </w:rPr>
        <w:t>,</w:t>
      </w:r>
      <w:r w:rsidR="008D3A5E" w:rsidRPr="00104227">
        <w:rPr>
          <w:lang w:val="en-US"/>
        </w:rPr>
        <w:t xml:space="preserve"> Norma Aidé Jiménez Osorio</w:t>
      </w:r>
      <w:r w:rsidR="005C0355" w:rsidRPr="00104227">
        <w:rPr>
          <w:lang w:val="en-US"/>
        </w:rPr>
        <w:t>,</w:t>
      </w:r>
      <w:r w:rsidR="008D3A5E" w:rsidRPr="00104227">
        <w:rPr>
          <w:rStyle w:val="Refdenotaalpie"/>
          <w:lang w:val="en-US"/>
        </w:rPr>
        <w:footnoteReference w:id="113"/>
      </w:r>
      <w:r w:rsidR="008D3A5E" w:rsidRPr="00104227">
        <w:rPr>
          <w:lang w:val="en-US"/>
        </w:rPr>
        <w:t xml:space="preserve"> Claudia Hernández Martínez</w:t>
      </w:r>
      <w:r w:rsidR="005C0355" w:rsidRPr="00104227">
        <w:rPr>
          <w:lang w:val="en-US"/>
        </w:rPr>
        <w:t>,</w:t>
      </w:r>
      <w:r w:rsidR="008D3A5E" w:rsidRPr="00104227">
        <w:rPr>
          <w:rStyle w:val="Refdenotaalpie"/>
          <w:lang w:val="en-US"/>
        </w:rPr>
        <w:footnoteReference w:id="114"/>
      </w:r>
      <w:r w:rsidR="008D3A5E" w:rsidRPr="00104227">
        <w:rPr>
          <w:lang w:val="en-US"/>
        </w:rPr>
        <w:t xml:space="preserve"> Mariana Selvas Gómez</w:t>
      </w:r>
      <w:r w:rsidR="005C0355" w:rsidRPr="00104227">
        <w:rPr>
          <w:lang w:val="en-US"/>
        </w:rPr>
        <w:t>,</w:t>
      </w:r>
      <w:r w:rsidR="008D3A5E" w:rsidRPr="00104227">
        <w:rPr>
          <w:rStyle w:val="Refdenotaalpie"/>
          <w:lang w:val="en-US"/>
        </w:rPr>
        <w:footnoteReference w:id="115"/>
      </w:r>
      <w:r w:rsidR="008D3A5E" w:rsidRPr="00104227">
        <w:rPr>
          <w:lang w:val="en-US"/>
        </w:rPr>
        <w:t xml:space="preserve"> Georgina Edith </w:t>
      </w:r>
      <w:r w:rsidR="00EA79B3" w:rsidRPr="00104227">
        <w:rPr>
          <w:lang w:val="en-US"/>
        </w:rPr>
        <w:t xml:space="preserve">Rosales </w:t>
      </w:r>
      <w:r w:rsidR="008D3A5E" w:rsidRPr="00104227">
        <w:rPr>
          <w:lang w:val="en-US"/>
        </w:rPr>
        <w:t>Gutiérrez</w:t>
      </w:r>
      <w:r w:rsidR="005C0355" w:rsidRPr="00104227">
        <w:rPr>
          <w:lang w:val="en-US"/>
        </w:rPr>
        <w:t>,</w:t>
      </w:r>
      <w:r w:rsidR="008D3A5E" w:rsidRPr="00104227">
        <w:rPr>
          <w:rStyle w:val="Refdenotaalpie"/>
          <w:lang w:val="en-US"/>
        </w:rPr>
        <w:footnoteReference w:id="116"/>
      </w:r>
      <w:r w:rsidR="008D3A5E" w:rsidRPr="00104227">
        <w:rPr>
          <w:lang w:val="en-US"/>
        </w:rPr>
        <w:t xml:space="preserve"> Suhelen Gabriela Cuevas Jaramillo</w:t>
      </w:r>
      <w:r w:rsidR="008D3A5E" w:rsidRPr="00104227">
        <w:rPr>
          <w:rStyle w:val="Refdenotaalpie"/>
          <w:lang w:val="en-US"/>
        </w:rPr>
        <w:footnoteReference w:id="117"/>
      </w:r>
      <w:r w:rsidR="00BF5241" w:rsidRPr="00104227">
        <w:rPr>
          <w:lang w:val="en-US"/>
        </w:rPr>
        <w:t xml:space="preserve"> and </w:t>
      </w:r>
      <w:r w:rsidR="008D3A5E" w:rsidRPr="00104227">
        <w:rPr>
          <w:lang w:val="en-US"/>
        </w:rPr>
        <w:t>Bárbara Italia Méndez Moreno</w:t>
      </w:r>
      <w:r w:rsidR="005C0355" w:rsidRPr="00104227">
        <w:rPr>
          <w:lang w:val="en-US"/>
        </w:rPr>
        <w:t xml:space="preserve"> were detained</w:t>
      </w:r>
      <w:r w:rsidR="00015517" w:rsidRPr="00104227">
        <w:rPr>
          <w:lang w:val="en-US"/>
        </w:rPr>
        <w:t>.</w:t>
      </w:r>
      <w:r w:rsidR="008D3A5E" w:rsidRPr="00104227">
        <w:rPr>
          <w:rStyle w:val="Refdenotaalpie"/>
          <w:lang w:val="en-US"/>
        </w:rPr>
        <w:footnoteReference w:id="118"/>
      </w:r>
      <w:r w:rsidR="008D3A5E" w:rsidRPr="00104227">
        <w:rPr>
          <w:lang w:val="en-US"/>
        </w:rPr>
        <w:t xml:space="preserve"> </w:t>
      </w:r>
    </w:p>
    <w:p w14:paraId="262AA12E" w14:textId="77777777" w:rsidR="008D3A5E" w:rsidRPr="00104227" w:rsidRDefault="008D3A5E" w:rsidP="00E4619F">
      <w:pPr>
        <w:tabs>
          <w:tab w:val="left" w:pos="567"/>
        </w:tabs>
        <w:rPr>
          <w:lang w:eastAsia="es-MX"/>
        </w:rPr>
      </w:pPr>
    </w:p>
    <w:p w14:paraId="4C763A47" w14:textId="0174A7A7" w:rsidR="008D3A5E" w:rsidRPr="00104227" w:rsidRDefault="005C0355" w:rsidP="006F729E">
      <w:pPr>
        <w:pStyle w:val="Numberedparagraphs"/>
        <w:tabs>
          <w:tab w:val="left" w:pos="567"/>
        </w:tabs>
        <w:rPr>
          <w:lang w:val="en-US"/>
        </w:rPr>
      </w:pPr>
      <w:bookmarkStart w:id="173" w:name="_Ref532894540"/>
      <w:r w:rsidRPr="00104227">
        <w:rPr>
          <w:lang w:val="en-US"/>
        </w:rPr>
        <w:t xml:space="preserve">Regarding the circumstances of their detention, </w:t>
      </w:r>
      <w:r w:rsidR="008D3A5E" w:rsidRPr="00104227">
        <w:rPr>
          <w:lang w:val="en-US"/>
        </w:rPr>
        <w:t>Norma Aidé Jiménez Osorio</w:t>
      </w:r>
      <w:r w:rsidR="00BF5241" w:rsidRPr="00104227">
        <w:rPr>
          <w:lang w:val="en-US"/>
        </w:rPr>
        <w:t xml:space="preserve"> and </w:t>
      </w:r>
      <w:r w:rsidR="008D3A5E" w:rsidRPr="00104227">
        <w:rPr>
          <w:lang w:val="en-US"/>
        </w:rPr>
        <w:t xml:space="preserve">Claudia Hernández Martínez </w:t>
      </w:r>
      <w:r w:rsidRPr="00104227">
        <w:rPr>
          <w:lang w:val="en-US"/>
        </w:rPr>
        <w:t xml:space="preserve">were walking along a street in </w:t>
      </w:r>
      <w:r w:rsidR="008D3A5E" w:rsidRPr="00104227">
        <w:rPr>
          <w:lang w:val="en-US"/>
        </w:rPr>
        <w:t xml:space="preserve">San Salvador Atenco. </w:t>
      </w:r>
      <w:r w:rsidRPr="00104227">
        <w:rPr>
          <w:lang w:val="en-US"/>
        </w:rPr>
        <w:t xml:space="preserve">The former was going to catch a bus to school after finishing a job covering a news item, while the latter was doing research for her thesis. They both reported that, while walking along the street, police agents </w:t>
      </w:r>
      <w:r w:rsidRPr="00104227">
        <w:rPr>
          <w:lang w:val="en-US"/>
        </w:rPr>
        <w:lastRenderedPageBreak/>
        <w:t>attacked them and pushed them into a</w:t>
      </w:r>
      <w:r w:rsidR="00A80C2D" w:rsidRPr="00104227">
        <w:rPr>
          <w:lang w:val="en-US"/>
        </w:rPr>
        <w:t xml:space="preserve"> </w:t>
      </w:r>
      <w:r w:rsidRPr="00104227">
        <w:rPr>
          <w:lang w:val="en-US"/>
        </w:rPr>
        <w:t>ve</w:t>
      </w:r>
      <w:r w:rsidR="00A80C2D" w:rsidRPr="00104227">
        <w:rPr>
          <w:lang w:val="en-US"/>
        </w:rPr>
        <w:t>h</w:t>
      </w:r>
      <w:r w:rsidRPr="00104227">
        <w:rPr>
          <w:lang w:val="en-US"/>
        </w:rPr>
        <w:t>icle.</w:t>
      </w:r>
      <w:r w:rsidR="006F729E" w:rsidRPr="00104227">
        <w:rPr>
          <w:lang w:val="en-US"/>
        </w:rPr>
        <w:t xml:space="preserve"> In particular, </w:t>
      </w:r>
      <w:r w:rsidR="008D3A5E" w:rsidRPr="00104227">
        <w:rPr>
          <w:i/>
          <w:lang w:val="en-US"/>
        </w:rPr>
        <w:t>Norma Aidé Jiménez Osorio</w:t>
      </w:r>
      <w:r w:rsidR="008D3A5E" w:rsidRPr="00104227">
        <w:rPr>
          <w:lang w:val="en-US"/>
        </w:rPr>
        <w:t xml:space="preserve"> re</w:t>
      </w:r>
      <w:r w:rsidR="006F729E" w:rsidRPr="00104227">
        <w:rPr>
          <w:lang w:val="en-US"/>
        </w:rPr>
        <w:t>counted that</w:t>
      </w:r>
      <w:r w:rsidR="008D3A5E" w:rsidRPr="00104227">
        <w:rPr>
          <w:lang w:val="en-US"/>
        </w:rPr>
        <w:t xml:space="preserve"> “</w:t>
      </w:r>
      <w:r w:rsidR="006F729E" w:rsidRPr="00104227">
        <w:rPr>
          <w:lang w:val="en-US"/>
        </w:rPr>
        <w:t>the police blocked the street</w:t>
      </w:r>
      <w:r w:rsidR="00A80C2D" w:rsidRPr="00104227">
        <w:rPr>
          <w:lang w:val="en-US"/>
        </w:rPr>
        <w:t>;</w:t>
      </w:r>
      <w:r w:rsidR="006F729E" w:rsidRPr="00104227">
        <w:rPr>
          <w:lang w:val="en-US"/>
        </w:rPr>
        <w:t xml:space="preserve"> </w:t>
      </w:r>
      <w:r w:rsidR="00A80C2D" w:rsidRPr="00104227">
        <w:rPr>
          <w:lang w:val="en-US"/>
        </w:rPr>
        <w:t>we</w:t>
      </w:r>
      <w:r w:rsidR="006F729E" w:rsidRPr="00104227">
        <w:rPr>
          <w:lang w:val="en-US"/>
        </w:rPr>
        <w:t xml:space="preserve"> hear</w:t>
      </w:r>
      <w:r w:rsidR="003C16A9" w:rsidRPr="00104227">
        <w:rPr>
          <w:lang w:val="en-US"/>
        </w:rPr>
        <w:t>d</w:t>
      </w:r>
      <w:r w:rsidR="006F729E" w:rsidRPr="00104227">
        <w:rPr>
          <w:lang w:val="en-US"/>
        </w:rPr>
        <w:t xml:space="preserve"> cries, people were running and </w:t>
      </w:r>
      <w:r w:rsidR="00A80C2D" w:rsidRPr="00104227">
        <w:rPr>
          <w:lang w:val="en-US"/>
        </w:rPr>
        <w:t>I</w:t>
      </w:r>
      <w:r w:rsidR="006F729E" w:rsidRPr="00104227">
        <w:rPr>
          <w:lang w:val="en-US"/>
        </w:rPr>
        <w:t xml:space="preserve"> received a blow </w:t>
      </w:r>
      <w:r w:rsidR="003C16A9" w:rsidRPr="00104227">
        <w:rPr>
          <w:lang w:val="en-US"/>
        </w:rPr>
        <w:t>to</w:t>
      </w:r>
      <w:r w:rsidR="006F729E" w:rsidRPr="00104227">
        <w:rPr>
          <w:lang w:val="en-US"/>
        </w:rPr>
        <w:t xml:space="preserve"> the back of </w:t>
      </w:r>
      <w:r w:rsidR="00A80C2D" w:rsidRPr="00104227">
        <w:rPr>
          <w:lang w:val="en-US"/>
        </w:rPr>
        <w:t>my</w:t>
      </w:r>
      <w:r w:rsidR="006F729E" w:rsidRPr="00104227">
        <w:rPr>
          <w:lang w:val="en-US"/>
        </w:rPr>
        <w:t xml:space="preserve"> neck and fell down; they pulled </w:t>
      </w:r>
      <w:r w:rsidR="00A80C2D" w:rsidRPr="00104227">
        <w:rPr>
          <w:lang w:val="en-US"/>
        </w:rPr>
        <w:t>my</w:t>
      </w:r>
      <w:r w:rsidR="006F729E" w:rsidRPr="00104227">
        <w:rPr>
          <w:lang w:val="en-US"/>
        </w:rPr>
        <w:t xml:space="preserve"> sweater over </w:t>
      </w:r>
      <w:r w:rsidR="00A80C2D" w:rsidRPr="00104227">
        <w:rPr>
          <w:lang w:val="en-US"/>
        </w:rPr>
        <w:t>my</w:t>
      </w:r>
      <w:r w:rsidR="006F729E" w:rsidRPr="00104227">
        <w:rPr>
          <w:lang w:val="en-US"/>
        </w:rPr>
        <w:t xml:space="preserve"> head and continued to hit </w:t>
      </w:r>
      <w:r w:rsidR="00A80C2D" w:rsidRPr="00104227">
        <w:rPr>
          <w:lang w:val="en-US"/>
        </w:rPr>
        <w:t>me</w:t>
      </w:r>
      <w:r w:rsidR="006F729E" w:rsidRPr="00104227">
        <w:rPr>
          <w:lang w:val="en-US"/>
        </w:rPr>
        <w:t xml:space="preserve">.” She stated that the police lifted her up with the sweater over her head, gripped her tightly, beat her stomach, arms and legs, touched her buttocks, took away her backpack and made her get into a bus. She added that she told the police that she was on a reporting assignment, and they mocked her and continued to beat her for several minutes. They also took away her camera and asked for her </w:t>
      </w:r>
      <w:r w:rsidR="00595698" w:rsidRPr="00104227">
        <w:rPr>
          <w:lang w:val="en-US"/>
        </w:rPr>
        <w:t>personal data</w:t>
      </w:r>
      <w:r w:rsidR="006F729E" w:rsidRPr="00104227">
        <w:rPr>
          <w:lang w:val="en-US"/>
        </w:rPr>
        <w:t xml:space="preserve"> and that of her family, threatening her and saying things such as that her mother would also “</w:t>
      </w:r>
      <w:r w:rsidR="003C16A9" w:rsidRPr="00104227">
        <w:rPr>
          <w:lang w:val="en-US"/>
        </w:rPr>
        <w:t>be fucked</w:t>
      </w:r>
      <w:r w:rsidR="006F729E" w:rsidRPr="00104227">
        <w:rPr>
          <w:lang w:val="en-US"/>
        </w:rPr>
        <w:t>” and that “soon, we’re going to r</w:t>
      </w:r>
      <w:r w:rsidR="003C16A9" w:rsidRPr="00104227">
        <w:rPr>
          <w:lang w:val="en-US"/>
        </w:rPr>
        <w:t>a</w:t>
      </w:r>
      <w:r w:rsidR="006F729E" w:rsidRPr="00104227">
        <w:rPr>
          <w:lang w:val="en-US"/>
        </w:rPr>
        <w:t>pe you</w:t>
      </w:r>
      <w:r w:rsidR="003C16A9" w:rsidRPr="00104227">
        <w:rPr>
          <w:lang w:val="en-US"/>
        </w:rPr>
        <w:t xml:space="preserve"> </w:t>
      </w:r>
      <w:r w:rsidR="006F729E" w:rsidRPr="00104227">
        <w:rPr>
          <w:lang w:val="en-US"/>
        </w:rPr>
        <w:t>and then we’re going to make you disappear.” She recounted that</w:t>
      </w:r>
      <w:r w:rsidR="003C16A9" w:rsidRPr="00104227">
        <w:rPr>
          <w:lang w:val="en-US"/>
        </w:rPr>
        <w:t xml:space="preserve"> they told her that</w:t>
      </w:r>
      <w:r w:rsidR="006F729E" w:rsidRPr="00104227">
        <w:rPr>
          <w:lang w:val="en-US"/>
        </w:rPr>
        <w:t xml:space="preserve"> this was happening to her “because [she] was not at home washing dishes” and that she was a whore. </w:t>
      </w:r>
      <w:r w:rsidR="008D3A5E" w:rsidRPr="00104227">
        <w:rPr>
          <w:i/>
          <w:lang w:val="en-US"/>
        </w:rPr>
        <w:t>Claudia Hernández Martínez</w:t>
      </w:r>
      <w:r w:rsidR="008D3A5E" w:rsidRPr="00104227">
        <w:rPr>
          <w:lang w:val="en-US" w:eastAsia="ja-JP"/>
        </w:rPr>
        <w:t xml:space="preserve"> descri</w:t>
      </w:r>
      <w:r w:rsidR="006F729E" w:rsidRPr="00104227">
        <w:rPr>
          <w:lang w:val="en-US" w:eastAsia="ja-JP"/>
        </w:rPr>
        <w:t>bed how, on being detained, she was beaten on different parts of her body and, with her head covered by her sweater, was taken somewhere in a pick-up. They took her into the yard of a house where they beat her head against a wall</w:t>
      </w:r>
      <w:r w:rsidR="0010671D" w:rsidRPr="00104227">
        <w:rPr>
          <w:lang w:val="en-US" w:eastAsia="ja-JP"/>
        </w:rPr>
        <w:t>, beat her knees so that she would open her legs, the</w:t>
      </w:r>
      <w:r w:rsidR="003C16A9" w:rsidRPr="00104227">
        <w:rPr>
          <w:lang w:val="en-US" w:eastAsia="ja-JP"/>
        </w:rPr>
        <w:t>n</w:t>
      </w:r>
      <w:r w:rsidR="0010671D" w:rsidRPr="00104227">
        <w:rPr>
          <w:lang w:val="en-US" w:eastAsia="ja-JP"/>
        </w:rPr>
        <w:t xml:space="preserve"> beat her between her legs and touched her genitalia, breasts and buttocks.</w:t>
      </w:r>
      <w:r w:rsidR="006F729E" w:rsidRPr="00104227">
        <w:rPr>
          <w:lang w:val="en-US" w:eastAsia="ja-JP"/>
        </w:rPr>
        <w:t xml:space="preserve"> </w:t>
      </w:r>
      <w:r w:rsidR="0010671D" w:rsidRPr="00104227">
        <w:rPr>
          <w:lang w:val="en-US" w:eastAsia="ja-JP"/>
        </w:rPr>
        <w:t>She indicated that she could see the badge of the “PFP”</w:t>
      </w:r>
      <w:r w:rsidR="006F729E" w:rsidRPr="00104227">
        <w:rPr>
          <w:lang w:val="en-US" w:eastAsia="ja-JP"/>
        </w:rPr>
        <w:t xml:space="preserve"> </w:t>
      </w:r>
      <w:r w:rsidR="0010671D" w:rsidRPr="00104227">
        <w:rPr>
          <w:lang w:val="en-US" w:eastAsia="ja-JP"/>
        </w:rPr>
        <w:t xml:space="preserve">and was filmed while they were asking for her personal data. She also recounted that she “was taken, bent over, by the hair and trouser belt through a line of police agents who, kicked [her] as [she] went by,” and that then she “was told to sit down on a bench looking at the floor, where [her] back and head were beaten with a baton and the police kicked” her. Lastly, she was put into a truck.   </w:t>
      </w:r>
      <w:r w:rsidR="006F729E" w:rsidRPr="00104227">
        <w:rPr>
          <w:lang w:val="en-US" w:eastAsia="ja-JP"/>
        </w:rPr>
        <w:t xml:space="preserve">                  </w:t>
      </w:r>
      <w:r w:rsidR="008D3A5E" w:rsidRPr="00104227">
        <w:rPr>
          <w:lang w:val="en-US" w:eastAsia="ja-JP"/>
        </w:rPr>
        <w:t xml:space="preserve"> </w:t>
      </w:r>
      <w:bookmarkEnd w:id="173"/>
    </w:p>
    <w:p w14:paraId="6EA68417" w14:textId="77777777" w:rsidR="008D3A5E" w:rsidRPr="00104227" w:rsidRDefault="008D3A5E" w:rsidP="00E4619F">
      <w:pPr>
        <w:tabs>
          <w:tab w:val="left" w:pos="567"/>
        </w:tabs>
        <w:rPr>
          <w:lang w:eastAsia="es-MX"/>
        </w:rPr>
      </w:pPr>
    </w:p>
    <w:p w14:paraId="05265F72" w14:textId="0D1FA69D" w:rsidR="008D3A5E" w:rsidRPr="00104227" w:rsidRDefault="008D3A5E" w:rsidP="00EA0873">
      <w:pPr>
        <w:pStyle w:val="Numberedparagraphs"/>
        <w:tabs>
          <w:tab w:val="left" w:pos="567"/>
        </w:tabs>
        <w:rPr>
          <w:lang w:val="en-US"/>
        </w:rPr>
      </w:pPr>
      <w:bookmarkStart w:id="174" w:name="_Ref532894739"/>
      <w:r w:rsidRPr="00104227">
        <w:rPr>
          <w:lang w:val="en-US"/>
        </w:rPr>
        <w:t>Mariana Selvas Gómez</w:t>
      </w:r>
      <w:r w:rsidR="00BF5241" w:rsidRPr="00104227">
        <w:rPr>
          <w:lang w:val="en-US"/>
        </w:rPr>
        <w:t xml:space="preserve"> and </w:t>
      </w:r>
      <w:r w:rsidRPr="00104227">
        <w:rPr>
          <w:lang w:val="en-US"/>
        </w:rPr>
        <w:t xml:space="preserve">Georgina Edith </w:t>
      </w:r>
      <w:r w:rsidR="00700B78" w:rsidRPr="00104227">
        <w:rPr>
          <w:lang w:val="en-US"/>
        </w:rPr>
        <w:t>Rosales</w:t>
      </w:r>
      <w:r w:rsidRPr="00104227">
        <w:rPr>
          <w:lang w:val="en-US"/>
        </w:rPr>
        <w:t xml:space="preserve"> Gutiérrez </w:t>
      </w:r>
      <w:r w:rsidR="0010671D" w:rsidRPr="00104227">
        <w:rPr>
          <w:lang w:val="en-US"/>
        </w:rPr>
        <w:t>were detained while they were providing medical care in</w:t>
      </w:r>
      <w:r w:rsidRPr="00104227">
        <w:rPr>
          <w:lang w:val="en-US"/>
        </w:rPr>
        <w:t xml:space="preserve"> San Salvador Atenco. </w:t>
      </w:r>
      <w:r w:rsidR="0010671D" w:rsidRPr="00104227">
        <w:rPr>
          <w:lang w:val="en-US"/>
        </w:rPr>
        <w:t>I</w:t>
      </w:r>
      <w:r w:rsidRPr="00104227">
        <w:rPr>
          <w:lang w:val="en-US"/>
        </w:rPr>
        <w:t xml:space="preserve">n particular, </w:t>
      </w:r>
      <w:r w:rsidRPr="00104227">
        <w:rPr>
          <w:i/>
          <w:lang w:val="en-US"/>
        </w:rPr>
        <w:t>Mariana Selvas Gómez</w:t>
      </w:r>
      <w:r w:rsidRPr="00104227">
        <w:rPr>
          <w:lang w:val="en-US"/>
        </w:rPr>
        <w:t xml:space="preserve"> indic</w:t>
      </w:r>
      <w:r w:rsidR="0010671D" w:rsidRPr="00104227">
        <w:rPr>
          <w:lang w:val="en-US"/>
        </w:rPr>
        <w:t xml:space="preserve">ated that she had accompanied her father to </w:t>
      </w:r>
      <w:r w:rsidRPr="00104227">
        <w:rPr>
          <w:lang w:val="en-US"/>
        </w:rPr>
        <w:t>San Salvador Atenco</w:t>
      </w:r>
      <w:r w:rsidR="0010671D" w:rsidRPr="00104227">
        <w:rPr>
          <w:lang w:val="en-US"/>
        </w:rPr>
        <w:t xml:space="preserve"> that day in order to provide medical care to one of his patients, when around 50 police agents arrived and told them to line up against </w:t>
      </w:r>
      <w:r w:rsidR="003C16A9" w:rsidRPr="00104227">
        <w:rPr>
          <w:lang w:val="en-US"/>
        </w:rPr>
        <w:t>a</w:t>
      </w:r>
      <w:r w:rsidR="0010671D" w:rsidRPr="00104227">
        <w:rPr>
          <w:lang w:val="en-US"/>
        </w:rPr>
        <w:t xml:space="preserve"> wall</w:t>
      </w:r>
      <w:r w:rsidR="00EA0873" w:rsidRPr="00104227">
        <w:rPr>
          <w:lang w:val="en-US"/>
        </w:rPr>
        <w:t>; they were told to put their hands on their necks and they were beaten until they fell down; the beatings and kicks continued until they were pulled up and put into a pick-up truck. She added that, while she was being beaten, they yelled insults at her such as “</w:t>
      </w:r>
      <w:r w:rsidR="003C16A9" w:rsidRPr="00104227">
        <w:rPr>
          <w:lang w:val="en-US"/>
        </w:rPr>
        <w:t>fucking whore, piece of shit</w:t>
      </w:r>
      <w:r w:rsidR="00EA2285" w:rsidRPr="00104227">
        <w:rPr>
          <w:lang w:val="en-US"/>
        </w:rPr>
        <w:t>.”</w:t>
      </w:r>
      <w:r w:rsidR="00EA0873" w:rsidRPr="00104227">
        <w:rPr>
          <w:lang w:val="en-US"/>
        </w:rPr>
        <w:t xml:space="preserve"> Meanwhile,</w:t>
      </w:r>
      <w:r w:rsidRPr="00104227">
        <w:rPr>
          <w:lang w:val="en-US"/>
        </w:rPr>
        <w:t xml:space="preserve"> </w:t>
      </w:r>
      <w:r w:rsidRPr="00104227">
        <w:rPr>
          <w:i/>
          <w:lang w:val="en-US"/>
        </w:rPr>
        <w:t xml:space="preserve">Georgina Edith </w:t>
      </w:r>
      <w:r w:rsidR="00DA23B8" w:rsidRPr="00104227">
        <w:rPr>
          <w:i/>
          <w:lang w:val="en-US"/>
        </w:rPr>
        <w:t xml:space="preserve">Rosales </w:t>
      </w:r>
      <w:r w:rsidRPr="00104227">
        <w:rPr>
          <w:i/>
          <w:lang w:val="en-US"/>
        </w:rPr>
        <w:t>Gutiérrez</w:t>
      </w:r>
      <w:r w:rsidRPr="00104227">
        <w:rPr>
          <w:lang w:val="en-US"/>
        </w:rPr>
        <w:t xml:space="preserve"> </w:t>
      </w:r>
      <w:r w:rsidR="00EA0873" w:rsidRPr="00104227">
        <w:rPr>
          <w:lang w:val="en-US"/>
        </w:rPr>
        <w:t xml:space="preserve">was taking part in a health </w:t>
      </w:r>
      <w:r w:rsidR="000A14CF" w:rsidRPr="00104227">
        <w:rPr>
          <w:lang w:val="en-US"/>
        </w:rPr>
        <w:t>brigade</w:t>
      </w:r>
      <w:r w:rsidR="00EA0873" w:rsidRPr="00104227">
        <w:rPr>
          <w:lang w:val="en-US"/>
        </w:rPr>
        <w:t xml:space="preserve"> in </w:t>
      </w:r>
      <w:r w:rsidRPr="00104227">
        <w:rPr>
          <w:lang w:val="en-US"/>
        </w:rPr>
        <w:t xml:space="preserve">San Salvador Atenco </w:t>
      </w:r>
      <w:r w:rsidR="00EA0873" w:rsidRPr="00104227">
        <w:rPr>
          <w:lang w:val="en-US"/>
        </w:rPr>
        <w:t>and, while providing medical care to a man affected by tear gas, a police agent took her by the hair and beat her repeatedly with his baton while threatening to kill her if she lifted her head. She indicated that they insulted her, saying “whore, bitch</w:t>
      </w:r>
      <w:r w:rsidRPr="00104227">
        <w:rPr>
          <w:lang w:val="en-US"/>
        </w:rPr>
        <w:t xml:space="preserve">, </w:t>
      </w:r>
      <w:r w:rsidR="00EA2285" w:rsidRPr="00104227">
        <w:rPr>
          <w:lang w:val="en-US"/>
        </w:rPr>
        <w:t>you’ll soon see wha</w:t>
      </w:r>
      <w:r w:rsidR="00A80C2D" w:rsidRPr="00104227">
        <w:rPr>
          <w:lang w:val="en-US"/>
        </w:rPr>
        <w:t>t</w:t>
      </w:r>
      <w:r w:rsidR="00EA2285" w:rsidRPr="00104227">
        <w:rPr>
          <w:lang w:val="en-US"/>
        </w:rPr>
        <w:t xml:space="preserve">’s coming to you.” </w:t>
      </w:r>
      <w:r w:rsidR="00EA0873" w:rsidRPr="00104227">
        <w:rPr>
          <w:lang w:val="en-US"/>
        </w:rPr>
        <w:t>She also recounted that she was able to see that “the agents trousers were blue-grey, […] this was not from the state of Mexico; rather the</w:t>
      </w:r>
      <w:r w:rsidR="00EA2285" w:rsidRPr="00104227">
        <w:rPr>
          <w:lang w:val="en-US"/>
        </w:rPr>
        <w:t>y were</w:t>
      </w:r>
      <w:r w:rsidR="00EA0873" w:rsidRPr="00104227">
        <w:rPr>
          <w:lang w:val="en-US"/>
        </w:rPr>
        <w:t xml:space="preserve"> federal </w:t>
      </w:r>
      <w:r w:rsidR="00EA2285" w:rsidRPr="00104227">
        <w:rPr>
          <w:lang w:val="en-US"/>
        </w:rPr>
        <w:t>police [PFP</w:t>
      </w:r>
      <w:r w:rsidR="00A80C2D" w:rsidRPr="00104227">
        <w:rPr>
          <w:lang w:val="en-US"/>
        </w:rPr>
        <w:t xml:space="preserve"> grenadiers</w:t>
      </w:r>
      <w:r w:rsidR="00EA2285" w:rsidRPr="00104227">
        <w:rPr>
          <w:lang w:val="en-US"/>
        </w:rPr>
        <w:t>]</w:t>
      </w:r>
      <w:r w:rsidR="00EA0873" w:rsidRPr="00104227">
        <w:rPr>
          <w:lang w:val="en-US"/>
        </w:rPr>
        <w:t xml:space="preserve">, and they were wearing boots; it was those police agents who were kicking [her].”  </w:t>
      </w:r>
      <w:r w:rsidRPr="00104227">
        <w:rPr>
          <w:lang w:val="en-US"/>
        </w:rPr>
        <w:t xml:space="preserve"> </w:t>
      </w:r>
      <w:bookmarkEnd w:id="174"/>
    </w:p>
    <w:p w14:paraId="2C2839E9" w14:textId="77777777" w:rsidR="008D3A5E" w:rsidRPr="00104227" w:rsidRDefault="008D3A5E" w:rsidP="00E4619F">
      <w:pPr>
        <w:tabs>
          <w:tab w:val="left" w:pos="567"/>
        </w:tabs>
        <w:rPr>
          <w:lang w:eastAsia="es-MX"/>
        </w:rPr>
      </w:pPr>
    </w:p>
    <w:p w14:paraId="1E425A8A" w14:textId="0B9A47A1" w:rsidR="008D3A5E" w:rsidRPr="00104227" w:rsidRDefault="00A576F6" w:rsidP="00E66D10">
      <w:pPr>
        <w:pStyle w:val="Numberedparagraphs"/>
        <w:tabs>
          <w:tab w:val="left" w:pos="567"/>
        </w:tabs>
        <w:rPr>
          <w:lang w:val="en-US"/>
        </w:rPr>
      </w:pPr>
      <w:bookmarkStart w:id="175" w:name="_Ref532894582"/>
      <w:r w:rsidRPr="00104227">
        <w:rPr>
          <w:lang w:val="en-US"/>
        </w:rPr>
        <w:t>Meanwhile</w:t>
      </w:r>
      <w:r w:rsidR="008D3A5E" w:rsidRPr="00104227">
        <w:rPr>
          <w:lang w:val="en-US"/>
        </w:rPr>
        <w:t>, Suhelen Gabriela Cuevas Jaramillo ha</w:t>
      </w:r>
      <w:r w:rsidRPr="00104227">
        <w:rPr>
          <w:lang w:val="en-US"/>
        </w:rPr>
        <w:t>d arrived at the scene, together with her partner, to take photographs and do in</w:t>
      </w:r>
      <w:r w:rsidR="002075C2" w:rsidRPr="00104227">
        <w:rPr>
          <w:lang w:val="en-US"/>
        </w:rPr>
        <w:t>t</w:t>
      </w:r>
      <w:r w:rsidRPr="00104227">
        <w:rPr>
          <w:lang w:val="en-US"/>
        </w:rPr>
        <w:t xml:space="preserve">erviews on behalf of the magazine she worked for. </w:t>
      </w:r>
      <w:r w:rsidR="008D3A5E" w:rsidRPr="00104227">
        <w:rPr>
          <w:lang w:val="en-US"/>
        </w:rPr>
        <w:t xml:space="preserve">Bárbara Italia Méndez Moreno </w:t>
      </w:r>
      <w:r w:rsidRPr="00104227">
        <w:rPr>
          <w:lang w:val="en-US"/>
        </w:rPr>
        <w:t>was taking photographs for her t</w:t>
      </w:r>
      <w:r w:rsidR="002075C2" w:rsidRPr="00104227">
        <w:rPr>
          <w:lang w:val="en-US"/>
        </w:rPr>
        <w:t>h</w:t>
      </w:r>
      <w:r w:rsidRPr="00104227">
        <w:rPr>
          <w:lang w:val="en-US"/>
        </w:rPr>
        <w:t>esis. They were both detained on private property</w:t>
      </w:r>
      <w:r w:rsidR="00927FBD" w:rsidRPr="00104227">
        <w:rPr>
          <w:lang w:val="en-US"/>
        </w:rPr>
        <w:t xml:space="preserve">, </w:t>
      </w:r>
      <w:r w:rsidR="002075C2" w:rsidRPr="00104227">
        <w:rPr>
          <w:lang w:val="en-US"/>
        </w:rPr>
        <w:t xml:space="preserve">where they had taken refuge to protect themselves from tear gas </w:t>
      </w:r>
      <w:r w:rsidR="00927FBD" w:rsidRPr="00104227">
        <w:rPr>
          <w:lang w:val="en-US"/>
        </w:rPr>
        <w:t xml:space="preserve">fired by the police. </w:t>
      </w:r>
      <w:r w:rsidR="008D3A5E" w:rsidRPr="00104227">
        <w:rPr>
          <w:i/>
          <w:lang w:val="en-US"/>
        </w:rPr>
        <w:t>Suhelen Gabriela Cuevas Jaramillo</w:t>
      </w:r>
      <w:r w:rsidR="008D3A5E" w:rsidRPr="00104227">
        <w:rPr>
          <w:lang w:val="en-US"/>
        </w:rPr>
        <w:t xml:space="preserve"> indic</w:t>
      </w:r>
      <w:r w:rsidR="00927FBD" w:rsidRPr="00104227">
        <w:rPr>
          <w:lang w:val="en-US"/>
        </w:rPr>
        <w:t>ated that t</w:t>
      </w:r>
      <w:r w:rsidR="002075C2" w:rsidRPr="00104227">
        <w:rPr>
          <w:lang w:val="en-US"/>
        </w:rPr>
        <w:t>h</w:t>
      </w:r>
      <w:r w:rsidR="00927FBD" w:rsidRPr="00104227">
        <w:rPr>
          <w:lang w:val="en-US"/>
        </w:rPr>
        <w:t>e police who entered the home</w:t>
      </w:r>
      <w:r w:rsidR="002075C2" w:rsidRPr="00104227">
        <w:rPr>
          <w:lang w:val="en-US"/>
        </w:rPr>
        <w:t xml:space="preserve"> “hit [her] and touched [her] indecently”; they asked her why she was not studying; they told her that she “was a whore” and each time they asked her name they hit her in the ribs. She recalled that, “at one moment, they pushed us against a wall </w:t>
      </w:r>
      <w:r w:rsidR="000A2698" w:rsidRPr="00104227">
        <w:rPr>
          <w:lang w:val="en-US"/>
        </w:rPr>
        <w:t>and</w:t>
      </w:r>
      <w:r w:rsidR="002075C2" w:rsidRPr="00104227">
        <w:rPr>
          <w:lang w:val="en-US"/>
        </w:rPr>
        <w:t xml:space="preserve"> we heard them handling their weapons and they hit us on the head with their weapons,” while threatening to kill them.</w:t>
      </w:r>
      <w:r w:rsidR="000A2698" w:rsidRPr="00104227">
        <w:rPr>
          <w:lang w:val="en-US"/>
        </w:rPr>
        <w:t xml:space="preserve"> </w:t>
      </w:r>
      <w:r w:rsidR="002075C2" w:rsidRPr="00104227">
        <w:rPr>
          <w:lang w:val="en-US"/>
        </w:rPr>
        <w:t xml:space="preserve">She described how </w:t>
      </w:r>
      <w:r w:rsidR="00EA2285" w:rsidRPr="00104227">
        <w:rPr>
          <w:lang w:val="en-US"/>
        </w:rPr>
        <w:t>she was</w:t>
      </w:r>
      <w:r w:rsidR="002075C2" w:rsidRPr="00104227">
        <w:rPr>
          <w:lang w:val="en-US"/>
        </w:rPr>
        <w:t xml:space="preserve"> taken out </w:t>
      </w:r>
      <w:r w:rsidR="00EA2285" w:rsidRPr="00104227">
        <w:rPr>
          <w:lang w:val="en-US"/>
        </w:rPr>
        <w:t>i</w:t>
      </w:r>
      <w:r w:rsidR="002075C2" w:rsidRPr="00104227">
        <w:rPr>
          <w:lang w:val="en-US"/>
        </w:rPr>
        <w:t>nto the street</w:t>
      </w:r>
      <w:r w:rsidR="00EA2285" w:rsidRPr="00104227">
        <w:rPr>
          <w:lang w:val="en-US"/>
        </w:rPr>
        <w:t xml:space="preserve"> while they</w:t>
      </w:r>
      <w:r w:rsidR="002075C2" w:rsidRPr="00104227">
        <w:rPr>
          <w:lang w:val="en-US"/>
        </w:rPr>
        <w:t xml:space="preserve"> “hit </w:t>
      </w:r>
      <w:r w:rsidR="00EA2285" w:rsidRPr="00104227">
        <w:rPr>
          <w:lang w:val="en-US"/>
        </w:rPr>
        <w:t xml:space="preserve">[her] with a baton,” </w:t>
      </w:r>
      <w:r w:rsidR="00BF5241" w:rsidRPr="00104227">
        <w:rPr>
          <w:lang w:val="en-US"/>
        </w:rPr>
        <w:t xml:space="preserve">and </w:t>
      </w:r>
      <w:r w:rsidR="002075C2" w:rsidRPr="00104227">
        <w:rPr>
          <w:lang w:val="en-US"/>
        </w:rPr>
        <w:t xml:space="preserve">that, when she was sitting down in the street, “they lifted up [her] blouse, undid [her] brassiere, tried to </w:t>
      </w:r>
      <w:r w:rsidR="00E66D10" w:rsidRPr="00104227">
        <w:rPr>
          <w:lang w:val="en-US"/>
        </w:rPr>
        <w:t>feel</w:t>
      </w:r>
      <w:r w:rsidR="002075C2" w:rsidRPr="00104227">
        <w:rPr>
          <w:lang w:val="en-US"/>
        </w:rPr>
        <w:t xml:space="preserve"> [her], touched [her] buttocks and pinched [her] breasts.” </w:t>
      </w:r>
      <w:r w:rsidR="00E66D10" w:rsidRPr="00104227">
        <w:rPr>
          <w:lang w:val="en-US"/>
        </w:rPr>
        <w:t>She recounted that she had her jacket over her head so that she could not see, that they “pulled at [her</w:t>
      </w:r>
      <w:r w:rsidR="00EA2285" w:rsidRPr="00104227">
        <w:rPr>
          <w:lang w:val="en-US"/>
        </w:rPr>
        <w:t>]</w:t>
      </w:r>
      <w:r w:rsidR="00E66D10" w:rsidRPr="00104227">
        <w:rPr>
          <w:lang w:val="en-US"/>
        </w:rPr>
        <w:t xml:space="preserve"> trousers,” and said something like “</w:t>
      </w:r>
      <w:r w:rsidR="00B54FF4" w:rsidRPr="00104227">
        <w:rPr>
          <w:lang w:val="en-US"/>
        </w:rPr>
        <w:t>“</w:t>
      </w:r>
      <w:r w:rsidR="00E66D10" w:rsidRPr="00104227">
        <w:rPr>
          <w:lang w:val="en-US"/>
        </w:rPr>
        <w:t>open your legs, whore</w:t>
      </w:r>
      <w:r w:rsidR="00B54FF4" w:rsidRPr="00104227">
        <w:rPr>
          <w:lang w:val="en-US"/>
        </w:rPr>
        <w:t>’</w:t>
      </w:r>
      <w:r w:rsidR="008D3A5E" w:rsidRPr="00104227">
        <w:rPr>
          <w:lang w:val="en-US"/>
        </w:rPr>
        <w:t xml:space="preserve"> […]</w:t>
      </w:r>
      <w:r w:rsidR="00BF5241" w:rsidRPr="00104227">
        <w:rPr>
          <w:lang w:val="en-US"/>
        </w:rPr>
        <w:t xml:space="preserve"> and </w:t>
      </w:r>
      <w:r w:rsidR="00E66D10" w:rsidRPr="00104227">
        <w:rPr>
          <w:lang w:val="en-US"/>
        </w:rPr>
        <w:t xml:space="preserve">began to try and touch [her] with their hands </w:t>
      </w:r>
      <w:r w:rsidR="002C52E0" w:rsidRPr="00104227">
        <w:rPr>
          <w:lang w:val="en-US"/>
        </w:rPr>
        <w:t>[…] [</w:t>
      </w:r>
      <w:r w:rsidR="00E66D10" w:rsidRPr="00104227">
        <w:rPr>
          <w:lang w:val="en-US"/>
        </w:rPr>
        <w:t>so she</w:t>
      </w:r>
      <w:r w:rsidR="002C52E0" w:rsidRPr="00104227">
        <w:rPr>
          <w:lang w:val="en-US"/>
        </w:rPr>
        <w:t>] c</w:t>
      </w:r>
      <w:r w:rsidR="00E66D10" w:rsidRPr="00104227">
        <w:rPr>
          <w:lang w:val="en-US"/>
        </w:rPr>
        <w:t xml:space="preserve">losed her legs and they seized [her] and opened [her] legs with their boots and kicked [her] vagina.” She added that they pulled her hair and said: </w:t>
      </w:r>
      <w:r w:rsidR="008D3A5E" w:rsidRPr="00104227">
        <w:rPr>
          <w:lang w:val="en-US"/>
        </w:rPr>
        <w:t>“</w:t>
      </w:r>
      <w:r w:rsidR="00EA2285" w:rsidRPr="00104227">
        <w:rPr>
          <w:lang w:val="en-US"/>
        </w:rPr>
        <w:t>bitch, now you’re really fucked, y</w:t>
      </w:r>
      <w:r w:rsidR="00E66D10" w:rsidRPr="00104227">
        <w:rPr>
          <w:lang w:val="en-US"/>
        </w:rPr>
        <w:t xml:space="preserve">ou’re </w:t>
      </w:r>
      <w:r w:rsidR="00E66D10" w:rsidRPr="00104227">
        <w:rPr>
          <w:lang w:val="en-US"/>
        </w:rPr>
        <w:lastRenderedPageBreak/>
        <w:t>going to die like the bitch you are”; they continued to hit her and the</w:t>
      </w:r>
      <w:r w:rsidR="00B54FF4" w:rsidRPr="00104227">
        <w:rPr>
          <w:lang w:val="en-US"/>
        </w:rPr>
        <w:t>n they</w:t>
      </w:r>
      <w:r w:rsidR="00E66D10" w:rsidRPr="00104227">
        <w:rPr>
          <w:lang w:val="en-US"/>
        </w:rPr>
        <w:t xml:space="preserve"> put her in a truck with her face covered. </w:t>
      </w:r>
      <w:r w:rsidR="008D3A5E" w:rsidRPr="00104227">
        <w:rPr>
          <w:i/>
          <w:lang w:val="en-US"/>
        </w:rPr>
        <w:t>Bárbara Italia Méndez Moreno</w:t>
      </w:r>
      <w:r w:rsidR="008D3A5E" w:rsidRPr="00104227">
        <w:rPr>
          <w:lang w:val="en-US"/>
        </w:rPr>
        <w:t xml:space="preserve"> rec</w:t>
      </w:r>
      <w:r w:rsidR="00E66D10" w:rsidRPr="00104227">
        <w:rPr>
          <w:lang w:val="en-US"/>
        </w:rPr>
        <w:t xml:space="preserve">alled that </w:t>
      </w:r>
      <w:r w:rsidR="00DF0305" w:rsidRPr="00104227">
        <w:rPr>
          <w:lang w:val="en-US" w:eastAsia="ko-KR"/>
        </w:rPr>
        <w:t>the Federal Preventive Police</w:t>
      </w:r>
      <w:r w:rsidR="008D3A5E" w:rsidRPr="00104227">
        <w:rPr>
          <w:lang w:val="en-US" w:eastAsia="ko-KR"/>
        </w:rPr>
        <w:t xml:space="preserve"> </w:t>
      </w:r>
      <w:r w:rsidR="00E66D10" w:rsidRPr="00104227">
        <w:rPr>
          <w:lang w:val="en-US" w:eastAsia="ko-KR"/>
        </w:rPr>
        <w:t xml:space="preserve">raided the building where she was, took all her belongings, </w:t>
      </w:r>
      <w:r w:rsidR="000A2698" w:rsidRPr="00104227">
        <w:rPr>
          <w:lang w:val="en-US" w:eastAsia="ko-KR"/>
        </w:rPr>
        <w:t>filmed her</w:t>
      </w:r>
      <w:r w:rsidR="00E66D10" w:rsidRPr="00104227">
        <w:rPr>
          <w:lang w:val="en-US" w:eastAsia="ko-KR"/>
        </w:rPr>
        <w:t xml:space="preserve"> while they questioned her, threw her on the floor and took her out into the stree</w:t>
      </w:r>
      <w:r w:rsidR="005B5F46" w:rsidRPr="00104227">
        <w:rPr>
          <w:lang w:val="en-US" w:eastAsia="ko-KR"/>
        </w:rPr>
        <w:t>t</w:t>
      </w:r>
      <w:r w:rsidR="00E66D10" w:rsidRPr="00104227">
        <w:rPr>
          <w:lang w:val="en-US" w:eastAsia="ko-KR"/>
        </w:rPr>
        <w:t xml:space="preserve"> where they beat her </w:t>
      </w:r>
      <w:r w:rsidR="000A2698" w:rsidRPr="00104227">
        <w:rPr>
          <w:lang w:val="en-US" w:eastAsia="ko-KR"/>
        </w:rPr>
        <w:t xml:space="preserve">whole body </w:t>
      </w:r>
      <w:r w:rsidR="00E66D10" w:rsidRPr="00104227">
        <w:rPr>
          <w:lang w:val="en-US" w:eastAsia="ko-KR"/>
        </w:rPr>
        <w:t xml:space="preserve">viciously with a baton, </w:t>
      </w:r>
      <w:r w:rsidR="000A14CF" w:rsidRPr="00104227">
        <w:rPr>
          <w:lang w:val="en-US" w:eastAsia="ko-KR"/>
        </w:rPr>
        <w:t>injuring</w:t>
      </w:r>
      <w:r w:rsidR="00E66D10" w:rsidRPr="00104227">
        <w:rPr>
          <w:lang w:val="en-US" w:eastAsia="ko-KR"/>
        </w:rPr>
        <w:t xml:space="preserve"> her head which began to bleed. She also recounted that, on uncovering her head, one of them said:</w:t>
      </w:r>
      <w:r w:rsidR="008D3A5E" w:rsidRPr="00104227">
        <w:rPr>
          <w:lang w:val="en-US"/>
        </w:rPr>
        <w:t xml:space="preserve"> “</w:t>
      </w:r>
      <w:r w:rsidR="00E66D10" w:rsidRPr="00104227">
        <w:rPr>
          <w:lang w:val="en-US"/>
        </w:rPr>
        <w:t>Have you seen who this bitch is?” to which the other replied “Yes, this is the whore we</w:t>
      </w:r>
      <w:r w:rsidR="005B5F46" w:rsidRPr="00104227">
        <w:rPr>
          <w:lang w:val="en-US"/>
        </w:rPr>
        <w:t>’</w:t>
      </w:r>
      <w:r w:rsidR="00E66D10" w:rsidRPr="00104227">
        <w:rPr>
          <w:lang w:val="en-US"/>
        </w:rPr>
        <w:t>re looking for, she</w:t>
      </w:r>
      <w:r w:rsidR="005B5F46" w:rsidRPr="00104227">
        <w:rPr>
          <w:lang w:val="en-US"/>
        </w:rPr>
        <w:t>’</w:t>
      </w:r>
      <w:r w:rsidR="00E66D10" w:rsidRPr="00104227">
        <w:rPr>
          <w:lang w:val="en-US"/>
        </w:rPr>
        <w:t xml:space="preserve">s the one that killed the police agent.” Then, they covered her face again, </w:t>
      </w:r>
      <w:r w:rsidR="00D1423E" w:rsidRPr="00104227">
        <w:rPr>
          <w:lang w:val="en-US"/>
        </w:rPr>
        <w:t>and she heard someone yell: “it’s her, this is the bitch, mark her!” following which they beat her on the back, ribs and buttocks, while they yelled: “Bitch</w:t>
      </w:r>
      <w:r w:rsidR="000A2698" w:rsidRPr="00104227">
        <w:rPr>
          <w:lang w:val="en-US"/>
        </w:rPr>
        <w:t>!</w:t>
      </w:r>
      <w:r w:rsidR="00D1423E" w:rsidRPr="00104227">
        <w:rPr>
          <w:lang w:val="en-US"/>
        </w:rPr>
        <w:t xml:space="preserve"> What are you feeling? I’m going to kill</w:t>
      </w:r>
      <w:r w:rsidR="008D3A5E" w:rsidRPr="00104227">
        <w:rPr>
          <w:lang w:val="en-US"/>
        </w:rPr>
        <w:t xml:space="preserve"> </w:t>
      </w:r>
      <w:r w:rsidR="00D1423E" w:rsidRPr="00104227">
        <w:rPr>
          <w:lang w:val="en-US"/>
        </w:rPr>
        <w:t>you; I’ll rape you and then I’ll kill you!”</w:t>
      </w:r>
      <w:bookmarkEnd w:id="175"/>
    </w:p>
    <w:p w14:paraId="72983121" w14:textId="77777777" w:rsidR="008D3A5E" w:rsidRPr="00104227" w:rsidRDefault="008D3A5E" w:rsidP="00E4619F">
      <w:pPr>
        <w:tabs>
          <w:tab w:val="left" w:pos="567"/>
        </w:tabs>
      </w:pPr>
    </w:p>
    <w:p w14:paraId="53A1A663" w14:textId="21378161" w:rsidR="008D3A5E" w:rsidRPr="00104227" w:rsidRDefault="008D3A5E" w:rsidP="00E4619F">
      <w:pPr>
        <w:pStyle w:val="Ttulo3"/>
        <w:tabs>
          <w:tab w:val="left" w:pos="567"/>
        </w:tabs>
        <w:rPr>
          <w:lang w:val="en-US"/>
        </w:rPr>
      </w:pPr>
      <w:bookmarkStart w:id="176" w:name="_Toc31290575"/>
      <w:r w:rsidRPr="00104227">
        <w:rPr>
          <w:lang w:val="en-US"/>
        </w:rPr>
        <w:t xml:space="preserve">B.2 </w:t>
      </w:r>
      <w:r w:rsidR="008C6D02" w:rsidRPr="00104227">
        <w:rPr>
          <w:lang w:val="en-US"/>
        </w:rPr>
        <w:t>The transfers</w:t>
      </w:r>
      <w:bookmarkEnd w:id="176"/>
      <w:r w:rsidRPr="00104227">
        <w:rPr>
          <w:lang w:val="en-US"/>
        </w:rPr>
        <w:t xml:space="preserve"> </w:t>
      </w:r>
    </w:p>
    <w:p w14:paraId="7B791747" w14:textId="77777777" w:rsidR="008D3A5E" w:rsidRPr="00104227" w:rsidRDefault="008D3A5E" w:rsidP="00E4619F">
      <w:pPr>
        <w:tabs>
          <w:tab w:val="left" w:pos="567"/>
        </w:tabs>
      </w:pPr>
    </w:p>
    <w:p w14:paraId="0DCD4DD8" w14:textId="6EC6684B" w:rsidR="009D7523" w:rsidRPr="00104227" w:rsidRDefault="005B5F46" w:rsidP="00E4619F">
      <w:pPr>
        <w:pStyle w:val="Numberedparagraphs"/>
        <w:tabs>
          <w:tab w:val="left" w:pos="567"/>
        </w:tabs>
        <w:rPr>
          <w:lang w:val="en-US"/>
        </w:rPr>
      </w:pPr>
      <w:bookmarkStart w:id="177" w:name="_Ref532907350"/>
      <w:r w:rsidRPr="00104227">
        <w:rPr>
          <w:lang w:val="en-US"/>
        </w:rPr>
        <w:t>Regarding</w:t>
      </w:r>
      <w:r w:rsidR="009D7523" w:rsidRPr="00104227">
        <w:rPr>
          <w:lang w:val="en-US"/>
        </w:rPr>
        <w:t xml:space="preserve"> the transfers to the detention center on May 3</w:t>
      </w:r>
      <w:r w:rsidR="008D3A5E" w:rsidRPr="00104227">
        <w:rPr>
          <w:lang w:val="en-US"/>
        </w:rPr>
        <w:t xml:space="preserve">, </w:t>
      </w:r>
      <w:r w:rsidR="008D3A5E" w:rsidRPr="00104227">
        <w:rPr>
          <w:i/>
          <w:lang w:val="en-US"/>
        </w:rPr>
        <w:t>Yolanda Muñoz Diosdada</w:t>
      </w:r>
      <w:r w:rsidR="008D3A5E" w:rsidRPr="00104227">
        <w:rPr>
          <w:lang w:val="en-US"/>
        </w:rPr>
        <w:t xml:space="preserve"> indic</w:t>
      </w:r>
      <w:r w:rsidR="009D7523" w:rsidRPr="00104227">
        <w:rPr>
          <w:lang w:val="en-US"/>
        </w:rPr>
        <w:t>ated that the journey took approximately five hours and that “</w:t>
      </w:r>
      <w:r w:rsidRPr="00104227">
        <w:rPr>
          <w:lang w:val="en-US"/>
        </w:rPr>
        <w:t xml:space="preserve">we </w:t>
      </w:r>
      <w:r w:rsidR="009D7523" w:rsidRPr="00104227">
        <w:rPr>
          <w:lang w:val="en-US"/>
        </w:rPr>
        <w:t xml:space="preserve">were ordered to sit with </w:t>
      </w:r>
      <w:r w:rsidRPr="00104227">
        <w:rPr>
          <w:lang w:val="en-US"/>
        </w:rPr>
        <w:t>our</w:t>
      </w:r>
      <w:r w:rsidR="009D7523" w:rsidRPr="00104227">
        <w:rPr>
          <w:lang w:val="en-US"/>
        </w:rPr>
        <w:t xml:space="preserve"> heads down so </w:t>
      </w:r>
      <w:r w:rsidRPr="00104227">
        <w:rPr>
          <w:lang w:val="en-US"/>
        </w:rPr>
        <w:t>we</w:t>
      </w:r>
      <w:r w:rsidR="009D7523" w:rsidRPr="00104227">
        <w:rPr>
          <w:lang w:val="en-US"/>
        </w:rPr>
        <w:t xml:space="preserve"> were unable to get up or look around; </w:t>
      </w:r>
      <w:r w:rsidRPr="00104227">
        <w:rPr>
          <w:lang w:val="en-US"/>
        </w:rPr>
        <w:t>our</w:t>
      </w:r>
      <w:r w:rsidR="009D7523" w:rsidRPr="00104227">
        <w:rPr>
          <w:lang w:val="en-US"/>
        </w:rPr>
        <w:t xml:space="preserve"> valuables were taken from </w:t>
      </w:r>
      <w:r w:rsidRPr="00104227">
        <w:rPr>
          <w:lang w:val="en-US"/>
        </w:rPr>
        <w:t>us</w:t>
      </w:r>
      <w:r w:rsidR="009D7523" w:rsidRPr="00104227">
        <w:rPr>
          <w:lang w:val="en-US"/>
        </w:rPr>
        <w:t xml:space="preserve">; […] they asked for </w:t>
      </w:r>
      <w:r w:rsidRPr="00104227">
        <w:rPr>
          <w:lang w:val="en-US"/>
        </w:rPr>
        <w:t>ou</w:t>
      </w:r>
      <w:r w:rsidR="009D7523" w:rsidRPr="00104227">
        <w:rPr>
          <w:lang w:val="en-US"/>
        </w:rPr>
        <w:t xml:space="preserve">r </w:t>
      </w:r>
      <w:r w:rsidR="00595698" w:rsidRPr="00104227">
        <w:rPr>
          <w:lang w:val="en-US"/>
        </w:rPr>
        <w:t>personal data</w:t>
      </w:r>
      <w:r w:rsidR="009D7523" w:rsidRPr="00104227">
        <w:rPr>
          <w:lang w:val="en-US"/>
        </w:rPr>
        <w:t xml:space="preserve">.” She stated that, even though she was ordered to keep her eyes closed, she “could see someone dressed in black trousers and boots, who lifted up </w:t>
      </w:r>
      <w:r w:rsidRPr="00104227">
        <w:rPr>
          <w:lang w:val="en-US"/>
        </w:rPr>
        <w:t>my</w:t>
      </w:r>
      <w:r w:rsidR="009D7523" w:rsidRPr="00104227">
        <w:rPr>
          <w:lang w:val="en-US"/>
        </w:rPr>
        <w:t xml:space="preserve"> blouse and put </w:t>
      </w:r>
      <w:r w:rsidRPr="00104227">
        <w:rPr>
          <w:lang w:val="en-US"/>
        </w:rPr>
        <w:t>a</w:t>
      </w:r>
      <w:r w:rsidR="009D7523" w:rsidRPr="00104227">
        <w:rPr>
          <w:lang w:val="en-US"/>
        </w:rPr>
        <w:t xml:space="preserve"> hand on </w:t>
      </w:r>
      <w:r w:rsidRPr="00104227">
        <w:rPr>
          <w:lang w:val="en-US"/>
        </w:rPr>
        <w:t>my</w:t>
      </w:r>
      <w:r w:rsidR="009D7523" w:rsidRPr="00104227">
        <w:rPr>
          <w:lang w:val="en-US"/>
        </w:rPr>
        <w:t xml:space="preserve"> breasts and another on </w:t>
      </w:r>
      <w:r w:rsidRPr="00104227">
        <w:rPr>
          <w:lang w:val="en-US"/>
        </w:rPr>
        <w:t>my</w:t>
      </w:r>
      <w:r w:rsidR="009D7523" w:rsidRPr="00104227">
        <w:rPr>
          <w:lang w:val="en-US"/>
        </w:rPr>
        <w:t xml:space="preserve"> back; then he pulled</w:t>
      </w:r>
      <w:r w:rsidRPr="00104227">
        <w:rPr>
          <w:lang w:val="en-US"/>
        </w:rPr>
        <w:t xml:space="preserve"> down</w:t>
      </w:r>
      <w:r w:rsidR="009D7523" w:rsidRPr="00104227">
        <w:rPr>
          <w:lang w:val="en-US"/>
        </w:rPr>
        <w:t xml:space="preserve"> </w:t>
      </w:r>
      <w:r w:rsidRPr="00104227">
        <w:rPr>
          <w:lang w:val="en-US"/>
        </w:rPr>
        <w:t>my</w:t>
      </w:r>
      <w:r w:rsidR="009D7523" w:rsidRPr="00104227">
        <w:rPr>
          <w:lang w:val="en-US"/>
        </w:rPr>
        <w:t xml:space="preserve"> underpants, touched </w:t>
      </w:r>
      <w:r w:rsidRPr="00104227">
        <w:rPr>
          <w:lang w:val="en-US"/>
        </w:rPr>
        <w:t>me</w:t>
      </w:r>
      <w:r w:rsidR="009D7523" w:rsidRPr="00104227">
        <w:rPr>
          <w:lang w:val="en-US"/>
        </w:rPr>
        <w:t xml:space="preserve"> and </w:t>
      </w:r>
      <w:r w:rsidRPr="00104227">
        <w:rPr>
          <w:lang w:val="en-US"/>
        </w:rPr>
        <w:t>rubbed</w:t>
      </w:r>
      <w:r w:rsidR="009D7523" w:rsidRPr="00104227">
        <w:rPr>
          <w:lang w:val="en-US"/>
        </w:rPr>
        <w:t xml:space="preserve"> </w:t>
      </w:r>
      <w:r w:rsidRPr="00104227">
        <w:rPr>
          <w:lang w:val="en-US"/>
        </w:rPr>
        <w:t>my</w:t>
      </w:r>
      <w:r w:rsidR="009D7523" w:rsidRPr="00104227">
        <w:rPr>
          <w:lang w:val="en-US"/>
        </w:rPr>
        <w:t xml:space="preserve"> vagina; while</w:t>
      </w:r>
      <w:r w:rsidRPr="00104227">
        <w:rPr>
          <w:lang w:val="en-US"/>
        </w:rPr>
        <w:t>,</w:t>
      </w:r>
      <w:r w:rsidR="009D7523" w:rsidRPr="00104227">
        <w:rPr>
          <w:lang w:val="en-US"/>
        </w:rPr>
        <w:t xml:space="preserve"> with the other hand</w:t>
      </w:r>
      <w:r w:rsidRPr="00104227">
        <w:rPr>
          <w:lang w:val="en-US"/>
        </w:rPr>
        <w:t>,</w:t>
      </w:r>
      <w:r w:rsidR="009D7523" w:rsidRPr="00104227">
        <w:rPr>
          <w:lang w:val="en-US"/>
        </w:rPr>
        <w:t xml:space="preserve"> he gripped </w:t>
      </w:r>
      <w:r w:rsidRPr="00104227">
        <w:rPr>
          <w:lang w:val="en-US"/>
        </w:rPr>
        <w:t>me</w:t>
      </w:r>
      <w:r w:rsidR="009D7523" w:rsidRPr="00104227">
        <w:rPr>
          <w:lang w:val="en-US"/>
        </w:rPr>
        <w:t xml:space="preserve"> and pinched </w:t>
      </w:r>
      <w:r w:rsidRPr="00104227">
        <w:rPr>
          <w:lang w:val="en-US"/>
        </w:rPr>
        <w:t>my</w:t>
      </w:r>
      <w:r w:rsidR="009D7523" w:rsidRPr="00104227">
        <w:rPr>
          <w:lang w:val="en-US"/>
        </w:rPr>
        <w:t xml:space="preserve"> nipples.” In addition, she recounted that during the journey she was the victim of “perverse games, mockery, indecent language. They even took out something like a grenad</w:t>
      </w:r>
      <w:r w:rsidRPr="00104227">
        <w:rPr>
          <w:lang w:val="en-US"/>
        </w:rPr>
        <w:t>e</w:t>
      </w:r>
      <w:r w:rsidR="009D7523" w:rsidRPr="00104227">
        <w:rPr>
          <w:lang w:val="en-US"/>
        </w:rPr>
        <w:t xml:space="preserve">, saying that it was going to explode.” </w:t>
      </w:r>
    </w:p>
    <w:bookmarkEnd w:id="177"/>
    <w:p w14:paraId="736B8C70" w14:textId="77777777" w:rsidR="008D3A5E" w:rsidRPr="00104227" w:rsidRDefault="008D3A5E" w:rsidP="00E4619F">
      <w:pPr>
        <w:tabs>
          <w:tab w:val="left" w:pos="567"/>
        </w:tabs>
      </w:pPr>
    </w:p>
    <w:p w14:paraId="60EF33CF" w14:textId="72F7FB39" w:rsidR="009D7523" w:rsidRPr="00104227" w:rsidRDefault="008D3A5E" w:rsidP="00E4619F">
      <w:pPr>
        <w:pStyle w:val="Numberedparagraphs"/>
        <w:tabs>
          <w:tab w:val="left" w:pos="567"/>
        </w:tabs>
        <w:rPr>
          <w:lang w:val="en-US"/>
        </w:rPr>
      </w:pPr>
      <w:bookmarkStart w:id="178" w:name="_Ref532908001"/>
      <w:r w:rsidRPr="00104227">
        <w:rPr>
          <w:i/>
          <w:lang w:val="en-US"/>
        </w:rPr>
        <w:t>Ana María Velasco Rodríguez</w:t>
      </w:r>
      <w:r w:rsidRPr="00104227">
        <w:rPr>
          <w:lang w:val="en-US"/>
        </w:rPr>
        <w:t xml:space="preserve"> describ</w:t>
      </w:r>
      <w:r w:rsidR="009D7523" w:rsidRPr="00104227">
        <w:rPr>
          <w:lang w:val="en-US"/>
        </w:rPr>
        <w:t>ed how they put her in a truck “by kicking” her; they sat her down by the window and began to touch her bre</w:t>
      </w:r>
      <w:r w:rsidR="00B54FF4" w:rsidRPr="00104227">
        <w:rPr>
          <w:lang w:val="en-US"/>
        </w:rPr>
        <w:t>ast</w:t>
      </w:r>
      <w:r w:rsidR="009D7523" w:rsidRPr="00104227">
        <w:rPr>
          <w:lang w:val="en-US"/>
        </w:rPr>
        <w:t xml:space="preserve">, vagina and buttocks, telling her that she “was a bitch, a whore, and that </w:t>
      </w:r>
      <w:r w:rsidR="005B5F46" w:rsidRPr="00104227">
        <w:rPr>
          <w:lang w:val="en-US"/>
        </w:rPr>
        <w:t xml:space="preserve">they were going to fuck her brains out.” </w:t>
      </w:r>
      <w:r w:rsidR="009D7523" w:rsidRPr="00104227">
        <w:rPr>
          <w:lang w:val="en-US"/>
        </w:rPr>
        <w:t xml:space="preserve">She recounted that ‘they made </w:t>
      </w:r>
      <w:r w:rsidR="005B5F46" w:rsidRPr="00104227">
        <w:rPr>
          <w:lang w:val="en-US"/>
        </w:rPr>
        <w:t>me</w:t>
      </w:r>
      <w:r w:rsidR="009D7523" w:rsidRPr="00104227">
        <w:rPr>
          <w:lang w:val="en-US"/>
        </w:rPr>
        <w:t xml:space="preserve"> sit </w:t>
      </w:r>
      <w:r w:rsidR="005B5F46" w:rsidRPr="00104227">
        <w:rPr>
          <w:lang w:val="en-US"/>
        </w:rPr>
        <w:t>somewhere else</w:t>
      </w:r>
      <w:r w:rsidR="009D7523" w:rsidRPr="00104227">
        <w:rPr>
          <w:lang w:val="en-US"/>
        </w:rPr>
        <w:t xml:space="preserve">, surrounded by </w:t>
      </w:r>
      <w:r w:rsidR="005B5F46" w:rsidRPr="00104227">
        <w:rPr>
          <w:lang w:val="en-US"/>
        </w:rPr>
        <w:t>about</w:t>
      </w:r>
      <w:r w:rsidR="009D7523" w:rsidRPr="00104227">
        <w:rPr>
          <w:lang w:val="en-US"/>
        </w:rPr>
        <w:t xml:space="preserve"> five police agents who touched </w:t>
      </w:r>
      <w:r w:rsidR="005B5F46" w:rsidRPr="00104227">
        <w:rPr>
          <w:lang w:val="en-US"/>
        </w:rPr>
        <w:t>my</w:t>
      </w:r>
      <w:r w:rsidR="009D7523" w:rsidRPr="00104227">
        <w:rPr>
          <w:lang w:val="en-US"/>
        </w:rPr>
        <w:t xml:space="preserve"> breasts and put their fingers in </w:t>
      </w:r>
      <w:r w:rsidR="005B5F46" w:rsidRPr="00104227">
        <w:rPr>
          <w:lang w:val="en-US"/>
        </w:rPr>
        <w:t>my</w:t>
      </w:r>
      <w:r w:rsidR="009D7523" w:rsidRPr="00104227">
        <w:rPr>
          <w:lang w:val="en-US"/>
        </w:rPr>
        <w:t xml:space="preserve"> vagina,</w:t>
      </w:r>
      <w:r w:rsidR="00E1268D" w:rsidRPr="00104227">
        <w:rPr>
          <w:lang w:val="en-US"/>
        </w:rPr>
        <w:t>” and that “one of them said to her ‘bitch, how many position do you know? Answer me, whore,’ […] ‘how do you perform oral sex?’” Then, “the police</w:t>
      </w:r>
      <w:r w:rsidR="005B5F46" w:rsidRPr="00104227">
        <w:rPr>
          <w:lang w:val="en-US"/>
        </w:rPr>
        <w:t xml:space="preserve"> </w:t>
      </w:r>
      <w:r w:rsidR="00E1268D" w:rsidRPr="00104227">
        <w:rPr>
          <w:lang w:val="en-US"/>
        </w:rPr>
        <w:t>agent grabbed</w:t>
      </w:r>
      <w:r w:rsidR="00B54FF4" w:rsidRPr="00104227">
        <w:rPr>
          <w:lang w:val="en-US"/>
        </w:rPr>
        <w:t>[her]</w:t>
      </w:r>
      <w:r w:rsidR="005B5F46" w:rsidRPr="00104227">
        <w:rPr>
          <w:lang w:val="en-US"/>
        </w:rPr>
        <w:t xml:space="preserve"> </w:t>
      </w:r>
      <w:r w:rsidR="00E1268D" w:rsidRPr="00104227">
        <w:rPr>
          <w:lang w:val="en-US"/>
        </w:rPr>
        <w:t xml:space="preserve">hair and put his penis in </w:t>
      </w:r>
      <w:r w:rsidR="00B54FF4" w:rsidRPr="00104227">
        <w:rPr>
          <w:lang w:val="en-US"/>
        </w:rPr>
        <w:t>[her]</w:t>
      </w:r>
      <w:r w:rsidR="00E1268D" w:rsidRPr="00104227">
        <w:rPr>
          <w:lang w:val="en-US"/>
        </w:rPr>
        <w:t xml:space="preserve"> face,” forcing her to perform oral sex on him. She recounted that “since he was unable to ejaculate, he ordered </w:t>
      </w:r>
      <w:r w:rsidR="00C22E78" w:rsidRPr="00104227">
        <w:rPr>
          <w:lang w:val="en-US"/>
        </w:rPr>
        <w:t xml:space="preserve"> ‘do it with your hand</w:t>
      </w:r>
      <w:r w:rsidR="005B5F46" w:rsidRPr="00104227">
        <w:rPr>
          <w:lang w:val="en-US"/>
        </w:rPr>
        <w:t xml:space="preserve">, </w:t>
      </w:r>
      <w:r w:rsidR="00C22E78" w:rsidRPr="00104227">
        <w:rPr>
          <w:lang w:val="en-US"/>
        </w:rPr>
        <w:t xml:space="preserve">whore.’” She explained that “when he was about to ejaculate, he obliged </w:t>
      </w:r>
      <w:r w:rsidR="005B5F46" w:rsidRPr="00104227">
        <w:rPr>
          <w:lang w:val="en-US"/>
        </w:rPr>
        <w:t>me</w:t>
      </w:r>
      <w:r w:rsidR="00C22E78" w:rsidRPr="00104227">
        <w:rPr>
          <w:lang w:val="en-US"/>
        </w:rPr>
        <w:t xml:space="preserve"> to open </w:t>
      </w:r>
      <w:r w:rsidR="005B5F46" w:rsidRPr="00104227">
        <w:rPr>
          <w:lang w:val="en-US"/>
        </w:rPr>
        <w:t>my</w:t>
      </w:r>
      <w:r w:rsidR="00C22E78" w:rsidRPr="00104227">
        <w:rPr>
          <w:lang w:val="en-US"/>
        </w:rPr>
        <w:t xml:space="preserve"> mouth and introduced his penis in it and ejaculated, which revolted </w:t>
      </w:r>
      <w:r w:rsidR="005B5F46" w:rsidRPr="00104227">
        <w:rPr>
          <w:lang w:val="en-US"/>
        </w:rPr>
        <w:t>me</w:t>
      </w:r>
      <w:r w:rsidR="00C22E78" w:rsidRPr="00104227">
        <w:rPr>
          <w:lang w:val="en-US"/>
        </w:rPr>
        <w:t xml:space="preserve"> and </w:t>
      </w:r>
      <w:r w:rsidR="005B5F46" w:rsidRPr="00104227">
        <w:rPr>
          <w:lang w:val="en-US"/>
        </w:rPr>
        <w:t>I</w:t>
      </w:r>
      <w:r w:rsidR="00C22E78" w:rsidRPr="00104227">
        <w:rPr>
          <w:lang w:val="en-US"/>
        </w:rPr>
        <w:t xml:space="preserve"> spit out the semen, staining </w:t>
      </w:r>
      <w:r w:rsidR="005B5F46" w:rsidRPr="00104227">
        <w:rPr>
          <w:lang w:val="en-US"/>
        </w:rPr>
        <w:t>my</w:t>
      </w:r>
      <w:r w:rsidR="00C22E78" w:rsidRPr="00104227">
        <w:rPr>
          <w:lang w:val="en-US"/>
        </w:rPr>
        <w:t xml:space="preserve"> trousers,” and all this time another agent was touching her breasts and a third was touching her vagina. Then a second agent “forced </w:t>
      </w:r>
      <w:r w:rsidR="00B54FF4" w:rsidRPr="00104227">
        <w:rPr>
          <w:lang w:val="en-US"/>
        </w:rPr>
        <w:t>[her]</w:t>
      </w:r>
      <w:r w:rsidR="00C22E78" w:rsidRPr="00104227">
        <w:rPr>
          <w:lang w:val="en-US"/>
        </w:rPr>
        <w:t xml:space="preserve"> to perform oral sex and to swallow the seminal liquid,” and another two agents continued to fondle her, putting their fingers in her vagina; suddenly they lifted her up and shouted: ‘now we’re going to fuck you.’” She reported that </w:t>
      </w:r>
      <w:r w:rsidR="005B5F46" w:rsidRPr="00104227">
        <w:rPr>
          <w:lang w:val="en-US"/>
        </w:rPr>
        <w:t xml:space="preserve">she </w:t>
      </w:r>
      <w:r w:rsidR="00C22E78" w:rsidRPr="00104227">
        <w:rPr>
          <w:lang w:val="en-US"/>
        </w:rPr>
        <w:t xml:space="preserve">told them that she had her period, but “a police agent put his hand in and grabbed the towel and continued to </w:t>
      </w:r>
      <w:r w:rsidR="000A14CF" w:rsidRPr="00104227">
        <w:rPr>
          <w:lang w:val="en-US"/>
        </w:rPr>
        <w:t>penetrate</w:t>
      </w:r>
      <w:r w:rsidR="00C22E78" w:rsidRPr="00104227">
        <w:rPr>
          <w:lang w:val="en-US"/>
        </w:rPr>
        <w:t xml:space="preserve"> </w:t>
      </w:r>
      <w:r w:rsidR="00B54FF4" w:rsidRPr="00104227">
        <w:rPr>
          <w:lang w:val="en-US"/>
        </w:rPr>
        <w:t>[her]</w:t>
      </w:r>
      <w:r w:rsidR="00C22E78" w:rsidRPr="00104227">
        <w:rPr>
          <w:lang w:val="en-US"/>
        </w:rPr>
        <w:t xml:space="preserve"> vagina</w:t>
      </w:r>
      <w:r w:rsidR="00B54FF4" w:rsidRPr="00104227">
        <w:rPr>
          <w:lang w:val="en-US"/>
        </w:rPr>
        <w:t xml:space="preserve">, tearing [her] </w:t>
      </w:r>
      <w:r w:rsidR="00C22E78" w:rsidRPr="00104227">
        <w:rPr>
          <w:lang w:val="en-US"/>
        </w:rPr>
        <w:t>brassiere and panties.” She recounted that a third police agent approached to force her to perform oral sex, but the other one yelled at him to leave her in peace and, for the rest of the journey, which lasted about five hours, she was forced to remain with her head down. She also stated that, during the journey they received death threats. She wanted to defend herself, but was afraid they would kill her.</w:t>
      </w:r>
    </w:p>
    <w:bookmarkEnd w:id="178"/>
    <w:p w14:paraId="5A9A4F48" w14:textId="77777777" w:rsidR="008D3A5E" w:rsidRPr="00104227" w:rsidRDefault="008D3A5E" w:rsidP="00E4619F">
      <w:pPr>
        <w:tabs>
          <w:tab w:val="left" w:pos="567"/>
        </w:tabs>
        <w:rPr>
          <w:lang w:eastAsia="es-MX"/>
        </w:rPr>
      </w:pPr>
    </w:p>
    <w:p w14:paraId="03AD6F6F" w14:textId="40430B42" w:rsidR="00737931" w:rsidRPr="00104227" w:rsidRDefault="0047539E" w:rsidP="00E4619F">
      <w:pPr>
        <w:pStyle w:val="Numberedparagraphs"/>
        <w:tabs>
          <w:tab w:val="left" w:pos="567"/>
        </w:tabs>
        <w:rPr>
          <w:lang w:val="en-US"/>
        </w:rPr>
      </w:pPr>
      <w:bookmarkStart w:id="179" w:name="_Ref532908448"/>
      <w:r w:rsidRPr="00104227">
        <w:rPr>
          <w:i/>
          <w:lang w:val="en-US"/>
        </w:rPr>
        <w:t>Angélica Patricia Torres</w:t>
      </w:r>
      <w:r w:rsidR="008D3A5E" w:rsidRPr="00104227">
        <w:rPr>
          <w:i/>
          <w:lang w:val="en-US"/>
        </w:rPr>
        <w:t xml:space="preserve"> Linares</w:t>
      </w:r>
      <w:r w:rsidR="008D3A5E" w:rsidRPr="00104227">
        <w:rPr>
          <w:lang w:val="en-US"/>
        </w:rPr>
        <w:t xml:space="preserve"> indic</w:t>
      </w:r>
      <w:r w:rsidR="00C22E78" w:rsidRPr="00104227">
        <w:rPr>
          <w:lang w:val="en-US"/>
        </w:rPr>
        <w:t xml:space="preserve">ated that she was put into a truck </w:t>
      </w:r>
      <w:r w:rsidR="00737931" w:rsidRPr="00104227">
        <w:rPr>
          <w:lang w:val="en-US"/>
        </w:rPr>
        <w:t>by someone who “gripped</w:t>
      </w:r>
      <w:r w:rsidR="00B54FF4" w:rsidRPr="00104227">
        <w:rPr>
          <w:lang w:val="en-US"/>
        </w:rPr>
        <w:t xml:space="preserve"> [her]</w:t>
      </w:r>
      <w:r w:rsidR="00737931" w:rsidRPr="00104227">
        <w:rPr>
          <w:lang w:val="en-US"/>
        </w:rPr>
        <w:t xml:space="preserve"> left breast very hard and twisted </w:t>
      </w:r>
      <w:r w:rsidR="00B54FF4" w:rsidRPr="00104227">
        <w:rPr>
          <w:lang w:val="en-US"/>
        </w:rPr>
        <w:t>[her]</w:t>
      </w:r>
      <w:r w:rsidR="00737931" w:rsidRPr="00104227">
        <w:rPr>
          <w:lang w:val="en-US"/>
        </w:rPr>
        <w:t xml:space="preserve"> right hand back,” while they insulted her. She recounted that they ordered her to put her hands behind her back and, as she had a sweater covering her head, her back, ribs and part of her left breast were </w:t>
      </w:r>
      <w:r w:rsidR="005B5F46" w:rsidRPr="00104227">
        <w:rPr>
          <w:lang w:val="en-US"/>
        </w:rPr>
        <w:t xml:space="preserve">left </w:t>
      </w:r>
      <w:r w:rsidR="00737931" w:rsidRPr="00104227">
        <w:rPr>
          <w:lang w:val="en-US"/>
        </w:rPr>
        <w:t>exposed, “a situation they took advantage of to continue hitting that part of</w:t>
      </w:r>
      <w:r w:rsidR="00B54FF4" w:rsidRPr="00104227">
        <w:rPr>
          <w:lang w:val="en-US"/>
        </w:rPr>
        <w:t xml:space="preserve"> [her]</w:t>
      </w:r>
      <w:r w:rsidR="00737931" w:rsidRPr="00104227">
        <w:rPr>
          <w:lang w:val="en-US"/>
        </w:rPr>
        <w:t xml:space="preserve"> body with the </w:t>
      </w:r>
      <w:r w:rsidR="00B54FF4" w:rsidRPr="00104227">
        <w:rPr>
          <w:lang w:val="en-US"/>
        </w:rPr>
        <w:t>end</w:t>
      </w:r>
      <w:r w:rsidR="00737931" w:rsidRPr="00104227">
        <w:rPr>
          <w:lang w:val="en-US"/>
        </w:rPr>
        <w:t xml:space="preserve"> of a baton.” She described how the bus “had curtains that they closed so that from the outside no one could see that the bus contained detainees” and that the journey lasted about five hours. Regarding what </w:t>
      </w:r>
      <w:r w:rsidR="00737931" w:rsidRPr="00104227">
        <w:rPr>
          <w:lang w:val="en-US"/>
        </w:rPr>
        <w:lastRenderedPageBreak/>
        <w:t xml:space="preserve">happened during the journey, she recounted that she was beaten with batons, “they groped </w:t>
      </w:r>
      <w:r w:rsidR="00B54FF4" w:rsidRPr="00104227">
        <w:rPr>
          <w:lang w:val="en-US"/>
        </w:rPr>
        <w:t>[her]</w:t>
      </w:r>
      <w:r w:rsidR="00737931" w:rsidRPr="00104227">
        <w:rPr>
          <w:lang w:val="en-US"/>
        </w:rPr>
        <w:t xml:space="preserve"> whole body; they touched </w:t>
      </w:r>
      <w:r w:rsidR="00B54FF4" w:rsidRPr="00104227">
        <w:rPr>
          <w:lang w:val="en-US"/>
        </w:rPr>
        <w:t>[her]</w:t>
      </w:r>
      <w:r w:rsidR="00737931" w:rsidRPr="00104227">
        <w:rPr>
          <w:lang w:val="en-US"/>
        </w:rPr>
        <w:t xml:space="preserve"> breasts and </w:t>
      </w:r>
      <w:r w:rsidR="000A14CF" w:rsidRPr="00104227">
        <w:rPr>
          <w:lang w:val="en-US"/>
        </w:rPr>
        <w:t>buttocks</w:t>
      </w:r>
      <w:r w:rsidR="00737931" w:rsidRPr="00104227">
        <w:rPr>
          <w:lang w:val="en-US"/>
        </w:rPr>
        <w:t xml:space="preserve"> and genitalia on top of </w:t>
      </w:r>
      <w:r w:rsidR="00B54FF4" w:rsidRPr="00104227">
        <w:rPr>
          <w:lang w:val="en-US"/>
        </w:rPr>
        <w:t>[her]</w:t>
      </w:r>
      <w:r w:rsidR="00737931" w:rsidRPr="00104227">
        <w:rPr>
          <w:lang w:val="en-US"/>
        </w:rPr>
        <w:t xml:space="preserve"> clothes,” and as she tried to defend herself, they lifted her up and hit her buttocks hard. In addition, she narrated that she could hear the cries and entreaties of women who were being raped, as well as the sound of pornographic films. She recalled that they were told that “if they had one too many, they would make </w:t>
      </w:r>
      <w:r w:rsidR="00B54FF4" w:rsidRPr="00104227">
        <w:rPr>
          <w:lang w:val="en-US"/>
        </w:rPr>
        <w:t>[</w:t>
      </w:r>
      <w:r w:rsidR="00737931" w:rsidRPr="00104227">
        <w:rPr>
          <w:lang w:val="en-US"/>
        </w:rPr>
        <w:t>her</w:t>
      </w:r>
      <w:r w:rsidR="00B54FF4" w:rsidRPr="00104227">
        <w:rPr>
          <w:lang w:val="en-US"/>
        </w:rPr>
        <w:t>]</w:t>
      </w:r>
      <w:r w:rsidR="00737931" w:rsidRPr="00104227">
        <w:rPr>
          <w:lang w:val="en-US"/>
        </w:rPr>
        <w:t xml:space="preserve"> disappear so as not to be accountable to anyone</w:t>
      </w:r>
      <w:r w:rsidR="008C1AE7" w:rsidRPr="00104227">
        <w:rPr>
          <w:lang w:val="en-US"/>
        </w:rPr>
        <w:t>,” and that they made several stops on the way, where she thought that some people disembarked from the bus.</w:t>
      </w:r>
    </w:p>
    <w:bookmarkEnd w:id="179"/>
    <w:p w14:paraId="7605FFD7" w14:textId="77777777" w:rsidR="008D3A5E" w:rsidRPr="00104227" w:rsidRDefault="008D3A5E" w:rsidP="00E4619F">
      <w:pPr>
        <w:tabs>
          <w:tab w:val="left" w:pos="567"/>
        </w:tabs>
        <w:rPr>
          <w:lang w:eastAsia="es-MX"/>
        </w:rPr>
      </w:pPr>
    </w:p>
    <w:p w14:paraId="5FA8E93D" w14:textId="74C7D045" w:rsidR="008C1AE7" w:rsidRPr="00104227" w:rsidRDefault="008D3A5E" w:rsidP="00E4619F">
      <w:pPr>
        <w:pStyle w:val="Numberedparagraphs"/>
        <w:tabs>
          <w:tab w:val="left" w:pos="567"/>
        </w:tabs>
        <w:rPr>
          <w:lang w:val="en-US"/>
        </w:rPr>
      </w:pPr>
      <w:bookmarkStart w:id="180" w:name="_Ref532908225"/>
      <w:r w:rsidRPr="00104227">
        <w:rPr>
          <w:i/>
          <w:lang w:val="en-US"/>
        </w:rPr>
        <w:t>María Cristina Sánchez Hernández</w:t>
      </w:r>
      <w:r w:rsidRPr="00104227">
        <w:rPr>
          <w:lang w:val="en-US"/>
        </w:rPr>
        <w:t xml:space="preserve"> indic</w:t>
      </w:r>
      <w:r w:rsidR="008C1AE7" w:rsidRPr="00104227">
        <w:rPr>
          <w:lang w:val="en-US"/>
        </w:rPr>
        <w:t>ated that the police</w:t>
      </w:r>
      <w:r w:rsidR="00B54FF4" w:rsidRPr="00104227">
        <w:rPr>
          <w:lang w:val="en-US"/>
        </w:rPr>
        <w:t xml:space="preserve"> </w:t>
      </w:r>
      <w:r w:rsidR="008C1AE7" w:rsidRPr="00104227">
        <w:rPr>
          <w:lang w:val="en-US"/>
        </w:rPr>
        <w:t>placed her face down in the back of a truck and in</w:t>
      </w:r>
      <w:r w:rsidR="00B54FF4" w:rsidRPr="00104227">
        <w:rPr>
          <w:lang w:val="en-US"/>
        </w:rPr>
        <w:t>t</w:t>
      </w:r>
      <w:r w:rsidR="008C1AE7" w:rsidRPr="00104227">
        <w:rPr>
          <w:lang w:val="en-US"/>
        </w:rPr>
        <w:t>errogated her while they hit her. She recounted that she was forced to sing and to tell obscene jokes, and was hit if she refused. She recalled that they “threatened” her with a pistol, telling her that when they arrived, “a reception committee was waiting.” They also said: “why weren’t you […] at home, ‘damn bitch,’ and many other obscene things.” She narrated that the police “began to grope [her]</w:t>
      </w:r>
      <w:r w:rsidR="00B54FF4" w:rsidRPr="00104227">
        <w:rPr>
          <w:lang w:val="en-US"/>
        </w:rPr>
        <w:t>,</w:t>
      </w:r>
      <w:r w:rsidR="008C1AE7" w:rsidRPr="00104227">
        <w:rPr>
          <w:lang w:val="en-US"/>
        </w:rPr>
        <w:t xml:space="preserve"> they put their hands on [her] breasts and between [her] legs,” gripping her. In addition, she recounted that they stole her belongings and she saw how they forced another woman to perform oral sex.</w:t>
      </w:r>
    </w:p>
    <w:bookmarkEnd w:id="180"/>
    <w:p w14:paraId="079AD0CC" w14:textId="77777777" w:rsidR="008D3A5E" w:rsidRPr="00104227" w:rsidRDefault="008D3A5E" w:rsidP="00E4619F">
      <w:pPr>
        <w:tabs>
          <w:tab w:val="left" w:pos="567"/>
        </w:tabs>
      </w:pPr>
    </w:p>
    <w:p w14:paraId="29EE4CD4" w14:textId="7304061A" w:rsidR="00C83004" w:rsidRPr="00104227" w:rsidRDefault="008D3A5E" w:rsidP="00C83004">
      <w:pPr>
        <w:pStyle w:val="Numberedparagraphs"/>
        <w:tabs>
          <w:tab w:val="left" w:pos="567"/>
        </w:tabs>
        <w:rPr>
          <w:lang w:val="en-US"/>
        </w:rPr>
      </w:pPr>
      <w:bookmarkStart w:id="181" w:name="_Ref532907789"/>
      <w:r w:rsidRPr="00104227">
        <w:rPr>
          <w:i/>
          <w:lang w:val="en-US"/>
        </w:rPr>
        <w:t>María Patricia Romero Hernández</w:t>
      </w:r>
      <w:r w:rsidRPr="00104227">
        <w:rPr>
          <w:lang w:val="en-US"/>
        </w:rPr>
        <w:t xml:space="preserve"> </w:t>
      </w:r>
      <w:r w:rsidR="008C1AE7" w:rsidRPr="00104227">
        <w:rPr>
          <w:lang w:val="en-US"/>
        </w:rPr>
        <w:t xml:space="preserve">was taken first to </w:t>
      </w:r>
      <w:r w:rsidR="000777FE" w:rsidRPr="00104227">
        <w:rPr>
          <w:lang w:val="en-US"/>
        </w:rPr>
        <w:t>the Office of the Texcoco Assistant Attorney General</w:t>
      </w:r>
      <w:r w:rsidRPr="00104227">
        <w:rPr>
          <w:lang w:val="en-US"/>
        </w:rPr>
        <w:t xml:space="preserve"> </w:t>
      </w:r>
      <w:r w:rsidR="008C1AE7" w:rsidRPr="00104227">
        <w:rPr>
          <w:lang w:val="en-US"/>
        </w:rPr>
        <w:t xml:space="preserve">and, during the journey, the police beat her whole body and, hit her back with a hand wrapped in a rag. When they arrived, the forensic physician on duty told her to “get undressed,” </w:t>
      </w:r>
      <w:r w:rsidR="008D17FB" w:rsidRPr="00104227">
        <w:rPr>
          <w:lang w:val="en-US"/>
        </w:rPr>
        <w:t>which she refused to do, so he told her to put her arms and hands out and close her eyes; then a female police agent hit her back with a baton. She explained that the female agent said to her: “this will teach you a lesson,</w:t>
      </w:r>
      <w:r w:rsidR="00B54FF4" w:rsidRPr="00104227">
        <w:rPr>
          <w:lang w:val="en-US"/>
        </w:rPr>
        <w:t xml:space="preserve"> bitch,”</w:t>
      </w:r>
      <w:r w:rsidR="008D17FB" w:rsidRPr="00104227">
        <w:rPr>
          <w:lang w:val="en-US"/>
        </w:rPr>
        <w:t xml:space="preserve"> and that this was happening to her for being “aggressive.” She described how, during her time in the Assistant Attorney General’s Office, the police threatened her, saying “we’re going to fuck you,” “you’re a bitch and </w:t>
      </w:r>
      <w:r w:rsidR="00063C24" w:rsidRPr="00104227">
        <w:rPr>
          <w:lang w:val="en-US"/>
        </w:rPr>
        <w:t>don’t deserve to live</w:t>
      </w:r>
      <w:r w:rsidR="008D17FB" w:rsidRPr="00104227">
        <w:rPr>
          <w:lang w:val="en-US"/>
        </w:rPr>
        <w:t xml:space="preserve">,” “we’re going to kill you,” “we’re going to rape you, </w:t>
      </w:r>
      <w:r w:rsidR="00C83004" w:rsidRPr="00104227">
        <w:rPr>
          <w:lang w:val="en-US"/>
        </w:rPr>
        <w:t xml:space="preserve">you fucking bitch,” all of this in the presence of her father and son. She stated that when she went to give her statement, they indicated that she had injured two police agents with a machete, </w:t>
      </w:r>
      <w:r w:rsidR="00B54FF4" w:rsidRPr="00104227">
        <w:rPr>
          <w:lang w:val="en-US"/>
        </w:rPr>
        <w:t>and</w:t>
      </w:r>
      <w:r w:rsidR="00C83004" w:rsidRPr="00104227">
        <w:rPr>
          <w:lang w:val="en-US"/>
        </w:rPr>
        <w:t xml:space="preserve"> she responded </w:t>
      </w:r>
      <w:r w:rsidR="00B54FF4" w:rsidRPr="00104227">
        <w:rPr>
          <w:lang w:val="en-US"/>
        </w:rPr>
        <w:t xml:space="preserve">that this </w:t>
      </w:r>
      <w:r w:rsidR="00C83004" w:rsidRPr="00104227">
        <w:rPr>
          <w:lang w:val="en-US"/>
        </w:rPr>
        <w:t xml:space="preserve">was false. She indicated that, even though they assigned a defense lawyer to her, she had no contact with him, or information on her rights. She added that, </w:t>
      </w:r>
      <w:r w:rsidR="00C53D6E" w:rsidRPr="00104227">
        <w:rPr>
          <w:lang w:val="en-US"/>
        </w:rPr>
        <w:t>they were</w:t>
      </w:r>
      <w:r w:rsidR="00C83004" w:rsidRPr="00104227">
        <w:rPr>
          <w:lang w:val="en-US"/>
        </w:rPr>
        <w:t xml:space="preserve"> taken from </w:t>
      </w:r>
      <w:r w:rsidR="000777FE" w:rsidRPr="00104227">
        <w:rPr>
          <w:lang w:val="en-US"/>
        </w:rPr>
        <w:t>the Office of the Texcoco Assistant Attorney General</w:t>
      </w:r>
      <w:r w:rsidRPr="00104227">
        <w:rPr>
          <w:lang w:val="en-US"/>
        </w:rPr>
        <w:t xml:space="preserve"> </w:t>
      </w:r>
      <w:r w:rsidR="00C83004" w:rsidRPr="00104227">
        <w:rPr>
          <w:lang w:val="en-US"/>
        </w:rPr>
        <w:t xml:space="preserve">to the Office of the Toluca Attorney General in a truck with their hands on their necks and without moving, </w:t>
      </w:r>
      <w:r w:rsidR="00C53D6E" w:rsidRPr="00104227">
        <w:rPr>
          <w:lang w:val="en-US"/>
        </w:rPr>
        <w:t>all the time</w:t>
      </w:r>
      <w:r w:rsidR="00C83004" w:rsidRPr="00104227">
        <w:rPr>
          <w:lang w:val="en-US"/>
        </w:rPr>
        <w:t xml:space="preserve"> subjected to </w:t>
      </w:r>
      <w:r w:rsidR="00C53D6E" w:rsidRPr="00104227">
        <w:rPr>
          <w:lang w:val="en-US"/>
        </w:rPr>
        <w:t>threats of being killed</w:t>
      </w:r>
      <w:r w:rsidR="00C83004" w:rsidRPr="00104227">
        <w:rPr>
          <w:lang w:val="en-US"/>
        </w:rPr>
        <w:t xml:space="preserve"> or disappeared. She recounted that on the way:</w:t>
      </w:r>
    </w:p>
    <w:bookmarkEnd w:id="181"/>
    <w:p w14:paraId="5B813E4A" w14:textId="77777777" w:rsidR="008D3A5E" w:rsidRPr="00104227" w:rsidRDefault="008D3A5E" w:rsidP="00E4619F">
      <w:pPr>
        <w:tabs>
          <w:tab w:val="left" w:pos="567"/>
        </w:tabs>
        <w:rPr>
          <w:lang w:eastAsia="es-MX"/>
        </w:rPr>
      </w:pPr>
    </w:p>
    <w:p w14:paraId="083F8F14" w14:textId="2C9D61D3" w:rsidR="008D3A5E" w:rsidRPr="00104227" w:rsidRDefault="00C83004" w:rsidP="00E4619F">
      <w:pPr>
        <w:pStyle w:val="PrrafodeSentencia"/>
        <w:numPr>
          <w:ilvl w:val="0"/>
          <w:numId w:val="0"/>
        </w:numPr>
        <w:ind w:left="567" w:right="574"/>
        <w:rPr>
          <w:sz w:val="18"/>
          <w:lang w:val="en-US"/>
        </w:rPr>
      </w:pPr>
      <w:r w:rsidRPr="00104227">
        <w:rPr>
          <w:spacing w:val="0"/>
          <w:sz w:val="18"/>
          <w:lang w:val="en-US"/>
        </w:rPr>
        <w:t xml:space="preserve">The police agents did whatever they wanted to me, and not just one, but several. Groping me, grasping my breasts, pulling my nipples, putting their hands between my legs, touching my genitalia, all of them abusing me […]. And, since I was only a few meters from my son and my father, I had to be quiet [..] I </w:t>
      </w:r>
      <w:r w:rsidR="00E5597B" w:rsidRPr="00104227">
        <w:rPr>
          <w:spacing w:val="0"/>
          <w:sz w:val="18"/>
          <w:lang w:val="en-US"/>
        </w:rPr>
        <w:t>thought</w:t>
      </w:r>
      <w:r w:rsidRPr="00104227">
        <w:rPr>
          <w:spacing w:val="0"/>
          <w:sz w:val="18"/>
          <w:lang w:val="en-US"/>
        </w:rPr>
        <w:t xml:space="preserve"> that they might hear me, I was thinking about this all the time, I did not want my family to realize what was happening</w:t>
      </w:r>
      <w:r w:rsidRPr="00104227">
        <w:rPr>
          <w:sz w:val="18"/>
          <w:lang w:val="en-US"/>
        </w:rPr>
        <w:t xml:space="preserve">. </w:t>
      </w:r>
    </w:p>
    <w:p w14:paraId="09609EDA" w14:textId="77777777" w:rsidR="008D3A5E" w:rsidRPr="00104227" w:rsidRDefault="008D3A5E" w:rsidP="00E4619F">
      <w:pPr>
        <w:tabs>
          <w:tab w:val="left" w:pos="567"/>
        </w:tabs>
      </w:pPr>
    </w:p>
    <w:p w14:paraId="5ABAC798" w14:textId="0CF9E354" w:rsidR="008D3A5E" w:rsidRPr="00104227" w:rsidRDefault="00C83004" w:rsidP="00E4619F">
      <w:pPr>
        <w:pStyle w:val="Numberedparagraphs"/>
        <w:tabs>
          <w:tab w:val="left" w:pos="567"/>
        </w:tabs>
        <w:rPr>
          <w:lang w:val="en-US"/>
        </w:rPr>
      </w:pPr>
      <w:r w:rsidRPr="00104227">
        <w:rPr>
          <w:lang w:val="en-US"/>
        </w:rPr>
        <w:t xml:space="preserve">She added that, for a long time, she was unable to speak about what had </w:t>
      </w:r>
      <w:r w:rsidR="000A14CF" w:rsidRPr="00104227">
        <w:rPr>
          <w:lang w:val="en-US"/>
        </w:rPr>
        <w:t>happened</w:t>
      </w:r>
      <w:r w:rsidRPr="00104227">
        <w:rPr>
          <w:lang w:val="en-US"/>
        </w:rPr>
        <w:t xml:space="preserve"> “because </w:t>
      </w:r>
      <w:r w:rsidR="00C53D6E" w:rsidRPr="00104227">
        <w:rPr>
          <w:lang w:val="en-US"/>
        </w:rPr>
        <w:t>[</w:t>
      </w:r>
      <w:r w:rsidRPr="00104227">
        <w:rPr>
          <w:lang w:val="en-US"/>
        </w:rPr>
        <w:t>she</w:t>
      </w:r>
      <w:r w:rsidR="00C53D6E" w:rsidRPr="00104227">
        <w:rPr>
          <w:lang w:val="en-US"/>
        </w:rPr>
        <w:t>]</w:t>
      </w:r>
      <w:r w:rsidRPr="00104227">
        <w:rPr>
          <w:lang w:val="en-US"/>
        </w:rPr>
        <w:t xml:space="preserve"> felt so ashamed and because </w:t>
      </w:r>
      <w:r w:rsidR="00C53D6E" w:rsidRPr="00104227">
        <w:rPr>
          <w:lang w:val="en-US"/>
        </w:rPr>
        <w:t>[</w:t>
      </w:r>
      <w:r w:rsidRPr="00104227">
        <w:rPr>
          <w:lang w:val="en-US"/>
        </w:rPr>
        <w:t>she</w:t>
      </w:r>
      <w:r w:rsidR="00C53D6E" w:rsidRPr="00104227">
        <w:rPr>
          <w:lang w:val="en-US"/>
        </w:rPr>
        <w:t>]</w:t>
      </w:r>
      <w:r w:rsidRPr="00104227">
        <w:rPr>
          <w:lang w:val="en-US"/>
        </w:rPr>
        <w:t xml:space="preserve"> felt </w:t>
      </w:r>
      <w:r w:rsidR="00C53D6E" w:rsidRPr="00104227">
        <w:rPr>
          <w:lang w:val="en-US"/>
        </w:rPr>
        <w:t>sullied</w:t>
      </w:r>
      <w:r w:rsidRPr="00104227">
        <w:rPr>
          <w:lang w:val="en-US"/>
        </w:rPr>
        <w:t>.” She recounted th</w:t>
      </w:r>
      <w:r w:rsidR="00AF07B3" w:rsidRPr="00104227">
        <w:rPr>
          <w:lang w:val="en-US"/>
        </w:rPr>
        <w:t xml:space="preserve">at an hour later they were </w:t>
      </w:r>
      <w:r w:rsidR="00ED7740" w:rsidRPr="00104227">
        <w:rPr>
          <w:lang w:val="en-US"/>
        </w:rPr>
        <w:t xml:space="preserve">taken out of the bus and the police continued to hit them until they entered the </w:t>
      </w:r>
      <w:r w:rsidR="008D3A5E" w:rsidRPr="00104227">
        <w:rPr>
          <w:lang w:val="en-US"/>
        </w:rPr>
        <w:t>CEPRESO.</w:t>
      </w:r>
    </w:p>
    <w:p w14:paraId="4A87E71D" w14:textId="77777777" w:rsidR="008D3A5E" w:rsidRPr="00104227" w:rsidRDefault="008D3A5E" w:rsidP="00E4619F">
      <w:pPr>
        <w:tabs>
          <w:tab w:val="left" w:pos="567"/>
        </w:tabs>
        <w:rPr>
          <w:lang w:eastAsia="es-MX"/>
        </w:rPr>
      </w:pPr>
    </w:p>
    <w:p w14:paraId="1212BE82" w14:textId="1923836E" w:rsidR="00385E98" w:rsidRPr="00104227" w:rsidRDefault="00385E98" w:rsidP="00E4619F">
      <w:pPr>
        <w:pStyle w:val="Numberedparagraphs"/>
        <w:tabs>
          <w:tab w:val="left" w:pos="567"/>
        </w:tabs>
        <w:rPr>
          <w:lang w:val="en-US"/>
        </w:rPr>
      </w:pPr>
      <w:bookmarkStart w:id="182" w:name="_Ref532907395"/>
      <w:r w:rsidRPr="00104227">
        <w:rPr>
          <w:lang w:val="en-US"/>
        </w:rPr>
        <w:t>With regard to the transfers to the detention center on</w:t>
      </w:r>
      <w:r w:rsidR="008D3A5E" w:rsidRPr="00104227">
        <w:rPr>
          <w:lang w:val="en-US"/>
        </w:rPr>
        <w:t xml:space="preserve"> </w:t>
      </w:r>
      <w:r w:rsidRPr="00104227">
        <w:rPr>
          <w:lang w:val="en-US"/>
        </w:rPr>
        <w:t>May 4</w:t>
      </w:r>
      <w:r w:rsidR="008D3A5E" w:rsidRPr="00104227">
        <w:rPr>
          <w:lang w:val="en-US"/>
        </w:rPr>
        <w:t xml:space="preserve">, </w:t>
      </w:r>
      <w:r w:rsidR="008D3A5E" w:rsidRPr="00104227">
        <w:rPr>
          <w:i/>
          <w:lang w:val="en-US"/>
        </w:rPr>
        <w:t>Norma Aidé Jiménez Osorio</w:t>
      </w:r>
      <w:r w:rsidR="008D3A5E" w:rsidRPr="00104227">
        <w:rPr>
          <w:lang w:val="en-US"/>
        </w:rPr>
        <w:t xml:space="preserve"> </w:t>
      </w:r>
      <w:r w:rsidRPr="00104227">
        <w:rPr>
          <w:lang w:val="en-US"/>
        </w:rPr>
        <w:t xml:space="preserve">recounted that she “was pushed violently to the ground” and she heard the voice of female police agents saying: </w:t>
      </w:r>
      <w:r w:rsidR="008D3A5E" w:rsidRPr="00104227">
        <w:rPr>
          <w:lang w:val="en-US"/>
        </w:rPr>
        <w:t>“</w:t>
      </w:r>
      <w:r w:rsidR="00C53D6E" w:rsidRPr="00104227">
        <w:rPr>
          <w:lang w:val="en-US"/>
        </w:rPr>
        <w:t xml:space="preserve">hey, they’re going to rape you soon, your life’s worth nothing,” </w:t>
      </w:r>
      <w:r w:rsidRPr="00104227">
        <w:rPr>
          <w:lang w:val="en-US"/>
        </w:rPr>
        <w:t>a threat that was repeated several times. She stated that, on getting into the bus, she was forced to lie face down in the central aisle</w:t>
      </w:r>
      <w:r w:rsidR="008D3A5E" w:rsidRPr="00104227">
        <w:rPr>
          <w:lang w:val="en-US"/>
        </w:rPr>
        <w:t>,</w:t>
      </w:r>
      <w:r w:rsidR="00BF5241" w:rsidRPr="00104227">
        <w:rPr>
          <w:lang w:val="en-US"/>
        </w:rPr>
        <w:t xml:space="preserve"> and </w:t>
      </w:r>
      <w:r w:rsidRPr="00104227">
        <w:rPr>
          <w:lang w:val="en-US"/>
        </w:rPr>
        <w:t xml:space="preserve">the agents kept on walking </w:t>
      </w:r>
      <w:r w:rsidR="00C53D6E" w:rsidRPr="00104227">
        <w:rPr>
          <w:lang w:val="en-US"/>
        </w:rPr>
        <w:t xml:space="preserve">by </w:t>
      </w:r>
      <w:r w:rsidRPr="00104227">
        <w:rPr>
          <w:lang w:val="en-US"/>
        </w:rPr>
        <w:t xml:space="preserve">and jumping over her back and head, saying that they “should be at home cooking instead of being out and about; that [they] were not thinking of [their] families or [their] children.” She recounted that she was afraid that, at any </w:t>
      </w:r>
      <w:r w:rsidRPr="00104227">
        <w:rPr>
          <w:lang w:val="en-US"/>
        </w:rPr>
        <w:lastRenderedPageBreak/>
        <w:t xml:space="preserve">moment, they would rape her or kill her. She narrated that, later she was obliged to disembark and walk to a </w:t>
      </w:r>
      <w:r w:rsidR="00704C19" w:rsidRPr="00104227">
        <w:rPr>
          <w:lang w:val="en-US"/>
        </w:rPr>
        <w:t>pick-up truck</w:t>
      </w:r>
      <w:r w:rsidRPr="00104227">
        <w:rPr>
          <w:lang w:val="en-US"/>
        </w:rPr>
        <w:t xml:space="preserve"> with “a </w:t>
      </w:r>
      <w:r w:rsidR="00704C19" w:rsidRPr="00104227">
        <w:rPr>
          <w:lang w:val="en-US"/>
        </w:rPr>
        <w:t>white and navy blue</w:t>
      </w:r>
      <w:r w:rsidR="00C53D6E" w:rsidRPr="00104227">
        <w:rPr>
          <w:lang w:val="en-US"/>
        </w:rPr>
        <w:t xml:space="preserve"> image on the side</w:t>
      </w:r>
      <w:r w:rsidR="00704C19" w:rsidRPr="00104227">
        <w:rPr>
          <w:lang w:val="en-US"/>
        </w:rPr>
        <w:t xml:space="preserve">; the kind that doesn’t have a roof at the back.” When she was in this vehicle, they hit her buttocks with something large and hard, and “the blows covered the whole of [her] buttocks,” and, meanwhile, they were saying “whine, bitch, whine!” She recounted that “the person who was hitting </w:t>
      </w:r>
      <w:r w:rsidR="00280293" w:rsidRPr="00104227">
        <w:rPr>
          <w:lang w:val="en-US"/>
        </w:rPr>
        <w:t>[</w:t>
      </w:r>
      <w:r w:rsidR="00704C19" w:rsidRPr="00104227">
        <w:rPr>
          <w:lang w:val="en-US"/>
        </w:rPr>
        <w:t>her</w:t>
      </w:r>
      <w:r w:rsidR="00280293" w:rsidRPr="00104227">
        <w:rPr>
          <w:lang w:val="en-US"/>
        </w:rPr>
        <w:t>]</w:t>
      </w:r>
      <w:r w:rsidR="00704C19" w:rsidRPr="00104227">
        <w:rPr>
          <w:lang w:val="en-US"/>
        </w:rPr>
        <w:t xml:space="preserve">, put his hand into [her] underwear, squeezed </w:t>
      </w:r>
      <w:r w:rsidR="00280293" w:rsidRPr="00104227">
        <w:rPr>
          <w:lang w:val="en-US"/>
        </w:rPr>
        <w:t>[</w:t>
      </w:r>
      <w:r w:rsidR="00704C19" w:rsidRPr="00104227">
        <w:rPr>
          <w:lang w:val="en-US"/>
        </w:rPr>
        <w:t>her</w:t>
      </w:r>
      <w:r w:rsidR="00280293" w:rsidRPr="00104227">
        <w:rPr>
          <w:lang w:val="en-US"/>
        </w:rPr>
        <w:t>]</w:t>
      </w:r>
      <w:r w:rsidR="00704C19" w:rsidRPr="00104227">
        <w:rPr>
          <w:lang w:val="en-US"/>
        </w:rPr>
        <w:t xml:space="preserve"> buttocks and touched </w:t>
      </w:r>
      <w:r w:rsidR="00280293" w:rsidRPr="00104227">
        <w:rPr>
          <w:lang w:val="en-US"/>
        </w:rPr>
        <w:t>[</w:t>
      </w:r>
      <w:r w:rsidR="00704C19" w:rsidRPr="00104227">
        <w:rPr>
          <w:lang w:val="en-US"/>
        </w:rPr>
        <w:t>her</w:t>
      </w:r>
      <w:r w:rsidR="00280293" w:rsidRPr="00104227">
        <w:rPr>
          <w:lang w:val="en-US"/>
        </w:rPr>
        <w:t>]</w:t>
      </w:r>
      <w:r w:rsidR="00704C19" w:rsidRPr="00104227">
        <w:rPr>
          <w:lang w:val="en-US"/>
        </w:rPr>
        <w:t xml:space="preserve"> anus” and that she covered herself with her hands, but the police took her hands away and put their fingers in her vagina, threatening to kill her and disappear her. She stated that, when the pick-up stopped, they put her sweater over her head, ordered her to bend down, </w:t>
      </w:r>
      <w:r w:rsidR="009825B4" w:rsidRPr="00104227">
        <w:rPr>
          <w:lang w:val="en-US"/>
        </w:rPr>
        <w:t>pushed and shoved her towards a bus “with other police agents who [wore] a totally different [uniform], that was all black,” and they forced her to climb into the bus. She recounted that, in this bus:</w:t>
      </w:r>
    </w:p>
    <w:bookmarkEnd w:id="182"/>
    <w:p w14:paraId="2FDDAADE" w14:textId="77777777" w:rsidR="008D3A5E" w:rsidRPr="00104227" w:rsidRDefault="008D3A5E" w:rsidP="00E4619F">
      <w:pPr>
        <w:tabs>
          <w:tab w:val="left" w:pos="567"/>
        </w:tabs>
        <w:rPr>
          <w:lang w:eastAsia="es-MX"/>
        </w:rPr>
      </w:pPr>
    </w:p>
    <w:p w14:paraId="4BA735CB" w14:textId="6243EA64" w:rsidR="009825B4" w:rsidRPr="00104227" w:rsidRDefault="008D3A5E" w:rsidP="00E4619F">
      <w:pPr>
        <w:pStyle w:val="PrrafodeSentencia"/>
        <w:numPr>
          <w:ilvl w:val="0"/>
          <w:numId w:val="0"/>
        </w:numPr>
        <w:ind w:left="567" w:right="578"/>
        <w:rPr>
          <w:sz w:val="18"/>
          <w:lang w:val="en-US"/>
        </w:rPr>
      </w:pPr>
      <w:r w:rsidRPr="00104227">
        <w:rPr>
          <w:sz w:val="18"/>
          <w:lang w:val="en-US"/>
        </w:rPr>
        <w:t>“</w:t>
      </w:r>
      <w:r w:rsidR="009825B4" w:rsidRPr="00104227">
        <w:rPr>
          <w:spacing w:val="0"/>
          <w:sz w:val="18"/>
          <w:lang w:val="en-US"/>
        </w:rPr>
        <w:t xml:space="preserve">A police agent uncovered the bottom half of </w:t>
      </w:r>
      <w:r w:rsidR="00280293" w:rsidRPr="00104227">
        <w:rPr>
          <w:spacing w:val="0"/>
          <w:sz w:val="18"/>
          <w:lang w:val="en-US"/>
        </w:rPr>
        <w:t>my</w:t>
      </w:r>
      <w:r w:rsidR="009825B4" w:rsidRPr="00104227">
        <w:rPr>
          <w:spacing w:val="0"/>
          <w:sz w:val="18"/>
          <w:lang w:val="en-US"/>
        </w:rPr>
        <w:t xml:space="preserve"> face, gripped </w:t>
      </w:r>
      <w:r w:rsidR="00280293" w:rsidRPr="00104227">
        <w:rPr>
          <w:spacing w:val="0"/>
          <w:sz w:val="18"/>
          <w:lang w:val="en-US"/>
        </w:rPr>
        <w:t>my</w:t>
      </w:r>
      <w:r w:rsidR="009825B4" w:rsidRPr="00104227">
        <w:rPr>
          <w:spacing w:val="0"/>
          <w:sz w:val="18"/>
          <w:lang w:val="en-US"/>
        </w:rPr>
        <w:t xml:space="preserve"> jaw firmly, put his tongue in </w:t>
      </w:r>
      <w:r w:rsidR="00280293" w:rsidRPr="00104227">
        <w:rPr>
          <w:spacing w:val="0"/>
          <w:sz w:val="18"/>
          <w:lang w:val="en-US"/>
        </w:rPr>
        <w:t>my</w:t>
      </w:r>
      <w:r w:rsidR="009825B4" w:rsidRPr="00104227">
        <w:rPr>
          <w:spacing w:val="0"/>
          <w:sz w:val="18"/>
          <w:lang w:val="en-US"/>
        </w:rPr>
        <w:t xml:space="preserve"> mouth and hurt </w:t>
      </w:r>
      <w:r w:rsidR="00280293" w:rsidRPr="00104227">
        <w:rPr>
          <w:spacing w:val="0"/>
          <w:sz w:val="18"/>
          <w:lang w:val="en-US"/>
        </w:rPr>
        <w:t>me</w:t>
      </w:r>
      <w:r w:rsidR="009825B4" w:rsidRPr="00104227">
        <w:rPr>
          <w:spacing w:val="0"/>
          <w:sz w:val="18"/>
          <w:lang w:val="en-US"/>
        </w:rPr>
        <w:t xml:space="preserve"> because he bit the inner part of </w:t>
      </w:r>
      <w:r w:rsidR="00280293" w:rsidRPr="00104227">
        <w:rPr>
          <w:spacing w:val="0"/>
          <w:sz w:val="18"/>
          <w:lang w:val="en-US"/>
        </w:rPr>
        <w:t>my</w:t>
      </w:r>
      <w:r w:rsidR="009825B4" w:rsidRPr="00104227">
        <w:rPr>
          <w:spacing w:val="0"/>
          <w:sz w:val="18"/>
          <w:lang w:val="en-US"/>
        </w:rPr>
        <w:t xml:space="preserve"> lower lip; </w:t>
      </w:r>
      <w:r w:rsidR="00280293" w:rsidRPr="00104227">
        <w:rPr>
          <w:spacing w:val="0"/>
          <w:sz w:val="18"/>
          <w:lang w:val="en-US"/>
        </w:rPr>
        <w:t>I</w:t>
      </w:r>
      <w:r w:rsidR="009825B4" w:rsidRPr="00104227">
        <w:rPr>
          <w:spacing w:val="0"/>
          <w:sz w:val="18"/>
          <w:lang w:val="en-US"/>
        </w:rPr>
        <w:t xml:space="preserve"> cried and some agents put their hands inside </w:t>
      </w:r>
      <w:r w:rsidR="00280293" w:rsidRPr="00104227">
        <w:rPr>
          <w:spacing w:val="0"/>
          <w:sz w:val="18"/>
          <w:lang w:val="en-US"/>
        </w:rPr>
        <w:t>my</w:t>
      </w:r>
      <w:r w:rsidR="009825B4" w:rsidRPr="00104227">
        <w:rPr>
          <w:spacing w:val="0"/>
          <w:sz w:val="18"/>
          <w:lang w:val="en-US"/>
        </w:rPr>
        <w:t xml:space="preserve"> blouse and squeezed </w:t>
      </w:r>
      <w:r w:rsidR="00280293" w:rsidRPr="00104227">
        <w:rPr>
          <w:spacing w:val="0"/>
          <w:sz w:val="18"/>
          <w:lang w:val="en-US"/>
        </w:rPr>
        <w:t>my</w:t>
      </w:r>
      <w:r w:rsidR="009825B4" w:rsidRPr="00104227">
        <w:rPr>
          <w:spacing w:val="0"/>
          <w:sz w:val="18"/>
          <w:lang w:val="en-US"/>
        </w:rPr>
        <w:t xml:space="preserve"> breasts and nipples; they lowered </w:t>
      </w:r>
      <w:r w:rsidR="00280293" w:rsidRPr="00104227">
        <w:rPr>
          <w:spacing w:val="0"/>
          <w:sz w:val="18"/>
          <w:lang w:val="en-US"/>
        </w:rPr>
        <w:t>my</w:t>
      </w:r>
      <w:r w:rsidR="009825B4" w:rsidRPr="00104227">
        <w:rPr>
          <w:spacing w:val="0"/>
          <w:sz w:val="18"/>
          <w:lang w:val="en-US"/>
        </w:rPr>
        <w:t xml:space="preserve"> trousers, they ordered </w:t>
      </w:r>
      <w:r w:rsidR="00280293" w:rsidRPr="00104227">
        <w:rPr>
          <w:spacing w:val="0"/>
          <w:sz w:val="18"/>
          <w:lang w:val="en-US"/>
        </w:rPr>
        <w:t>me</w:t>
      </w:r>
      <w:r w:rsidR="009825B4" w:rsidRPr="00104227">
        <w:rPr>
          <w:spacing w:val="0"/>
          <w:sz w:val="18"/>
          <w:lang w:val="en-US"/>
        </w:rPr>
        <w:t xml:space="preserve"> to take them off […]; they pulled and tore </w:t>
      </w:r>
      <w:r w:rsidR="00280293" w:rsidRPr="00104227">
        <w:rPr>
          <w:spacing w:val="0"/>
          <w:sz w:val="18"/>
          <w:lang w:val="en-US"/>
        </w:rPr>
        <w:t>my</w:t>
      </w:r>
      <w:r w:rsidR="009825B4" w:rsidRPr="00104227">
        <w:rPr>
          <w:spacing w:val="0"/>
          <w:sz w:val="18"/>
          <w:lang w:val="en-US"/>
        </w:rPr>
        <w:t xml:space="preserve"> underwear and blouse; an agent put his fingers in </w:t>
      </w:r>
      <w:r w:rsidR="00280293" w:rsidRPr="00104227">
        <w:rPr>
          <w:spacing w:val="0"/>
          <w:sz w:val="18"/>
          <w:lang w:val="en-US"/>
        </w:rPr>
        <w:t>my</w:t>
      </w:r>
      <w:r w:rsidR="009825B4" w:rsidRPr="00104227">
        <w:rPr>
          <w:spacing w:val="0"/>
          <w:sz w:val="18"/>
          <w:lang w:val="en-US"/>
        </w:rPr>
        <w:t xml:space="preserve"> vagina and </w:t>
      </w:r>
      <w:r w:rsidR="00280293" w:rsidRPr="00104227">
        <w:rPr>
          <w:spacing w:val="0"/>
          <w:sz w:val="18"/>
          <w:lang w:val="en-US"/>
        </w:rPr>
        <w:t>rubbed</w:t>
      </w:r>
      <w:r w:rsidR="009825B4" w:rsidRPr="00104227">
        <w:rPr>
          <w:spacing w:val="0"/>
          <w:sz w:val="18"/>
          <w:lang w:val="en-US"/>
        </w:rPr>
        <w:t xml:space="preserve"> </w:t>
      </w:r>
      <w:r w:rsidR="00280293" w:rsidRPr="00104227">
        <w:rPr>
          <w:spacing w:val="0"/>
          <w:sz w:val="18"/>
          <w:lang w:val="en-US"/>
        </w:rPr>
        <w:t>me</w:t>
      </w:r>
      <w:r w:rsidR="009825B4" w:rsidRPr="00104227">
        <w:rPr>
          <w:spacing w:val="0"/>
          <w:sz w:val="18"/>
          <w:lang w:val="en-US"/>
        </w:rPr>
        <w:t xml:space="preserve">, two more men did the same, and they put their fingers in </w:t>
      </w:r>
      <w:r w:rsidR="00280293" w:rsidRPr="00104227">
        <w:rPr>
          <w:spacing w:val="0"/>
          <w:sz w:val="18"/>
          <w:lang w:val="en-US"/>
        </w:rPr>
        <w:t>my</w:t>
      </w:r>
      <w:r w:rsidR="009825B4" w:rsidRPr="00104227">
        <w:rPr>
          <w:spacing w:val="0"/>
          <w:sz w:val="18"/>
          <w:lang w:val="en-US"/>
        </w:rPr>
        <w:t xml:space="preserve"> anus</w:t>
      </w:r>
      <w:r w:rsidR="009825B4" w:rsidRPr="00104227">
        <w:rPr>
          <w:sz w:val="18"/>
          <w:lang w:val="en-US"/>
        </w:rPr>
        <w:t>.</w:t>
      </w:r>
    </w:p>
    <w:p w14:paraId="652E8997" w14:textId="77777777" w:rsidR="008D3A5E" w:rsidRPr="00104227" w:rsidRDefault="008D3A5E" w:rsidP="00E4619F">
      <w:pPr>
        <w:tabs>
          <w:tab w:val="left" w:pos="567"/>
        </w:tabs>
        <w:rPr>
          <w:lang w:eastAsia="es-MX"/>
        </w:rPr>
      </w:pPr>
    </w:p>
    <w:p w14:paraId="3D562E01" w14:textId="4B5E6AEB" w:rsidR="009825B4" w:rsidRPr="00104227" w:rsidRDefault="008D3A5E" w:rsidP="00E4619F">
      <w:pPr>
        <w:pStyle w:val="Numberedparagraphs"/>
        <w:tabs>
          <w:tab w:val="left" w:pos="567"/>
        </w:tabs>
        <w:rPr>
          <w:lang w:val="en-US"/>
        </w:rPr>
      </w:pPr>
      <w:bookmarkStart w:id="183" w:name="_Ref532915098"/>
      <w:r w:rsidRPr="00104227">
        <w:rPr>
          <w:lang w:val="en-US"/>
        </w:rPr>
        <w:t>S</w:t>
      </w:r>
      <w:r w:rsidR="009825B4" w:rsidRPr="00104227">
        <w:rPr>
          <w:lang w:val="en-US"/>
        </w:rPr>
        <w:t>he recounted that “they took turns to do this and</w:t>
      </w:r>
      <w:r w:rsidR="00280293" w:rsidRPr="00104227">
        <w:rPr>
          <w:lang w:val="en-US"/>
        </w:rPr>
        <w:t xml:space="preserve"> </w:t>
      </w:r>
      <w:r w:rsidR="009825B4" w:rsidRPr="00104227">
        <w:rPr>
          <w:lang w:val="en-US"/>
        </w:rPr>
        <w:t>when they had finished, they invited others, and they all did it again.” She stated that they took her to the back seat of the bus, ordering her not to get up, to keep her head down on her knees, and hit her on the head and back if she moved. She recalled that those on board the vehicle were piled one on top of the other and that, during the journey, they were beate</w:t>
      </w:r>
      <w:r w:rsidR="00280293" w:rsidRPr="00104227">
        <w:rPr>
          <w:lang w:val="en-US"/>
        </w:rPr>
        <w:t>n</w:t>
      </w:r>
      <w:r w:rsidR="009825B4" w:rsidRPr="00104227">
        <w:rPr>
          <w:lang w:val="en-US"/>
        </w:rPr>
        <w:t xml:space="preserve"> every twenty minutes</w:t>
      </w:r>
      <w:r w:rsidR="00280293" w:rsidRPr="00104227">
        <w:rPr>
          <w:lang w:val="en-US"/>
        </w:rPr>
        <w:t xml:space="preserve"> or so</w:t>
      </w:r>
      <w:r w:rsidR="009825B4" w:rsidRPr="00104227">
        <w:rPr>
          <w:lang w:val="en-US"/>
        </w:rPr>
        <w:t xml:space="preserve">, “as if just for amusement.” She indicated that she heard men and women moaning, </w:t>
      </w:r>
      <w:r w:rsidR="003E53A3" w:rsidRPr="00104227">
        <w:rPr>
          <w:lang w:val="en-US"/>
        </w:rPr>
        <w:t>pleading not to be raped. She related that the journey took around three to four hours.</w:t>
      </w:r>
    </w:p>
    <w:bookmarkEnd w:id="183"/>
    <w:p w14:paraId="3F56BB84" w14:textId="77777777" w:rsidR="008D3A5E" w:rsidRPr="00104227" w:rsidRDefault="008D3A5E" w:rsidP="00E4619F">
      <w:pPr>
        <w:tabs>
          <w:tab w:val="left" w:pos="567"/>
        </w:tabs>
      </w:pPr>
    </w:p>
    <w:p w14:paraId="59909F3D" w14:textId="21A4FC0E" w:rsidR="003E53A3" w:rsidRPr="00104227" w:rsidRDefault="008D3A5E" w:rsidP="00E4619F">
      <w:pPr>
        <w:pStyle w:val="Numberedparagraphs"/>
        <w:tabs>
          <w:tab w:val="left" w:pos="567"/>
        </w:tabs>
        <w:rPr>
          <w:lang w:val="en-US" w:eastAsia="ja-JP"/>
        </w:rPr>
      </w:pPr>
      <w:bookmarkStart w:id="184" w:name="_Ref532908526"/>
      <w:r w:rsidRPr="00104227">
        <w:rPr>
          <w:i/>
          <w:lang w:val="en-US"/>
        </w:rPr>
        <w:t>Claudia Hernández Martínez</w:t>
      </w:r>
      <w:r w:rsidR="00C726C5" w:rsidRPr="00104227">
        <w:rPr>
          <w:lang w:val="en-US" w:eastAsia="ja-JP"/>
        </w:rPr>
        <w:t xml:space="preserve"> </w:t>
      </w:r>
      <w:r w:rsidRPr="00104227">
        <w:rPr>
          <w:lang w:val="en-US" w:eastAsia="ja-JP"/>
        </w:rPr>
        <w:t>re</w:t>
      </w:r>
      <w:r w:rsidR="003E53A3" w:rsidRPr="00104227">
        <w:rPr>
          <w:lang w:val="en-US" w:eastAsia="ja-JP"/>
        </w:rPr>
        <w:t xml:space="preserve">counted that, on getting into the truck, she was thrown on a pile of people. They asked her where she lived, and when she said that she was from Tepito, one of the police agents </w:t>
      </w:r>
      <w:r w:rsidR="000A14CF" w:rsidRPr="00104227">
        <w:rPr>
          <w:lang w:val="en-US" w:eastAsia="ja-JP"/>
        </w:rPr>
        <w:t>shouted</w:t>
      </w:r>
      <w:r w:rsidR="003E53A3" w:rsidRPr="00104227">
        <w:rPr>
          <w:lang w:val="en-US" w:eastAsia="ja-JP"/>
        </w:rPr>
        <w:t xml:space="preserve"> to the others: “hey, look, this bitch is from Tepito, let’s warm her up,” following which they punched her </w:t>
      </w:r>
      <w:r w:rsidR="00280293" w:rsidRPr="00104227">
        <w:rPr>
          <w:lang w:val="en-US" w:eastAsia="ja-JP"/>
        </w:rPr>
        <w:t>o</w:t>
      </w:r>
      <w:r w:rsidR="003E53A3" w:rsidRPr="00104227">
        <w:rPr>
          <w:lang w:val="en-US" w:eastAsia="ja-JP"/>
        </w:rPr>
        <w:t>n the nose and this made her nose bleed. She recalled that one of the agents said: “we’ve got to give this bitch</w:t>
      </w:r>
      <w:r w:rsidR="00280293" w:rsidRPr="00104227">
        <w:rPr>
          <w:lang w:val="en-US" w:eastAsia="ja-JP"/>
        </w:rPr>
        <w:t xml:space="preserve"> the wedgie</w:t>
      </w:r>
      <w:r w:rsidR="003E53A3" w:rsidRPr="00104227">
        <w:rPr>
          <w:lang w:val="en-US" w:eastAsia="ja-JP"/>
        </w:rPr>
        <w:t>,” and “began to pull [her] panties”</w:t>
      </w:r>
      <w:r w:rsidR="00280293" w:rsidRPr="00104227">
        <w:rPr>
          <w:lang w:val="en-US" w:eastAsia="ja-JP"/>
        </w:rPr>
        <w:t>;</w:t>
      </w:r>
      <w:r w:rsidR="003E53A3" w:rsidRPr="00104227">
        <w:rPr>
          <w:lang w:val="en-US" w:eastAsia="ja-JP"/>
        </w:rPr>
        <w:t xml:space="preserve"> on realizing that she was menstruating, </w:t>
      </w:r>
      <w:r w:rsidR="00280293" w:rsidRPr="00104227">
        <w:rPr>
          <w:lang w:val="en-US" w:eastAsia="ja-JP"/>
        </w:rPr>
        <w:t xml:space="preserve">he </w:t>
      </w:r>
      <w:r w:rsidR="003E53A3" w:rsidRPr="00104227">
        <w:rPr>
          <w:lang w:val="en-US" w:eastAsia="ja-JP"/>
        </w:rPr>
        <w:t>yelled to the others “look, this bitch is bleeding, let’s dirty her a little more.” She reported that he then introduced his fingers “violently and repeatedly in [her] vagina,” and this was repeated by five other agents, while others held her down and took off her brassiere, licking her breasts and pulling her nipples. She recounted that another agent tried again to put his hand in her pants, but could not because she “jammed [herself] between [her] seat and the driver’s seat”; consequently, he beat her. She indicated that the journey took around four hours, during which she was beaten and threatened with death and disappearance. Moreover, the women were told that “if we had been at home making tortillas this would not have happened to us; all the time, they made us feel guilty, to feel responsible for what had occurred.”</w:t>
      </w:r>
    </w:p>
    <w:bookmarkEnd w:id="184"/>
    <w:p w14:paraId="16F6A334" w14:textId="77777777" w:rsidR="008D3A5E" w:rsidRPr="00104227" w:rsidRDefault="008D3A5E" w:rsidP="00E4619F">
      <w:pPr>
        <w:tabs>
          <w:tab w:val="left" w:pos="567"/>
        </w:tabs>
        <w:rPr>
          <w:lang w:eastAsia="es-MX"/>
        </w:rPr>
      </w:pPr>
    </w:p>
    <w:p w14:paraId="0EDFC8B4" w14:textId="0432F9A7" w:rsidR="008D3A5E" w:rsidRPr="00104227" w:rsidRDefault="008D3A5E" w:rsidP="000C5093">
      <w:pPr>
        <w:pStyle w:val="Numberedparagraphs"/>
        <w:tabs>
          <w:tab w:val="left" w:pos="567"/>
        </w:tabs>
        <w:rPr>
          <w:lang w:val="en-US"/>
        </w:rPr>
      </w:pPr>
      <w:bookmarkStart w:id="185" w:name="_Ref532907837"/>
      <w:r w:rsidRPr="00104227">
        <w:rPr>
          <w:i/>
          <w:lang w:val="en-US"/>
        </w:rPr>
        <w:t>Mariana Selvas Gómez</w:t>
      </w:r>
      <w:r w:rsidRPr="00104227">
        <w:rPr>
          <w:lang w:val="en-US"/>
        </w:rPr>
        <w:t xml:space="preserve"> indic</w:t>
      </w:r>
      <w:r w:rsidR="003E53A3" w:rsidRPr="00104227">
        <w:rPr>
          <w:lang w:val="en-US"/>
        </w:rPr>
        <w:t xml:space="preserve">ated that, first, she was put into a pick-up where she was made to lie face down. She explained that </w:t>
      </w:r>
      <w:r w:rsidR="000B3F67" w:rsidRPr="00104227">
        <w:rPr>
          <w:lang w:val="en-US"/>
        </w:rPr>
        <w:t>they piled in more people and that she “was underneath and her body went numb” and she could not breath. As she was unable to move, they pulled her out of the truck and stood her up and contin</w:t>
      </w:r>
      <w:r w:rsidR="00280293" w:rsidRPr="00104227">
        <w:rPr>
          <w:lang w:val="en-US"/>
        </w:rPr>
        <w:t>u</w:t>
      </w:r>
      <w:r w:rsidR="000B3F67" w:rsidRPr="00104227">
        <w:rPr>
          <w:lang w:val="en-US"/>
        </w:rPr>
        <w:t xml:space="preserve">ed beating the back of her knees and buttocks. She recounted that she was the last one to get into the truck </w:t>
      </w:r>
      <w:r w:rsidR="00BF5241" w:rsidRPr="00104227">
        <w:rPr>
          <w:lang w:val="en-US"/>
        </w:rPr>
        <w:t xml:space="preserve">and </w:t>
      </w:r>
      <w:r w:rsidR="000B3F67" w:rsidRPr="00104227">
        <w:rPr>
          <w:lang w:val="en-US"/>
        </w:rPr>
        <w:t xml:space="preserve">that they hit her with batons, they kicked her, pushed her, punched her, insulted her and covered her face with her jacket. She narrated that, when they made her get into the truck, </w:t>
      </w:r>
      <w:r w:rsidRPr="00104227">
        <w:rPr>
          <w:lang w:val="en-US"/>
        </w:rPr>
        <w:t>“</w:t>
      </w:r>
      <w:r w:rsidR="000B3F67" w:rsidRPr="00104227">
        <w:rPr>
          <w:lang w:val="en-US"/>
        </w:rPr>
        <w:t xml:space="preserve">a police agent pushed </w:t>
      </w:r>
      <w:r w:rsidR="00280293" w:rsidRPr="00104227">
        <w:rPr>
          <w:lang w:val="en-US"/>
        </w:rPr>
        <w:t>[</w:t>
      </w:r>
      <w:r w:rsidR="000B3F67" w:rsidRPr="00104227">
        <w:rPr>
          <w:lang w:val="en-US"/>
        </w:rPr>
        <w:t>her</w:t>
      </w:r>
      <w:r w:rsidR="00280293" w:rsidRPr="00104227">
        <w:rPr>
          <w:lang w:val="en-US"/>
        </w:rPr>
        <w:t>]</w:t>
      </w:r>
      <w:r w:rsidR="000B3F67" w:rsidRPr="00104227">
        <w:rPr>
          <w:lang w:val="en-US"/>
        </w:rPr>
        <w:t xml:space="preserve"> in with his hand on </w:t>
      </w:r>
      <w:r w:rsidR="00280293" w:rsidRPr="00104227">
        <w:rPr>
          <w:lang w:val="en-US"/>
        </w:rPr>
        <w:t>[</w:t>
      </w:r>
      <w:r w:rsidR="000B3F67" w:rsidRPr="00104227">
        <w:rPr>
          <w:lang w:val="en-US"/>
        </w:rPr>
        <w:t>her</w:t>
      </w:r>
      <w:r w:rsidR="00280293" w:rsidRPr="00104227">
        <w:rPr>
          <w:lang w:val="en-US"/>
        </w:rPr>
        <w:t>]</w:t>
      </w:r>
      <w:r w:rsidR="000B3F67" w:rsidRPr="00104227">
        <w:rPr>
          <w:lang w:val="en-US"/>
        </w:rPr>
        <w:t xml:space="preserve"> buttocks, put his hand between </w:t>
      </w:r>
      <w:r w:rsidR="00280293" w:rsidRPr="00104227">
        <w:rPr>
          <w:lang w:val="en-US"/>
        </w:rPr>
        <w:t>[</w:t>
      </w:r>
      <w:r w:rsidR="000B3F67" w:rsidRPr="00104227">
        <w:rPr>
          <w:lang w:val="en-US"/>
        </w:rPr>
        <w:t>her</w:t>
      </w:r>
      <w:r w:rsidR="00280293" w:rsidRPr="00104227">
        <w:rPr>
          <w:lang w:val="en-US"/>
        </w:rPr>
        <w:t>]</w:t>
      </w:r>
      <w:r w:rsidR="000B3F67" w:rsidRPr="00104227">
        <w:rPr>
          <w:lang w:val="en-US"/>
        </w:rPr>
        <w:t xml:space="preserve"> legs and rubbed </w:t>
      </w:r>
      <w:r w:rsidR="00280293" w:rsidRPr="00104227">
        <w:rPr>
          <w:lang w:val="en-US"/>
        </w:rPr>
        <w:t>[</w:t>
      </w:r>
      <w:r w:rsidR="000B3F67" w:rsidRPr="00104227">
        <w:rPr>
          <w:lang w:val="en-US"/>
        </w:rPr>
        <w:t>her</w:t>
      </w:r>
      <w:r w:rsidR="00280293" w:rsidRPr="00104227">
        <w:rPr>
          <w:lang w:val="en-US"/>
        </w:rPr>
        <w:t>]</w:t>
      </w:r>
      <w:r w:rsidR="000B3F67" w:rsidRPr="00104227">
        <w:rPr>
          <w:lang w:val="en-US"/>
        </w:rPr>
        <w:t xml:space="preserve"> on top of </w:t>
      </w:r>
      <w:r w:rsidR="00280293" w:rsidRPr="00104227">
        <w:rPr>
          <w:lang w:val="en-US"/>
        </w:rPr>
        <w:t>[</w:t>
      </w:r>
      <w:r w:rsidR="000B3F67" w:rsidRPr="00104227">
        <w:rPr>
          <w:lang w:val="en-US"/>
        </w:rPr>
        <w:t>her</w:t>
      </w:r>
      <w:r w:rsidR="00280293" w:rsidRPr="00104227">
        <w:rPr>
          <w:lang w:val="en-US"/>
        </w:rPr>
        <w:t>]</w:t>
      </w:r>
      <w:r w:rsidR="000B3F67" w:rsidRPr="00104227">
        <w:rPr>
          <w:lang w:val="en-US"/>
        </w:rPr>
        <w:t xml:space="preserve"> clothes,” he pinched her buttocks, her vagina and even put his fin</w:t>
      </w:r>
      <w:r w:rsidR="00280293" w:rsidRPr="00104227">
        <w:rPr>
          <w:lang w:val="en-US"/>
        </w:rPr>
        <w:t>g</w:t>
      </w:r>
      <w:r w:rsidR="000B3F67" w:rsidRPr="00104227">
        <w:rPr>
          <w:lang w:val="en-US"/>
        </w:rPr>
        <w:t xml:space="preserve">ers in her vagina, causing her </w:t>
      </w:r>
      <w:r w:rsidR="000B3F67" w:rsidRPr="00104227">
        <w:rPr>
          <w:lang w:val="en-US"/>
        </w:rPr>
        <w:lastRenderedPageBreak/>
        <w:t xml:space="preserve">“such irritation in the genital area that it resulted in a feeling of intense itching and burning.” She added that, while he was doing this, he tried to undo her trouser, but </w:t>
      </w:r>
      <w:r w:rsidR="000C5093" w:rsidRPr="00104227">
        <w:rPr>
          <w:lang w:val="en-US"/>
        </w:rPr>
        <w:t xml:space="preserve">on receiving a blow from the other agents who had continued to beat her, he withdrew his hand. They made her bend down, and an agent came up behind her and, while asking for her </w:t>
      </w:r>
      <w:r w:rsidR="00595698" w:rsidRPr="00104227">
        <w:rPr>
          <w:lang w:val="en-US"/>
        </w:rPr>
        <w:t>personal data</w:t>
      </w:r>
      <w:r w:rsidR="000C5093" w:rsidRPr="00104227">
        <w:rPr>
          <w:lang w:val="en-US"/>
        </w:rPr>
        <w:t xml:space="preserve">, began to touch her breasts on top of her clothes, then put his hands inside her clothes, tore her brassiere and pinched her nipples, hurting her. She explained that they continued to ask for her </w:t>
      </w:r>
      <w:r w:rsidR="00595698" w:rsidRPr="00104227">
        <w:rPr>
          <w:lang w:val="en-US"/>
        </w:rPr>
        <w:t>personal data</w:t>
      </w:r>
      <w:r w:rsidR="000C5093" w:rsidRPr="00104227">
        <w:rPr>
          <w:lang w:val="en-US"/>
        </w:rPr>
        <w:t xml:space="preserve"> while insulting her and that, “as </w:t>
      </w:r>
      <w:r w:rsidR="00280293" w:rsidRPr="00104227">
        <w:rPr>
          <w:lang w:val="en-US"/>
        </w:rPr>
        <w:t>[</w:t>
      </w:r>
      <w:r w:rsidR="000C5093" w:rsidRPr="00104227">
        <w:rPr>
          <w:lang w:val="en-US"/>
        </w:rPr>
        <w:t>she</w:t>
      </w:r>
      <w:r w:rsidR="00280293" w:rsidRPr="00104227">
        <w:rPr>
          <w:lang w:val="en-US"/>
        </w:rPr>
        <w:t>]</w:t>
      </w:r>
      <w:r w:rsidR="000C5093" w:rsidRPr="00104227">
        <w:rPr>
          <w:lang w:val="en-US"/>
        </w:rPr>
        <w:t xml:space="preserve"> was a woman, throughout the journey, they continually yelled: </w:t>
      </w:r>
      <w:r w:rsidR="00280293" w:rsidRPr="00104227">
        <w:rPr>
          <w:lang w:val="en-US"/>
        </w:rPr>
        <w:t>‘</w:t>
      </w:r>
      <w:r w:rsidR="000C5093" w:rsidRPr="00104227">
        <w:rPr>
          <w:lang w:val="en-US"/>
        </w:rPr>
        <w:t xml:space="preserve">damn whore, bitch, murderer, damn </w:t>
      </w:r>
      <w:r w:rsidR="000A14CF" w:rsidRPr="00104227">
        <w:rPr>
          <w:lang w:val="en-US"/>
        </w:rPr>
        <w:t>Samaritan</w:t>
      </w:r>
      <w:r w:rsidR="000C5093" w:rsidRPr="00104227">
        <w:rPr>
          <w:lang w:val="en-US"/>
        </w:rPr>
        <w:t>, rebel,</w:t>
      </w:r>
      <w:r w:rsidR="00E4251B" w:rsidRPr="00104227">
        <w:rPr>
          <w:lang w:val="en-US"/>
        </w:rPr>
        <w:t xml:space="preserve"> we’re going to fuck you</w:t>
      </w:r>
      <w:r w:rsidR="000C5093" w:rsidRPr="00104227">
        <w:rPr>
          <w:lang w:val="en-US"/>
        </w:rPr>
        <w:t xml:space="preserve"> </w:t>
      </w:r>
      <w:r w:rsidRPr="00104227">
        <w:rPr>
          <w:lang w:val="en-US"/>
        </w:rPr>
        <w:t xml:space="preserve">[…], </w:t>
      </w:r>
      <w:r w:rsidR="000C5093" w:rsidRPr="00104227">
        <w:rPr>
          <w:lang w:val="en-US"/>
        </w:rPr>
        <w:t>you think that because you’re big</w:t>
      </w:r>
      <w:r w:rsidRPr="00104227">
        <w:rPr>
          <w:lang w:val="en-US"/>
        </w:rPr>
        <w:t xml:space="preserve"> </w:t>
      </w:r>
      <w:r w:rsidR="000C5093" w:rsidRPr="00104227">
        <w:rPr>
          <w:lang w:val="en-US"/>
        </w:rPr>
        <w:t>we’re not going to fuck</w:t>
      </w:r>
      <w:r w:rsidR="00E4251B" w:rsidRPr="00104227">
        <w:rPr>
          <w:lang w:val="en-US"/>
        </w:rPr>
        <w:t xml:space="preserve"> </w:t>
      </w:r>
      <w:r w:rsidR="000C5093" w:rsidRPr="00104227">
        <w:rPr>
          <w:lang w:val="en-US"/>
        </w:rPr>
        <w:t>you.</w:t>
      </w:r>
      <w:r w:rsidR="00E4251B" w:rsidRPr="00104227">
        <w:rPr>
          <w:lang w:val="en-US"/>
        </w:rPr>
        <w:t>’</w:t>
      </w:r>
      <w:r w:rsidR="000C5093" w:rsidRPr="00104227">
        <w:rPr>
          <w:lang w:val="en-US"/>
        </w:rPr>
        <w:t>” She also stated that, during the journey “they threatened to disappear [her], to kill [her].”</w:t>
      </w:r>
      <w:bookmarkEnd w:id="185"/>
    </w:p>
    <w:p w14:paraId="3A234774" w14:textId="77777777" w:rsidR="008D3A5E" w:rsidRPr="00104227" w:rsidRDefault="008D3A5E" w:rsidP="00E4619F">
      <w:pPr>
        <w:tabs>
          <w:tab w:val="left" w:pos="567"/>
        </w:tabs>
        <w:rPr>
          <w:lang w:eastAsia="es-MX"/>
        </w:rPr>
      </w:pPr>
    </w:p>
    <w:p w14:paraId="3AF19698" w14:textId="2C8BA400" w:rsidR="00CB3E55" w:rsidRPr="00104227" w:rsidRDefault="008D3A5E" w:rsidP="00E4619F">
      <w:pPr>
        <w:pStyle w:val="Numberedparagraphs"/>
        <w:tabs>
          <w:tab w:val="left" w:pos="567"/>
        </w:tabs>
        <w:rPr>
          <w:lang w:val="en-US"/>
        </w:rPr>
      </w:pPr>
      <w:bookmarkStart w:id="186" w:name="_Ref532907896"/>
      <w:r w:rsidRPr="00104227">
        <w:rPr>
          <w:i/>
          <w:lang w:val="en-US"/>
        </w:rPr>
        <w:t>Georgina Edith Rosales Gutiérrez</w:t>
      </w:r>
      <w:r w:rsidRPr="00104227">
        <w:rPr>
          <w:lang w:val="en-US"/>
        </w:rPr>
        <w:t xml:space="preserve"> indic</w:t>
      </w:r>
      <w:r w:rsidR="00CB3E55" w:rsidRPr="00104227">
        <w:rPr>
          <w:lang w:val="en-US"/>
        </w:rPr>
        <w:t xml:space="preserve">ated that she </w:t>
      </w:r>
      <w:r w:rsidR="00E4251B" w:rsidRPr="00104227">
        <w:rPr>
          <w:lang w:val="en-US"/>
        </w:rPr>
        <w:t>w</w:t>
      </w:r>
      <w:r w:rsidR="00CB3E55" w:rsidRPr="00104227">
        <w:rPr>
          <w:lang w:val="en-US"/>
        </w:rPr>
        <w:t>as taken to a van and, as she was unable to get in, they pushed her, struck her with a baton on the hands, shoulders, stomach, head and buttocks, and threw her in face down. She recounted that “one of th</w:t>
      </w:r>
      <w:r w:rsidR="00E4251B" w:rsidRPr="00104227">
        <w:rPr>
          <w:lang w:val="en-US"/>
        </w:rPr>
        <w:t>e PFP</w:t>
      </w:r>
      <w:r w:rsidR="00CB3E55" w:rsidRPr="00104227">
        <w:rPr>
          <w:lang w:val="en-US"/>
        </w:rPr>
        <w:t xml:space="preserve"> </w:t>
      </w:r>
      <w:r w:rsidR="00E4251B" w:rsidRPr="00104227">
        <w:rPr>
          <w:lang w:val="en-US"/>
        </w:rPr>
        <w:t>agents</w:t>
      </w:r>
      <w:r w:rsidR="00CB3E55" w:rsidRPr="00104227">
        <w:rPr>
          <w:lang w:val="en-US"/>
        </w:rPr>
        <w:t xml:space="preserve"> […] took her shoes and socks, and tried to pull her trousers down, but he was unable to do this and he tore </w:t>
      </w:r>
      <w:r w:rsidR="00E4251B" w:rsidRPr="00104227">
        <w:rPr>
          <w:lang w:val="en-US"/>
        </w:rPr>
        <w:t>them</w:t>
      </w:r>
      <w:r w:rsidR="00CB3E55" w:rsidRPr="00104227">
        <w:rPr>
          <w:lang w:val="en-US"/>
        </w:rPr>
        <w:t xml:space="preserve">, leaving </w:t>
      </w:r>
      <w:r w:rsidR="00E4251B" w:rsidRPr="00104227">
        <w:rPr>
          <w:lang w:val="en-US"/>
        </w:rPr>
        <w:t>them</w:t>
      </w:r>
      <w:r w:rsidR="00CB3E55" w:rsidRPr="00104227">
        <w:rPr>
          <w:lang w:val="en-US"/>
        </w:rPr>
        <w:t xml:space="preserve"> on her hips.” She heard another agent yelling to him: “</w:t>
      </w:r>
      <w:r w:rsidR="00E4251B" w:rsidRPr="00104227">
        <w:rPr>
          <w:lang w:val="en-US"/>
        </w:rPr>
        <w:t>fuck these bitches from behind to calm them down</w:t>
      </w:r>
      <w:r w:rsidR="00CB3E55" w:rsidRPr="00104227">
        <w:rPr>
          <w:lang w:val="en-US"/>
        </w:rPr>
        <w:t xml:space="preserve">!” She added that someone said that more were coming and the agent who had tried to strip her said that “they had spoiled the party.” She narrated that this agent “placed his hand between </w:t>
      </w:r>
      <w:r w:rsidR="00E4251B" w:rsidRPr="00104227">
        <w:rPr>
          <w:lang w:val="en-US"/>
        </w:rPr>
        <w:t>[</w:t>
      </w:r>
      <w:r w:rsidR="00CB3E55" w:rsidRPr="00104227">
        <w:rPr>
          <w:lang w:val="en-US"/>
        </w:rPr>
        <w:t>her</w:t>
      </w:r>
      <w:r w:rsidR="00E4251B" w:rsidRPr="00104227">
        <w:rPr>
          <w:lang w:val="en-US"/>
        </w:rPr>
        <w:t>]</w:t>
      </w:r>
      <w:r w:rsidR="00CB3E55" w:rsidRPr="00104227">
        <w:rPr>
          <w:lang w:val="en-US"/>
        </w:rPr>
        <w:t xml:space="preserve"> buttocks, squeezed </w:t>
      </w:r>
      <w:r w:rsidR="00E4251B" w:rsidRPr="00104227">
        <w:rPr>
          <w:lang w:val="en-US"/>
        </w:rPr>
        <w:t>[</w:t>
      </w:r>
      <w:r w:rsidR="00CB3E55" w:rsidRPr="00104227">
        <w:rPr>
          <w:lang w:val="en-US"/>
        </w:rPr>
        <w:t>her</w:t>
      </w:r>
      <w:r w:rsidR="00E4251B" w:rsidRPr="00104227">
        <w:rPr>
          <w:lang w:val="en-US"/>
        </w:rPr>
        <w:t>]</w:t>
      </w:r>
      <w:r w:rsidR="00CB3E55" w:rsidRPr="00104227">
        <w:rPr>
          <w:lang w:val="en-US"/>
        </w:rPr>
        <w:t xml:space="preserve"> vagina, pinched and hurt </w:t>
      </w:r>
      <w:r w:rsidR="00E4251B" w:rsidRPr="00104227">
        <w:rPr>
          <w:lang w:val="en-US"/>
        </w:rPr>
        <w:t>[</w:t>
      </w:r>
      <w:r w:rsidR="00CB3E55" w:rsidRPr="00104227">
        <w:rPr>
          <w:lang w:val="en-US"/>
        </w:rPr>
        <w:t>her</w:t>
      </w:r>
      <w:r w:rsidR="00E4251B" w:rsidRPr="00104227">
        <w:rPr>
          <w:lang w:val="en-US"/>
        </w:rPr>
        <w:t>]</w:t>
      </w:r>
      <w:r w:rsidR="00CB3E55" w:rsidRPr="00104227">
        <w:rPr>
          <w:lang w:val="en-US"/>
        </w:rPr>
        <w:t xml:space="preserve">; he also squeezed </w:t>
      </w:r>
      <w:r w:rsidR="00E4251B" w:rsidRPr="00104227">
        <w:rPr>
          <w:lang w:val="en-US"/>
        </w:rPr>
        <w:t>[</w:t>
      </w:r>
      <w:r w:rsidR="00CB3E55" w:rsidRPr="00104227">
        <w:rPr>
          <w:lang w:val="en-US"/>
        </w:rPr>
        <w:t>her</w:t>
      </w:r>
      <w:r w:rsidR="00E4251B" w:rsidRPr="00104227">
        <w:rPr>
          <w:lang w:val="en-US"/>
        </w:rPr>
        <w:t>]</w:t>
      </w:r>
      <w:r w:rsidR="00CB3E55" w:rsidRPr="00104227">
        <w:rPr>
          <w:lang w:val="en-US"/>
        </w:rPr>
        <w:t xml:space="preserve"> breast under </w:t>
      </w:r>
      <w:r w:rsidR="00E4251B" w:rsidRPr="00104227">
        <w:rPr>
          <w:lang w:val="en-US"/>
        </w:rPr>
        <w:t>[</w:t>
      </w:r>
      <w:r w:rsidR="00CB3E55" w:rsidRPr="00104227">
        <w:rPr>
          <w:lang w:val="en-US"/>
        </w:rPr>
        <w:t>her</w:t>
      </w:r>
      <w:r w:rsidR="00E4251B" w:rsidRPr="00104227">
        <w:rPr>
          <w:lang w:val="en-US"/>
        </w:rPr>
        <w:t>]</w:t>
      </w:r>
      <w:r w:rsidR="00CB3E55" w:rsidRPr="00104227">
        <w:rPr>
          <w:lang w:val="en-US"/>
        </w:rPr>
        <w:t xml:space="preserve"> shirt,” threatening to kill her if she raised her head. She described how they began to pile people on top of her and </w:t>
      </w:r>
      <w:r w:rsidR="00E4251B" w:rsidRPr="00104227">
        <w:rPr>
          <w:lang w:val="en-US"/>
        </w:rPr>
        <w:t xml:space="preserve">that she </w:t>
      </w:r>
      <w:r w:rsidR="00CB3E55" w:rsidRPr="00104227">
        <w:rPr>
          <w:lang w:val="en-US"/>
        </w:rPr>
        <w:t>felt she was suffocating while they continued to beat her legs with batons. Then</w:t>
      </w:r>
      <w:r w:rsidR="00E4251B" w:rsidRPr="00104227">
        <w:rPr>
          <w:lang w:val="en-US"/>
        </w:rPr>
        <w:t>,</w:t>
      </w:r>
      <w:r w:rsidR="00CB3E55" w:rsidRPr="00104227">
        <w:rPr>
          <w:lang w:val="en-US"/>
        </w:rPr>
        <w:t xml:space="preserve"> they pulled her out of the van, while continuing to hit her, and made her get into a bus, where she was forced to kneel</w:t>
      </w:r>
      <w:r w:rsidR="00BD23E8" w:rsidRPr="00104227">
        <w:rPr>
          <w:lang w:val="en-US"/>
        </w:rPr>
        <w:t xml:space="preserve"> in front of a seat with her head down, and had to travel for about five hours in this forced position. A female police agent asked for her </w:t>
      </w:r>
      <w:r w:rsidR="00595698" w:rsidRPr="00104227">
        <w:rPr>
          <w:lang w:val="en-US"/>
        </w:rPr>
        <w:t>personal data</w:t>
      </w:r>
      <w:r w:rsidR="00BD23E8" w:rsidRPr="00104227">
        <w:rPr>
          <w:lang w:val="en-US"/>
        </w:rPr>
        <w:t xml:space="preserve"> and told her: “you’re going to die, slut, bitch, you’re going to pay for the death of my companions.” On </w:t>
      </w:r>
      <w:r w:rsidR="00E4251B" w:rsidRPr="00104227">
        <w:rPr>
          <w:lang w:val="en-US"/>
        </w:rPr>
        <w:t>disembarking</w:t>
      </w:r>
      <w:r w:rsidR="00BD23E8" w:rsidRPr="00104227">
        <w:rPr>
          <w:lang w:val="en-US"/>
        </w:rPr>
        <w:t xml:space="preserve"> from the bus, they “hit </w:t>
      </w:r>
      <w:r w:rsidR="00E4251B" w:rsidRPr="00104227">
        <w:rPr>
          <w:lang w:val="en-US"/>
        </w:rPr>
        <w:t>[</w:t>
      </w:r>
      <w:r w:rsidR="00BD23E8" w:rsidRPr="00104227">
        <w:rPr>
          <w:lang w:val="en-US"/>
        </w:rPr>
        <w:t>her</w:t>
      </w:r>
      <w:r w:rsidR="00E4251B" w:rsidRPr="00104227">
        <w:rPr>
          <w:lang w:val="en-US"/>
        </w:rPr>
        <w:t>]</w:t>
      </w:r>
      <w:r w:rsidR="00BD23E8" w:rsidRPr="00104227">
        <w:rPr>
          <w:lang w:val="en-US"/>
        </w:rPr>
        <w:t xml:space="preserve"> with a closed fist and kicked </w:t>
      </w:r>
      <w:r w:rsidR="00E4251B" w:rsidRPr="00104227">
        <w:rPr>
          <w:lang w:val="en-US"/>
        </w:rPr>
        <w:t>[</w:t>
      </w:r>
      <w:r w:rsidR="00BD23E8" w:rsidRPr="00104227">
        <w:rPr>
          <w:lang w:val="en-US"/>
        </w:rPr>
        <w:t>her</w:t>
      </w:r>
      <w:r w:rsidR="00E4251B" w:rsidRPr="00104227">
        <w:rPr>
          <w:lang w:val="en-US"/>
        </w:rPr>
        <w:t>]</w:t>
      </w:r>
      <w:r w:rsidR="00BD23E8" w:rsidRPr="00104227">
        <w:rPr>
          <w:lang w:val="en-US"/>
        </w:rPr>
        <w:t xml:space="preserve"> legs, thighs and buttocks with their boots.” </w:t>
      </w:r>
    </w:p>
    <w:bookmarkEnd w:id="186"/>
    <w:p w14:paraId="1DA00AC1" w14:textId="77777777" w:rsidR="008D3A5E" w:rsidRPr="00104227" w:rsidRDefault="008D3A5E" w:rsidP="00E4619F">
      <w:pPr>
        <w:tabs>
          <w:tab w:val="left" w:pos="567"/>
        </w:tabs>
        <w:rPr>
          <w:lang w:eastAsia="es-MX"/>
        </w:rPr>
      </w:pPr>
    </w:p>
    <w:p w14:paraId="34D159B6" w14:textId="7AAC1766" w:rsidR="00B82122" w:rsidRPr="00104227" w:rsidRDefault="008D3A5E" w:rsidP="00B82122">
      <w:pPr>
        <w:pStyle w:val="Numberedparagraphs"/>
        <w:tabs>
          <w:tab w:val="left" w:pos="567"/>
        </w:tabs>
        <w:rPr>
          <w:lang w:val="en-US"/>
        </w:rPr>
      </w:pPr>
      <w:bookmarkStart w:id="187" w:name="_Ref532908081"/>
      <w:r w:rsidRPr="00104227">
        <w:rPr>
          <w:i/>
          <w:lang w:val="en-US"/>
        </w:rPr>
        <w:t>Suhelen Gabriela Cuevas Jaramillo</w:t>
      </w:r>
      <w:r w:rsidRPr="00104227">
        <w:rPr>
          <w:lang w:val="en-US"/>
        </w:rPr>
        <w:t xml:space="preserve"> describ</w:t>
      </w:r>
      <w:r w:rsidR="00BD23E8" w:rsidRPr="00104227">
        <w:rPr>
          <w:lang w:val="en-US"/>
        </w:rPr>
        <w:t xml:space="preserve">ed how “the police pinched her whole body,” and groped her breasts repeatedly, hurting her. She recalled that, on getting into the truck, “they yanked </w:t>
      </w:r>
      <w:r w:rsidR="00E4251B" w:rsidRPr="00104227">
        <w:rPr>
          <w:lang w:val="en-US"/>
        </w:rPr>
        <w:t>my</w:t>
      </w:r>
      <w:r w:rsidR="00BD23E8" w:rsidRPr="00104227">
        <w:rPr>
          <w:lang w:val="en-US"/>
        </w:rPr>
        <w:t xml:space="preserve"> </w:t>
      </w:r>
      <w:r w:rsidR="000A14CF" w:rsidRPr="00104227">
        <w:rPr>
          <w:lang w:val="en-US"/>
        </w:rPr>
        <w:t>trousers</w:t>
      </w:r>
      <w:r w:rsidR="00BD23E8" w:rsidRPr="00104227">
        <w:rPr>
          <w:lang w:val="en-US"/>
        </w:rPr>
        <w:t xml:space="preserve">, injuring </w:t>
      </w:r>
      <w:r w:rsidR="00E4251B" w:rsidRPr="00104227">
        <w:rPr>
          <w:lang w:val="en-US"/>
        </w:rPr>
        <w:t>my</w:t>
      </w:r>
      <w:r w:rsidR="00BD23E8" w:rsidRPr="00104227">
        <w:rPr>
          <w:lang w:val="en-US"/>
        </w:rPr>
        <w:t xml:space="preserve"> buttocks”; then, “they piled us in, I was nearly at the bottom of the pile and was almost unable to breathe because I felt </w:t>
      </w:r>
      <w:r w:rsidR="00E4251B" w:rsidRPr="00104227">
        <w:rPr>
          <w:lang w:val="en-US"/>
        </w:rPr>
        <w:t xml:space="preserve">so </w:t>
      </w:r>
      <w:r w:rsidR="00BD23E8" w:rsidRPr="00104227">
        <w:rPr>
          <w:lang w:val="en-US"/>
        </w:rPr>
        <w:t xml:space="preserve">many people on top of me,” and </w:t>
      </w:r>
      <w:r w:rsidR="00E4251B" w:rsidRPr="00104227">
        <w:rPr>
          <w:lang w:val="en-US"/>
        </w:rPr>
        <w:t xml:space="preserve">then they </w:t>
      </w:r>
      <w:r w:rsidR="00BD23E8" w:rsidRPr="00104227">
        <w:rPr>
          <w:lang w:val="en-US"/>
        </w:rPr>
        <w:t xml:space="preserve">began to hit us randomly. She recounted that, they sat her down and “yanked at </w:t>
      </w:r>
      <w:r w:rsidR="00E4251B" w:rsidRPr="00104227">
        <w:rPr>
          <w:lang w:val="en-US"/>
        </w:rPr>
        <w:t>[</w:t>
      </w:r>
      <w:r w:rsidR="00BD23E8" w:rsidRPr="00104227">
        <w:rPr>
          <w:lang w:val="en-US"/>
        </w:rPr>
        <w:t>her</w:t>
      </w:r>
      <w:r w:rsidR="00E4251B" w:rsidRPr="00104227">
        <w:rPr>
          <w:lang w:val="en-US"/>
        </w:rPr>
        <w:t>]</w:t>
      </w:r>
      <w:r w:rsidR="00BD23E8" w:rsidRPr="00104227">
        <w:rPr>
          <w:lang w:val="en-US"/>
        </w:rPr>
        <w:t xml:space="preserve"> brassier leaving </w:t>
      </w:r>
      <w:r w:rsidR="00E4251B" w:rsidRPr="00104227">
        <w:rPr>
          <w:lang w:val="en-US"/>
        </w:rPr>
        <w:t>[</w:t>
      </w:r>
      <w:r w:rsidR="00BD23E8" w:rsidRPr="00104227">
        <w:rPr>
          <w:lang w:val="en-US"/>
        </w:rPr>
        <w:t>her</w:t>
      </w:r>
      <w:r w:rsidR="00E4251B" w:rsidRPr="00104227">
        <w:rPr>
          <w:lang w:val="en-US"/>
        </w:rPr>
        <w:t>]</w:t>
      </w:r>
      <w:r w:rsidR="00BD23E8" w:rsidRPr="00104227">
        <w:rPr>
          <w:lang w:val="en-US"/>
        </w:rPr>
        <w:t xml:space="preserve"> breasts uncovered”</w:t>
      </w:r>
      <w:r w:rsidR="00E4251B" w:rsidRPr="00104227">
        <w:rPr>
          <w:lang w:val="en-US"/>
        </w:rPr>
        <w:t xml:space="preserve">; then, </w:t>
      </w:r>
      <w:r w:rsidR="00BD23E8" w:rsidRPr="00104227">
        <w:rPr>
          <w:lang w:val="en-US"/>
        </w:rPr>
        <w:t xml:space="preserve">they began to pinch and bite </w:t>
      </w:r>
      <w:r w:rsidR="00E4251B" w:rsidRPr="00104227">
        <w:rPr>
          <w:lang w:val="en-US"/>
        </w:rPr>
        <w:t>her breasts</w:t>
      </w:r>
      <w:r w:rsidR="00BD23E8" w:rsidRPr="00104227">
        <w:rPr>
          <w:lang w:val="en-US"/>
        </w:rPr>
        <w:t xml:space="preserve"> again, yelling that she “was a whore and what was </w:t>
      </w:r>
      <w:r w:rsidR="00E4251B" w:rsidRPr="00104227">
        <w:rPr>
          <w:lang w:val="en-US"/>
        </w:rPr>
        <w:t>[</w:t>
      </w:r>
      <w:r w:rsidR="00BD23E8" w:rsidRPr="00104227">
        <w:rPr>
          <w:lang w:val="en-US"/>
        </w:rPr>
        <w:t>she</w:t>
      </w:r>
      <w:r w:rsidR="00E4251B" w:rsidRPr="00104227">
        <w:rPr>
          <w:lang w:val="en-US"/>
        </w:rPr>
        <w:t>]</w:t>
      </w:r>
      <w:r w:rsidR="00BD23E8" w:rsidRPr="00104227">
        <w:rPr>
          <w:lang w:val="en-US"/>
        </w:rPr>
        <w:t xml:space="preserve"> doing there, and that </w:t>
      </w:r>
      <w:r w:rsidR="00E4251B" w:rsidRPr="00104227">
        <w:rPr>
          <w:lang w:val="en-US"/>
        </w:rPr>
        <w:t>[</w:t>
      </w:r>
      <w:r w:rsidR="00BD23E8" w:rsidRPr="00104227">
        <w:rPr>
          <w:lang w:val="en-US"/>
        </w:rPr>
        <w:t>she</w:t>
      </w:r>
      <w:r w:rsidR="00E4251B" w:rsidRPr="00104227">
        <w:rPr>
          <w:lang w:val="en-US"/>
        </w:rPr>
        <w:t>]</w:t>
      </w:r>
      <w:r w:rsidR="00BD23E8" w:rsidRPr="00104227">
        <w:rPr>
          <w:lang w:val="en-US"/>
        </w:rPr>
        <w:t xml:space="preserve"> should go back home and make tortillas.” She narrated that she felt “many hands trying to put </w:t>
      </w:r>
      <w:r w:rsidR="00B82122" w:rsidRPr="00104227">
        <w:rPr>
          <w:lang w:val="en-US"/>
        </w:rPr>
        <w:t xml:space="preserve">their </w:t>
      </w:r>
      <w:r w:rsidR="00BD23E8" w:rsidRPr="00104227">
        <w:rPr>
          <w:lang w:val="en-US"/>
        </w:rPr>
        <w:t xml:space="preserve">fingers into </w:t>
      </w:r>
      <w:r w:rsidR="00E4251B" w:rsidRPr="00104227">
        <w:rPr>
          <w:lang w:val="en-US"/>
        </w:rPr>
        <w:t>[</w:t>
      </w:r>
      <w:r w:rsidR="00B82122" w:rsidRPr="00104227">
        <w:rPr>
          <w:lang w:val="en-US"/>
        </w:rPr>
        <w:t>her</w:t>
      </w:r>
      <w:r w:rsidR="00E4251B" w:rsidRPr="00104227">
        <w:rPr>
          <w:lang w:val="en-US"/>
        </w:rPr>
        <w:t>]</w:t>
      </w:r>
      <w:r w:rsidR="00B82122" w:rsidRPr="00104227">
        <w:rPr>
          <w:lang w:val="en-US"/>
        </w:rPr>
        <w:t xml:space="preserve"> vagina; they put their fingers in </w:t>
      </w:r>
      <w:r w:rsidR="00E4251B" w:rsidRPr="00104227">
        <w:rPr>
          <w:lang w:val="en-US"/>
        </w:rPr>
        <w:t>[</w:t>
      </w:r>
      <w:r w:rsidR="00B82122" w:rsidRPr="00104227">
        <w:rPr>
          <w:lang w:val="en-US"/>
        </w:rPr>
        <w:t>her</w:t>
      </w:r>
      <w:r w:rsidR="00E4251B" w:rsidRPr="00104227">
        <w:rPr>
          <w:lang w:val="en-US"/>
        </w:rPr>
        <w:t>]</w:t>
      </w:r>
      <w:r w:rsidR="00B82122" w:rsidRPr="00104227">
        <w:rPr>
          <w:lang w:val="en-US"/>
        </w:rPr>
        <w:t xml:space="preserve"> vagina; the yelled at </w:t>
      </w:r>
      <w:r w:rsidR="00E4251B" w:rsidRPr="00104227">
        <w:rPr>
          <w:lang w:val="en-US"/>
        </w:rPr>
        <w:t>[</w:t>
      </w:r>
      <w:r w:rsidR="00B82122" w:rsidRPr="00104227">
        <w:rPr>
          <w:lang w:val="en-US"/>
        </w:rPr>
        <w:t>her</w:t>
      </w:r>
      <w:r w:rsidR="00E4251B" w:rsidRPr="00104227">
        <w:rPr>
          <w:lang w:val="en-US"/>
        </w:rPr>
        <w:t>]</w:t>
      </w:r>
      <w:r w:rsidRPr="00104227">
        <w:rPr>
          <w:lang w:val="en-US"/>
        </w:rPr>
        <w:t xml:space="preserve"> ‘</w:t>
      </w:r>
      <w:r w:rsidR="00E4251B" w:rsidRPr="00104227">
        <w:rPr>
          <w:lang w:val="en-US"/>
        </w:rPr>
        <w:t>bitch</w:t>
      </w:r>
      <w:r w:rsidRPr="00104227">
        <w:rPr>
          <w:lang w:val="en-US"/>
        </w:rPr>
        <w:t xml:space="preserve">, </w:t>
      </w:r>
      <w:r w:rsidR="00B82122" w:rsidRPr="00104227">
        <w:rPr>
          <w:lang w:val="en-US"/>
        </w:rPr>
        <w:t xml:space="preserve">you should be at home in the kitchen,’” and they repeated this action “numerous times because one group did it and then another.” She added that one of the police agents realized that she was with her partner, because she was “trying to hold onto him or embrace him; so </w:t>
      </w:r>
      <w:r w:rsidR="00E4251B" w:rsidRPr="00104227">
        <w:rPr>
          <w:lang w:val="en-US"/>
        </w:rPr>
        <w:t>the agent</w:t>
      </w:r>
      <w:r w:rsidR="00B82122" w:rsidRPr="00104227">
        <w:rPr>
          <w:lang w:val="en-US"/>
        </w:rPr>
        <w:t xml:space="preserve"> said: ‘that’s how you fuck her, motherfucker?’ while slapping h</w:t>
      </w:r>
      <w:r w:rsidR="00E4251B" w:rsidRPr="00104227">
        <w:rPr>
          <w:lang w:val="en-US"/>
        </w:rPr>
        <w:t>er partner</w:t>
      </w:r>
      <w:r w:rsidR="00B82122" w:rsidRPr="00104227">
        <w:rPr>
          <w:lang w:val="en-US"/>
        </w:rPr>
        <w:t xml:space="preserve">. She recounted that, later, they left her “with </w:t>
      </w:r>
      <w:r w:rsidR="00E4251B" w:rsidRPr="00104227">
        <w:rPr>
          <w:lang w:val="en-US"/>
        </w:rPr>
        <w:t>[</w:t>
      </w:r>
      <w:r w:rsidR="00B82122" w:rsidRPr="00104227">
        <w:rPr>
          <w:lang w:val="en-US"/>
        </w:rPr>
        <w:t>her</w:t>
      </w:r>
      <w:r w:rsidR="00E4251B" w:rsidRPr="00104227">
        <w:rPr>
          <w:lang w:val="en-US"/>
        </w:rPr>
        <w:t>]</w:t>
      </w:r>
      <w:r w:rsidR="00B82122" w:rsidRPr="00104227">
        <w:rPr>
          <w:lang w:val="en-US"/>
        </w:rPr>
        <w:t xml:space="preserve"> trousers down,” and they made her squat in fron</w:t>
      </w:r>
      <w:r w:rsidR="00E4251B" w:rsidRPr="00104227">
        <w:rPr>
          <w:lang w:val="en-US"/>
        </w:rPr>
        <w:t>t</w:t>
      </w:r>
      <w:r w:rsidR="00B82122" w:rsidRPr="00104227">
        <w:rPr>
          <w:lang w:val="en-US"/>
        </w:rPr>
        <w:t xml:space="preserve"> of a seat where they beat her “head and back” and, on seeing her tattoo, “they became enraged,” saying that she must be a drug addict and hit her even harder. She also recalled that they put a backpack on her back that “felt as if it was full of heavy stones,” and they left it there, and told her that they </w:t>
      </w:r>
      <w:r w:rsidR="002969EC" w:rsidRPr="00104227">
        <w:rPr>
          <w:lang w:val="en-US"/>
        </w:rPr>
        <w:t>“</w:t>
      </w:r>
      <w:r w:rsidR="00B82122" w:rsidRPr="00104227">
        <w:rPr>
          <w:lang w:val="en-US"/>
        </w:rPr>
        <w:t xml:space="preserve">were going to </w:t>
      </w:r>
      <w:r w:rsidR="000C4102" w:rsidRPr="00104227">
        <w:rPr>
          <w:lang w:val="en-US"/>
        </w:rPr>
        <w:t>blow you up</w:t>
      </w:r>
      <w:r w:rsidR="00B82122" w:rsidRPr="00104227">
        <w:rPr>
          <w:lang w:val="en-US"/>
        </w:rPr>
        <w:t xml:space="preserve">,” </w:t>
      </w:r>
      <w:r w:rsidR="000C4102" w:rsidRPr="00104227">
        <w:rPr>
          <w:lang w:val="en-US"/>
        </w:rPr>
        <w:t xml:space="preserve">which made her think that the backpack contained dynamite. She indicated that the journey lasted about four or five hours and, for the whole time, they hit her and constantly threatened to </w:t>
      </w:r>
      <w:r w:rsidR="002969EC" w:rsidRPr="00104227">
        <w:rPr>
          <w:lang w:val="en-US"/>
        </w:rPr>
        <w:t>rape</w:t>
      </w:r>
      <w:r w:rsidR="000C4102" w:rsidRPr="00104227">
        <w:rPr>
          <w:lang w:val="en-US"/>
        </w:rPr>
        <w:t xml:space="preserve"> her and her mother. She also indicated that she could hear other women resisting sexual assaults.</w:t>
      </w:r>
    </w:p>
    <w:bookmarkEnd w:id="187"/>
    <w:p w14:paraId="069B52E5" w14:textId="77777777" w:rsidR="008D3A5E" w:rsidRPr="00104227" w:rsidRDefault="008D3A5E" w:rsidP="00E4619F">
      <w:pPr>
        <w:tabs>
          <w:tab w:val="left" w:pos="567"/>
        </w:tabs>
        <w:rPr>
          <w:lang w:eastAsia="es-MX"/>
        </w:rPr>
      </w:pPr>
    </w:p>
    <w:p w14:paraId="505050DC" w14:textId="10BC5CBB" w:rsidR="000C4102" w:rsidRPr="00104227" w:rsidRDefault="008D3A5E" w:rsidP="00E4619F">
      <w:pPr>
        <w:pStyle w:val="Numberedparagraphs"/>
        <w:tabs>
          <w:tab w:val="left" w:pos="567"/>
        </w:tabs>
        <w:rPr>
          <w:lang w:val="en-US"/>
        </w:rPr>
      </w:pPr>
      <w:bookmarkStart w:id="188" w:name="_Ref532908183"/>
      <w:r w:rsidRPr="00104227">
        <w:rPr>
          <w:i/>
          <w:lang w:val="en-US"/>
        </w:rPr>
        <w:t>Bárbara Italia Méndez Moreno</w:t>
      </w:r>
      <w:r w:rsidRPr="00104227" w:rsidDel="009E536E">
        <w:rPr>
          <w:lang w:val="en-US"/>
        </w:rPr>
        <w:t xml:space="preserve"> </w:t>
      </w:r>
      <w:r w:rsidRPr="00104227">
        <w:rPr>
          <w:lang w:val="en-US"/>
        </w:rPr>
        <w:t>indic</w:t>
      </w:r>
      <w:r w:rsidR="000C4102" w:rsidRPr="00104227">
        <w:rPr>
          <w:lang w:val="en-US"/>
        </w:rPr>
        <w:t>ated that during the tra</w:t>
      </w:r>
      <w:r w:rsidR="000A2698" w:rsidRPr="00104227">
        <w:rPr>
          <w:lang w:val="en-US"/>
        </w:rPr>
        <w:t>n</w:t>
      </w:r>
      <w:r w:rsidR="000C4102" w:rsidRPr="00104227">
        <w:rPr>
          <w:lang w:val="en-US"/>
        </w:rPr>
        <w:t xml:space="preserve">sfer, </w:t>
      </w:r>
      <w:r w:rsidR="000A2698" w:rsidRPr="00104227">
        <w:rPr>
          <w:lang w:val="en-US"/>
        </w:rPr>
        <w:t xml:space="preserve">her </w:t>
      </w:r>
      <w:r w:rsidR="000C4102" w:rsidRPr="00104227">
        <w:rPr>
          <w:lang w:val="en-US"/>
        </w:rPr>
        <w:t>“hell</w:t>
      </w:r>
      <w:r w:rsidR="000A2698" w:rsidRPr="00104227">
        <w:rPr>
          <w:lang w:val="en-US"/>
        </w:rPr>
        <w:t>ish experience</w:t>
      </w:r>
      <w:r w:rsidR="000C4102" w:rsidRPr="00104227">
        <w:rPr>
          <w:lang w:val="en-US"/>
        </w:rPr>
        <w:t xml:space="preserve">” began. She described how, when she got into the truck, she saw a large number of people lying </w:t>
      </w:r>
      <w:r w:rsidR="000C4102" w:rsidRPr="00104227">
        <w:rPr>
          <w:lang w:val="en-US"/>
        </w:rPr>
        <w:lastRenderedPageBreak/>
        <w:t xml:space="preserve">face down on the floor, piled up, that there was a strong smell of blood and that the state police walked on top of the people. She recounted that they put her in the back seat, on top of two other people and, there, </w:t>
      </w:r>
      <w:r w:rsidR="000A2698" w:rsidRPr="00104227">
        <w:rPr>
          <w:lang w:val="en-US"/>
        </w:rPr>
        <w:t xml:space="preserve">with her </w:t>
      </w:r>
      <w:r w:rsidR="000C4102" w:rsidRPr="00104227">
        <w:rPr>
          <w:lang w:val="en-US"/>
        </w:rPr>
        <w:t xml:space="preserve">leaning </w:t>
      </w:r>
      <w:r w:rsidR="00DF565E" w:rsidRPr="00104227">
        <w:rPr>
          <w:lang w:val="en-US"/>
        </w:rPr>
        <w:t>against</w:t>
      </w:r>
      <w:r w:rsidR="000A2698" w:rsidRPr="00104227">
        <w:rPr>
          <w:lang w:val="en-US"/>
        </w:rPr>
        <w:t xml:space="preserve"> the</w:t>
      </w:r>
      <w:r w:rsidR="000C4102" w:rsidRPr="00104227">
        <w:rPr>
          <w:lang w:val="en-US"/>
        </w:rPr>
        <w:t xml:space="preserve"> other people, they put their hands under her shirt, they tore off her brassier</w:t>
      </w:r>
      <w:r w:rsidR="000A2698" w:rsidRPr="00104227">
        <w:rPr>
          <w:lang w:val="en-US"/>
        </w:rPr>
        <w:t>e</w:t>
      </w:r>
      <w:r w:rsidR="000C4102" w:rsidRPr="00104227">
        <w:rPr>
          <w:lang w:val="en-US"/>
        </w:rPr>
        <w:t xml:space="preserve">, put their hands in her trousers and tore her panties, they broke the zipper and the button while lowering her trousers to her </w:t>
      </w:r>
      <w:r w:rsidR="000A14CF" w:rsidRPr="00104227">
        <w:rPr>
          <w:lang w:val="en-US"/>
        </w:rPr>
        <w:t>ankles</w:t>
      </w:r>
      <w:r w:rsidR="000A2698" w:rsidRPr="00104227">
        <w:rPr>
          <w:lang w:val="en-US"/>
        </w:rPr>
        <w:t>,</w:t>
      </w:r>
      <w:r w:rsidR="000C4102" w:rsidRPr="00104227">
        <w:rPr>
          <w:lang w:val="en-US"/>
        </w:rPr>
        <w:t xml:space="preserve"> put her shirt over her head, while beating her body with batons, and pinching her nipples. S</w:t>
      </w:r>
      <w:r w:rsidR="000A2698" w:rsidRPr="00104227">
        <w:rPr>
          <w:lang w:val="en-US"/>
        </w:rPr>
        <w:t>h</w:t>
      </w:r>
      <w:r w:rsidR="000C4102" w:rsidRPr="00104227">
        <w:rPr>
          <w:lang w:val="en-US"/>
        </w:rPr>
        <w:t xml:space="preserve">e </w:t>
      </w:r>
      <w:r w:rsidR="000A2698" w:rsidRPr="00104227">
        <w:rPr>
          <w:lang w:val="en-US"/>
        </w:rPr>
        <w:t>narrated</w:t>
      </w:r>
      <w:r w:rsidR="000C4102" w:rsidRPr="00104227">
        <w:rPr>
          <w:lang w:val="en-US"/>
        </w:rPr>
        <w:t xml:space="preserve"> that they began “to yell obscene expressions about [her] body, about [her] being a woman; they told [her] that this was happening because [she] had not stayed home to look after [her] children.” She indicated that, while they were beating her buttocks, they yelled “whore, say </w:t>
      </w:r>
      <w:r w:rsidR="00DF565E" w:rsidRPr="00104227">
        <w:rPr>
          <w:lang w:val="en-US"/>
        </w:rPr>
        <w:t>I’m a cowboy</w:t>
      </w:r>
      <w:r w:rsidR="000C4102" w:rsidRPr="00104227">
        <w:rPr>
          <w:lang w:val="en-US"/>
        </w:rPr>
        <w:t xml:space="preserve">, say I can ride you or I’ll kill you; go on say it!” </w:t>
      </w:r>
      <w:r w:rsidR="00EB57BE" w:rsidRPr="00104227">
        <w:rPr>
          <w:lang w:val="en-US"/>
        </w:rPr>
        <w:t>When she refused, the agent hit her harder until she said it; he then began to laugh and threaten</w:t>
      </w:r>
      <w:r w:rsidR="00DF565E" w:rsidRPr="00104227">
        <w:rPr>
          <w:lang w:val="en-US"/>
        </w:rPr>
        <w:t>ed</w:t>
      </w:r>
      <w:r w:rsidR="00EB57BE" w:rsidRPr="00104227">
        <w:rPr>
          <w:lang w:val="en-US"/>
        </w:rPr>
        <w:t xml:space="preserve"> to kill her.</w:t>
      </w:r>
    </w:p>
    <w:bookmarkEnd w:id="188"/>
    <w:p w14:paraId="7E0E5646" w14:textId="77777777" w:rsidR="008D3A5E" w:rsidRPr="00104227" w:rsidRDefault="008D3A5E" w:rsidP="00E4619F">
      <w:pPr>
        <w:tabs>
          <w:tab w:val="left" w:pos="567"/>
        </w:tabs>
      </w:pPr>
    </w:p>
    <w:p w14:paraId="134A640C" w14:textId="722B0175" w:rsidR="00EB57BE" w:rsidRPr="00104227" w:rsidRDefault="00EB57BE" w:rsidP="00E4619F">
      <w:pPr>
        <w:pStyle w:val="Numberedparagraphs"/>
        <w:tabs>
          <w:tab w:val="left" w:pos="567"/>
        </w:tabs>
        <w:rPr>
          <w:lang w:val="en-US"/>
        </w:rPr>
      </w:pPr>
      <w:bookmarkStart w:id="189" w:name="_Ref532915127"/>
      <w:r w:rsidRPr="00104227">
        <w:rPr>
          <w:lang w:val="en-US"/>
        </w:rPr>
        <w:t>She added that they penetrated her vagina with their fingers, saying, “You like this, whore, don’t you? How will you not like it if you are a bitch; as soon as I finish with you, I’m going to kill you, I’m going to fuck your mother and I’ll kill her also!” – all of this while she was lea</w:t>
      </w:r>
      <w:r w:rsidR="00DF565E" w:rsidRPr="00104227">
        <w:rPr>
          <w:lang w:val="en-US"/>
        </w:rPr>
        <w:t>n</w:t>
      </w:r>
      <w:r w:rsidRPr="00104227">
        <w:rPr>
          <w:lang w:val="en-US"/>
        </w:rPr>
        <w:t xml:space="preserve">ing </w:t>
      </w:r>
      <w:r w:rsidR="00DF565E" w:rsidRPr="00104227">
        <w:rPr>
          <w:lang w:val="en-US"/>
        </w:rPr>
        <w:t>against</w:t>
      </w:r>
      <w:r w:rsidRPr="00104227">
        <w:rPr>
          <w:lang w:val="en-US"/>
        </w:rPr>
        <w:t xml:space="preserve"> </w:t>
      </w:r>
      <w:r w:rsidR="00DF565E" w:rsidRPr="00104227">
        <w:rPr>
          <w:lang w:val="en-US"/>
        </w:rPr>
        <w:t xml:space="preserve">two </w:t>
      </w:r>
      <w:r w:rsidRPr="00104227">
        <w:rPr>
          <w:lang w:val="en-US"/>
        </w:rPr>
        <w:t xml:space="preserve">other people. Then, one of the agents turned to another and said: “Come here, shut this whore up; try her, this bitch enjoys it! It’s true isn’t it, whore, you enjoy it!” She recounted that the other agent approached, “turned her face down, touched [her] clitoris and repeatedly put his fingers in [her] vagina holding [her] by </w:t>
      </w:r>
      <w:r w:rsidR="00E5597B" w:rsidRPr="00104227">
        <w:rPr>
          <w:lang w:val="en-US"/>
        </w:rPr>
        <w:t>the</w:t>
      </w:r>
      <w:r w:rsidRPr="00104227">
        <w:rPr>
          <w:lang w:val="en-US"/>
        </w:rPr>
        <w:t xml:space="preserve"> neck.” She recalled that, while this was happening, she could hear another woman crying out and pleading </w:t>
      </w:r>
      <w:r w:rsidR="00DF565E" w:rsidRPr="00104227">
        <w:rPr>
          <w:lang w:val="en-US"/>
        </w:rPr>
        <w:t>to them to</w:t>
      </w:r>
      <w:r w:rsidRPr="00104227">
        <w:rPr>
          <w:lang w:val="en-US"/>
        </w:rPr>
        <w:t xml:space="preserve"> stop assaulting her, because she suffered from asthma and could not breathe; but the police continued insulting</w:t>
      </w:r>
      <w:r w:rsidR="00DF565E" w:rsidRPr="00104227">
        <w:rPr>
          <w:lang w:val="en-US"/>
        </w:rPr>
        <w:t xml:space="preserve"> and abusing</w:t>
      </w:r>
      <w:r w:rsidRPr="00104227">
        <w:rPr>
          <w:lang w:val="en-US"/>
        </w:rPr>
        <w:t xml:space="preserve"> </w:t>
      </w:r>
      <w:r w:rsidR="00DF565E" w:rsidRPr="00104227">
        <w:rPr>
          <w:lang w:val="en-US"/>
        </w:rPr>
        <w:t>the women</w:t>
      </w:r>
      <w:r w:rsidRPr="00104227">
        <w:rPr>
          <w:lang w:val="en-US"/>
        </w:rPr>
        <w:t>.</w:t>
      </w:r>
      <w:r w:rsidR="00954710" w:rsidRPr="00104227">
        <w:rPr>
          <w:lang w:val="en-US"/>
        </w:rPr>
        <w:t xml:space="preserve"> She said that this made her very nervous and she began to tremble, so the agent who was penetrating her yelled “Now you’re trembling, bitch!” he turned her face up, hit her breasts with his fists, hit her </w:t>
      </w:r>
      <w:r w:rsidR="000A14CF" w:rsidRPr="00104227">
        <w:rPr>
          <w:lang w:val="en-US"/>
        </w:rPr>
        <w:t>stomach</w:t>
      </w:r>
      <w:r w:rsidR="00954710" w:rsidRPr="00104227">
        <w:rPr>
          <w:lang w:val="en-US"/>
        </w:rPr>
        <w:t xml:space="preserve"> to make her open her mouth and put his tongue in. He then called a third agent who he referred to as “chief,” saying to</w:t>
      </w:r>
      <w:r w:rsidR="00DF565E" w:rsidRPr="00104227">
        <w:rPr>
          <w:lang w:val="en-US"/>
        </w:rPr>
        <w:t xml:space="preserve"> </w:t>
      </w:r>
      <w:r w:rsidR="00954710" w:rsidRPr="00104227">
        <w:rPr>
          <w:lang w:val="en-US"/>
        </w:rPr>
        <w:t>him: “Come and feel this whore.” Two people held her hips and they lifted her to the height of the genitals of a third person who shou</w:t>
      </w:r>
      <w:r w:rsidR="00DF565E" w:rsidRPr="00104227">
        <w:rPr>
          <w:lang w:val="en-US"/>
        </w:rPr>
        <w:t>t</w:t>
      </w:r>
      <w:r w:rsidR="00954710" w:rsidRPr="00104227">
        <w:rPr>
          <w:lang w:val="en-US"/>
        </w:rPr>
        <w:t xml:space="preserve">ed that he knew who she and her family were and that he would kill all of them. That person asked her: “Do you fuck? Of course you fuck, you’re a whore, I’m going to fuck you! I’m going to kill you,” while the others “urged him on, saying – get it out, fuck her, we’re going to kill her anyway!” She added that the agents pushed their genitals against her external genitalia and “they rubbed against </w:t>
      </w:r>
      <w:r w:rsidR="00DF565E" w:rsidRPr="00104227">
        <w:rPr>
          <w:lang w:val="en-US"/>
        </w:rPr>
        <w:t>[</w:t>
      </w:r>
      <w:r w:rsidR="00954710" w:rsidRPr="00104227">
        <w:rPr>
          <w:lang w:val="en-US"/>
        </w:rPr>
        <w:t>her</w:t>
      </w:r>
      <w:r w:rsidR="00DF565E" w:rsidRPr="00104227">
        <w:rPr>
          <w:lang w:val="en-US"/>
        </w:rPr>
        <w:t>]</w:t>
      </w:r>
      <w:r w:rsidR="00954710" w:rsidRPr="00104227">
        <w:rPr>
          <w:lang w:val="en-US"/>
        </w:rPr>
        <w:t xml:space="preserve">, first one, then another, and then they repeated this,” and </w:t>
      </w:r>
      <w:r w:rsidR="00DF565E" w:rsidRPr="00104227">
        <w:rPr>
          <w:lang w:val="en-US"/>
        </w:rPr>
        <w:t>in the course of</w:t>
      </w:r>
      <w:r w:rsidR="00954710" w:rsidRPr="00104227">
        <w:rPr>
          <w:lang w:val="en-US"/>
        </w:rPr>
        <w:t xml:space="preserve"> the journey she was penetrated again, “but this time with a small, cold, hard object, with which they </w:t>
      </w:r>
      <w:r w:rsidR="00DF565E" w:rsidRPr="00104227">
        <w:rPr>
          <w:lang w:val="en-US"/>
        </w:rPr>
        <w:t>penetrated</w:t>
      </w:r>
      <w:r w:rsidR="00954710" w:rsidRPr="00104227">
        <w:rPr>
          <w:lang w:val="en-US"/>
        </w:rPr>
        <w:t xml:space="preserve"> </w:t>
      </w:r>
      <w:r w:rsidR="00DF565E" w:rsidRPr="00104227">
        <w:rPr>
          <w:lang w:val="en-US"/>
        </w:rPr>
        <w:t>[</w:t>
      </w:r>
      <w:r w:rsidR="00954710" w:rsidRPr="00104227">
        <w:rPr>
          <w:lang w:val="en-US"/>
        </w:rPr>
        <w:t>he</w:t>
      </w:r>
      <w:r w:rsidR="00DF565E" w:rsidRPr="00104227">
        <w:rPr>
          <w:lang w:val="en-US"/>
        </w:rPr>
        <w:t>r]</w:t>
      </w:r>
      <w:r w:rsidR="00954710" w:rsidRPr="00104227">
        <w:rPr>
          <w:lang w:val="en-US"/>
        </w:rPr>
        <w:t xml:space="preserve"> vagina” and that she thought </w:t>
      </w:r>
      <w:r w:rsidR="00DF565E" w:rsidRPr="00104227">
        <w:rPr>
          <w:lang w:val="en-US"/>
        </w:rPr>
        <w:t xml:space="preserve">this </w:t>
      </w:r>
      <w:r w:rsidR="00954710" w:rsidRPr="00104227">
        <w:rPr>
          <w:lang w:val="en-US"/>
        </w:rPr>
        <w:t xml:space="preserve">could </w:t>
      </w:r>
      <w:r w:rsidR="00DF565E" w:rsidRPr="00104227">
        <w:rPr>
          <w:lang w:val="en-US"/>
        </w:rPr>
        <w:t>have been a</w:t>
      </w:r>
      <w:r w:rsidR="00954710" w:rsidRPr="00104227">
        <w:rPr>
          <w:lang w:val="en-US"/>
        </w:rPr>
        <w:t xml:space="preserve"> key. Then, she was placed</w:t>
      </w:r>
      <w:r w:rsidR="00051BEF" w:rsidRPr="00104227">
        <w:rPr>
          <w:lang w:val="en-US"/>
        </w:rPr>
        <w:t>, naked, on the seat with her head down, her buttocks up, her back and abdomen against the people under her, and with her legs open in a “V” and forced to travel to the CEPRESO in th</w:t>
      </w:r>
      <w:r w:rsidR="00DF565E" w:rsidRPr="00104227">
        <w:rPr>
          <w:lang w:val="en-US"/>
        </w:rPr>
        <w:t>at</w:t>
      </w:r>
      <w:r w:rsidR="00051BEF" w:rsidRPr="00104227">
        <w:rPr>
          <w:lang w:val="en-US"/>
        </w:rPr>
        <w:t xml:space="preserve"> position. She recalled that, during the journey, she was “subjected to every type of beating; they also suffocated [her], and sat on [her] neck.”</w:t>
      </w:r>
      <w:r w:rsidR="00954710" w:rsidRPr="00104227">
        <w:rPr>
          <w:lang w:val="en-US"/>
        </w:rPr>
        <w:t xml:space="preserve"> </w:t>
      </w:r>
      <w:r w:rsidR="00051BEF" w:rsidRPr="00104227">
        <w:rPr>
          <w:lang w:val="en-US"/>
        </w:rPr>
        <w:t>She added that she could hear “other women were experiencing what [she] was experiencing,</w:t>
      </w:r>
      <w:r w:rsidR="00DF565E" w:rsidRPr="00104227">
        <w:rPr>
          <w:lang w:val="en-US"/>
        </w:rPr>
        <w:t>”</w:t>
      </w:r>
      <w:r w:rsidR="00051BEF" w:rsidRPr="00104227">
        <w:rPr>
          <w:lang w:val="en-US"/>
        </w:rPr>
        <w:t xml:space="preserve"> and that “they played with </w:t>
      </w:r>
      <w:r w:rsidR="00DF565E" w:rsidRPr="00104227">
        <w:rPr>
          <w:lang w:val="en-US"/>
        </w:rPr>
        <w:t>[her]</w:t>
      </w:r>
      <w:r w:rsidR="00051BEF" w:rsidRPr="00104227">
        <w:rPr>
          <w:lang w:val="en-US"/>
        </w:rPr>
        <w:t xml:space="preserve"> mind” during the journey, because “they told people […] and then stopped the bus and said that they had dropped off those who were dead,” and that each time they made them count</w:t>
      </w:r>
      <w:r w:rsidR="00595698" w:rsidRPr="00104227">
        <w:rPr>
          <w:lang w:val="en-US"/>
        </w:rPr>
        <w:t xml:space="preserve"> the people</w:t>
      </w:r>
      <w:r w:rsidR="00051BEF" w:rsidRPr="00104227">
        <w:rPr>
          <w:lang w:val="en-US"/>
        </w:rPr>
        <w:t xml:space="preserve">, the number decreased, which </w:t>
      </w:r>
      <w:r w:rsidR="00DF565E" w:rsidRPr="00104227">
        <w:rPr>
          <w:lang w:val="en-US"/>
        </w:rPr>
        <w:t>convinced her</w:t>
      </w:r>
      <w:r w:rsidR="00051BEF" w:rsidRPr="00104227">
        <w:rPr>
          <w:lang w:val="en-US"/>
        </w:rPr>
        <w:t xml:space="preserve"> that they would kill her. </w:t>
      </w:r>
    </w:p>
    <w:bookmarkEnd w:id="189"/>
    <w:p w14:paraId="2817C64F" w14:textId="77777777" w:rsidR="008D3A5E" w:rsidRPr="00104227" w:rsidRDefault="008D3A5E" w:rsidP="00E4619F">
      <w:pPr>
        <w:tabs>
          <w:tab w:val="left" w:pos="567"/>
        </w:tabs>
      </w:pPr>
    </w:p>
    <w:p w14:paraId="331F7BD9" w14:textId="4AC3D4E3" w:rsidR="008D3A5E" w:rsidRPr="00104227" w:rsidRDefault="008D3A5E" w:rsidP="00E4619F">
      <w:pPr>
        <w:pStyle w:val="Ttulo3"/>
        <w:tabs>
          <w:tab w:val="left" w:pos="567"/>
        </w:tabs>
        <w:rPr>
          <w:lang w:val="en-US"/>
        </w:rPr>
      </w:pPr>
      <w:bookmarkStart w:id="190" w:name="_Toc31290576"/>
      <w:r w:rsidRPr="00104227">
        <w:rPr>
          <w:lang w:val="en-US"/>
        </w:rPr>
        <w:t xml:space="preserve">B.3 </w:t>
      </w:r>
      <w:r w:rsidR="00051BEF" w:rsidRPr="00104227">
        <w:rPr>
          <w:lang w:val="en-US"/>
        </w:rPr>
        <w:t>The arrival at</w:t>
      </w:r>
      <w:r w:rsidRPr="00104227">
        <w:rPr>
          <w:lang w:val="en-US"/>
        </w:rPr>
        <w:t xml:space="preserve"> CEPRESO</w:t>
      </w:r>
      <w:bookmarkEnd w:id="190"/>
    </w:p>
    <w:p w14:paraId="59DF01AE" w14:textId="77777777" w:rsidR="008D3A5E" w:rsidRPr="00104227" w:rsidRDefault="008D3A5E" w:rsidP="00E4619F">
      <w:pPr>
        <w:tabs>
          <w:tab w:val="left" w:pos="567"/>
        </w:tabs>
      </w:pPr>
    </w:p>
    <w:p w14:paraId="5B5065D9" w14:textId="3C88BB59" w:rsidR="008D3A5E" w:rsidRPr="00104227" w:rsidRDefault="00F12946" w:rsidP="00E4619F">
      <w:pPr>
        <w:pStyle w:val="Numberedparagraphs"/>
        <w:tabs>
          <w:tab w:val="left" w:pos="567"/>
        </w:tabs>
        <w:rPr>
          <w:lang w:val="en-US"/>
        </w:rPr>
      </w:pPr>
      <w:bookmarkStart w:id="191" w:name="_Ref532907356"/>
      <w:r w:rsidRPr="00104227">
        <w:rPr>
          <w:lang w:val="en-US"/>
        </w:rPr>
        <w:t>The eleven women</w:t>
      </w:r>
      <w:r w:rsidR="008D3A5E" w:rsidRPr="00104227">
        <w:rPr>
          <w:lang w:val="en-US"/>
        </w:rPr>
        <w:t xml:space="preserve"> </w:t>
      </w:r>
      <w:r w:rsidR="00051BEF" w:rsidRPr="00104227">
        <w:rPr>
          <w:lang w:val="en-US"/>
        </w:rPr>
        <w:t>entered the</w:t>
      </w:r>
      <w:r w:rsidR="008D3A5E" w:rsidRPr="00104227">
        <w:rPr>
          <w:lang w:val="en-US"/>
        </w:rPr>
        <w:t xml:space="preserve"> CEPRESO </w:t>
      </w:r>
      <w:r w:rsidR="00B851FA" w:rsidRPr="00104227">
        <w:rPr>
          <w:lang w:val="en-US"/>
        </w:rPr>
        <w:t>on May 4,</w:t>
      </w:r>
      <w:r w:rsidR="008D3A5E" w:rsidRPr="00104227">
        <w:rPr>
          <w:lang w:val="en-US"/>
        </w:rPr>
        <w:t xml:space="preserve"> 2006. </w:t>
      </w:r>
      <w:r w:rsidR="00051BEF" w:rsidRPr="00104227">
        <w:rPr>
          <w:lang w:val="en-US"/>
        </w:rPr>
        <w:t xml:space="preserve">The admission records show that </w:t>
      </w:r>
      <w:r w:rsidR="008D3A5E" w:rsidRPr="00104227">
        <w:rPr>
          <w:lang w:val="en-US"/>
        </w:rPr>
        <w:t>Yolanda Muñoz Diosdada</w:t>
      </w:r>
      <w:r w:rsidR="00051BEF" w:rsidRPr="00104227">
        <w:rPr>
          <w:lang w:val="en-US"/>
        </w:rPr>
        <w:t xml:space="preserve"> entered with contusions to the head and left pelvis and various bruises</w:t>
      </w:r>
      <w:r w:rsidR="008D3A5E" w:rsidRPr="00104227">
        <w:rPr>
          <w:lang w:val="en-US"/>
        </w:rPr>
        <w:t xml:space="preserve">; Ana María Velasco Rodríguez </w:t>
      </w:r>
      <w:r w:rsidR="00051BEF" w:rsidRPr="00104227">
        <w:rPr>
          <w:lang w:val="en-US"/>
        </w:rPr>
        <w:t xml:space="preserve">had pain in her back and the occipital </w:t>
      </w:r>
      <w:r w:rsidR="000A14CF" w:rsidRPr="00104227">
        <w:rPr>
          <w:lang w:val="en-US"/>
        </w:rPr>
        <w:t>region</w:t>
      </w:r>
      <w:r w:rsidR="00051BEF" w:rsidRPr="00104227">
        <w:rPr>
          <w:lang w:val="en-US"/>
        </w:rPr>
        <w:t xml:space="preserve"> and it was concluded that she had “contusions”; </w:t>
      </w:r>
      <w:r w:rsidR="00754AF3" w:rsidRPr="00104227">
        <w:rPr>
          <w:lang w:val="en-US"/>
        </w:rPr>
        <w:t xml:space="preserve">María </w:t>
      </w:r>
      <w:r w:rsidR="008D3A5E" w:rsidRPr="00104227">
        <w:rPr>
          <w:lang w:val="en-US"/>
        </w:rPr>
        <w:t xml:space="preserve">Patricia Romero Hernández </w:t>
      </w:r>
      <w:r w:rsidR="00051BEF" w:rsidRPr="00104227">
        <w:rPr>
          <w:lang w:val="en-US"/>
        </w:rPr>
        <w:t xml:space="preserve">had muscle and joint pains and indicated that she had been beaten by </w:t>
      </w:r>
      <w:r w:rsidR="004416D2" w:rsidRPr="00104227">
        <w:rPr>
          <w:lang w:val="en-US"/>
        </w:rPr>
        <w:t>the municipal police force</w:t>
      </w:r>
      <w:r w:rsidR="008D3A5E" w:rsidRPr="00104227">
        <w:rPr>
          <w:lang w:val="en-US"/>
        </w:rPr>
        <w:t xml:space="preserve">; </w:t>
      </w:r>
      <w:r w:rsidR="0053506B" w:rsidRPr="00104227">
        <w:rPr>
          <w:lang w:val="en-US"/>
        </w:rPr>
        <w:t xml:space="preserve">María </w:t>
      </w:r>
      <w:r w:rsidR="008D3A5E" w:rsidRPr="00104227">
        <w:rPr>
          <w:lang w:val="en-US"/>
        </w:rPr>
        <w:t xml:space="preserve">Cristina Sánchez Hernández </w:t>
      </w:r>
      <w:r w:rsidR="00051BEF" w:rsidRPr="00104227">
        <w:rPr>
          <w:lang w:val="en-US"/>
        </w:rPr>
        <w:t>had “multiple contusions</w:t>
      </w:r>
      <w:r w:rsidR="008D3A5E" w:rsidRPr="00104227">
        <w:rPr>
          <w:lang w:val="en-US"/>
        </w:rPr>
        <w:t xml:space="preserve">”; Norma Aidé Jiménez Osorio </w:t>
      </w:r>
      <w:r w:rsidR="00051BEF" w:rsidRPr="00104227">
        <w:rPr>
          <w:lang w:val="en-US"/>
        </w:rPr>
        <w:t>had bruises and scratches</w:t>
      </w:r>
      <w:r w:rsidR="008D3A5E" w:rsidRPr="00104227">
        <w:rPr>
          <w:lang w:val="en-US"/>
        </w:rPr>
        <w:t xml:space="preserve">; Mariana Selvas Gómez </w:t>
      </w:r>
      <w:r w:rsidR="00051BEF" w:rsidRPr="00104227">
        <w:rPr>
          <w:lang w:val="en-US"/>
        </w:rPr>
        <w:t>entered with an “</w:t>
      </w:r>
      <w:r w:rsidR="000A14CF" w:rsidRPr="00104227">
        <w:rPr>
          <w:lang w:val="en-US"/>
        </w:rPr>
        <w:t>injury</w:t>
      </w:r>
      <w:r w:rsidR="00F5371C" w:rsidRPr="00104227">
        <w:rPr>
          <w:lang w:val="en-US"/>
        </w:rPr>
        <w:t xml:space="preserve"> </w:t>
      </w:r>
      <w:r w:rsidR="00051BEF" w:rsidRPr="00104227">
        <w:rPr>
          <w:lang w:val="en-US"/>
        </w:rPr>
        <w:t>to the le</w:t>
      </w:r>
      <w:r w:rsidR="00595698" w:rsidRPr="00104227">
        <w:rPr>
          <w:lang w:val="en-US"/>
        </w:rPr>
        <w:t>f</w:t>
      </w:r>
      <w:r w:rsidR="00051BEF" w:rsidRPr="00104227">
        <w:rPr>
          <w:lang w:val="en-US"/>
        </w:rPr>
        <w:t>t thigh”;</w:t>
      </w:r>
      <w:r w:rsidR="008D3A5E" w:rsidRPr="00104227">
        <w:rPr>
          <w:lang w:val="en-US"/>
        </w:rPr>
        <w:t xml:space="preserve"> Georgina Edith Rosales Gutiérrez </w:t>
      </w:r>
      <w:r w:rsidR="00051BEF" w:rsidRPr="00104227">
        <w:rPr>
          <w:lang w:val="en-US"/>
        </w:rPr>
        <w:t xml:space="preserve">had injuries and bruises; </w:t>
      </w:r>
      <w:r w:rsidR="008D3A5E" w:rsidRPr="00104227">
        <w:rPr>
          <w:lang w:val="en-US"/>
        </w:rPr>
        <w:t xml:space="preserve">Suhelen Gabriela Cuevas Jaramillo </w:t>
      </w:r>
      <w:r w:rsidR="00051BEF" w:rsidRPr="00104227">
        <w:rPr>
          <w:lang w:val="en-US"/>
        </w:rPr>
        <w:t xml:space="preserve">had contusions </w:t>
      </w:r>
      <w:r w:rsidR="00595698" w:rsidRPr="00104227">
        <w:rPr>
          <w:lang w:val="en-US"/>
        </w:rPr>
        <w:t>to</w:t>
      </w:r>
      <w:r w:rsidR="00051BEF" w:rsidRPr="00104227">
        <w:rPr>
          <w:lang w:val="en-US"/>
        </w:rPr>
        <w:t xml:space="preserve"> the </w:t>
      </w:r>
      <w:r w:rsidR="000A14CF" w:rsidRPr="00104227">
        <w:rPr>
          <w:lang w:val="en-US"/>
        </w:rPr>
        <w:t>thorax</w:t>
      </w:r>
      <w:r w:rsidR="00051BEF" w:rsidRPr="00104227">
        <w:rPr>
          <w:lang w:val="en-US"/>
        </w:rPr>
        <w:t xml:space="preserve">, </w:t>
      </w:r>
      <w:r w:rsidR="00051BEF" w:rsidRPr="00104227">
        <w:rPr>
          <w:lang w:val="en-US"/>
        </w:rPr>
        <w:lastRenderedPageBreak/>
        <w:t xml:space="preserve">abdomen and extremities, and </w:t>
      </w:r>
      <w:r w:rsidR="008D3A5E" w:rsidRPr="00104227">
        <w:rPr>
          <w:lang w:val="en-US"/>
        </w:rPr>
        <w:t xml:space="preserve">Bárbara Italia Méndez Moreno </w:t>
      </w:r>
      <w:r w:rsidR="00051BEF" w:rsidRPr="00104227">
        <w:rPr>
          <w:lang w:val="en-US"/>
        </w:rPr>
        <w:t>had “multiple contusions, a head injury and</w:t>
      </w:r>
      <w:r w:rsidR="00F5371C" w:rsidRPr="00104227">
        <w:rPr>
          <w:lang w:val="en-US"/>
        </w:rPr>
        <w:t xml:space="preserve"> an injury from sexual abuse.” The case file does not contain the admission records of </w:t>
      </w:r>
      <w:r w:rsidR="0047539E" w:rsidRPr="00104227">
        <w:rPr>
          <w:lang w:val="en-US"/>
        </w:rPr>
        <w:t>Angélica Patricia Torres</w:t>
      </w:r>
      <w:r w:rsidR="008D3A5E" w:rsidRPr="00104227">
        <w:rPr>
          <w:lang w:val="en-US"/>
        </w:rPr>
        <w:t xml:space="preserve"> Linares</w:t>
      </w:r>
      <w:r w:rsidR="00BF5241" w:rsidRPr="00104227">
        <w:rPr>
          <w:lang w:val="en-US"/>
        </w:rPr>
        <w:t xml:space="preserve"> and </w:t>
      </w:r>
      <w:r w:rsidR="008D3A5E" w:rsidRPr="00104227">
        <w:rPr>
          <w:lang w:val="en-US"/>
        </w:rPr>
        <w:t>Claudia Hernández Martínez.</w:t>
      </w:r>
      <w:bookmarkEnd w:id="191"/>
      <w:r w:rsidR="008D3A5E" w:rsidRPr="00104227">
        <w:rPr>
          <w:lang w:val="en-US"/>
        </w:rPr>
        <w:t xml:space="preserve"> </w:t>
      </w:r>
    </w:p>
    <w:p w14:paraId="3660166A" w14:textId="77777777" w:rsidR="008D3A5E" w:rsidRPr="00104227" w:rsidRDefault="008D3A5E" w:rsidP="00E4619F">
      <w:pPr>
        <w:tabs>
          <w:tab w:val="left" w:pos="567"/>
        </w:tabs>
      </w:pPr>
    </w:p>
    <w:p w14:paraId="1F48BF85" w14:textId="7F4B814E" w:rsidR="008D3A5E" w:rsidRPr="00104227" w:rsidRDefault="000A14CF" w:rsidP="00844C80">
      <w:pPr>
        <w:pStyle w:val="Numberedparagraphs"/>
        <w:tabs>
          <w:tab w:val="left" w:pos="567"/>
        </w:tabs>
        <w:rPr>
          <w:lang w:val="en-US"/>
        </w:rPr>
      </w:pPr>
      <w:bookmarkStart w:id="192" w:name="_Ref532907360"/>
      <w:r w:rsidRPr="00104227">
        <w:rPr>
          <w:lang w:val="en-US"/>
        </w:rPr>
        <w:t>According</w:t>
      </w:r>
      <w:r w:rsidR="00844C80" w:rsidRPr="00104227">
        <w:rPr>
          <w:lang w:val="en-US"/>
        </w:rPr>
        <w:t xml:space="preserve"> to their statements</w:t>
      </w:r>
      <w:r w:rsidR="008D3A5E" w:rsidRPr="00104227">
        <w:rPr>
          <w:lang w:val="en-US"/>
        </w:rPr>
        <w:t xml:space="preserve">, </w:t>
      </w:r>
      <w:r w:rsidR="00F12946" w:rsidRPr="00104227">
        <w:rPr>
          <w:lang w:val="en-US"/>
        </w:rPr>
        <w:t>the eleven women</w:t>
      </w:r>
      <w:r w:rsidR="008D3A5E" w:rsidRPr="00104227">
        <w:rPr>
          <w:lang w:val="en-US"/>
        </w:rPr>
        <w:t xml:space="preserve"> </w:t>
      </w:r>
      <w:r w:rsidR="00844C80" w:rsidRPr="00104227">
        <w:rPr>
          <w:lang w:val="en-US"/>
        </w:rPr>
        <w:t>victims in this case</w:t>
      </w:r>
      <w:r w:rsidR="008D3A5E" w:rsidRPr="00104227">
        <w:rPr>
          <w:lang w:val="en-US"/>
        </w:rPr>
        <w:t xml:space="preserve"> </w:t>
      </w:r>
      <w:r w:rsidR="00844C80" w:rsidRPr="00104227">
        <w:rPr>
          <w:lang w:val="en-US"/>
        </w:rPr>
        <w:t>were beaten and insul</w:t>
      </w:r>
      <w:r w:rsidR="00595698" w:rsidRPr="00104227">
        <w:rPr>
          <w:lang w:val="en-US"/>
        </w:rPr>
        <w:t>t</w:t>
      </w:r>
      <w:r w:rsidR="00844C80" w:rsidRPr="00104227">
        <w:rPr>
          <w:lang w:val="en-US"/>
        </w:rPr>
        <w:t xml:space="preserve">ed when they arrived at this establishment. In </w:t>
      </w:r>
      <w:r w:rsidR="008D3A5E" w:rsidRPr="00104227">
        <w:rPr>
          <w:lang w:val="en-US"/>
        </w:rPr>
        <w:t xml:space="preserve">particular, </w:t>
      </w:r>
      <w:r w:rsidR="008D3A5E" w:rsidRPr="00104227">
        <w:rPr>
          <w:i/>
          <w:lang w:val="en-US"/>
        </w:rPr>
        <w:t>Yolanda Muñoz Diosdada</w:t>
      </w:r>
      <w:r w:rsidR="008D3A5E" w:rsidRPr="00104227">
        <w:rPr>
          <w:lang w:val="en-US"/>
        </w:rPr>
        <w:t xml:space="preserve"> describ</w:t>
      </w:r>
      <w:r w:rsidR="00844C80" w:rsidRPr="00104227">
        <w:rPr>
          <w:lang w:val="en-US"/>
        </w:rPr>
        <w:t xml:space="preserve">ed how one of the police agents said to them, </w:t>
      </w:r>
      <w:r w:rsidR="008D3A5E" w:rsidRPr="00104227">
        <w:rPr>
          <w:lang w:val="en-US"/>
        </w:rPr>
        <w:t>“</w:t>
      </w:r>
      <w:r w:rsidR="00595698" w:rsidRPr="00104227">
        <w:rPr>
          <w:lang w:val="en-US"/>
        </w:rPr>
        <w:t xml:space="preserve">well, bitches, now </w:t>
      </w:r>
      <w:r w:rsidR="00844C80" w:rsidRPr="00104227">
        <w:rPr>
          <w:lang w:val="en-US"/>
        </w:rPr>
        <w:t xml:space="preserve">you’ve </w:t>
      </w:r>
      <w:r w:rsidR="00595698" w:rsidRPr="00104227">
        <w:rPr>
          <w:lang w:val="en-US"/>
        </w:rPr>
        <w:t>come</w:t>
      </w:r>
      <w:r w:rsidR="00844C80" w:rsidRPr="00104227">
        <w:rPr>
          <w:lang w:val="en-US"/>
        </w:rPr>
        <w:t xml:space="preserve"> home, you won’t get out of here, not even in 20 years.</w:t>
      </w:r>
      <w:r w:rsidR="008D3A5E" w:rsidRPr="00104227">
        <w:rPr>
          <w:lang w:val="en-US"/>
        </w:rPr>
        <w:t>”</w:t>
      </w:r>
      <w:r w:rsidR="008D3A5E" w:rsidRPr="00104227">
        <w:rPr>
          <w:rStyle w:val="Refdenotaalpie"/>
          <w:lang w:val="en-US"/>
        </w:rPr>
        <w:footnoteReference w:id="119"/>
      </w:r>
      <w:r w:rsidR="00844C80" w:rsidRPr="00104227">
        <w:rPr>
          <w:lang w:val="en-US"/>
        </w:rPr>
        <w:t xml:space="preserve"> She also recounted that the police pulled them out of the truck, pushed them, seized them by the hair; the</w:t>
      </w:r>
      <w:r w:rsidR="00595698" w:rsidRPr="00104227">
        <w:rPr>
          <w:lang w:val="en-US"/>
        </w:rPr>
        <w:t>n, the police</w:t>
      </w:r>
      <w:r w:rsidR="00844C80" w:rsidRPr="00104227">
        <w:rPr>
          <w:lang w:val="en-US"/>
        </w:rPr>
        <w:t xml:space="preserve"> formed a barrier and, as the people passed by, they kicked their bodies and hit their heads with their fists, until they entered the prison.</w:t>
      </w:r>
      <w:r w:rsidR="008D3A5E" w:rsidRPr="00104227">
        <w:rPr>
          <w:lang w:val="en-US"/>
        </w:rPr>
        <w:t xml:space="preserve"> </w:t>
      </w:r>
      <w:r w:rsidR="008D3A5E" w:rsidRPr="00104227">
        <w:rPr>
          <w:i/>
          <w:lang w:val="en-US"/>
        </w:rPr>
        <w:t>Ana María Velasco Rodríguez</w:t>
      </w:r>
      <w:r w:rsidR="008D3A5E" w:rsidRPr="00104227">
        <w:rPr>
          <w:lang w:val="en-US"/>
        </w:rPr>
        <w:t xml:space="preserve"> </w:t>
      </w:r>
      <w:r w:rsidR="00844C80" w:rsidRPr="00104227">
        <w:rPr>
          <w:lang w:val="en-US"/>
        </w:rPr>
        <w:t>re</w:t>
      </w:r>
      <w:r w:rsidR="00595698" w:rsidRPr="00104227">
        <w:rPr>
          <w:lang w:val="en-US"/>
        </w:rPr>
        <w:t>ported</w:t>
      </w:r>
      <w:r w:rsidR="00844C80" w:rsidRPr="00104227">
        <w:rPr>
          <w:lang w:val="en-US"/>
        </w:rPr>
        <w:t xml:space="preserve"> that</w:t>
      </w:r>
      <w:r w:rsidR="008D3A5E" w:rsidRPr="00104227">
        <w:rPr>
          <w:lang w:val="en-US"/>
        </w:rPr>
        <w:t xml:space="preserve"> “</w:t>
      </w:r>
      <w:r w:rsidR="00844C80" w:rsidRPr="00104227">
        <w:rPr>
          <w:lang w:val="en-US"/>
        </w:rPr>
        <w:t xml:space="preserve">they pushed </w:t>
      </w:r>
      <w:r w:rsidR="00595698" w:rsidRPr="00104227">
        <w:rPr>
          <w:lang w:val="en-US"/>
        </w:rPr>
        <w:t>[</w:t>
      </w:r>
      <w:r w:rsidR="00844C80" w:rsidRPr="00104227">
        <w:rPr>
          <w:lang w:val="en-US"/>
        </w:rPr>
        <w:t>her</w:t>
      </w:r>
      <w:r w:rsidR="00595698" w:rsidRPr="00104227">
        <w:rPr>
          <w:lang w:val="en-US"/>
        </w:rPr>
        <w:t>]</w:t>
      </w:r>
      <w:r w:rsidR="00844C80" w:rsidRPr="00104227">
        <w:rPr>
          <w:lang w:val="en-US"/>
        </w:rPr>
        <w:t xml:space="preserve"> head against </w:t>
      </w:r>
      <w:r w:rsidR="00595698" w:rsidRPr="00104227">
        <w:rPr>
          <w:lang w:val="en-US"/>
        </w:rPr>
        <w:t>a</w:t>
      </w:r>
      <w:r w:rsidR="00844C80" w:rsidRPr="00104227">
        <w:rPr>
          <w:lang w:val="en-US"/>
        </w:rPr>
        <w:t xml:space="preserve"> wall</w:t>
      </w:r>
      <w:r w:rsidR="00595698" w:rsidRPr="00104227">
        <w:rPr>
          <w:lang w:val="en-US"/>
        </w:rPr>
        <w:t>;</w:t>
      </w:r>
      <w:r w:rsidR="00844C80" w:rsidRPr="00104227">
        <w:rPr>
          <w:lang w:val="en-US"/>
        </w:rPr>
        <w:t xml:space="preserve"> they kicked </w:t>
      </w:r>
      <w:r w:rsidR="00595698" w:rsidRPr="00104227">
        <w:rPr>
          <w:lang w:val="en-US"/>
        </w:rPr>
        <w:t>[</w:t>
      </w:r>
      <w:r w:rsidR="00844C80" w:rsidRPr="00104227">
        <w:rPr>
          <w:lang w:val="en-US"/>
        </w:rPr>
        <w:t>their</w:t>
      </w:r>
      <w:r w:rsidR="00595698" w:rsidRPr="00104227">
        <w:rPr>
          <w:lang w:val="en-US"/>
        </w:rPr>
        <w:t>]</w:t>
      </w:r>
      <w:r w:rsidR="00844C80" w:rsidRPr="00104227">
        <w:rPr>
          <w:lang w:val="en-US"/>
        </w:rPr>
        <w:t xml:space="preserve"> legs and feet and </w:t>
      </w:r>
      <w:r w:rsidR="00595698" w:rsidRPr="00104227">
        <w:rPr>
          <w:lang w:val="en-US"/>
        </w:rPr>
        <w:t>demanded [their]</w:t>
      </w:r>
      <w:r w:rsidR="00844C80" w:rsidRPr="00104227">
        <w:rPr>
          <w:lang w:val="en-US"/>
        </w:rPr>
        <w:t xml:space="preserve"> </w:t>
      </w:r>
      <w:r w:rsidR="00595698" w:rsidRPr="00104227">
        <w:rPr>
          <w:lang w:val="en-US"/>
        </w:rPr>
        <w:t>personal data</w:t>
      </w:r>
      <w:r w:rsidR="00844C80" w:rsidRPr="00104227">
        <w:rPr>
          <w:lang w:val="en-US"/>
        </w:rPr>
        <w:t>.</w:t>
      </w:r>
      <w:r w:rsidR="008D3A5E" w:rsidRPr="00104227">
        <w:rPr>
          <w:lang w:val="en-US"/>
        </w:rPr>
        <w:t>”</w:t>
      </w:r>
      <w:r w:rsidR="008D3A5E" w:rsidRPr="00104227">
        <w:rPr>
          <w:rStyle w:val="Refdenotaalpie"/>
          <w:lang w:val="en-US"/>
        </w:rPr>
        <w:footnoteReference w:id="120"/>
      </w:r>
      <w:r w:rsidR="008D3A5E" w:rsidRPr="00104227">
        <w:rPr>
          <w:lang w:val="en-US"/>
        </w:rPr>
        <w:t xml:space="preserve"> </w:t>
      </w:r>
      <w:r w:rsidR="0047539E" w:rsidRPr="00104227">
        <w:rPr>
          <w:i/>
          <w:lang w:val="en-US"/>
        </w:rPr>
        <w:t>Angélica Patricia Torres</w:t>
      </w:r>
      <w:r w:rsidR="008D3A5E" w:rsidRPr="00104227">
        <w:rPr>
          <w:i/>
          <w:lang w:val="en-US"/>
        </w:rPr>
        <w:t xml:space="preserve"> Linares</w:t>
      </w:r>
      <w:r w:rsidR="008D3A5E" w:rsidRPr="00104227">
        <w:rPr>
          <w:lang w:val="en-US"/>
        </w:rPr>
        <w:t xml:space="preserve"> describ</w:t>
      </w:r>
      <w:r w:rsidR="00844C80" w:rsidRPr="00104227">
        <w:rPr>
          <w:lang w:val="en-US"/>
        </w:rPr>
        <w:t xml:space="preserve">ed how she was </w:t>
      </w:r>
      <w:r w:rsidR="00595698" w:rsidRPr="00104227">
        <w:rPr>
          <w:lang w:val="en-US"/>
        </w:rPr>
        <w:t>pulled</w:t>
      </w:r>
      <w:r w:rsidR="00844C80" w:rsidRPr="00104227">
        <w:rPr>
          <w:lang w:val="en-US"/>
        </w:rPr>
        <w:t xml:space="preserve"> out of </w:t>
      </w:r>
      <w:r w:rsidR="00595698" w:rsidRPr="00104227">
        <w:rPr>
          <w:lang w:val="en-US"/>
        </w:rPr>
        <w:t>t</w:t>
      </w:r>
      <w:r w:rsidR="00844C80" w:rsidRPr="00104227">
        <w:rPr>
          <w:lang w:val="en-US"/>
        </w:rPr>
        <w:t>he bus by her hair, and beaten with a baton; she even fainted and had to be carried</w:t>
      </w:r>
      <w:r w:rsidR="008D3A5E" w:rsidRPr="00104227">
        <w:rPr>
          <w:lang w:val="en-US"/>
        </w:rPr>
        <w:t xml:space="preserve">. </w:t>
      </w:r>
      <w:r w:rsidR="008D3A5E" w:rsidRPr="00104227">
        <w:rPr>
          <w:i/>
          <w:lang w:val="en-US"/>
        </w:rPr>
        <w:t>María Patricia Romero Hernández</w:t>
      </w:r>
      <w:r w:rsidR="008D3A5E" w:rsidRPr="00104227">
        <w:rPr>
          <w:lang w:val="en-US"/>
        </w:rPr>
        <w:t xml:space="preserve"> re</w:t>
      </w:r>
      <w:r w:rsidR="00844C80" w:rsidRPr="00104227">
        <w:rPr>
          <w:lang w:val="en-US"/>
        </w:rPr>
        <w:t xml:space="preserve">counted that, as they passed by the wall of the CEPRESO on their arrival, they </w:t>
      </w:r>
      <w:r w:rsidR="00595698" w:rsidRPr="00104227">
        <w:rPr>
          <w:lang w:val="en-US"/>
        </w:rPr>
        <w:t>“</w:t>
      </w:r>
      <w:r w:rsidR="00844C80" w:rsidRPr="00104227">
        <w:rPr>
          <w:lang w:val="en-US"/>
        </w:rPr>
        <w:t xml:space="preserve">were beaten against the wall,” “they seized </w:t>
      </w:r>
      <w:r w:rsidR="00595698" w:rsidRPr="00104227">
        <w:rPr>
          <w:lang w:val="en-US"/>
        </w:rPr>
        <w:t>[</w:t>
      </w:r>
      <w:r w:rsidR="00844C80" w:rsidRPr="00104227">
        <w:rPr>
          <w:lang w:val="en-US"/>
        </w:rPr>
        <w:t>her</w:t>
      </w:r>
      <w:r w:rsidR="00595698" w:rsidRPr="00104227">
        <w:rPr>
          <w:lang w:val="en-US"/>
        </w:rPr>
        <w:t>]</w:t>
      </w:r>
      <w:r w:rsidR="00844C80" w:rsidRPr="00104227">
        <w:rPr>
          <w:lang w:val="en-US"/>
        </w:rPr>
        <w:t xml:space="preserve"> by the hair and hit </w:t>
      </w:r>
      <w:r w:rsidR="00595698" w:rsidRPr="00104227">
        <w:rPr>
          <w:lang w:val="en-US"/>
        </w:rPr>
        <w:t>[</w:t>
      </w:r>
      <w:r w:rsidR="00844C80" w:rsidRPr="00104227">
        <w:rPr>
          <w:lang w:val="en-US"/>
        </w:rPr>
        <w:t>her</w:t>
      </w:r>
      <w:r w:rsidR="00595698" w:rsidRPr="00104227">
        <w:rPr>
          <w:lang w:val="en-US"/>
        </w:rPr>
        <w:t>]</w:t>
      </w:r>
      <w:r w:rsidR="00844C80" w:rsidRPr="00104227">
        <w:rPr>
          <w:lang w:val="en-US"/>
        </w:rPr>
        <w:t xml:space="preserve"> head against the wall.” Upon her arrival at </w:t>
      </w:r>
      <w:r w:rsidR="008D3A5E" w:rsidRPr="00104227">
        <w:rPr>
          <w:lang w:val="en-US"/>
        </w:rPr>
        <w:t xml:space="preserve">CEPRESO, </w:t>
      </w:r>
      <w:r w:rsidR="008D3A5E" w:rsidRPr="00104227">
        <w:rPr>
          <w:i/>
          <w:lang w:val="en-US"/>
        </w:rPr>
        <w:t>María Cristina Sánchez Hernández</w:t>
      </w:r>
      <w:r w:rsidR="008D3A5E" w:rsidRPr="00104227">
        <w:rPr>
          <w:lang w:val="en-US"/>
        </w:rPr>
        <w:t xml:space="preserve"> indic</w:t>
      </w:r>
      <w:r w:rsidR="00844C80" w:rsidRPr="00104227">
        <w:rPr>
          <w:lang w:val="en-US"/>
        </w:rPr>
        <w:t xml:space="preserve">ated that they </w:t>
      </w:r>
      <w:r w:rsidR="00595698" w:rsidRPr="00104227">
        <w:rPr>
          <w:lang w:val="en-US"/>
        </w:rPr>
        <w:t>“</w:t>
      </w:r>
      <w:r w:rsidR="00844C80" w:rsidRPr="00104227">
        <w:rPr>
          <w:lang w:val="en-US"/>
        </w:rPr>
        <w:t xml:space="preserve">were kicked off the bus” and </w:t>
      </w:r>
      <w:r w:rsidR="009805B6" w:rsidRPr="00104227">
        <w:rPr>
          <w:lang w:val="en-US"/>
        </w:rPr>
        <w:t xml:space="preserve">were told that “we had </w:t>
      </w:r>
      <w:r w:rsidR="00595698" w:rsidRPr="00104227">
        <w:rPr>
          <w:lang w:val="en-US"/>
        </w:rPr>
        <w:t>come</w:t>
      </w:r>
      <w:r w:rsidR="009805B6" w:rsidRPr="00104227">
        <w:rPr>
          <w:lang w:val="en-US"/>
        </w:rPr>
        <w:t xml:space="preserve"> hom</w:t>
      </w:r>
      <w:r w:rsidR="00595698" w:rsidRPr="00104227">
        <w:rPr>
          <w:lang w:val="en-US"/>
        </w:rPr>
        <w:t>e</w:t>
      </w:r>
      <w:r w:rsidR="009805B6" w:rsidRPr="00104227">
        <w:rPr>
          <w:lang w:val="en-US"/>
        </w:rPr>
        <w:t xml:space="preserve"> and would never leave that place.” </w:t>
      </w:r>
      <w:r w:rsidR="008D3A5E" w:rsidRPr="00104227">
        <w:rPr>
          <w:i/>
          <w:lang w:val="en-US"/>
        </w:rPr>
        <w:t>Norma Aidé Jiménez</w:t>
      </w:r>
      <w:r w:rsidR="008D3A5E" w:rsidRPr="00104227">
        <w:rPr>
          <w:lang w:val="en-US"/>
        </w:rPr>
        <w:t xml:space="preserve"> re</w:t>
      </w:r>
      <w:r w:rsidR="009805B6" w:rsidRPr="00104227">
        <w:rPr>
          <w:lang w:val="en-US"/>
        </w:rPr>
        <w:t xml:space="preserve">counted that, on arriving at the prison, she was pushed and ordered to keep her hands </w:t>
      </w:r>
      <w:r w:rsidRPr="00104227">
        <w:rPr>
          <w:lang w:val="en-US"/>
        </w:rPr>
        <w:t>behind</w:t>
      </w:r>
      <w:r w:rsidR="009805B6" w:rsidRPr="00104227">
        <w:rPr>
          <w:lang w:val="en-US"/>
        </w:rPr>
        <w:t xml:space="preserve"> her and her head down, and not allowed to go to the bathroom for almost eight hours</w:t>
      </w:r>
      <w:r w:rsidR="008D3A5E" w:rsidRPr="00104227">
        <w:rPr>
          <w:lang w:val="en-US"/>
        </w:rPr>
        <w:t xml:space="preserve">. </w:t>
      </w:r>
      <w:r w:rsidR="008D3A5E" w:rsidRPr="00104227">
        <w:rPr>
          <w:i/>
          <w:lang w:val="en-US"/>
        </w:rPr>
        <w:t>Bárbara Italia Méndez Moreno</w:t>
      </w:r>
      <w:r w:rsidR="008D3A5E" w:rsidRPr="00104227">
        <w:rPr>
          <w:lang w:val="en-US"/>
        </w:rPr>
        <w:t xml:space="preserve"> indic</w:t>
      </w:r>
      <w:r w:rsidR="009805B6" w:rsidRPr="00104227">
        <w:rPr>
          <w:lang w:val="en-US"/>
        </w:rPr>
        <w:t xml:space="preserve">ated that she </w:t>
      </w:r>
      <w:r w:rsidR="00595698" w:rsidRPr="00104227">
        <w:rPr>
          <w:lang w:val="en-US"/>
        </w:rPr>
        <w:t xml:space="preserve">heard </w:t>
      </w:r>
      <w:r w:rsidR="009805B6" w:rsidRPr="00104227">
        <w:rPr>
          <w:lang w:val="en-US"/>
        </w:rPr>
        <w:t>taunts and obscene expressions about her body and condition, which she described as “very hurtful, very painful.”</w:t>
      </w:r>
      <w:r w:rsidR="008D3A5E" w:rsidRPr="00104227">
        <w:rPr>
          <w:lang w:val="en-US"/>
        </w:rPr>
        <w:t xml:space="preserve"> </w:t>
      </w:r>
      <w:r w:rsidR="008D3A5E" w:rsidRPr="00104227">
        <w:rPr>
          <w:i/>
          <w:lang w:val="en-US"/>
        </w:rPr>
        <w:t>Mariana Selvas Gómez</w:t>
      </w:r>
      <w:r w:rsidR="008D3A5E" w:rsidRPr="00104227">
        <w:rPr>
          <w:lang w:val="en-US"/>
        </w:rPr>
        <w:t xml:space="preserve">, </w:t>
      </w:r>
      <w:r w:rsidR="008D3A5E" w:rsidRPr="00104227">
        <w:rPr>
          <w:i/>
          <w:lang w:val="en-US"/>
        </w:rPr>
        <w:t xml:space="preserve">Georgina Edith </w:t>
      </w:r>
      <w:r w:rsidR="00DA23B8" w:rsidRPr="00104227">
        <w:rPr>
          <w:i/>
          <w:lang w:val="en-US"/>
        </w:rPr>
        <w:t xml:space="preserve">Rosales </w:t>
      </w:r>
      <w:r w:rsidR="008D3A5E" w:rsidRPr="00104227">
        <w:rPr>
          <w:i/>
          <w:lang w:val="en-US"/>
        </w:rPr>
        <w:t>Gutiérrez</w:t>
      </w:r>
      <w:r w:rsidR="00BF5241" w:rsidRPr="00104227">
        <w:rPr>
          <w:lang w:val="en-US"/>
        </w:rPr>
        <w:t xml:space="preserve"> and </w:t>
      </w:r>
      <w:r w:rsidR="008D3A5E" w:rsidRPr="00104227">
        <w:rPr>
          <w:i/>
          <w:lang w:val="en-US"/>
        </w:rPr>
        <w:t>Suhelen Gabriela Cuevas Jaramillo</w:t>
      </w:r>
      <w:r w:rsidR="008D3A5E" w:rsidRPr="00104227">
        <w:rPr>
          <w:lang w:val="en-US"/>
        </w:rPr>
        <w:t xml:space="preserve"> re</w:t>
      </w:r>
      <w:r w:rsidR="009805B6" w:rsidRPr="00104227">
        <w:rPr>
          <w:lang w:val="en-US"/>
        </w:rPr>
        <w:t xml:space="preserve">counted how they continued to be beaten and insulted, and this only ceased, according to </w:t>
      </w:r>
      <w:r w:rsidR="008D3A5E" w:rsidRPr="00104227">
        <w:rPr>
          <w:lang w:val="en-US"/>
        </w:rPr>
        <w:t xml:space="preserve">Mariana, </w:t>
      </w:r>
      <w:r w:rsidR="009805B6" w:rsidRPr="00104227">
        <w:rPr>
          <w:lang w:val="en-US"/>
        </w:rPr>
        <w:t>when they reached the waiting room where “there were no more beatings.”</w:t>
      </w:r>
      <w:bookmarkEnd w:id="192"/>
      <w:r w:rsidR="008D3A5E" w:rsidRPr="00104227">
        <w:rPr>
          <w:lang w:val="en-US"/>
        </w:rPr>
        <w:t xml:space="preserve"> </w:t>
      </w:r>
    </w:p>
    <w:p w14:paraId="44E81115" w14:textId="77777777" w:rsidR="008D3A5E" w:rsidRPr="00104227" w:rsidRDefault="008D3A5E" w:rsidP="00E4619F">
      <w:pPr>
        <w:tabs>
          <w:tab w:val="left" w:pos="567"/>
        </w:tabs>
        <w:rPr>
          <w:lang w:eastAsia="es-MX"/>
        </w:rPr>
      </w:pPr>
    </w:p>
    <w:p w14:paraId="6B1B0554" w14:textId="7D105E5A" w:rsidR="008D3A5E" w:rsidRPr="00104227" w:rsidRDefault="003423BC" w:rsidP="00E4619F">
      <w:pPr>
        <w:pStyle w:val="Numberedparagraphs"/>
        <w:tabs>
          <w:tab w:val="left" w:pos="567"/>
        </w:tabs>
        <w:rPr>
          <w:lang w:val="en-US"/>
        </w:rPr>
      </w:pPr>
      <w:bookmarkStart w:id="193" w:name="_Ref532908456"/>
      <w:r w:rsidRPr="00104227">
        <w:rPr>
          <w:lang w:val="en-US"/>
        </w:rPr>
        <w:t>Regarding the sexual abuse suffered in the</w:t>
      </w:r>
      <w:r w:rsidR="008D3A5E" w:rsidRPr="00104227">
        <w:rPr>
          <w:lang w:val="en-US"/>
        </w:rPr>
        <w:t xml:space="preserve"> CEPRESO, </w:t>
      </w:r>
      <w:r w:rsidR="0047539E" w:rsidRPr="00104227">
        <w:rPr>
          <w:i/>
          <w:lang w:val="en-US"/>
        </w:rPr>
        <w:t>Angélica Patricia Torres</w:t>
      </w:r>
      <w:r w:rsidR="008D3A5E" w:rsidRPr="00104227">
        <w:rPr>
          <w:i/>
          <w:lang w:val="en-US"/>
        </w:rPr>
        <w:t xml:space="preserve"> Linares</w:t>
      </w:r>
      <w:r w:rsidR="008D3A5E" w:rsidRPr="00104227">
        <w:rPr>
          <w:lang w:val="en-US"/>
        </w:rPr>
        <w:t xml:space="preserve"> re</w:t>
      </w:r>
      <w:r w:rsidRPr="00104227">
        <w:rPr>
          <w:lang w:val="en-US"/>
        </w:rPr>
        <w:t xml:space="preserve">counted that, on entering, they were put into a room where they were ordered to stand against the wall with their arms up. She stated that a police agent who was behind her held her by the waist. She added that she “began to tremble when another agent passed by and yelled at him, ‘Hey, why aren’t you hitting her? Screw her, rape her!”; so, they hit her in the ribs and the agent “touched [her] genital area and then put his hand inside </w:t>
      </w:r>
      <w:r w:rsidR="007E1302" w:rsidRPr="00104227">
        <w:rPr>
          <w:lang w:val="en-US"/>
        </w:rPr>
        <w:t>[</w:t>
      </w:r>
      <w:r w:rsidRPr="00104227">
        <w:rPr>
          <w:lang w:val="en-US"/>
        </w:rPr>
        <w:t>he</w:t>
      </w:r>
      <w:r w:rsidR="007E1302" w:rsidRPr="00104227">
        <w:rPr>
          <w:lang w:val="en-US"/>
        </w:rPr>
        <w:t>r]</w:t>
      </w:r>
      <w:r w:rsidRPr="00104227">
        <w:rPr>
          <w:lang w:val="en-US"/>
        </w:rPr>
        <w:t xml:space="preserve"> clothes, and [she] felt him touch her vulva with his fingers and then penetrate [her].” She clarified that she did not report th</w:t>
      </w:r>
      <w:r w:rsidR="007E1302" w:rsidRPr="00104227">
        <w:rPr>
          <w:lang w:val="en-US"/>
        </w:rPr>
        <w:t>is</w:t>
      </w:r>
      <w:r w:rsidRPr="00104227">
        <w:rPr>
          <w:lang w:val="en-US"/>
        </w:rPr>
        <w:t xml:space="preserve"> episode initiall</w:t>
      </w:r>
      <w:r w:rsidR="007E1302" w:rsidRPr="00104227">
        <w:rPr>
          <w:lang w:val="en-US"/>
        </w:rPr>
        <w:t>y</w:t>
      </w:r>
      <w:r w:rsidRPr="00104227">
        <w:rPr>
          <w:lang w:val="en-US"/>
        </w:rPr>
        <w:t xml:space="preserve"> “because [she] was afraid and ashamed</w:t>
      </w:r>
      <w:r w:rsidR="007E1302" w:rsidRPr="00104227">
        <w:rPr>
          <w:lang w:val="en-US"/>
        </w:rPr>
        <w:t>,</w:t>
      </w:r>
      <w:r w:rsidRPr="00104227">
        <w:rPr>
          <w:lang w:val="en-US"/>
        </w:rPr>
        <w:t xml:space="preserve">” she only reported that she had been touched on top of her trousers, and that “the official who took note of this said that it was not important because it was not rape.” Meanwhile, </w:t>
      </w:r>
      <w:r w:rsidR="008D3A5E" w:rsidRPr="00104227">
        <w:rPr>
          <w:i/>
          <w:lang w:val="en-US"/>
        </w:rPr>
        <w:t>Claudia Hernández Martínez</w:t>
      </w:r>
      <w:r w:rsidR="008D3A5E" w:rsidRPr="00104227">
        <w:rPr>
          <w:lang w:val="en-US" w:eastAsia="ja-JP"/>
        </w:rPr>
        <w:t xml:space="preserve"> rec</w:t>
      </w:r>
      <w:r w:rsidRPr="00104227">
        <w:rPr>
          <w:lang w:val="en-US" w:eastAsia="ja-JP"/>
        </w:rPr>
        <w:t xml:space="preserve">alled that, on entering the prison, </w:t>
      </w:r>
      <w:r w:rsidR="007E1302" w:rsidRPr="00104227">
        <w:rPr>
          <w:lang w:val="en-US" w:eastAsia="ja-JP"/>
        </w:rPr>
        <w:t>the</w:t>
      </w:r>
      <w:r w:rsidRPr="00104227">
        <w:rPr>
          <w:lang w:val="en-US" w:eastAsia="ja-JP"/>
        </w:rPr>
        <w:t xml:space="preserve"> beat</w:t>
      </w:r>
      <w:r w:rsidR="007E1302" w:rsidRPr="00104227">
        <w:rPr>
          <w:lang w:val="en-US" w:eastAsia="ja-JP"/>
        </w:rPr>
        <w:t>ings continued;</w:t>
      </w:r>
      <w:r w:rsidRPr="00104227">
        <w:rPr>
          <w:lang w:val="en-US" w:eastAsia="ja-JP"/>
        </w:rPr>
        <w:t xml:space="preserve"> they were lined up and </w:t>
      </w:r>
      <w:r w:rsidR="007E1302" w:rsidRPr="00104227">
        <w:rPr>
          <w:lang w:val="en-US" w:eastAsia="ja-JP"/>
        </w:rPr>
        <w:t xml:space="preserve">she was </w:t>
      </w:r>
      <w:r w:rsidRPr="00104227">
        <w:rPr>
          <w:lang w:val="en-US" w:eastAsia="ja-JP"/>
        </w:rPr>
        <w:t xml:space="preserve">made </w:t>
      </w:r>
      <w:r w:rsidR="007E1302" w:rsidRPr="00104227">
        <w:rPr>
          <w:lang w:val="en-US" w:eastAsia="ja-JP"/>
        </w:rPr>
        <w:t>to</w:t>
      </w:r>
      <w:r w:rsidRPr="00104227">
        <w:rPr>
          <w:lang w:val="en-US" w:eastAsia="ja-JP"/>
        </w:rPr>
        <w:t xml:space="preserve"> turn and see how they raped a male companion who was beside her, telling her that she would be next. She recounted that “a police agent pulled </w:t>
      </w:r>
      <w:r w:rsidR="007E1302" w:rsidRPr="00104227">
        <w:rPr>
          <w:lang w:val="en-US" w:eastAsia="ja-JP"/>
        </w:rPr>
        <w:t>[</w:t>
      </w:r>
      <w:r w:rsidRPr="00104227">
        <w:rPr>
          <w:lang w:val="en-US" w:eastAsia="ja-JP"/>
        </w:rPr>
        <w:t>her</w:t>
      </w:r>
      <w:r w:rsidR="007E1302" w:rsidRPr="00104227">
        <w:rPr>
          <w:lang w:val="en-US" w:eastAsia="ja-JP"/>
        </w:rPr>
        <w:t>]</w:t>
      </w:r>
      <w:r w:rsidRPr="00104227">
        <w:rPr>
          <w:lang w:val="en-US" w:eastAsia="ja-JP"/>
        </w:rPr>
        <w:t xml:space="preserve"> hair and pushed </w:t>
      </w:r>
      <w:r w:rsidR="007E1302" w:rsidRPr="00104227">
        <w:rPr>
          <w:lang w:val="en-US" w:eastAsia="ja-JP"/>
        </w:rPr>
        <w:t>[</w:t>
      </w:r>
      <w:r w:rsidRPr="00104227">
        <w:rPr>
          <w:lang w:val="en-US" w:eastAsia="ja-JP"/>
        </w:rPr>
        <w:t>her</w:t>
      </w:r>
      <w:r w:rsidR="007E1302" w:rsidRPr="00104227">
        <w:rPr>
          <w:lang w:val="en-US" w:eastAsia="ja-JP"/>
        </w:rPr>
        <w:t>]</w:t>
      </w:r>
      <w:r w:rsidRPr="00104227">
        <w:rPr>
          <w:lang w:val="en-US" w:eastAsia="ja-JP"/>
        </w:rPr>
        <w:t xml:space="preserve"> hard against the wall about six times”; he pulled and pinched her breasts, he pressed his hips against her and </w:t>
      </w:r>
      <w:r w:rsidR="005C7061" w:rsidRPr="00104227">
        <w:rPr>
          <w:lang w:val="en-US" w:eastAsia="ja-JP"/>
        </w:rPr>
        <w:t xml:space="preserve">“placed a pointed object against </w:t>
      </w:r>
      <w:r w:rsidR="007E1302" w:rsidRPr="00104227">
        <w:rPr>
          <w:lang w:val="en-US" w:eastAsia="ja-JP"/>
        </w:rPr>
        <w:t>[</w:t>
      </w:r>
      <w:r w:rsidR="005C7061" w:rsidRPr="00104227">
        <w:rPr>
          <w:lang w:val="en-US" w:eastAsia="ja-JP"/>
        </w:rPr>
        <w:t>her</w:t>
      </w:r>
      <w:r w:rsidR="007E1302" w:rsidRPr="00104227">
        <w:rPr>
          <w:lang w:val="en-US" w:eastAsia="ja-JP"/>
        </w:rPr>
        <w:t>]</w:t>
      </w:r>
      <w:r w:rsidR="005C7061" w:rsidRPr="00104227">
        <w:rPr>
          <w:lang w:val="en-US" w:eastAsia="ja-JP"/>
        </w:rPr>
        <w:t xml:space="preserve"> back,” threatening to kill her. He also tried to pull her trousers down, but stopped when so ordered by another agent.</w:t>
      </w:r>
      <w:bookmarkEnd w:id="193"/>
    </w:p>
    <w:p w14:paraId="080185CE" w14:textId="77777777" w:rsidR="005C7061" w:rsidRPr="00104227" w:rsidRDefault="005C7061" w:rsidP="005C7061">
      <w:pPr>
        <w:pStyle w:val="Numberedparagraphs"/>
        <w:numPr>
          <w:ilvl w:val="0"/>
          <w:numId w:val="0"/>
        </w:numPr>
        <w:tabs>
          <w:tab w:val="left" w:pos="567"/>
        </w:tabs>
        <w:rPr>
          <w:lang w:val="en-US"/>
        </w:rPr>
      </w:pPr>
    </w:p>
    <w:p w14:paraId="06A84CD3" w14:textId="473B8772" w:rsidR="008D3A5E" w:rsidRPr="00104227" w:rsidRDefault="005C7061" w:rsidP="005C7061">
      <w:pPr>
        <w:pStyle w:val="Numberedparagraphs"/>
        <w:tabs>
          <w:tab w:val="left" w:pos="567"/>
        </w:tabs>
        <w:rPr>
          <w:lang w:val="en-US"/>
        </w:rPr>
      </w:pPr>
      <w:bookmarkStart w:id="194" w:name="_Ref532907363"/>
      <w:r w:rsidRPr="00104227">
        <w:rPr>
          <w:lang w:val="en-US"/>
        </w:rPr>
        <w:t>The women were then stripped and examined, in some cases in front of other detainees.</w:t>
      </w:r>
      <w:r w:rsidR="008D3A5E" w:rsidRPr="00104227">
        <w:rPr>
          <w:lang w:val="en-US"/>
        </w:rPr>
        <w:t xml:space="preserve"> </w:t>
      </w:r>
      <w:r w:rsidR="008D3A5E" w:rsidRPr="00104227">
        <w:rPr>
          <w:i/>
          <w:lang w:val="en-US"/>
        </w:rPr>
        <w:t>Yolanda Muñoz Diosdada</w:t>
      </w:r>
      <w:r w:rsidR="008D3A5E" w:rsidRPr="00104227" w:rsidDel="004437A0">
        <w:rPr>
          <w:lang w:val="en-US"/>
        </w:rPr>
        <w:t xml:space="preserve"> </w:t>
      </w:r>
      <w:r w:rsidR="008D3A5E" w:rsidRPr="00104227">
        <w:rPr>
          <w:lang w:val="en-US"/>
        </w:rPr>
        <w:t>a</w:t>
      </w:r>
      <w:r w:rsidRPr="00104227">
        <w:rPr>
          <w:lang w:val="en-US"/>
        </w:rPr>
        <w:t xml:space="preserve">dded that “they entered a room where there were people who were </w:t>
      </w:r>
      <w:r w:rsidR="007E1302" w:rsidRPr="00104227">
        <w:rPr>
          <w:lang w:val="en-US"/>
        </w:rPr>
        <w:t xml:space="preserve">already </w:t>
      </w:r>
      <w:r w:rsidRPr="00104227">
        <w:rPr>
          <w:lang w:val="en-US"/>
        </w:rPr>
        <w:t xml:space="preserve">naked, men and women,” and where they were told to take off all their clothes. She </w:t>
      </w:r>
      <w:r w:rsidRPr="00104227">
        <w:rPr>
          <w:lang w:val="en-US"/>
        </w:rPr>
        <w:lastRenderedPageBreak/>
        <w:t>explained that she “was naked in front of everyone, men, women. Then they examined you rapidly,” and she underscored “the impres</w:t>
      </w:r>
      <w:r w:rsidR="007F5221" w:rsidRPr="00104227">
        <w:rPr>
          <w:lang w:val="en-US"/>
        </w:rPr>
        <w:t>sio</w:t>
      </w:r>
      <w:r w:rsidRPr="00104227">
        <w:rPr>
          <w:lang w:val="en-US"/>
        </w:rPr>
        <w:t xml:space="preserve">n of seeing us </w:t>
      </w:r>
      <w:r w:rsidR="007F5221" w:rsidRPr="00104227">
        <w:rPr>
          <w:lang w:val="en-US"/>
        </w:rPr>
        <w:t xml:space="preserve">all </w:t>
      </w:r>
      <w:r w:rsidRPr="00104227">
        <w:rPr>
          <w:lang w:val="en-US"/>
        </w:rPr>
        <w:t>there together</w:t>
      </w:r>
      <w:r w:rsidR="007F5221" w:rsidRPr="00104227">
        <w:rPr>
          <w:lang w:val="en-US"/>
        </w:rPr>
        <w:t>;</w:t>
      </w:r>
      <w:r w:rsidRPr="00104227">
        <w:rPr>
          <w:lang w:val="en-US"/>
        </w:rPr>
        <w:t xml:space="preserve"> some who were bleeding a lot, with injuries several centimeters long, their faces full of blood, their clothes also.” </w:t>
      </w:r>
      <w:r w:rsidR="008D3A5E" w:rsidRPr="00104227">
        <w:rPr>
          <w:i/>
          <w:lang w:val="en-US"/>
        </w:rPr>
        <w:t>Georgina Edith Rosales Gutiérrez</w:t>
      </w:r>
      <w:r w:rsidR="008D3A5E" w:rsidRPr="00104227">
        <w:rPr>
          <w:lang w:val="en-US"/>
        </w:rPr>
        <w:t xml:space="preserve"> re</w:t>
      </w:r>
      <w:r w:rsidRPr="00104227">
        <w:rPr>
          <w:lang w:val="en-US"/>
        </w:rPr>
        <w:t xml:space="preserve">counted that she was obliged to </w:t>
      </w:r>
      <w:r w:rsidR="007F5221" w:rsidRPr="00104227">
        <w:rPr>
          <w:lang w:val="en-US"/>
        </w:rPr>
        <w:t>undress</w:t>
      </w:r>
      <w:r w:rsidRPr="00104227">
        <w:rPr>
          <w:lang w:val="en-US"/>
        </w:rPr>
        <w:t xml:space="preserve"> in front of four doctors. </w:t>
      </w:r>
      <w:r w:rsidR="008D3A5E" w:rsidRPr="00104227">
        <w:rPr>
          <w:i/>
          <w:lang w:val="en-US"/>
        </w:rPr>
        <w:t>Gabriela Cuevas Jaramillo</w:t>
      </w:r>
      <w:r w:rsidR="008D3A5E" w:rsidRPr="00104227">
        <w:rPr>
          <w:lang w:val="en-US"/>
        </w:rPr>
        <w:t xml:space="preserve"> narr</w:t>
      </w:r>
      <w:r w:rsidRPr="00104227">
        <w:rPr>
          <w:lang w:val="en-US"/>
        </w:rPr>
        <w:t xml:space="preserve">ated that she was told to </w:t>
      </w:r>
      <w:r w:rsidR="007F5221" w:rsidRPr="00104227">
        <w:rPr>
          <w:lang w:val="en-US"/>
        </w:rPr>
        <w:t>undress,</w:t>
      </w:r>
      <w:r w:rsidRPr="00104227">
        <w:rPr>
          <w:lang w:val="en-US"/>
        </w:rPr>
        <w:t xml:space="preserve"> examined, tol</w:t>
      </w:r>
      <w:r w:rsidR="007F5221" w:rsidRPr="00104227">
        <w:rPr>
          <w:lang w:val="en-US"/>
        </w:rPr>
        <w:t>d</w:t>
      </w:r>
      <w:r w:rsidRPr="00104227">
        <w:rPr>
          <w:lang w:val="en-US"/>
        </w:rPr>
        <w:t xml:space="preserve"> that she had no injuries, and t</w:t>
      </w:r>
      <w:r w:rsidR="007F5221" w:rsidRPr="00104227">
        <w:rPr>
          <w:lang w:val="en-US"/>
        </w:rPr>
        <w:t>aken</w:t>
      </w:r>
      <w:r w:rsidRPr="00104227">
        <w:rPr>
          <w:lang w:val="en-US"/>
        </w:rPr>
        <w:t xml:space="preserve"> to the dining </w:t>
      </w:r>
      <w:r w:rsidR="003B6F4C" w:rsidRPr="00104227">
        <w:rPr>
          <w:lang w:val="en-US"/>
        </w:rPr>
        <w:t>hall</w:t>
      </w:r>
      <w:r w:rsidR="008D3A5E" w:rsidRPr="00104227">
        <w:rPr>
          <w:lang w:val="en-US"/>
        </w:rPr>
        <w:t xml:space="preserve">. </w:t>
      </w:r>
      <w:r w:rsidR="008D3A5E" w:rsidRPr="00104227">
        <w:rPr>
          <w:i/>
          <w:lang w:val="en-US"/>
        </w:rPr>
        <w:t>Bárbara Italia Méndez Moreno</w:t>
      </w:r>
      <w:r w:rsidR="008D3A5E" w:rsidRPr="00104227">
        <w:rPr>
          <w:lang w:val="en-US"/>
        </w:rPr>
        <w:t xml:space="preserve"> re</w:t>
      </w:r>
      <w:r w:rsidRPr="00104227">
        <w:rPr>
          <w:lang w:val="en-US"/>
        </w:rPr>
        <w:t xml:space="preserve">called that she was taken to a room where she was stripped and then </w:t>
      </w:r>
      <w:r w:rsidR="003B6F4C" w:rsidRPr="00104227">
        <w:rPr>
          <w:lang w:val="en-US"/>
        </w:rPr>
        <w:t>taken to the prison dining hall, where she had to wait a long time for the medical examiner</w:t>
      </w:r>
      <w:r w:rsidR="008D3A5E" w:rsidRPr="00104227">
        <w:rPr>
          <w:lang w:val="en-US"/>
        </w:rPr>
        <w:t>.</w:t>
      </w:r>
      <w:bookmarkEnd w:id="194"/>
      <w:r w:rsidR="008D3A5E" w:rsidRPr="00104227">
        <w:rPr>
          <w:lang w:val="en-US"/>
        </w:rPr>
        <w:t xml:space="preserve"> </w:t>
      </w:r>
    </w:p>
    <w:p w14:paraId="0197DDF3" w14:textId="77777777" w:rsidR="008D3A5E" w:rsidRPr="00104227" w:rsidRDefault="008D3A5E" w:rsidP="00E4619F">
      <w:pPr>
        <w:tabs>
          <w:tab w:val="left" w:pos="567"/>
        </w:tabs>
        <w:rPr>
          <w:lang w:eastAsia="es-MX"/>
        </w:rPr>
      </w:pPr>
    </w:p>
    <w:p w14:paraId="3A2A5598" w14:textId="29EBEDFA" w:rsidR="008D3A5E" w:rsidRPr="00104227" w:rsidRDefault="003B6F4C" w:rsidP="000B2982">
      <w:pPr>
        <w:pStyle w:val="Numberedparagraphs"/>
        <w:tabs>
          <w:tab w:val="left" w:pos="567"/>
        </w:tabs>
        <w:rPr>
          <w:lang w:val="en-US"/>
        </w:rPr>
      </w:pPr>
      <w:bookmarkStart w:id="195" w:name="_Ref532908192"/>
      <w:r w:rsidRPr="00104227">
        <w:rPr>
          <w:lang w:val="en-US"/>
        </w:rPr>
        <w:t xml:space="preserve">Regarding the medical care, </w:t>
      </w:r>
      <w:r w:rsidR="008D3A5E" w:rsidRPr="00104227">
        <w:rPr>
          <w:i/>
          <w:lang w:val="en-US"/>
        </w:rPr>
        <w:t>María Velasco Rodríguez</w:t>
      </w:r>
      <w:r w:rsidR="008D3A5E" w:rsidRPr="00104227">
        <w:rPr>
          <w:lang w:val="en-US"/>
        </w:rPr>
        <w:t xml:space="preserve"> re</w:t>
      </w:r>
      <w:r w:rsidRPr="00104227">
        <w:rPr>
          <w:lang w:val="en-US"/>
        </w:rPr>
        <w:t>counted that she told the forensic physician what had happened</w:t>
      </w:r>
      <w:r w:rsidR="007F5221" w:rsidRPr="00104227">
        <w:rPr>
          <w:lang w:val="en-US"/>
        </w:rPr>
        <w:t>; however,</w:t>
      </w:r>
      <w:r w:rsidRPr="00104227">
        <w:rPr>
          <w:lang w:val="en-US"/>
        </w:rPr>
        <w:t xml:space="preserve"> he told her that </w:t>
      </w:r>
      <w:r w:rsidR="007F5221" w:rsidRPr="00104227">
        <w:rPr>
          <w:lang w:val="en-US"/>
        </w:rPr>
        <w:t xml:space="preserve">there was nothing he could do </w:t>
      </w:r>
      <w:r w:rsidRPr="00104227">
        <w:rPr>
          <w:lang w:val="en-US"/>
        </w:rPr>
        <w:t xml:space="preserve">because she had to report this to </w:t>
      </w:r>
      <w:r w:rsidRPr="00104227">
        <w:rPr>
          <w:lang w:val="en-US" w:eastAsia="ko-KR"/>
        </w:rPr>
        <w:t xml:space="preserve">the Public Prosecution Service; furthermore, he did not perform a gynecological examination. </w:t>
      </w:r>
      <w:r w:rsidRPr="00104227">
        <w:rPr>
          <w:i/>
          <w:lang w:val="en-US"/>
        </w:rPr>
        <w:t xml:space="preserve">Angélica Patricia Torres Linares </w:t>
      </w:r>
      <w:r w:rsidRPr="00104227">
        <w:rPr>
          <w:iCs/>
          <w:lang w:val="en-US"/>
        </w:rPr>
        <w:t xml:space="preserve">realized that the </w:t>
      </w:r>
      <w:r w:rsidRPr="00104227">
        <w:rPr>
          <w:lang w:val="en-US"/>
        </w:rPr>
        <w:t xml:space="preserve">forensic physician who examined her did not note down all her injuries, and she did not receive gynecological care. </w:t>
      </w:r>
      <w:r w:rsidRPr="00104227">
        <w:rPr>
          <w:i/>
          <w:lang w:val="en-US"/>
        </w:rPr>
        <w:t>María Cristina Sánchez Hernández</w:t>
      </w:r>
      <w:r w:rsidRPr="00104227">
        <w:rPr>
          <w:lang w:val="en-US"/>
        </w:rPr>
        <w:t xml:space="preserve"> </w:t>
      </w:r>
      <w:r w:rsidR="007F5221" w:rsidRPr="00104227">
        <w:rPr>
          <w:lang w:val="en-US"/>
        </w:rPr>
        <w:t>report</w:t>
      </w:r>
      <w:r w:rsidRPr="00104227">
        <w:rPr>
          <w:lang w:val="en-US"/>
        </w:rPr>
        <w:t xml:space="preserve">ed that she was treated by a doctor who sewed up an injury on her head without using anesthesia and gave her a pill for the pain. </w:t>
      </w:r>
      <w:r w:rsidRPr="00104227">
        <w:rPr>
          <w:i/>
          <w:lang w:val="en-US"/>
        </w:rPr>
        <w:t>Norma Aidé Jiménez Osorio</w:t>
      </w:r>
      <w:r w:rsidRPr="00104227">
        <w:rPr>
          <w:iCs/>
          <w:lang w:val="en-US"/>
        </w:rPr>
        <w:t xml:space="preserve"> stated that they could not go to the bathroom for almost eight hours</w:t>
      </w:r>
      <w:r w:rsidR="006B5283" w:rsidRPr="00104227">
        <w:rPr>
          <w:iCs/>
          <w:lang w:val="en-US"/>
        </w:rPr>
        <w:t xml:space="preserve">, which caused a strong stinging sensation; at around 11 p.m. she was taken to the prison clinic where a female doctor attended her and told her that she </w:t>
      </w:r>
      <w:r w:rsidR="007F5221" w:rsidRPr="00104227">
        <w:rPr>
          <w:iCs/>
          <w:lang w:val="en-US"/>
        </w:rPr>
        <w:t>required</w:t>
      </w:r>
      <w:r w:rsidR="006B5283" w:rsidRPr="00104227">
        <w:rPr>
          <w:iCs/>
          <w:lang w:val="en-US"/>
        </w:rPr>
        <w:t xml:space="preserve"> treatment for her arm, but that they had no bandages and no way of taking x-rays or putting it in plaster. She also</w:t>
      </w:r>
      <w:r w:rsidR="007F5221" w:rsidRPr="00104227">
        <w:rPr>
          <w:iCs/>
          <w:lang w:val="en-US"/>
        </w:rPr>
        <w:t xml:space="preserve"> reported</w:t>
      </w:r>
      <w:r w:rsidR="006B5283" w:rsidRPr="00104227">
        <w:rPr>
          <w:iCs/>
          <w:lang w:val="en-US"/>
        </w:rPr>
        <w:t xml:space="preserve"> that she had vaginal irritation, but there were no gynecologists. She indicated that a doctor told her mockingly: “I will examine you, if you want, but I’m not a gynecologist.” She added that the forensic physician told her that he could not put on record that she had been raped, because there was no gynecologist to certify this. </w:t>
      </w:r>
      <w:r w:rsidR="006B5283" w:rsidRPr="00104227">
        <w:rPr>
          <w:i/>
          <w:lang w:val="en-US"/>
        </w:rPr>
        <w:t>Claudia Hernández Martínez</w:t>
      </w:r>
      <w:r w:rsidR="006B5283" w:rsidRPr="00104227">
        <w:rPr>
          <w:lang w:val="en-US"/>
        </w:rPr>
        <w:t xml:space="preserve"> indicated that she was taken to the infirmary in the early morning hours, where one of the doctors mocked and insul</w:t>
      </w:r>
      <w:r w:rsidR="007F5221" w:rsidRPr="00104227">
        <w:rPr>
          <w:lang w:val="en-US"/>
        </w:rPr>
        <w:t>t</w:t>
      </w:r>
      <w:r w:rsidR="006B5283" w:rsidRPr="00104227">
        <w:rPr>
          <w:lang w:val="en-US"/>
        </w:rPr>
        <w:t xml:space="preserve">ed her, saying: “I don’t believe they touched you, fucking old </w:t>
      </w:r>
      <w:r w:rsidR="007F5221" w:rsidRPr="00104227">
        <w:rPr>
          <w:lang w:val="en-US"/>
        </w:rPr>
        <w:t>radicals</w:t>
      </w:r>
      <w:r w:rsidR="002060A0" w:rsidRPr="00104227">
        <w:rPr>
          <w:lang w:val="en-US"/>
        </w:rPr>
        <w:t>!</w:t>
      </w:r>
      <w:r w:rsidR="006B5283" w:rsidRPr="00104227">
        <w:rPr>
          <w:lang w:val="en-US"/>
        </w:rPr>
        <w:t xml:space="preserve"> </w:t>
      </w:r>
      <w:r w:rsidR="002060A0" w:rsidRPr="00104227">
        <w:rPr>
          <w:lang w:val="en-US"/>
        </w:rPr>
        <w:t>F</w:t>
      </w:r>
      <w:r w:rsidR="006B5283" w:rsidRPr="00104227">
        <w:rPr>
          <w:lang w:val="en-US"/>
        </w:rPr>
        <w:t xml:space="preserve">ilth!” She added that the doctor did not perform a clinical examination and refused to give her gynecological </w:t>
      </w:r>
      <w:r w:rsidR="007F5221" w:rsidRPr="00104227">
        <w:rPr>
          <w:lang w:val="en-US"/>
        </w:rPr>
        <w:t>treatment</w:t>
      </w:r>
      <w:r w:rsidR="006B5283" w:rsidRPr="00104227">
        <w:rPr>
          <w:lang w:val="en-US"/>
        </w:rPr>
        <w:t xml:space="preserve">. Afterwards, she </w:t>
      </w:r>
      <w:r w:rsidR="007F5221" w:rsidRPr="00104227">
        <w:rPr>
          <w:lang w:val="en-US"/>
        </w:rPr>
        <w:t>w</w:t>
      </w:r>
      <w:r w:rsidR="006B5283" w:rsidRPr="00104227">
        <w:rPr>
          <w:lang w:val="en-US"/>
        </w:rPr>
        <w:t xml:space="preserve">as taken to a </w:t>
      </w:r>
      <w:r w:rsidR="006B5283" w:rsidRPr="00104227">
        <w:rPr>
          <w:iCs/>
          <w:lang w:val="en-US"/>
        </w:rPr>
        <w:t>forensic physician,</w:t>
      </w:r>
      <w:r w:rsidR="007F5221" w:rsidRPr="00104227">
        <w:rPr>
          <w:iCs/>
          <w:lang w:val="en-US"/>
        </w:rPr>
        <w:t xml:space="preserve"> but</w:t>
      </w:r>
      <w:r w:rsidR="006B5283" w:rsidRPr="00104227">
        <w:rPr>
          <w:iCs/>
          <w:lang w:val="en-US"/>
        </w:rPr>
        <w:t xml:space="preserve"> he did not give her treatment of any kind, </w:t>
      </w:r>
      <w:r w:rsidR="007F5221" w:rsidRPr="00104227">
        <w:rPr>
          <w:iCs/>
          <w:lang w:val="en-US"/>
        </w:rPr>
        <w:t>even though she</w:t>
      </w:r>
      <w:r w:rsidR="006B5283" w:rsidRPr="00104227">
        <w:rPr>
          <w:iCs/>
          <w:lang w:val="en-US"/>
        </w:rPr>
        <w:t xml:space="preserve"> complain</w:t>
      </w:r>
      <w:r w:rsidR="007F5221" w:rsidRPr="00104227">
        <w:rPr>
          <w:iCs/>
          <w:lang w:val="en-US"/>
        </w:rPr>
        <w:t>ed</w:t>
      </w:r>
      <w:r w:rsidR="006B5283" w:rsidRPr="00104227">
        <w:rPr>
          <w:iCs/>
          <w:lang w:val="en-US"/>
        </w:rPr>
        <w:t xml:space="preserve"> </w:t>
      </w:r>
      <w:r w:rsidR="007F5221" w:rsidRPr="00104227">
        <w:rPr>
          <w:iCs/>
          <w:lang w:val="en-US"/>
        </w:rPr>
        <w:t>of</w:t>
      </w:r>
      <w:r w:rsidR="006B5283" w:rsidRPr="00104227">
        <w:rPr>
          <w:iCs/>
          <w:lang w:val="en-US"/>
        </w:rPr>
        <w:t xml:space="preserve"> a sensation of vaginal burning and itching.</w:t>
      </w:r>
      <w:r w:rsidR="000B2982" w:rsidRPr="00104227">
        <w:rPr>
          <w:lang w:val="en-US"/>
        </w:rPr>
        <w:t xml:space="preserve"> </w:t>
      </w:r>
      <w:r w:rsidR="008D3A5E" w:rsidRPr="00104227">
        <w:rPr>
          <w:i/>
          <w:lang w:val="en-US"/>
        </w:rPr>
        <w:t>Mariana Selvas Gómez</w:t>
      </w:r>
      <w:r w:rsidR="008D3A5E" w:rsidRPr="00104227">
        <w:rPr>
          <w:lang w:val="en-US"/>
        </w:rPr>
        <w:t xml:space="preserve"> indic</w:t>
      </w:r>
      <w:r w:rsidR="006B5283" w:rsidRPr="00104227">
        <w:rPr>
          <w:lang w:val="en-US"/>
        </w:rPr>
        <w:t xml:space="preserve">ated that, when she was taken for a medical examination, she requested gynecological </w:t>
      </w:r>
      <w:r w:rsidR="00D00317" w:rsidRPr="00104227">
        <w:rPr>
          <w:lang w:val="en-US"/>
        </w:rPr>
        <w:t>treatment</w:t>
      </w:r>
      <w:r w:rsidR="006B5283" w:rsidRPr="00104227">
        <w:rPr>
          <w:lang w:val="en-US"/>
        </w:rPr>
        <w:t xml:space="preserve"> because she had an itching sensation in her genitalia and irri</w:t>
      </w:r>
      <w:r w:rsidR="00D00317" w:rsidRPr="00104227">
        <w:rPr>
          <w:lang w:val="en-US"/>
        </w:rPr>
        <w:t>t</w:t>
      </w:r>
      <w:r w:rsidR="006B5283" w:rsidRPr="00104227">
        <w:rPr>
          <w:lang w:val="en-US"/>
        </w:rPr>
        <w:t>ation owing to the friction that had been</w:t>
      </w:r>
      <w:r w:rsidR="000B2982" w:rsidRPr="00104227">
        <w:rPr>
          <w:lang w:val="en-US"/>
        </w:rPr>
        <w:t xml:space="preserve"> applied, but the doctor told her that only general practitioners</w:t>
      </w:r>
      <w:r w:rsidR="00D00317" w:rsidRPr="00104227">
        <w:rPr>
          <w:lang w:val="en-US"/>
        </w:rPr>
        <w:t xml:space="preserve"> were present</w:t>
      </w:r>
      <w:r w:rsidR="000B2982" w:rsidRPr="00104227">
        <w:rPr>
          <w:lang w:val="en-US"/>
        </w:rPr>
        <w:t>, and merely prescribed painkillers</w:t>
      </w:r>
      <w:r w:rsidR="008D3A5E" w:rsidRPr="00104227">
        <w:rPr>
          <w:lang w:val="en-US"/>
        </w:rPr>
        <w:t xml:space="preserve">. </w:t>
      </w:r>
      <w:r w:rsidR="008D3A5E" w:rsidRPr="00104227">
        <w:rPr>
          <w:i/>
          <w:lang w:val="en-US"/>
        </w:rPr>
        <w:t>Georgina Edith Rosales Gutiérrez</w:t>
      </w:r>
      <w:r w:rsidR="008D3A5E" w:rsidRPr="00104227">
        <w:rPr>
          <w:lang w:val="en-US"/>
        </w:rPr>
        <w:t xml:space="preserve"> rec</w:t>
      </w:r>
      <w:r w:rsidR="000B2982" w:rsidRPr="00104227">
        <w:rPr>
          <w:lang w:val="en-US"/>
        </w:rPr>
        <w:t>alled that, followin</w:t>
      </w:r>
      <w:r w:rsidR="00D00317" w:rsidRPr="00104227">
        <w:rPr>
          <w:lang w:val="en-US"/>
        </w:rPr>
        <w:t>g</w:t>
      </w:r>
      <w:r w:rsidR="000B2982" w:rsidRPr="00104227">
        <w:rPr>
          <w:lang w:val="en-US"/>
        </w:rPr>
        <w:t xml:space="preserve"> the medical examination, they told her that she needed an x-ray because of the blows to her head, but they never took this. </w:t>
      </w:r>
      <w:r w:rsidR="008D3A5E" w:rsidRPr="00104227">
        <w:rPr>
          <w:i/>
          <w:lang w:val="en-US"/>
        </w:rPr>
        <w:t>Suhelen Gabriela Cuevas Jaramillo</w:t>
      </w:r>
      <w:r w:rsidR="008D3A5E" w:rsidRPr="00104227">
        <w:rPr>
          <w:lang w:val="en-US"/>
        </w:rPr>
        <w:t xml:space="preserve"> re</w:t>
      </w:r>
      <w:r w:rsidR="000B2982" w:rsidRPr="00104227">
        <w:rPr>
          <w:lang w:val="en-US"/>
        </w:rPr>
        <w:t>counted that, even though she arrived with bruising over her whole body, the doctor told her that nothing was wrong with her</w:t>
      </w:r>
      <w:r w:rsidR="008D3A5E" w:rsidRPr="00104227">
        <w:rPr>
          <w:lang w:val="en-US"/>
        </w:rPr>
        <w:t xml:space="preserve">. </w:t>
      </w:r>
      <w:r w:rsidR="008D3A5E" w:rsidRPr="00104227">
        <w:rPr>
          <w:i/>
          <w:lang w:val="en-US"/>
        </w:rPr>
        <w:t>Bárbara Italia Méndez Moreno</w:t>
      </w:r>
      <w:r w:rsidR="008D3A5E" w:rsidRPr="00104227">
        <w:rPr>
          <w:lang w:val="en-US"/>
        </w:rPr>
        <w:t xml:space="preserve"> </w:t>
      </w:r>
      <w:r w:rsidR="000B2982" w:rsidRPr="00104227">
        <w:rPr>
          <w:lang w:val="en-US"/>
        </w:rPr>
        <w:t>stated that having to fa</w:t>
      </w:r>
      <w:r w:rsidR="00D00317" w:rsidRPr="00104227">
        <w:rPr>
          <w:lang w:val="en-US"/>
        </w:rPr>
        <w:t>c</w:t>
      </w:r>
      <w:r w:rsidR="000B2982" w:rsidRPr="00104227">
        <w:rPr>
          <w:lang w:val="en-US"/>
        </w:rPr>
        <w:t xml:space="preserve">e the “violence of the doctors was truly devastating,” because </w:t>
      </w:r>
      <w:r w:rsidR="00D71737" w:rsidRPr="00104227">
        <w:rPr>
          <w:lang w:val="en-US"/>
        </w:rPr>
        <w:t xml:space="preserve">when </w:t>
      </w:r>
      <w:r w:rsidR="000B2982" w:rsidRPr="00104227">
        <w:rPr>
          <w:lang w:val="en-US"/>
        </w:rPr>
        <w:t>she told them she needed me</w:t>
      </w:r>
      <w:r w:rsidR="00D71737" w:rsidRPr="00104227">
        <w:rPr>
          <w:lang w:val="en-US"/>
        </w:rPr>
        <w:t>di</w:t>
      </w:r>
      <w:r w:rsidR="000B2982" w:rsidRPr="00104227">
        <w:rPr>
          <w:lang w:val="en-US"/>
        </w:rPr>
        <w:t xml:space="preserve">cal care because of the sexual abuse, </w:t>
      </w:r>
      <w:r w:rsidR="00D71737" w:rsidRPr="00104227">
        <w:rPr>
          <w:lang w:val="en-US"/>
        </w:rPr>
        <w:t>they</w:t>
      </w:r>
      <w:r w:rsidR="000B2982" w:rsidRPr="00104227">
        <w:rPr>
          <w:lang w:val="en-US"/>
        </w:rPr>
        <w:t xml:space="preserve"> refused to </w:t>
      </w:r>
      <w:r w:rsidR="00D71737" w:rsidRPr="00104227">
        <w:rPr>
          <w:lang w:val="en-US"/>
        </w:rPr>
        <w:t>examine</w:t>
      </w:r>
      <w:r w:rsidR="000B2982" w:rsidRPr="00104227">
        <w:rPr>
          <w:lang w:val="en-US"/>
        </w:rPr>
        <w:t xml:space="preserve"> her or </w:t>
      </w:r>
      <w:r w:rsidR="00D71737" w:rsidRPr="00104227">
        <w:rPr>
          <w:lang w:val="en-US"/>
        </w:rPr>
        <w:t>treat</w:t>
      </w:r>
      <w:r w:rsidR="000B2982" w:rsidRPr="00104227">
        <w:rPr>
          <w:lang w:val="en-US"/>
        </w:rPr>
        <w:t xml:space="preserve"> her. She indicated that the</w:t>
      </w:r>
      <w:r w:rsidR="00D71737" w:rsidRPr="00104227">
        <w:rPr>
          <w:lang w:val="en-US"/>
        </w:rPr>
        <w:t xml:space="preserve"> doctors</w:t>
      </w:r>
      <w:r w:rsidR="000B2982" w:rsidRPr="00104227">
        <w:rPr>
          <w:lang w:val="en-US"/>
        </w:rPr>
        <w:t xml:space="preserve"> put stitches in her head without cleaning it and without an</w:t>
      </w:r>
      <w:r w:rsidR="000A14CF" w:rsidRPr="00104227">
        <w:rPr>
          <w:lang w:val="en-US"/>
        </w:rPr>
        <w:t xml:space="preserve"> aesthetic</w:t>
      </w:r>
      <w:r w:rsidR="008D3A5E" w:rsidRPr="00104227">
        <w:rPr>
          <w:lang w:val="en-US"/>
        </w:rPr>
        <w:t xml:space="preserve">, </w:t>
      </w:r>
      <w:r w:rsidR="000B2982" w:rsidRPr="00104227">
        <w:rPr>
          <w:lang w:val="en-US"/>
        </w:rPr>
        <w:t>which “really hurt her,” and mocked her.</w:t>
      </w:r>
      <w:bookmarkEnd w:id="195"/>
    </w:p>
    <w:p w14:paraId="05228968" w14:textId="77777777" w:rsidR="008D3A5E" w:rsidRPr="00104227" w:rsidRDefault="008D3A5E" w:rsidP="00E4619F">
      <w:pPr>
        <w:tabs>
          <w:tab w:val="left" w:pos="567"/>
        </w:tabs>
        <w:rPr>
          <w:lang w:eastAsia="es-MX"/>
        </w:rPr>
      </w:pPr>
    </w:p>
    <w:p w14:paraId="14AC6945" w14:textId="343D2D4F" w:rsidR="004F310F" w:rsidRPr="00104227" w:rsidRDefault="000B2982" w:rsidP="004F310F">
      <w:pPr>
        <w:pStyle w:val="Numberedparagraphs"/>
        <w:tabs>
          <w:tab w:val="left" w:pos="567"/>
        </w:tabs>
        <w:rPr>
          <w:lang w:val="en-US"/>
        </w:rPr>
      </w:pPr>
      <w:bookmarkStart w:id="196" w:name="_Ref532935645"/>
      <w:r w:rsidRPr="00104227">
        <w:rPr>
          <w:lang w:val="en-US"/>
        </w:rPr>
        <w:t>Several of the women refused to make a statement when they were taken to the offices of the Public Prosecution Service</w:t>
      </w:r>
      <w:r w:rsidR="00D27CF8" w:rsidRPr="00104227">
        <w:rPr>
          <w:lang w:val="en-US"/>
        </w:rPr>
        <w:t>.</w:t>
      </w:r>
      <w:r w:rsidR="008D3A5E" w:rsidRPr="00104227">
        <w:rPr>
          <w:lang w:val="en-US"/>
        </w:rPr>
        <w:t xml:space="preserve"> </w:t>
      </w:r>
      <w:r w:rsidR="008D3A5E" w:rsidRPr="00104227">
        <w:rPr>
          <w:i/>
          <w:lang w:val="en-US"/>
        </w:rPr>
        <w:t>Ana María Velasco Rodríguez</w:t>
      </w:r>
      <w:r w:rsidR="008D3A5E" w:rsidRPr="00104227">
        <w:rPr>
          <w:lang w:val="en-US" w:eastAsia="ko-KR"/>
        </w:rPr>
        <w:t xml:space="preserve"> </w:t>
      </w:r>
      <w:r w:rsidRPr="00104227">
        <w:rPr>
          <w:lang w:val="en-US" w:eastAsia="ko-KR"/>
        </w:rPr>
        <w:t xml:space="preserve">pointed out that she was not told why she had been detained and was being kept incommunicado without being able to call her family or a lawyer. </w:t>
      </w:r>
      <w:r w:rsidR="008D3A5E" w:rsidRPr="00104227">
        <w:rPr>
          <w:i/>
          <w:lang w:val="en-US" w:eastAsia="ko-KR"/>
        </w:rPr>
        <w:t>María Cristina Sánchez Hernández</w:t>
      </w:r>
      <w:r w:rsidR="008D3A5E" w:rsidRPr="00104227">
        <w:rPr>
          <w:lang w:val="en-US" w:eastAsia="ko-KR"/>
        </w:rPr>
        <w:t xml:space="preserve"> expl</w:t>
      </w:r>
      <w:r w:rsidRPr="00104227">
        <w:rPr>
          <w:lang w:val="en-US" w:eastAsia="ko-KR"/>
        </w:rPr>
        <w:t xml:space="preserve">ained that, when she went before the </w:t>
      </w:r>
      <w:r w:rsidR="008D3A5E" w:rsidRPr="00104227">
        <w:rPr>
          <w:lang w:val="en-US"/>
        </w:rPr>
        <w:t>agent</w:t>
      </w:r>
      <w:r w:rsidRPr="00104227">
        <w:rPr>
          <w:lang w:val="en-US"/>
        </w:rPr>
        <w:t xml:space="preserve"> of the </w:t>
      </w:r>
      <w:r w:rsidR="00024310" w:rsidRPr="00104227">
        <w:rPr>
          <w:lang w:val="en-US"/>
        </w:rPr>
        <w:t>Public Prosecution Service</w:t>
      </w:r>
      <w:r w:rsidR="008D3A5E" w:rsidRPr="00104227">
        <w:rPr>
          <w:lang w:val="en-US"/>
        </w:rPr>
        <w:t xml:space="preserve">, </w:t>
      </w:r>
      <w:r w:rsidRPr="00104227">
        <w:rPr>
          <w:lang w:val="en-US"/>
        </w:rPr>
        <w:t>she was not assis</w:t>
      </w:r>
      <w:r w:rsidR="00D71737" w:rsidRPr="00104227">
        <w:rPr>
          <w:lang w:val="en-US"/>
        </w:rPr>
        <w:t>t</w:t>
      </w:r>
      <w:r w:rsidRPr="00104227">
        <w:rPr>
          <w:lang w:val="en-US"/>
        </w:rPr>
        <w:t xml:space="preserve">ed by a public defender, she therefore reserved the right to declare. Similarly, </w:t>
      </w:r>
      <w:r w:rsidR="008D3A5E" w:rsidRPr="00104227">
        <w:rPr>
          <w:i/>
          <w:lang w:val="en-US"/>
        </w:rPr>
        <w:t>Norma Aidé Jiménez Osorio</w:t>
      </w:r>
      <w:r w:rsidR="008D3A5E" w:rsidRPr="00104227">
        <w:rPr>
          <w:lang w:val="en-US"/>
        </w:rPr>
        <w:t xml:space="preserve"> exp</w:t>
      </w:r>
      <w:r w:rsidRPr="00104227">
        <w:rPr>
          <w:lang w:val="en-US"/>
        </w:rPr>
        <w:t xml:space="preserve">lained that no one informed her why she was in that place and, when she indicated that she could not make a statement because her lawyer was no present, they responded that a public defender was present who would take her case and that she must make a statement, without explaining that she had the right to remain silent. She </w:t>
      </w:r>
      <w:r w:rsidR="00D71737" w:rsidRPr="00104227">
        <w:rPr>
          <w:lang w:val="en-US"/>
        </w:rPr>
        <w:t>told them that</w:t>
      </w:r>
      <w:r w:rsidRPr="00104227">
        <w:rPr>
          <w:lang w:val="en-US"/>
        </w:rPr>
        <w:t xml:space="preserve"> she had that right and would not make a statement until her lawyer was present</w:t>
      </w:r>
      <w:r w:rsidR="008D3A5E" w:rsidRPr="00104227">
        <w:rPr>
          <w:lang w:val="en-US" w:eastAsia="ko-KR"/>
        </w:rPr>
        <w:t xml:space="preserve">. </w:t>
      </w:r>
      <w:r w:rsidR="008D3A5E" w:rsidRPr="00104227">
        <w:rPr>
          <w:i/>
          <w:lang w:val="en-US"/>
        </w:rPr>
        <w:t>Claudia Hernández Martínez</w:t>
      </w:r>
      <w:r w:rsidR="008D3A5E" w:rsidRPr="00104227">
        <w:rPr>
          <w:lang w:val="en-US"/>
        </w:rPr>
        <w:t xml:space="preserve"> indic</w:t>
      </w:r>
      <w:r w:rsidRPr="00104227">
        <w:rPr>
          <w:lang w:val="en-US"/>
        </w:rPr>
        <w:t>ated that, when they too</w:t>
      </w:r>
      <w:r w:rsidR="00D71737" w:rsidRPr="00104227">
        <w:rPr>
          <w:lang w:val="en-US"/>
        </w:rPr>
        <w:t>k</w:t>
      </w:r>
      <w:r w:rsidRPr="00104227">
        <w:rPr>
          <w:lang w:val="en-US"/>
        </w:rPr>
        <w:t xml:space="preserve"> her to </w:t>
      </w:r>
      <w:r w:rsidRPr="00104227">
        <w:rPr>
          <w:lang w:val="en-US"/>
        </w:rPr>
        <w:lastRenderedPageBreak/>
        <w:t>the offices of</w:t>
      </w:r>
      <w:r w:rsidR="008D3A5E" w:rsidRPr="00104227">
        <w:rPr>
          <w:lang w:val="en-US"/>
        </w:rPr>
        <w:t xml:space="preserve"> </w:t>
      </w:r>
      <w:r w:rsidRPr="00104227">
        <w:rPr>
          <w:lang w:val="en-US"/>
        </w:rPr>
        <w:t>the Public Prosecution Service</w:t>
      </w:r>
      <w:r w:rsidR="008D3A5E" w:rsidRPr="00104227">
        <w:rPr>
          <w:lang w:val="en-US"/>
        </w:rPr>
        <w:t xml:space="preserve"> </w:t>
      </w:r>
      <w:r w:rsidRPr="00104227">
        <w:rPr>
          <w:lang w:val="en-US"/>
        </w:rPr>
        <w:t xml:space="preserve">to </w:t>
      </w:r>
      <w:r w:rsidR="00D71737" w:rsidRPr="00104227">
        <w:rPr>
          <w:lang w:val="en-US"/>
        </w:rPr>
        <w:t>make her</w:t>
      </w:r>
      <w:r w:rsidRPr="00104227">
        <w:rPr>
          <w:lang w:val="en-US"/>
        </w:rPr>
        <w:t xml:space="preserve"> statement, she refused until she had a lawyer</w:t>
      </w:r>
      <w:r w:rsidR="00D71737" w:rsidRPr="00104227">
        <w:rPr>
          <w:lang w:val="en-US"/>
        </w:rPr>
        <w:t>;</w:t>
      </w:r>
      <w:r w:rsidRPr="00104227">
        <w:rPr>
          <w:lang w:val="en-US"/>
        </w:rPr>
        <w:t xml:space="preserve"> they </w:t>
      </w:r>
      <w:r w:rsidR="00D71737" w:rsidRPr="00104227">
        <w:rPr>
          <w:lang w:val="en-US"/>
        </w:rPr>
        <w:t>told her</w:t>
      </w:r>
      <w:r w:rsidRPr="00104227">
        <w:rPr>
          <w:lang w:val="en-US"/>
        </w:rPr>
        <w:t xml:space="preserve"> that she had to sign a</w:t>
      </w:r>
      <w:r w:rsidR="00D71737" w:rsidRPr="00104227">
        <w:rPr>
          <w:lang w:val="en-US"/>
        </w:rPr>
        <w:t xml:space="preserve"> </w:t>
      </w:r>
      <w:r w:rsidRPr="00104227">
        <w:rPr>
          <w:lang w:val="en-US"/>
        </w:rPr>
        <w:t>document saying that she was aware of the charges for which she had been detained. She refused to sign th</w:t>
      </w:r>
      <w:r w:rsidR="00D71737" w:rsidRPr="00104227">
        <w:rPr>
          <w:lang w:val="en-US"/>
        </w:rPr>
        <w:t>e document</w:t>
      </w:r>
      <w:r w:rsidRPr="00104227">
        <w:rPr>
          <w:lang w:val="en-US"/>
        </w:rPr>
        <w:t>, saying that it was not true that she knew the charges, and they responded that</w:t>
      </w:r>
      <w:r w:rsidR="00D71737" w:rsidRPr="00104227">
        <w:rPr>
          <w:lang w:val="en-US"/>
        </w:rPr>
        <w:t>,</w:t>
      </w:r>
      <w:r w:rsidRPr="00104227">
        <w:rPr>
          <w:lang w:val="en-US"/>
        </w:rPr>
        <w:t xml:space="preserve"> if she did not sign</w:t>
      </w:r>
      <w:r w:rsidR="00D71737" w:rsidRPr="00104227">
        <w:rPr>
          <w:lang w:val="en-US"/>
        </w:rPr>
        <w:t>,</w:t>
      </w:r>
      <w:r w:rsidRPr="00104227">
        <w:rPr>
          <w:lang w:val="en-US"/>
        </w:rPr>
        <w:t xml:space="preserve"> they would not </w:t>
      </w:r>
      <w:r w:rsidR="00D71737" w:rsidRPr="00104227">
        <w:rPr>
          <w:lang w:val="en-US"/>
        </w:rPr>
        <w:t>grant</w:t>
      </w:r>
      <w:r w:rsidRPr="00104227">
        <w:rPr>
          <w:lang w:val="en-US"/>
        </w:rPr>
        <w:t xml:space="preserve"> her the right to make a telephone call</w:t>
      </w:r>
      <w:r w:rsidR="00D71737" w:rsidRPr="00104227">
        <w:rPr>
          <w:lang w:val="en-US"/>
        </w:rPr>
        <w:t xml:space="preserve">; so, </w:t>
      </w:r>
      <w:r w:rsidRPr="00104227">
        <w:rPr>
          <w:lang w:val="en-US"/>
        </w:rPr>
        <w:t>finally she a</w:t>
      </w:r>
      <w:r w:rsidR="00D71737" w:rsidRPr="00104227">
        <w:rPr>
          <w:lang w:val="en-US"/>
        </w:rPr>
        <w:t>greed</w:t>
      </w:r>
      <w:r w:rsidRPr="00104227">
        <w:rPr>
          <w:lang w:val="en-US"/>
        </w:rPr>
        <w:t xml:space="preserve"> to sign</w:t>
      </w:r>
      <w:r w:rsidR="00D71737" w:rsidRPr="00104227">
        <w:rPr>
          <w:lang w:val="en-US"/>
        </w:rPr>
        <w:t xml:space="preserve"> the document</w:t>
      </w:r>
      <w:r w:rsidRPr="00104227">
        <w:rPr>
          <w:lang w:val="en-US"/>
        </w:rPr>
        <w:t xml:space="preserve"> and</w:t>
      </w:r>
      <w:r w:rsidR="00D71737" w:rsidRPr="00104227">
        <w:rPr>
          <w:lang w:val="en-US"/>
        </w:rPr>
        <w:t>,</w:t>
      </w:r>
      <w:r w:rsidRPr="00104227">
        <w:rPr>
          <w:lang w:val="en-US"/>
        </w:rPr>
        <w:t xml:space="preserve"> despite this</w:t>
      </w:r>
      <w:r w:rsidR="00D71737" w:rsidRPr="00104227">
        <w:rPr>
          <w:lang w:val="en-US"/>
        </w:rPr>
        <w:t>,</w:t>
      </w:r>
      <w:r w:rsidRPr="00104227">
        <w:rPr>
          <w:lang w:val="en-US"/>
        </w:rPr>
        <w:t xml:space="preserve"> she was unable to make the call. </w:t>
      </w:r>
      <w:r w:rsidR="008D3A5E" w:rsidRPr="00104227">
        <w:rPr>
          <w:i/>
          <w:lang w:val="en-US"/>
        </w:rPr>
        <w:t>Mariana Selvas Gómez</w:t>
      </w:r>
      <w:r w:rsidR="008D3A5E" w:rsidRPr="00104227" w:rsidDel="00406986">
        <w:rPr>
          <w:lang w:val="en-US"/>
        </w:rPr>
        <w:t xml:space="preserve"> </w:t>
      </w:r>
      <w:r w:rsidRPr="00104227">
        <w:rPr>
          <w:lang w:val="en-US"/>
        </w:rPr>
        <w:t xml:space="preserve">also indicated that she reserved </w:t>
      </w:r>
      <w:r w:rsidR="00D71737" w:rsidRPr="00104227">
        <w:rPr>
          <w:lang w:val="en-US"/>
        </w:rPr>
        <w:t>the</w:t>
      </w:r>
      <w:r w:rsidRPr="00104227">
        <w:rPr>
          <w:lang w:val="en-US"/>
        </w:rPr>
        <w:t xml:space="preserve"> right to make a statement, because the public defender was not advising her correctly. In addition, she explained that she was not allowed to call her family or her personal lawyer; that </w:t>
      </w:r>
      <w:r w:rsidR="002826A6" w:rsidRPr="00104227">
        <w:rPr>
          <w:lang w:val="en-US"/>
        </w:rPr>
        <w:t>the representatives</w:t>
      </w:r>
      <w:r w:rsidRPr="00104227">
        <w:rPr>
          <w:lang w:val="en-US"/>
        </w:rPr>
        <w:t xml:space="preserve"> of the </w:t>
      </w:r>
      <w:r w:rsidR="00024310" w:rsidRPr="00104227">
        <w:rPr>
          <w:lang w:val="en-US"/>
        </w:rPr>
        <w:t>Public Prosecution Service</w:t>
      </w:r>
      <w:r w:rsidR="008D3A5E" w:rsidRPr="00104227">
        <w:rPr>
          <w:lang w:val="en-US"/>
        </w:rPr>
        <w:t xml:space="preserve"> </w:t>
      </w:r>
      <w:r w:rsidRPr="00104227">
        <w:rPr>
          <w:lang w:val="en-US"/>
        </w:rPr>
        <w:t xml:space="preserve">did not identify themselves as such, and she was never informed of the reasons for her detention. </w:t>
      </w:r>
      <w:r w:rsidR="008D3A5E" w:rsidRPr="00104227">
        <w:rPr>
          <w:i/>
          <w:lang w:val="en-US"/>
        </w:rPr>
        <w:t>Georgina Edith Rosales Gutiérrez</w:t>
      </w:r>
      <w:r w:rsidR="008D3A5E" w:rsidRPr="00104227" w:rsidDel="00406986">
        <w:rPr>
          <w:lang w:val="en-US"/>
        </w:rPr>
        <w:t xml:space="preserve"> </w:t>
      </w:r>
      <w:r w:rsidR="008D3A5E" w:rsidRPr="00104227">
        <w:rPr>
          <w:lang w:val="en-US"/>
        </w:rPr>
        <w:t>indic</w:t>
      </w:r>
      <w:r w:rsidR="004F310F" w:rsidRPr="00104227">
        <w:rPr>
          <w:lang w:val="en-US"/>
        </w:rPr>
        <w:t xml:space="preserve">ated that she reserved </w:t>
      </w:r>
      <w:r w:rsidR="00D71737" w:rsidRPr="00104227">
        <w:rPr>
          <w:lang w:val="en-US"/>
        </w:rPr>
        <w:t>the</w:t>
      </w:r>
      <w:r w:rsidR="004F310F" w:rsidRPr="00104227">
        <w:rPr>
          <w:lang w:val="en-US"/>
        </w:rPr>
        <w:t xml:space="preserve"> right to make a statement before the representatives of the Public Prosecution Service because they did not inform her of the offense she was accused of, and she was not allowed to report the abuse</w:t>
      </w:r>
      <w:r w:rsidR="00D71737" w:rsidRPr="00104227">
        <w:rPr>
          <w:lang w:val="en-US"/>
        </w:rPr>
        <w:t>; also,</w:t>
      </w:r>
      <w:r w:rsidR="004F310F" w:rsidRPr="00104227">
        <w:rPr>
          <w:lang w:val="en-US"/>
        </w:rPr>
        <w:t xml:space="preserve"> even though she asked, she was not provided with defense counsel or allowed to make a telephone call. She added that, from the time of her detention, she was not given anything to eat or drin</w:t>
      </w:r>
      <w:r w:rsidR="00D71737" w:rsidRPr="00104227">
        <w:rPr>
          <w:lang w:val="en-US"/>
        </w:rPr>
        <w:t>k</w:t>
      </w:r>
      <w:r w:rsidR="004F310F" w:rsidRPr="00104227">
        <w:rPr>
          <w:lang w:val="en-US"/>
        </w:rPr>
        <w:t xml:space="preserve"> and when she tried to </w:t>
      </w:r>
      <w:r w:rsidR="00D71737" w:rsidRPr="00104227">
        <w:rPr>
          <w:lang w:val="en-US"/>
        </w:rPr>
        <w:t>report</w:t>
      </w:r>
      <w:r w:rsidR="004F310F" w:rsidRPr="00104227">
        <w:rPr>
          <w:lang w:val="en-US"/>
        </w:rPr>
        <w:t xml:space="preserve"> the blows, threats and attempted rape by the police agents who had detained her, she was told that she would have to file that complaint once she </w:t>
      </w:r>
      <w:r w:rsidR="00D71737" w:rsidRPr="00104227">
        <w:rPr>
          <w:lang w:val="en-US"/>
        </w:rPr>
        <w:t>had been</w:t>
      </w:r>
      <w:r w:rsidR="004F310F" w:rsidRPr="00104227">
        <w:rPr>
          <w:lang w:val="en-US"/>
        </w:rPr>
        <w:t xml:space="preserve"> released from the </w:t>
      </w:r>
      <w:r w:rsidR="00D71737" w:rsidRPr="00104227">
        <w:rPr>
          <w:lang w:val="en-US"/>
        </w:rPr>
        <w:t>C</w:t>
      </w:r>
      <w:r w:rsidR="004F310F" w:rsidRPr="00104227">
        <w:rPr>
          <w:lang w:val="en-US"/>
        </w:rPr>
        <w:t xml:space="preserve">enter. </w:t>
      </w:r>
      <w:r w:rsidR="008D3A5E" w:rsidRPr="00104227">
        <w:rPr>
          <w:i/>
          <w:lang w:val="en-US"/>
        </w:rPr>
        <w:t>Suhelen Gabriela Cuevas Jaramillo</w:t>
      </w:r>
      <w:r w:rsidR="008D3A5E" w:rsidRPr="00104227">
        <w:rPr>
          <w:lang w:val="en-US"/>
        </w:rPr>
        <w:t xml:space="preserve"> narr</w:t>
      </w:r>
      <w:r w:rsidR="004F310F" w:rsidRPr="00104227">
        <w:rPr>
          <w:lang w:val="en-US"/>
        </w:rPr>
        <w:t xml:space="preserve">ated that she had reserved </w:t>
      </w:r>
      <w:r w:rsidR="00D71737" w:rsidRPr="00104227">
        <w:rPr>
          <w:lang w:val="en-US"/>
        </w:rPr>
        <w:t>the</w:t>
      </w:r>
      <w:r w:rsidR="004F310F" w:rsidRPr="00104227">
        <w:rPr>
          <w:lang w:val="en-US"/>
        </w:rPr>
        <w:t xml:space="preserve"> right to make a statement before </w:t>
      </w:r>
      <w:r w:rsidR="00024310" w:rsidRPr="00104227">
        <w:rPr>
          <w:lang w:val="en-US"/>
        </w:rPr>
        <w:t>the Public Prosecution Service</w:t>
      </w:r>
      <w:r w:rsidR="008D3A5E" w:rsidRPr="00104227">
        <w:rPr>
          <w:lang w:val="en-US"/>
        </w:rPr>
        <w:t xml:space="preserve"> </w:t>
      </w:r>
      <w:r w:rsidR="004F310F" w:rsidRPr="00104227">
        <w:rPr>
          <w:lang w:val="en-US"/>
        </w:rPr>
        <w:t xml:space="preserve">because she had not been informed of the reason for her imprisonment. Lastly, </w:t>
      </w:r>
      <w:r w:rsidR="008D3A5E" w:rsidRPr="00104227">
        <w:rPr>
          <w:i/>
          <w:lang w:val="en-US"/>
        </w:rPr>
        <w:t>Bárbara Italia Méndez</w:t>
      </w:r>
      <w:r w:rsidR="008D3A5E" w:rsidRPr="00104227">
        <w:rPr>
          <w:lang w:val="en-US"/>
        </w:rPr>
        <w:t xml:space="preserve"> Moreno</w:t>
      </w:r>
      <w:r w:rsidR="008D3A5E" w:rsidRPr="00104227" w:rsidDel="00F2216B">
        <w:rPr>
          <w:lang w:val="en-US"/>
        </w:rPr>
        <w:t xml:space="preserve"> </w:t>
      </w:r>
      <w:r w:rsidR="008D3A5E" w:rsidRPr="00104227">
        <w:rPr>
          <w:lang w:val="en-US"/>
        </w:rPr>
        <w:t>describ</w:t>
      </w:r>
      <w:r w:rsidR="004F310F" w:rsidRPr="00104227">
        <w:rPr>
          <w:lang w:val="en-US"/>
        </w:rPr>
        <w:t>ed how</w:t>
      </w:r>
      <w:r w:rsidR="00923051" w:rsidRPr="00104227">
        <w:rPr>
          <w:lang w:val="en-US"/>
        </w:rPr>
        <w:t xml:space="preserve"> she was not informed of the offense she was accused of</w:t>
      </w:r>
      <w:r w:rsidR="004F310F" w:rsidRPr="00104227">
        <w:rPr>
          <w:lang w:val="en-US"/>
        </w:rPr>
        <w:t xml:space="preserve"> </w:t>
      </w:r>
      <w:r w:rsidR="00923051" w:rsidRPr="00104227">
        <w:rPr>
          <w:lang w:val="en-US"/>
        </w:rPr>
        <w:t>and</w:t>
      </w:r>
      <w:r w:rsidR="004F310F" w:rsidRPr="00104227">
        <w:rPr>
          <w:lang w:val="en-US"/>
        </w:rPr>
        <w:t xml:space="preserve"> denied </w:t>
      </w:r>
      <w:r w:rsidR="00923051" w:rsidRPr="00104227">
        <w:rPr>
          <w:lang w:val="en-US"/>
        </w:rPr>
        <w:t>t</w:t>
      </w:r>
      <w:r w:rsidR="004F310F" w:rsidRPr="00104227">
        <w:rPr>
          <w:lang w:val="en-US"/>
        </w:rPr>
        <w:t>he presence of a lawyer. She stated that she told the authorities that she wanted to put on record that she had been raped and when they began to take her statement, a</w:t>
      </w:r>
      <w:r w:rsidR="00923051" w:rsidRPr="00104227">
        <w:rPr>
          <w:lang w:val="en-US"/>
        </w:rPr>
        <w:t xml:space="preserve"> man </w:t>
      </w:r>
      <w:r w:rsidR="004F310F" w:rsidRPr="00104227">
        <w:rPr>
          <w:lang w:val="en-US"/>
        </w:rPr>
        <w:t>arrived who appeared to be their superior</w:t>
      </w:r>
      <w:r w:rsidR="00923051" w:rsidRPr="00104227">
        <w:rPr>
          <w:lang w:val="en-US"/>
        </w:rPr>
        <w:t>,</w:t>
      </w:r>
      <w:r w:rsidR="004F310F" w:rsidRPr="00104227">
        <w:rPr>
          <w:lang w:val="en-US"/>
        </w:rPr>
        <w:t xml:space="preserve"> and </w:t>
      </w:r>
      <w:r w:rsidR="00923051" w:rsidRPr="00104227">
        <w:rPr>
          <w:lang w:val="en-US"/>
        </w:rPr>
        <w:t>seeing</w:t>
      </w:r>
      <w:r w:rsidR="004F310F" w:rsidRPr="00104227">
        <w:rPr>
          <w:lang w:val="en-US"/>
        </w:rPr>
        <w:t xml:space="preserve"> that she was making a complaint, </w:t>
      </w:r>
      <w:r w:rsidR="00923051" w:rsidRPr="00104227">
        <w:rPr>
          <w:lang w:val="en-US"/>
        </w:rPr>
        <w:t xml:space="preserve">he </w:t>
      </w:r>
      <w:r w:rsidR="004F310F" w:rsidRPr="00104227">
        <w:rPr>
          <w:lang w:val="en-US"/>
        </w:rPr>
        <w:t xml:space="preserve">“took the paper out of the typewriter and tore it up,” saying “you’re going to reserve the right to make </w:t>
      </w:r>
      <w:r w:rsidR="00923051" w:rsidRPr="00104227">
        <w:rPr>
          <w:lang w:val="en-US"/>
        </w:rPr>
        <w:t xml:space="preserve">a </w:t>
      </w:r>
      <w:r w:rsidR="004F310F" w:rsidRPr="00104227">
        <w:rPr>
          <w:lang w:val="en-US"/>
        </w:rPr>
        <w:t>statement like all of them.”</w:t>
      </w:r>
    </w:p>
    <w:bookmarkEnd w:id="196"/>
    <w:p w14:paraId="64CF1326" w14:textId="77777777" w:rsidR="008D3A5E" w:rsidRPr="00104227" w:rsidRDefault="008D3A5E" w:rsidP="00E4619F">
      <w:pPr>
        <w:tabs>
          <w:tab w:val="left" w:pos="567"/>
        </w:tabs>
      </w:pPr>
    </w:p>
    <w:p w14:paraId="771E7B08" w14:textId="2306C00C" w:rsidR="008D3A5E" w:rsidRPr="00104227" w:rsidRDefault="008D3A5E" w:rsidP="00E4619F">
      <w:pPr>
        <w:pStyle w:val="Ttulo3"/>
        <w:tabs>
          <w:tab w:val="left" w:pos="567"/>
        </w:tabs>
        <w:rPr>
          <w:lang w:val="en-US"/>
        </w:rPr>
      </w:pPr>
      <w:bookmarkStart w:id="197" w:name="_Toc31290577"/>
      <w:r w:rsidRPr="00104227">
        <w:rPr>
          <w:lang w:val="en-US"/>
        </w:rPr>
        <w:t xml:space="preserve">B.4 </w:t>
      </w:r>
      <w:r w:rsidR="004F310F" w:rsidRPr="00104227">
        <w:rPr>
          <w:lang w:val="en-US"/>
        </w:rPr>
        <w:t>Medical examinations and expert appraisals performed on the women</w:t>
      </w:r>
      <w:bookmarkEnd w:id="197"/>
    </w:p>
    <w:p w14:paraId="6762E720" w14:textId="77777777" w:rsidR="008D3A5E" w:rsidRPr="00104227" w:rsidRDefault="008D3A5E" w:rsidP="00E4619F">
      <w:pPr>
        <w:tabs>
          <w:tab w:val="left" w:pos="567"/>
        </w:tabs>
      </w:pPr>
    </w:p>
    <w:p w14:paraId="5849B52D" w14:textId="6C415D0D" w:rsidR="008D3A5E" w:rsidRPr="00104227" w:rsidRDefault="004F310F" w:rsidP="00E4619F">
      <w:pPr>
        <w:pStyle w:val="Numberedparagraphs"/>
        <w:tabs>
          <w:tab w:val="left" w:pos="567"/>
        </w:tabs>
        <w:rPr>
          <w:lang w:val="en-US"/>
        </w:rPr>
      </w:pPr>
      <w:bookmarkStart w:id="198" w:name="_Ref532906153"/>
      <w:r w:rsidRPr="00104227">
        <w:rPr>
          <w:lang w:val="en-US"/>
        </w:rPr>
        <w:t>On May 5 and 6,</w:t>
      </w:r>
      <w:r w:rsidR="008D3A5E" w:rsidRPr="00104227">
        <w:rPr>
          <w:lang w:val="en-US"/>
        </w:rPr>
        <w:t xml:space="preserve"> 2006, </w:t>
      </w:r>
      <w:r w:rsidR="00DB45C4" w:rsidRPr="00104227">
        <w:rPr>
          <w:lang w:val="en-US"/>
        </w:rPr>
        <w:t xml:space="preserve">ten </w:t>
      </w:r>
      <w:r w:rsidR="00F12946" w:rsidRPr="00104227">
        <w:rPr>
          <w:lang w:val="en-US"/>
        </w:rPr>
        <w:t>of the eleven women</w:t>
      </w:r>
      <w:r w:rsidR="008D3A5E" w:rsidRPr="00104227">
        <w:rPr>
          <w:lang w:val="en-US"/>
        </w:rPr>
        <w:t xml:space="preserve"> </w:t>
      </w:r>
      <w:r w:rsidR="00DB45C4" w:rsidRPr="00104227">
        <w:rPr>
          <w:lang w:val="en-US"/>
        </w:rPr>
        <w:t xml:space="preserve">were interviewed by </w:t>
      </w:r>
      <w:r w:rsidR="008D3A5E" w:rsidRPr="00104227">
        <w:rPr>
          <w:lang w:val="en-US"/>
        </w:rPr>
        <w:t>CNDH</w:t>
      </w:r>
      <w:r w:rsidR="00102E70" w:rsidRPr="00104227">
        <w:rPr>
          <w:lang w:val="en-US"/>
        </w:rPr>
        <w:t xml:space="preserve"> personnel</w:t>
      </w:r>
      <w:r w:rsidR="008D3A5E" w:rsidRPr="00104227">
        <w:rPr>
          <w:lang w:val="en-US"/>
        </w:rPr>
        <w:t xml:space="preserve">. </w:t>
      </w:r>
      <w:r w:rsidR="00A84F20" w:rsidRPr="00104227">
        <w:rPr>
          <w:lang w:val="en-US"/>
        </w:rPr>
        <w:t>Subsequently</w:t>
      </w:r>
      <w:r w:rsidR="008D3A5E" w:rsidRPr="00104227">
        <w:rPr>
          <w:lang w:val="en-US"/>
        </w:rPr>
        <w:t xml:space="preserve">, </w:t>
      </w:r>
      <w:r w:rsidR="00DB45C4" w:rsidRPr="00104227">
        <w:rPr>
          <w:lang w:val="en-US"/>
        </w:rPr>
        <w:t>the</w:t>
      </w:r>
      <w:r w:rsidR="008D3A5E" w:rsidRPr="00104227">
        <w:rPr>
          <w:lang w:val="en-US"/>
        </w:rPr>
        <w:t xml:space="preserve"> CNDH </w:t>
      </w:r>
      <w:r w:rsidR="00DB45C4" w:rsidRPr="00104227">
        <w:rPr>
          <w:lang w:val="en-US"/>
        </w:rPr>
        <w:t>issued a medical certificate o</w:t>
      </w:r>
      <w:r w:rsidR="00923051" w:rsidRPr="00104227">
        <w:rPr>
          <w:lang w:val="en-US"/>
        </w:rPr>
        <w:t>n the</w:t>
      </w:r>
      <w:r w:rsidR="00DB45C4" w:rsidRPr="00104227">
        <w:rPr>
          <w:lang w:val="en-US"/>
        </w:rPr>
        <w:t xml:space="preserve"> injuries</w:t>
      </w:r>
      <w:r w:rsidR="00923051" w:rsidRPr="00104227">
        <w:rPr>
          <w:lang w:val="en-US"/>
        </w:rPr>
        <w:t>,</w:t>
      </w:r>
      <w:r w:rsidR="00DB45C4" w:rsidRPr="00104227">
        <w:rPr>
          <w:lang w:val="en-US"/>
        </w:rPr>
        <w:t xml:space="preserve"> based on the examination conducted by its own forensic physicians</w:t>
      </w:r>
      <w:r w:rsidR="00923051" w:rsidRPr="00104227">
        <w:rPr>
          <w:lang w:val="en-US"/>
        </w:rPr>
        <w:t xml:space="preserve">, which </w:t>
      </w:r>
      <w:r w:rsidR="00DB45C4" w:rsidRPr="00104227">
        <w:rPr>
          <w:lang w:val="en-US"/>
        </w:rPr>
        <w:t>record</w:t>
      </w:r>
      <w:r w:rsidR="00102E70" w:rsidRPr="00104227">
        <w:rPr>
          <w:lang w:val="en-US"/>
        </w:rPr>
        <w:t>ed</w:t>
      </w:r>
      <w:r w:rsidR="00DB45C4" w:rsidRPr="00104227">
        <w:rPr>
          <w:lang w:val="en-US"/>
        </w:rPr>
        <w:t xml:space="preserve"> the following:</w:t>
      </w:r>
      <w:bookmarkEnd w:id="198"/>
    </w:p>
    <w:p w14:paraId="1EB87789" w14:textId="77777777" w:rsidR="008D3A5E" w:rsidRPr="00104227" w:rsidRDefault="008D3A5E" w:rsidP="00E4619F">
      <w:pPr>
        <w:tabs>
          <w:tab w:val="left" w:pos="567"/>
        </w:tabs>
      </w:pPr>
    </w:p>
    <w:p w14:paraId="25CE83BC" w14:textId="3CE543E6" w:rsidR="008D3A5E" w:rsidRPr="00104227" w:rsidRDefault="008D3A5E" w:rsidP="00E4619F">
      <w:pPr>
        <w:pStyle w:val="Prrafodelista"/>
        <w:numPr>
          <w:ilvl w:val="0"/>
          <w:numId w:val="87"/>
        </w:numPr>
        <w:tabs>
          <w:tab w:val="left" w:pos="567"/>
        </w:tabs>
      </w:pPr>
      <w:r w:rsidRPr="00104227">
        <w:rPr>
          <w:i/>
        </w:rPr>
        <w:t>Yolanda Muñoz Diosdada</w:t>
      </w:r>
      <w:r w:rsidRPr="00104227">
        <w:t xml:space="preserve">: </w:t>
      </w:r>
      <w:r w:rsidR="00DB45C4" w:rsidRPr="00104227">
        <w:t>several bruises that “correspond to direct blows delivered by hard blunt objects (batons, clubs, shields); based on the coloring […] it can be established that they were produced approximately 24 to 48 hours previously, which is compatible with the day of the events”;</w:t>
      </w:r>
    </w:p>
    <w:p w14:paraId="7EA08947" w14:textId="0C70AEB6" w:rsidR="008D3A5E" w:rsidRPr="00104227" w:rsidRDefault="008D3A5E" w:rsidP="00E4619F">
      <w:pPr>
        <w:pStyle w:val="Prrafodelista"/>
        <w:numPr>
          <w:ilvl w:val="0"/>
          <w:numId w:val="87"/>
        </w:numPr>
        <w:tabs>
          <w:tab w:val="left" w:pos="567"/>
        </w:tabs>
      </w:pPr>
      <w:r w:rsidRPr="00104227">
        <w:rPr>
          <w:i/>
        </w:rPr>
        <w:t>Ana María Velasco Rodríguez</w:t>
      </w:r>
      <w:r w:rsidRPr="00104227">
        <w:t xml:space="preserve">: </w:t>
      </w:r>
      <w:r w:rsidR="00DB45C4" w:rsidRPr="00104227">
        <w:t>direct blows delivered by hard blunt objects; based on the coloring, it c</w:t>
      </w:r>
      <w:r w:rsidR="00102E70" w:rsidRPr="00104227">
        <w:t>ould</w:t>
      </w:r>
      <w:r w:rsidR="00DB45C4" w:rsidRPr="00104227">
        <w:t xml:space="preserve"> be established that they were produced approximately 24 to 48 hours previously, which </w:t>
      </w:r>
      <w:r w:rsidR="00102E70" w:rsidRPr="00104227">
        <w:t>wa</w:t>
      </w:r>
      <w:r w:rsidR="00DB45C4" w:rsidRPr="00104227">
        <w:t>s compatible with the day of the events</w:t>
      </w:r>
      <w:r w:rsidR="00477ABC" w:rsidRPr="00104227">
        <w:t>;</w:t>
      </w:r>
    </w:p>
    <w:p w14:paraId="6A852BD6" w14:textId="29FFEC8B" w:rsidR="0004377B" w:rsidRPr="00104227" w:rsidRDefault="0047539E" w:rsidP="00E4619F">
      <w:pPr>
        <w:pStyle w:val="Prrafodelista"/>
        <w:numPr>
          <w:ilvl w:val="0"/>
          <w:numId w:val="87"/>
        </w:numPr>
        <w:tabs>
          <w:tab w:val="left" w:pos="567"/>
        </w:tabs>
      </w:pPr>
      <w:r w:rsidRPr="00104227">
        <w:rPr>
          <w:i/>
        </w:rPr>
        <w:t>Angélica Patricia Torres</w:t>
      </w:r>
      <w:r w:rsidR="008D3A5E" w:rsidRPr="00104227">
        <w:rPr>
          <w:i/>
        </w:rPr>
        <w:t xml:space="preserve"> Linares</w:t>
      </w:r>
      <w:r w:rsidR="00DB45C4" w:rsidRPr="00104227">
        <w:rPr>
          <w:i/>
        </w:rPr>
        <w:t>:</w:t>
      </w:r>
      <w:r w:rsidR="008D3A5E" w:rsidRPr="00104227">
        <w:rPr>
          <w:rStyle w:val="Refdenotaalpie"/>
        </w:rPr>
        <w:footnoteReference w:id="121"/>
      </w:r>
      <w:r w:rsidR="008D3A5E" w:rsidRPr="00104227">
        <w:t xml:space="preserve"> </w:t>
      </w:r>
      <w:r w:rsidR="00DB45C4" w:rsidRPr="00104227">
        <w:t>bruising consistent with direct blows delivered by hard blunt objects</w:t>
      </w:r>
      <w:r w:rsidR="008D3A5E" w:rsidRPr="00104227">
        <w:t xml:space="preserve">. </w:t>
      </w:r>
      <w:r w:rsidR="00DB45C4" w:rsidRPr="00104227">
        <w:t>It was also indicated that, based on the coloring, it c</w:t>
      </w:r>
      <w:r w:rsidR="00102E70" w:rsidRPr="00104227">
        <w:t>ould</w:t>
      </w:r>
      <w:r w:rsidR="00DB45C4" w:rsidRPr="00104227">
        <w:t xml:space="preserve"> be established that th</w:t>
      </w:r>
      <w:r w:rsidR="00102E70" w:rsidRPr="00104227">
        <w:t>is</w:t>
      </w:r>
      <w:r w:rsidR="00DB45C4" w:rsidRPr="00104227">
        <w:t xml:space="preserve"> w</w:t>
      </w:r>
      <w:r w:rsidR="00102E70" w:rsidRPr="00104227">
        <w:t>as</w:t>
      </w:r>
      <w:r w:rsidR="00DB45C4" w:rsidRPr="00104227">
        <w:t xml:space="preserve"> produced approximately 24 hours previously, which </w:t>
      </w:r>
      <w:r w:rsidR="00102E70" w:rsidRPr="00104227">
        <w:t>wa</w:t>
      </w:r>
      <w:r w:rsidR="00DB45C4" w:rsidRPr="00104227">
        <w:t xml:space="preserve">s compatible with the day of the events. Regarding the </w:t>
      </w:r>
      <w:r w:rsidR="000777FE" w:rsidRPr="00104227">
        <w:t>indecent touching</w:t>
      </w:r>
      <w:r w:rsidR="008D3A5E" w:rsidRPr="00104227">
        <w:t xml:space="preserve"> </w:t>
      </w:r>
      <w:r w:rsidR="00DB45C4" w:rsidRPr="00104227">
        <w:t xml:space="preserve">that she recounted, </w:t>
      </w:r>
      <w:r w:rsidR="00102E70" w:rsidRPr="00104227">
        <w:t>it was</w:t>
      </w:r>
      <w:r w:rsidR="00DB45C4" w:rsidRPr="00104227">
        <w:t xml:space="preserve"> indicated that this “usually does not leave traces</w:t>
      </w:r>
      <w:r w:rsidR="00102E70" w:rsidRPr="00104227">
        <w:t xml:space="preserve"> on the outside</w:t>
      </w:r>
      <w:r w:rsidR="00DB45C4" w:rsidRPr="00104227">
        <w:t xml:space="preserve">; however, the fact that there were no injuries does not exclude that it occurred.” </w:t>
      </w:r>
      <w:r w:rsidR="0004377B" w:rsidRPr="00104227">
        <w:t>I</w:t>
      </w:r>
      <w:r w:rsidR="00960FE4" w:rsidRPr="00104227">
        <w:t xml:space="preserve">t was </w:t>
      </w:r>
      <w:r w:rsidR="00960FE4" w:rsidRPr="00104227">
        <w:lastRenderedPageBreak/>
        <w:t>also</w:t>
      </w:r>
      <w:r w:rsidR="0004377B" w:rsidRPr="00104227">
        <w:t xml:space="preserve"> indicated that the</w:t>
      </w:r>
      <w:r w:rsidR="00960FE4" w:rsidRPr="00104227">
        <w:t>re was just one</w:t>
      </w:r>
      <w:r w:rsidR="0004377B" w:rsidRPr="00104227">
        <w:t xml:space="preserve"> injur</w:t>
      </w:r>
      <w:r w:rsidR="00960FE4" w:rsidRPr="00104227">
        <w:t>y</w:t>
      </w:r>
      <w:r w:rsidR="0004377B" w:rsidRPr="00104227">
        <w:t xml:space="preserve"> on both breasts “so that the</w:t>
      </w:r>
      <w:r w:rsidR="00960FE4" w:rsidRPr="00104227">
        <w:t>se</w:t>
      </w:r>
      <w:r w:rsidR="0004377B" w:rsidRPr="00104227">
        <w:t xml:space="preserve"> cannot have been produced by squeezing because</w:t>
      </w:r>
      <w:r w:rsidR="00923051" w:rsidRPr="00104227">
        <w:t>,</w:t>
      </w:r>
      <w:r w:rsidR="0004377B" w:rsidRPr="00104227">
        <w:t xml:space="preserve"> if this had been the case, there would be injuries on the upper and lower part of the breasts, a situation that was not observed”;</w:t>
      </w:r>
    </w:p>
    <w:p w14:paraId="1B2C2768" w14:textId="726AD889" w:rsidR="008D3A5E" w:rsidRPr="00104227" w:rsidRDefault="008D3A5E" w:rsidP="00E4619F">
      <w:pPr>
        <w:pStyle w:val="Prrafodelista"/>
        <w:numPr>
          <w:ilvl w:val="0"/>
          <w:numId w:val="87"/>
        </w:numPr>
        <w:tabs>
          <w:tab w:val="left" w:pos="567"/>
        </w:tabs>
      </w:pPr>
      <w:r w:rsidRPr="00104227">
        <w:rPr>
          <w:i/>
        </w:rPr>
        <w:t>María Patricia Romero Hernández</w:t>
      </w:r>
      <w:r w:rsidRPr="00104227">
        <w:t xml:space="preserve">: </w:t>
      </w:r>
      <w:r w:rsidR="0004377B" w:rsidRPr="00104227">
        <w:t>injuries consisting of</w:t>
      </w:r>
      <w:r w:rsidRPr="00104227">
        <w:t xml:space="preserve"> </w:t>
      </w:r>
      <w:r w:rsidR="0004377B" w:rsidRPr="00104227">
        <w:t xml:space="preserve">skin </w:t>
      </w:r>
      <w:r w:rsidR="000A14CF" w:rsidRPr="00104227">
        <w:t>abrasion</w:t>
      </w:r>
      <w:r w:rsidR="0004377B" w:rsidRPr="00104227">
        <w:t xml:space="preserve"> and </w:t>
      </w:r>
      <w:r w:rsidR="00960FE4" w:rsidRPr="00104227">
        <w:t xml:space="preserve">back </w:t>
      </w:r>
      <w:r w:rsidR="0004377B" w:rsidRPr="00104227">
        <w:t>pain produced by the impact of a blunt object on the body in the lumbosacral spine area</w:t>
      </w:r>
      <w:r w:rsidR="00923051" w:rsidRPr="00104227">
        <w:t>;</w:t>
      </w:r>
    </w:p>
    <w:p w14:paraId="47AAEC42" w14:textId="0801FCD4" w:rsidR="0055021A" w:rsidRPr="00104227" w:rsidRDefault="008D3A5E" w:rsidP="00E4619F">
      <w:pPr>
        <w:pStyle w:val="Prrafodelista"/>
        <w:numPr>
          <w:ilvl w:val="0"/>
          <w:numId w:val="87"/>
        </w:numPr>
        <w:tabs>
          <w:tab w:val="left" w:pos="567"/>
        </w:tabs>
      </w:pPr>
      <w:r w:rsidRPr="00104227">
        <w:rPr>
          <w:i/>
        </w:rPr>
        <w:t>María Cristina Sánchez Hernández</w:t>
      </w:r>
      <w:r w:rsidRPr="00104227">
        <w:t xml:space="preserve">: </w:t>
      </w:r>
      <w:r w:rsidR="0004377B" w:rsidRPr="00104227">
        <w:t>injuries consisting of</w:t>
      </w:r>
      <w:r w:rsidRPr="00104227">
        <w:t xml:space="preserve"> </w:t>
      </w:r>
      <w:r w:rsidR="0004377B" w:rsidRPr="00104227">
        <w:t>a wound in the frontal region, diverse bruises and abrasions. It was also concluded that, in general, the bruising corresponded to direct blows delivered by hard blunt objects</w:t>
      </w:r>
      <w:r w:rsidRPr="00104227">
        <w:t xml:space="preserve">. </w:t>
      </w:r>
      <w:r w:rsidR="00960FE4" w:rsidRPr="00104227">
        <w:t>B</w:t>
      </w:r>
      <w:r w:rsidR="0055021A" w:rsidRPr="00104227">
        <w:t>ased on the coloring, it c</w:t>
      </w:r>
      <w:r w:rsidR="00960FE4" w:rsidRPr="00104227">
        <w:t>ould</w:t>
      </w:r>
      <w:r w:rsidR="0055021A" w:rsidRPr="00104227">
        <w:t xml:space="preserve"> be established that </w:t>
      </w:r>
      <w:r w:rsidR="00960FE4" w:rsidRPr="00104227">
        <w:t xml:space="preserve">it corresponded to </w:t>
      </w:r>
      <w:r w:rsidR="0055021A" w:rsidRPr="00104227">
        <w:t>approximately 24 to 48 hours</w:t>
      </w:r>
      <w:r w:rsidR="00923051" w:rsidRPr="00104227">
        <w:t xml:space="preserve"> previously</w:t>
      </w:r>
      <w:r w:rsidR="0055021A" w:rsidRPr="00104227">
        <w:t xml:space="preserve">, which was compatible with the day of the events. The medical certificate also recorded that the injury to the scalp was the result of a blow with a hard blunt object applied with sufficient force to break the skin. It also indicated that the bruising and abrasions </w:t>
      </w:r>
      <w:r w:rsidR="00960FE4" w:rsidRPr="00104227">
        <w:t>on the back of</w:t>
      </w:r>
      <w:r w:rsidR="0055021A" w:rsidRPr="00104227">
        <w:t xml:space="preserve"> the right foot were compatible with those produced by pressure and friction by an irregular blunt object (a stamp of the foot), while the abrasion on the ear lobe was compatible with that produced by tearing earrings off violently;</w:t>
      </w:r>
    </w:p>
    <w:p w14:paraId="30580640" w14:textId="0DF28BD3" w:rsidR="008D3A5E" w:rsidRPr="00104227" w:rsidRDefault="008D3A5E" w:rsidP="00E4619F">
      <w:pPr>
        <w:pStyle w:val="Prrafodelista"/>
        <w:numPr>
          <w:ilvl w:val="0"/>
          <w:numId w:val="87"/>
        </w:numPr>
        <w:tabs>
          <w:tab w:val="left" w:pos="567"/>
        </w:tabs>
      </w:pPr>
      <w:r w:rsidRPr="00104227">
        <w:rPr>
          <w:i/>
        </w:rPr>
        <w:t>Norma Aidé Jiménez Osorio</w:t>
      </w:r>
      <w:r w:rsidRPr="00104227">
        <w:t xml:space="preserve">: </w:t>
      </w:r>
      <w:r w:rsidR="0055021A" w:rsidRPr="00104227">
        <w:t xml:space="preserve">diverse abrasions and bruises, and that the injuries had been “produced by </w:t>
      </w:r>
      <w:r w:rsidR="00960FE4" w:rsidRPr="00104227">
        <w:t xml:space="preserve">the </w:t>
      </w:r>
      <w:r w:rsidR="0055021A" w:rsidRPr="00104227">
        <w:t>impact of a blunt object on the body</w:t>
      </w:r>
      <w:r w:rsidR="00960FE4" w:rsidRPr="00104227">
        <w:t xml:space="preserve"> on several occasions</w:t>
      </w:r>
      <w:r w:rsidR="00477ABC" w:rsidRPr="00104227">
        <w:rPr>
          <w:rFonts w:eastAsia="Times New Roman"/>
          <w:lang w:eastAsia="ko-KR"/>
        </w:rPr>
        <w:t>”;</w:t>
      </w:r>
    </w:p>
    <w:p w14:paraId="57FC6308" w14:textId="17DC291D" w:rsidR="0055021A" w:rsidRPr="00104227" w:rsidRDefault="008D3A5E" w:rsidP="00E4619F">
      <w:pPr>
        <w:pStyle w:val="Prrafodelista"/>
        <w:numPr>
          <w:ilvl w:val="0"/>
          <w:numId w:val="87"/>
        </w:numPr>
        <w:tabs>
          <w:tab w:val="left" w:pos="567"/>
        </w:tabs>
      </w:pPr>
      <w:r w:rsidRPr="00104227">
        <w:rPr>
          <w:i/>
        </w:rPr>
        <w:t>Mariana Selvas Gómez</w:t>
      </w:r>
      <w:r w:rsidRPr="00104227">
        <w:t xml:space="preserve">: </w:t>
      </w:r>
      <w:r w:rsidR="0055021A" w:rsidRPr="00104227">
        <w:t xml:space="preserve">diverse bruises, consisting </w:t>
      </w:r>
      <w:r w:rsidR="00960FE4" w:rsidRPr="00104227">
        <w:t>of</w:t>
      </w:r>
      <w:r w:rsidR="0055021A" w:rsidRPr="00104227">
        <w:t xml:space="preserve"> direct blows</w:t>
      </w:r>
      <w:r w:rsidRPr="00104227">
        <w:t xml:space="preserve">, </w:t>
      </w:r>
      <w:r w:rsidR="0004377B" w:rsidRPr="00104227">
        <w:t>delivered by hard blunt objects</w:t>
      </w:r>
      <w:r w:rsidR="00960FE4" w:rsidRPr="00104227">
        <w:t xml:space="preserve">; </w:t>
      </w:r>
      <w:r w:rsidR="0055021A" w:rsidRPr="00104227">
        <w:t xml:space="preserve">based on the coloring, it could be established that they were produced approximately 24 hours previously, which was compatible with the day of the events. Among other matters, </w:t>
      </w:r>
      <w:r w:rsidR="00923051" w:rsidRPr="00104227">
        <w:t>the certificate</w:t>
      </w:r>
      <w:r w:rsidR="0055021A" w:rsidRPr="00104227">
        <w:t xml:space="preserve"> indicated that “regarding </w:t>
      </w:r>
      <w:r w:rsidR="00960FE4" w:rsidRPr="00104227">
        <w:t xml:space="preserve">finger </w:t>
      </w:r>
      <w:r w:rsidR="0055021A" w:rsidRPr="00104227">
        <w:t>penetration of the vagina, owing to lack of e</w:t>
      </w:r>
      <w:r w:rsidR="00923051" w:rsidRPr="00104227">
        <w:t>vidence</w:t>
      </w:r>
      <w:r w:rsidR="0055021A" w:rsidRPr="00104227">
        <w:t xml:space="preserve"> and a suitable area to examine her, an examination was not performed and it was suggested […] that if she wanted an inquiry to be </w:t>
      </w:r>
      <w:r w:rsidR="00960FE4" w:rsidRPr="00104227">
        <w:t xml:space="preserve">opened </w:t>
      </w:r>
      <w:r w:rsidR="0055021A" w:rsidRPr="00104227">
        <w:t>into sexual abuse, this would require</w:t>
      </w:r>
      <w:r w:rsidR="00334399" w:rsidRPr="00104227">
        <w:t xml:space="preserve"> the relevant specialized</w:t>
      </w:r>
      <w:r w:rsidR="0055021A" w:rsidRPr="00104227">
        <w:t xml:space="preserve"> personnel”; </w:t>
      </w:r>
    </w:p>
    <w:p w14:paraId="5E0127A1" w14:textId="0E3955A6" w:rsidR="0055021A" w:rsidRPr="00104227" w:rsidRDefault="008D3A5E" w:rsidP="00E4619F">
      <w:pPr>
        <w:pStyle w:val="Prrafodelista"/>
        <w:numPr>
          <w:ilvl w:val="0"/>
          <w:numId w:val="87"/>
        </w:numPr>
        <w:tabs>
          <w:tab w:val="left" w:pos="567"/>
        </w:tabs>
      </w:pPr>
      <w:r w:rsidRPr="00104227">
        <w:rPr>
          <w:i/>
        </w:rPr>
        <w:t>Georgina Edith Rosales Gutiérrez</w:t>
      </w:r>
      <w:r w:rsidRPr="00104227">
        <w:t xml:space="preserve">: </w:t>
      </w:r>
      <w:r w:rsidR="0055021A" w:rsidRPr="00104227">
        <w:t>bruising</w:t>
      </w:r>
      <w:r w:rsidR="00334399" w:rsidRPr="00104227">
        <w:t>;</w:t>
      </w:r>
      <w:r w:rsidR="0055021A" w:rsidRPr="00104227">
        <w:t xml:space="preserve"> it was concluded that this corresponded to direct blows</w:t>
      </w:r>
      <w:r w:rsidRPr="00104227">
        <w:t xml:space="preserve"> </w:t>
      </w:r>
      <w:r w:rsidR="0004377B" w:rsidRPr="00104227">
        <w:t>delivered by hard blunt objects</w:t>
      </w:r>
      <w:r w:rsidR="0055021A" w:rsidRPr="00104227">
        <w:t xml:space="preserve"> that,</w:t>
      </w:r>
      <w:r w:rsidRPr="00104227">
        <w:t xml:space="preserve"> </w:t>
      </w:r>
      <w:r w:rsidR="0055021A" w:rsidRPr="00104227">
        <w:t>based on the coloring, had been produced from 24 to 48 hours previously, which was compatible with the day of the events.</w:t>
      </w:r>
    </w:p>
    <w:p w14:paraId="629EB5D9" w14:textId="3D3F0210" w:rsidR="0055021A" w:rsidRPr="00104227" w:rsidRDefault="008D3A5E" w:rsidP="00E4619F">
      <w:pPr>
        <w:pStyle w:val="Prrafodelista"/>
        <w:numPr>
          <w:ilvl w:val="0"/>
          <w:numId w:val="87"/>
        </w:numPr>
        <w:tabs>
          <w:tab w:val="left" w:pos="567"/>
        </w:tabs>
      </w:pPr>
      <w:r w:rsidRPr="00104227">
        <w:rPr>
          <w:i/>
        </w:rPr>
        <w:t xml:space="preserve">Suhelen Gabriela Cuevas Jaramillo: </w:t>
      </w:r>
      <w:r w:rsidR="0055021A" w:rsidRPr="00104227">
        <w:t>existence of</w:t>
      </w:r>
      <w:r w:rsidRPr="00104227">
        <w:t xml:space="preserve"> “</w:t>
      </w:r>
      <w:r w:rsidR="0055021A" w:rsidRPr="00104227">
        <w:t>direct blows</w:t>
      </w:r>
      <w:r w:rsidRPr="00104227">
        <w:t xml:space="preserve">, </w:t>
      </w:r>
      <w:r w:rsidR="0004377B" w:rsidRPr="00104227">
        <w:t>delivered by hard blunt objects</w:t>
      </w:r>
      <w:r w:rsidRPr="00104227">
        <w:t>”</w:t>
      </w:r>
      <w:r w:rsidR="00BF5241" w:rsidRPr="00104227">
        <w:t xml:space="preserve"> an</w:t>
      </w:r>
      <w:r w:rsidR="0055021A" w:rsidRPr="00104227">
        <w:t>d the certificate indicated that, based on the coloring, it could be established that this corresponded to approximately 24 hours</w:t>
      </w:r>
      <w:r w:rsidR="00334399" w:rsidRPr="00104227">
        <w:t xml:space="preserve"> previously</w:t>
      </w:r>
      <w:r w:rsidR="0055021A" w:rsidRPr="00104227">
        <w:t>, which was compatible with the day of the events. Regarding the indecent touching, the CNDH indicated that</w:t>
      </w:r>
      <w:r w:rsidR="006F5741" w:rsidRPr="00104227">
        <w:t xml:space="preserve">, usually, </w:t>
      </w:r>
      <w:r w:rsidR="0055021A" w:rsidRPr="00104227">
        <w:t>this does not leave traces</w:t>
      </w:r>
      <w:r w:rsidR="006F5741" w:rsidRPr="00104227">
        <w:t xml:space="preserve"> on the outside; however,</w:t>
      </w:r>
      <w:r w:rsidR="0055021A" w:rsidRPr="00104227">
        <w:t xml:space="preserve"> she had abrasions on the left nipple and on the right </w:t>
      </w:r>
      <w:r w:rsidR="00110F04" w:rsidRPr="00104227">
        <w:t>areola, which, with a high</w:t>
      </w:r>
      <w:r w:rsidR="006F5741" w:rsidRPr="00104227">
        <w:t xml:space="preserve"> degree of</w:t>
      </w:r>
      <w:r w:rsidR="00110F04" w:rsidRPr="00104227">
        <w:t xml:space="preserve"> probability</w:t>
      </w:r>
      <w:r w:rsidR="006F5741" w:rsidRPr="00104227">
        <w:t xml:space="preserve"> owing to the location, corresponded</w:t>
      </w:r>
      <w:r w:rsidR="00110F04" w:rsidRPr="00104227">
        <w:t xml:space="preserve"> to injuries due to indecent touching. Similarly, it indicated that, the dimension of the abrasion on her right buttick could also correspond to </w:t>
      </w:r>
      <w:r w:rsidR="006F5741" w:rsidRPr="00104227">
        <w:t>same source</w:t>
      </w:r>
      <w:r w:rsidR="00110F04" w:rsidRPr="00104227">
        <w:t xml:space="preserve">, and </w:t>
      </w:r>
    </w:p>
    <w:p w14:paraId="62B9675C" w14:textId="26108338" w:rsidR="008D3A5E" w:rsidRPr="00104227" w:rsidRDefault="008D3A5E" w:rsidP="00E4619F">
      <w:pPr>
        <w:pStyle w:val="Prrafodelista"/>
        <w:numPr>
          <w:ilvl w:val="0"/>
          <w:numId w:val="87"/>
        </w:numPr>
        <w:tabs>
          <w:tab w:val="left" w:pos="567"/>
        </w:tabs>
      </w:pPr>
      <w:r w:rsidRPr="00104227">
        <w:rPr>
          <w:i/>
        </w:rPr>
        <w:t>Bárbara Italia Méndez Moreno</w:t>
      </w:r>
      <w:r w:rsidRPr="00104227">
        <w:t xml:space="preserve">: </w:t>
      </w:r>
      <w:r w:rsidR="00110F04" w:rsidRPr="00104227">
        <w:t>bruising and a wound in the right parieto-occipital regi</w:t>
      </w:r>
      <w:r w:rsidR="006F5741" w:rsidRPr="00104227">
        <w:t>o</w:t>
      </w:r>
      <w:r w:rsidR="00110F04" w:rsidRPr="00104227">
        <w:t xml:space="preserve">n, which </w:t>
      </w:r>
      <w:r w:rsidR="0055021A" w:rsidRPr="00104227">
        <w:t>corresponded to direct blows</w:t>
      </w:r>
      <w:r w:rsidRPr="00104227">
        <w:t xml:space="preserve">, </w:t>
      </w:r>
      <w:r w:rsidR="0004377B" w:rsidRPr="00104227">
        <w:t>delivered by hard blunt objects</w:t>
      </w:r>
      <w:r w:rsidR="00BF5241" w:rsidRPr="00104227">
        <w:t xml:space="preserve"> and</w:t>
      </w:r>
      <w:r w:rsidR="00110F04" w:rsidRPr="00104227">
        <w:t>, based on the coloring, it could be established that they corresponded to approximately 24 to 48 hours</w:t>
      </w:r>
      <w:r w:rsidR="00334399" w:rsidRPr="00104227">
        <w:t xml:space="preserve"> previously</w:t>
      </w:r>
      <w:r w:rsidR="00110F04" w:rsidRPr="00104227">
        <w:t xml:space="preserve">, which was compatible with the day of the events. The certificate added that </w:t>
      </w:r>
      <w:r w:rsidR="006F5741" w:rsidRPr="00104227">
        <w:t xml:space="preserve">there was a high degree of probability that, owing to its location and size, </w:t>
      </w:r>
      <w:r w:rsidR="00110F04" w:rsidRPr="00104227">
        <w:t>the bruising on the right breast, was</w:t>
      </w:r>
      <w:r w:rsidR="006F5741" w:rsidRPr="00104227">
        <w:t xml:space="preserve"> </w:t>
      </w:r>
      <w:r w:rsidR="00110F04" w:rsidRPr="00104227">
        <w:t xml:space="preserve">compatible with “manual pressure.” Regarding the </w:t>
      </w:r>
      <w:r w:rsidR="006F5741" w:rsidRPr="00104227">
        <w:t xml:space="preserve">finger and object </w:t>
      </w:r>
      <w:r w:rsidR="00110F04" w:rsidRPr="00104227">
        <w:t xml:space="preserve">penetration </w:t>
      </w:r>
      <w:r w:rsidR="006F5741" w:rsidRPr="00104227">
        <w:t>of</w:t>
      </w:r>
      <w:r w:rsidR="00110F04" w:rsidRPr="00104227">
        <w:t xml:space="preserve"> the vagina, it indicated that, “owing to lack of e</w:t>
      </w:r>
      <w:r w:rsidR="00334399" w:rsidRPr="00104227">
        <w:t>vidence</w:t>
      </w:r>
      <w:r w:rsidR="00110F04" w:rsidRPr="00104227">
        <w:t xml:space="preserve"> and a suitable area to examine her, an examination was not performed and it was suggested that if she wanted an inquiry to be </w:t>
      </w:r>
      <w:r w:rsidR="006F5741" w:rsidRPr="00104227">
        <w:t>opened</w:t>
      </w:r>
      <w:r w:rsidR="00110F04" w:rsidRPr="00104227">
        <w:t xml:space="preserve"> into sexual abuse, this would require</w:t>
      </w:r>
      <w:r w:rsidR="00334399" w:rsidRPr="00104227">
        <w:t xml:space="preserve"> examination by</w:t>
      </w:r>
      <w:r w:rsidR="00110F04" w:rsidRPr="00104227">
        <w:t xml:space="preserve"> personnel specialized in this area</w:t>
      </w:r>
      <w:r w:rsidR="00334399" w:rsidRPr="00104227">
        <w:t>.”</w:t>
      </w:r>
    </w:p>
    <w:p w14:paraId="6AA738B2" w14:textId="77777777" w:rsidR="006F5741" w:rsidRPr="00104227" w:rsidRDefault="006F5741" w:rsidP="006F5741">
      <w:pPr>
        <w:tabs>
          <w:tab w:val="left" w:pos="567"/>
        </w:tabs>
        <w:ind w:left="708"/>
      </w:pPr>
    </w:p>
    <w:p w14:paraId="7DBF178C" w14:textId="67DAD968" w:rsidR="008D3A5E" w:rsidRPr="00104227" w:rsidRDefault="006F5741" w:rsidP="006F5741">
      <w:pPr>
        <w:pStyle w:val="Numberedparagraphs"/>
        <w:tabs>
          <w:tab w:val="left" w:pos="567"/>
        </w:tabs>
        <w:rPr>
          <w:lang w:val="en-US"/>
        </w:rPr>
      </w:pPr>
      <w:r w:rsidRPr="00104227">
        <w:rPr>
          <w:lang w:val="en-US"/>
        </w:rPr>
        <w:t xml:space="preserve">In addition, </w:t>
      </w:r>
      <w:r w:rsidR="00B851FA" w:rsidRPr="00104227">
        <w:rPr>
          <w:lang w:val="en-US"/>
        </w:rPr>
        <w:t>on May 4,</w:t>
      </w:r>
      <w:r w:rsidR="008D3A5E" w:rsidRPr="00104227">
        <w:rPr>
          <w:lang w:val="en-US"/>
        </w:rPr>
        <w:t xml:space="preserve"> 2006</w:t>
      </w:r>
      <w:r w:rsidRPr="00104227">
        <w:rPr>
          <w:lang w:val="en-US"/>
        </w:rPr>
        <w:t>,</w:t>
      </w:r>
      <w:r w:rsidR="008D3A5E" w:rsidRPr="00104227">
        <w:rPr>
          <w:lang w:val="en-US"/>
        </w:rPr>
        <w:t xml:space="preserve"> </w:t>
      </w:r>
      <w:r w:rsidRPr="00104227">
        <w:rPr>
          <w:lang w:val="en-US"/>
        </w:rPr>
        <w:t>the Office of the Attorney General</w:t>
      </w:r>
      <w:r w:rsidR="002826A6" w:rsidRPr="00104227">
        <w:rPr>
          <w:lang w:val="en-US"/>
        </w:rPr>
        <w:t xml:space="preserve"> of the </w:t>
      </w:r>
      <w:r w:rsidR="00CA330F" w:rsidRPr="00104227">
        <w:rPr>
          <w:lang w:val="en-US"/>
        </w:rPr>
        <w:t>state of Mexico</w:t>
      </w:r>
      <w:r w:rsidR="00334399" w:rsidRPr="00104227">
        <w:rPr>
          <w:lang w:val="en-US"/>
        </w:rPr>
        <w:t xml:space="preserve"> (PGR)</w:t>
      </w:r>
      <w:r w:rsidR="008D3A5E" w:rsidRPr="00104227">
        <w:rPr>
          <w:lang w:val="en-US"/>
        </w:rPr>
        <w:t xml:space="preserve"> </w:t>
      </w:r>
      <w:r w:rsidRPr="00104227">
        <w:rPr>
          <w:lang w:val="en-US"/>
        </w:rPr>
        <w:t xml:space="preserve">issued a medical certificate on the mental and physical condition and injuries of </w:t>
      </w:r>
      <w:r w:rsidR="008D3A5E" w:rsidRPr="00104227">
        <w:rPr>
          <w:i/>
          <w:lang w:val="en-US"/>
        </w:rPr>
        <w:t>Claudia Hernández Martínez</w:t>
      </w:r>
      <w:r w:rsidR="008D3A5E" w:rsidRPr="00104227">
        <w:rPr>
          <w:lang w:val="en-US"/>
        </w:rPr>
        <w:t xml:space="preserve">, </w:t>
      </w:r>
      <w:r w:rsidRPr="00104227">
        <w:rPr>
          <w:lang w:val="en-US"/>
        </w:rPr>
        <w:t xml:space="preserve">in which it indicated that “she had swelling and bruising owing to blows on the left mastoid area; swelling and bruising owing to blows on the nasal dorsum without injury to </w:t>
      </w:r>
      <w:r w:rsidRPr="00104227">
        <w:rPr>
          <w:lang w:val="en-US"/>
        </w:rPr>
        <w:lastRenderedPageBreak/>
        <w:t>the bone; bruising from blows on the back upper third of the left arm; swelling from blows on the back of the upper third of the left arm; swelling owing to blows on the right lumbar region, and swelling owing to blows on the back upper third of the left thigh with surrounding bruising.</w:t>
      </w:r>
      <w:r w:rsidR="008D3A5E" w:rsidRPr="00104227">
        <w:rPr>
          <w:lang w:val="en-US"/>
        </w:rPr>
        <w:t>”</w:t>
      </w:r>
    </w:p>
    <w:p w14:paraId="26F761FA" w14:textId="77777777" w:rsidR="008D3A5E" w:rsidRPr="00104227" w:rsidRDefault="008D3A5E" w:rsidP="00E4619F">
      <w:pPr>
        <w:tabs>
          <w:tab w:val="left" w:pos="567"/>
        </w:tabs>
        <w:rPr>
          <w:lang w:eastAsia="es-MX"/>
        </w:rPr>
      </w:pPr>
    </w:p>
    <w:p w14:paraId="14724561" w14:textId="4F4D0AA3" w:rsidR="006311BF" w:rsidRPr="00104227" w:rsidRDefault="006F5741" w:rsidP="00E4619F">
      <w:pPr>
        <w:pStyle w:val="Numberedparagraphs"/>
        <w:tabs>
          <w:tab w:val="left" w:pos="567"/>
        </w:tabs>
        <w:rPr>
          <w:lang w:val="en-US"/>
        </w:rPr>
      </w:pPr>
      <w:bookmarkStart w:id="199" w:name="_Ref532940549"/>
      <w:r w:rsidRPr="00104227">
        <w:rPr>
          <w:lang w:val="en-US"/>
        </w:rPr>
        <w:t>On May 5,</w:t>
      </w:r>
      <w:r w:rsidR="008D3A5E" w:rsidRPr="00104227">
        <w:rPr>
          <w:lang w:val="en-US"/>
        </w:rPr>
        <w:t xml:space="preserve"> 2006</w:t>
      </w:r>
      <w:r w:rsidR="001B1ECC" w:rsidRPr="00104227">
        <w:rPr>
          <w:lang w:val="en-US"/>
        </w:rPr>
        <w:t>,</w:t>
      </w:r>
      <w:r w:rsidR="008D3A5E" w:rsidRPr="00104227">
        <w:rPr>
          <w:lang w:val="en-US"/>
        </w:rPr>
        <w:t xml:space="preserve"> </w:t>
      </w:r>
      <w:r w:rsidR="001357D7" w:rsidRPr="00104227">
        <w:rPr>
          <w:lang w:val="en-US"/>
        </w:rPr>
        <w:t>CNDH personnel, including medical personnel, went to</w:t>
      </w:r>
      <w:r w:rsidR="008D3A5E" w:rsidRPr="00104227">
        <w:rPr>
          <w:lang w:val="en-US"/>
        </w:rPr>
        <w:t xml:space="preserve"> </w:t>
      </w:r>
      <w:r w:rsidR="001357D7" w:rsidRPr="00104227">
        <w:rPr>
          <w:lang w:val="en-US"/>
        </w:rPr>
        <w:t>the</w:t>
      </w:r>
      <w:r w:rsidR="008D3A5E" w:rsidRPr="00104227">
        <w:rPr>
          <w:lang w:val="en-US"/>
        </w:rPr>
        <w:t xml:space="preserve"> CEPRESO</w:t>
      </w:r>
      <w:r w:rsidR="001357D7" w:rsidRPr="00104227">
        <w:rPr>
          <w:lang w:val="en-US"/>
        </w:rPr>
        <w:t xml:space="preserve"> to perform a gynecological examination of</w:t>
      </w:r>
      <w:r w:rsidR="008D3A5E" w:rsidRPr="00104227">
        <w:rPr>
          <w:lang w:val="en-US"/>
        </w:rPr>
        <w:t xml:space="preserve"> Claudia Hernández Martínez</w:t>
      </w:r>
      <w:r w:rsidR="00BF5241" w:rsidRPr="00104227">
        <w:rPr>
          <w:lang w:val="en-US"/>
        </w:rPr>
        <w:t xml:space="preserve"> and </w:t>
      </w:r>
      <w:r w:rsidR="008D3A5E" w:rsidRPr="00104227">
        <w:rPr>
          <w:lang w:val="en-US"/>
        </w:rPr>
        <w:t xml:space="preserve">Bárbara Italia Méndez Moreno. </w:t>
      </w:r>
      <w:r w:rsidR="001357D7" w:rsidRPr="00104227">
        <w:rPr>
          <w:lang w:val="en-US"/>
        </w:rPr>
        <w:t>In both cases, it was indicated that “no lacerations or damage of any kind” had been found, and samples were taken to test for semen</w:t>
      </w:r>
      <w:r w:rsidR="008D3A5E" w:rsidRPr="00104227">
        <w:rPr>
          <w:lang w:val="en-US"/>
        </w:rPr>
        <w:t xml:space="preserve">. </w:t>
      </w:r>
      <w:r w:rsidR="001357D7" w:rsidRPr="00104227">
        <w:rPr>
          <w:lang w:val="en-US"/>
        </w:rPr>
        <w:t>That same day</w:t>
      </w:r>
      <w:r w:rsidR="008D3A5E" w:rsidRPr="00104227">
        <w:rPr>
          <w:lang w:val="en-US"/>
        </w:rPr>
        <w:t xml:space="preserve">, </w:t>
      </w:r>
      <w:r w:rsidRPr="00104227">
        <w:rPr>
          <w:lang w:val="en-US"/>
        </w:rPr>
        <w:t>the Office of the Attorney General</w:t>
      </w:r>
      <w:r w:rsidR="002826A6" w:rsidRPr="00104227">
        <w:rPr>
          <w:lang w:val="en-US"/>
        </w:rPr>
        <w:t xml:space="preserve"> of the </w:t>
      </w:r>
      <w:r w:rsidR="00CA330F" w:rsidRPr="00104227">
        <w:rPr>
          <w:lang w:val="en-US"/>
        </w:rPr>
        <w:t>state of Mexico</w:t>
      </w:r>
      <w:r w:rsidR="008D3A5E" w:rsidRPr="00104227">
        <w:rPr>
          <w:lang w:val="en-US"/>
        </w:rPr>
        <w:t xml:space="preserve"> </w:t>
      </w:r>
      <w:r w:rsidR="001357D7" w:rsidRPr="00104227">
        <w:rPr>
          <w:lang w:val="en-US"/>
        </w:rPr>
        <w:t>issued a medical certificate with regarding to the examination of</w:t>
      </w:r>
      <w:r w:rsidR="008D3A5E" w:rsidRPr="00104227">
        <w:rPr>
          <w:lang w:val="en-US"/>
        </w:rPr>
        <w:t xml:space="preserve"> Bárbara Italia Méndez Moreno, </w:t>
      </w:r>
      <w:r w:rsidR="001357D7" w:rsidRPr="00104227">
        <w:rPr>
          <w:lang w:val="en-US"/>
        </w:rPr>
        <w:t>samples were taken and, the following day, forensic chemistry testing was performed and it was concluded that semen was present.</w:t>
      </w:r>
      <w:r w:rsidR="008D3A5E" w:rsidRPr="00104227">
        <w:rPr>
          <w:rStyle w:val="Refdenotaalpie"/>
          <w:lang w:val="en-US"/>
        </w:rPr>
        <w:footnoteReference w:id="122"/>
      </w:r>
      <w:r w:rsidR="008D3A5E" w:rsidRPr="00104227">
        <w:rPr>
          <w:lang w:val="en-US"/>
        </w:rPr>
        <w:t xml:space="preserve"> </w:t>
      </w:r>
      <w:r w:rsidR="001357D7" w:rsidRPr="00104227">
        <w:rPr>
          <w:lang w:val="en-US"/>
        </w:rPr>
        <w:t>In the case of</w:t>
      </w:r>
      <w:r w:rsidR="008D3A5E" w:rsidRPr="00104227">
        <w:rPr>
          <w:lang w:val="en-US"/>
        </w:rPr>
        <w:t xml:space="preserve"> Claudia Hernández Martínez, </w:t>
      </w:r>
      <w:r w:rsidR="001357D7" w:rsidRPr="00104227">
        <w:rPr>
          <w:lang w:val="en-US"/>
        </w:rPr>
        <w:t>the</w:t>
      </w:r>
      <w:r w:rsidR="008D3A5E" w:rsidRPr="00104227">
        <w:rPr>
          <w:lang w:val="en-US"/>
        </w:rPr>
        <w:t xml:space="preserve"> PGR </w:t>
      </w:r>
      <w:r w:rsidR="006311BF" w:rsidRPr="00104227">
        <w:rPr>
          <w:lang w:val="en-US"/>
        </w:rPr>
        <w:t>conducted the forensic medi</w:t>
      </w:r>
      <w:r w:rsidR="000A14CF" w:rsidRPr="00104227">
        <w:rPr>
          <w:lang w:val="en-US"/>
        </w:rPr>
        <w:t>c</w:t>
      </w:r>
      <w:r w:rsidR="006311BF" w:rsidRPr="00104227">
        <w:rPr>
          <w:lang w:val="en-US"/>
        </w:rPr>
        <w:t xml:space="preserve">al examination on </w:t>
      </w:r>
      <w:r w:rsidRPr="00104227">
        <w:rPr>
          <w:lang w:val="en-US"/>
        </w:rPr>
        <w:t>June 14,</w:t>
      </w:r>
      <w:r w:rsidR="008D3A5E" w:rsidRPr="00104227">
        <w:rPr>
          <w:lang w:val="en-US"/>
        </w:rPr>
        <w:t xml:space="preserve"> 2006</w:t>
      </w:r>
      <w:r w:rsidR="006311BF" w:rsidRPr="00104227">
        <w:rPr>
          <w:lang w:val="en-US"/>
        </w:rPr>
        <w:t>,</w:t>
      </w:r>
      <w:r w:rsidR="00BF5241" w:rsidRPr="00104227">
        <w:rPr>
          <w:lang w:val="en-US"/>
        </w:rPr>
        <w:t xml:space="preserve"> and </w:t>
      </w:r>
      <w:r w:rsidR="008D3A5E" w:rsidRPr="00104227">
        <w:rPr>
          <w:lang w:val="en-US"/>
        </w:rPr>
        <w:t>conclu</w:t>
      </w:r>
      <w:r w:rsidR="006311BF" w:rsidRPr="00104227">
        <w:rPr>
          <w:lang w:val="en-US"/>
        </w:rPr>
        <w:t xml:space="preserve">ded that the origin of the </w:t>
      </w:r>
      <w:r w:rsidR="00334399" w:rsidRPr="00104227">
        <w:rPr>
          <w:lang w:val="en-US"/>
        </w:rPr>
        <w:t>signs</w:t>
      </w:r>
      <w:r w:rsidR="006311BF" w:rsidRPr="00104227">
        <w:rPr>
          <w:lang w:val="en-US"/>
        </w:rPr>
        <w:t xml:space="preserve"> found could be due to contamination, and that “she showed no external traces of recent injuries</w:t>
      </w:r>
      <w:r w:rsidR="00334399" w:rsidRPr="00104227">
        <w:rPr>
          <w:lang w:val="en-US"/>
        </w:rPr>
        <w:t>.</w:t>
      </w:r>
      <w:r w:rsidR="008D3A5E" w:rsidRPr="00104227">
        <w:rPr>
          <w:lang w:val="en-US"/>
        </w:rPr>
        <w:t>”</w:t>
      </w:r>
      <w:r w:rsidR="008D3A5E" w:rsidRPr="00104227">
        <w:rPr>
          <w:rStyle w:val="Refdenotaalpie"/>
          <w:lang w:val="en-US"/>
        </w:rPr>
        <w:footnoteReference w:id="123"/>
      </w:r>
      <w:r w:rsidR="008D3A5E" w:rsidRPr="00104227">
        <w:rPr>
          <w:lang w:val="en-US"/>
        </w:rPr>
        <w:t xml:space="preserve"> </w:t>
      </w:r>
      <w:r w:rsidR="006311BF" w:rsidRPr="00104227">
        <w:rPr>
          <w:lang w:val="en-US"/>
        </w:rPr>
        <w:t>In addition</w:t>
      </w:r>
      <w:r w:rsidR="008D3A5E" w:rsidRPr="00104227">
        <w:rPr>
          <w:lang w:val="en-US"/>
        </w:rPr>
        <w:t xml:space="preserve">, </w:t>
      </w:r>
      <w:r w:rsidR="006311BF" w:rsidRPr="00104227">
        <w:rPr>
          <w:lang w:val="en-US"/>
        </w:rPr>
        <w:t>on</w:t>
      </w:r>
      <w:r w:rsidR="008D3A5E" w:rsidRPr="00104227">
        <w:rPr>
          <w:lang w:val="en-US"/>
        </w:rPr>
        <w:t xml:space="preserve"> </w:t>
      </w:r>
      <w:r w:rsidR="000777FE" w:rsidRPr="00104227">
        <w:rPr>
          <w:lang w:val="en-US"/>
        </w:rPr>
        <w:t>May 12</w:t>
      </w:r>
      <w:r w:rsidR="009075C6" w:rsidRPr="00104227">
        <w:rPr>
          <w:lang w:val="en-US"/>
        </w:rPr>
        <w:t>,</w:t>
      </w:r>
      <w:r w:rsidR="008D3A5E" w:rsidRPr="00104227">
        <w:rPr>
          <w:lang w:val="en-US"/>
        </w:rPr>
        <w:t xml:space="preserve"> 2006</w:t>
      </w:r>
      <w:r w:rsidR="006311BF" w:rsidRPr="00104227">
        <w:rPr>
          <w:lang w:val="en-US"/>
        </w:rPr>
        <w:t>,</w:t>
      </w:r>
      <w:r w:rsidR="008D3A5E" w:rsidRPr="00104227">
        <w:rPr>
          <w:lang w:val="en-US"/>
        </w:rPr>
        <w:t xml:space="preserve"> Ana María Velasco Rodríguez </w:t>
      </w:r>
      <w:r w:rsidR="006311BF" w:rsidRPr="00104227">
        <w:rPr>
          <w:lang w:val="en-US"/>
        </w:rPr>
        <w:t xml:space="preserve">was again interviewed by </w:t>
      </w:r>
      <w:r w:rsidR="008D3A5E" w:rsidRPr="00104227">
        <w:rPr>
          <w:lang w:val="en-US"/>
        </w:rPr>
        <w:t>CNDH</w:t>
      </w:r>
      <w:r w:rsidR="006311BF" w:rsidRPr="00104227">
        <w:rPr>
          <w:lang w:val="en-US"/>
        </w:rPr>
        <w:t xml:space="preserve"> personnel</w:t>
      </w:r>
      <w:r w:rsidR="008D3A5E" w:rsidRPr="00104227">
        <w:rPr>
          <w:lang w:val="en-US"/>
        </w:rPr>
        <w:t>,</w:t>
      </w:r>
      <w:r w:rsidR="006311BF" w:rsidRPr="00104227">
        <w:rPr>
          <w:lang w:val="en-US"/>
        </w:rPr>
        <w:t xml:space="preserve"> following which a “chemical-toxicological” test was performed on her clothing by a forensic chemist, with a “negative result for the identification of prostatic acid phosphatase </w:t>
      </w:r>
      <w:r w:rsidR="00334399" w:rsidRPr="00104227">
        <w:rPr>
          <w:lang w:val="en-US"/>
        </w:rPr>
        <w:t>o</w:t>
      </w:r>
      <w:r w:rsidR="006311BF" w:rsidRPr="00104227">
        <w:rPr>
          <w:lang w:val="en-US"/>
        </w:rPr>
        <w:t xml:space="preserve">n both pieces of clothing.” It was noted that “it was indicated that the clothing had been washed </w:t>
      </w:r>
      <w:r w:rsidR="00334399" w:rsidRPr="00104227">
        <w:rPr>
          <w:lang w:val="en-US"/>
        </w:rPr>
        <w:t>prior to</w:t>
      </w:r>
      <w:r w:rsidR="006311BF" w:rsidRPr="00104227">
        <w:rPr>
          <w:lang w:val="en-US"/>
        </w:rPr>
        <w:t xml:space="preserve"> the test.”</w:t>
      </w:r>
    </w:p>
    <w:bookmarkEnd w:id="199"/>
    <w:p w14:paraId="0C3CB40E" w14:textId="77777777" w:rsidR="008D3A5E" w:rsidRPr="00104227" w:rsidRDefault="008D3A5E" w:rsidP="00E4619F">
      <w:pPr>
        <w:tabs>
          <w:tab w:val="left" w:pos="567"/>
        </w:tabs>
        <w:rPr>
          <w:lang w:eastAsia="es-MX"/>
        </w:rPr>
      </w:pPr>
    </w:p>
    <w:p w14:paraId="0FD43A28" w14:textId="182E04D7" w:rsidR="008D3A5E" w:rsidRPr="00104227" w:rsidRDefault="006F5741" w:rsidP="00E4619F">
      <w:pPr>
        <w:pStyle w:val="Numberedparagraphs"/>
        <w:tabs>
          <w:tab w:val="left" w:pos="567"/>
        </w:tabs>
        <w:rPr>
          <w:lang w:val="en-US"/>
        </w:rPr>
      </w:pPr>
      <w:bookmarkStart w:id="200" w:name="_Ref532973331"/>
      <w:r w:rsidRPr="00104227">
        <w:rPr>
          <w:lang w:val="en-US" w:eastAsia="ko-KR"/>
        </w:rPr>
        <w:t>On May 16,</w:t>
      </w:r>
      <w:r w:rsidR="008D3A5E" w:rsidRPr="00104227">
        <w:rPr>
          <w:lang w:val="en-US" w:eastAsia="ko-KR"/>
        </w:rPr>
        <w:t xml:space="preserve"> </w:t>
      </w:r>
      <w:r w:rsidR="006311BF" w:rsidRPr="00104227">
        <w:rPr>
          <w:lang w:val="en-US" w:eastAsia="ko-KR"/>
        </w:rPr>
        <w:t>the</w:t>
      </w:r>
      <w:r w:rsidR="008D3A5E" w:rsidRPr="00104227">
        <w:rPr>
          <w:lang w:val="en-US" w:eastAsia="ko-KR"/>
        </w:rPr>
        <w:t xml:space="preserve"> CNDH </w:t>
      </w:r>
      <w:r w:rsidR="006311BF" w:rsidRPr="00104227">
        <w:rPr>
          <w:lang w:val="en-US" w:eastAsia="ko-KR"/>
        </w:rPr>
        <w:t>went to the</w:t>
      </w:r>
      <w:r w:rsidR="008D3A5E" w:rsidRPr="00104227">
        <w:rPr>
          <w:lang w:val="en-US" w:eastAsia="ko-KR"/>
        </w:rPr>
        <w:t xml:space="preserve"> CEPRESO</w:t>
      </w:r>
      <w:r w:rsidR="00BF5241" w:rsidRPr="00104227">
        <w:rPr>
          <w:lang w:val="en-US" w:eastAsia="ko-KR"/>
        </w:rPr>
        <w:t xml:space="preserve"> and </w:t>
      </w:r>
      <w:r w:rsidR="006311BF" w:rsidRPr="00104227">
        <w:rPr>
          <w:lang w:val="en-US" w:eastAsia="ko-KR"/>
        </w:rPr>
        <w:t>documented that</w:t>
      </w:r>
      <w:r w:rsidR="008D3A5E" w:rsidRPr="00104227">
        <w:rPr>
          <w:lang w:val="en-US" w:eastAsia="ko-KR"/>
        </w:rPr>
        <w:t xml:space="preserve"> </w:t>
      </w:r>
      <w:r w:rsidR="008D3A5E" w:rsidRPr="00104227">
        <w:rPr>
          <w:lang w:val="en-US"/>
        </w:rPr>
        <w:t>Bárbara Italia Méndez Moreno</w:t>
      </w:r>
      <w:r w:rsidR="008D3A5E" w:rsidRPr="00104227">
        <w:rPr>
          <w:lang w:val="en-US" w:eastAsia="ko-KR"/>
        </w:rPr>
        <w:t xml:space="preserve"> </w:t>
      </w:r>
      <w:r w:rsidR="006311BF" w:rsidRPr="00104227">
        <w:rPr>
          <w:lang w:val="en-US" w:eastAsia="ko-KR"/>
        </w:rPr>
        <w:t xml:space="preserve">had been on hunger strike for five days, without any medical </w:t>
      </w:r>
      <w:r w:rsidR="000A14CF" w:rsidRPr="00104227">
        <w:rPr>
          <w:lang w:val="en-US" w:eastAsia="ko-KR"/>
        </w:rPr>
        <w:t>supervision</w:t>
      </w:r>
      <w:r w:rsidR="006311BF" w:rsidRPr="00104227">
        <w:rPr>
          <w:lang w:val="en-US" w:eastAsia="ko-KR"/>
        </w:rPr>
        <w:t xml:space="preserve"> by the </w:t>
      </w:r>
      <w:r w:rsidR="00334399" w:rsidRPr="00104227">
        <w:rPr>
          <w:lang w:val="en-US" w:eastAsia="ko-KR"/>
        </w:rPr>
        <w:t xml:space="preserve">prison </w:t>
      </w:r>
      <w:r w:rsidR="006311BF" w:rsidRPr="00104227">
        <w:rPr>
          <w:lang w:val="en-US" w:eastAsia="ko-KR"/>
        </w:rPr>
        <w:t>authorities</w:t>
      </w:r>
      <w:r w:rsidR="008D3A5E" w:rsidRPr="00104227">
        <w:rPr>
          <w:lang w:val="en-US" w:eastAsia="ko-KR"/>
        </w:rPr>
        <w:t>. CNDH</w:t>
      </w:r>
      <w:r w:rsidR="006311BF" w:rsidRPr="00104227">
        <w:rPr>
          <w:lang w:val="en-US" w:eastAsia="ko-KR"/>
        </w:rPr>
        <w:t xml:space="preserve"> personnel</w:t>
      </w:r>
      <w:r w:rsidR="008D3A5E" w:rsidRPr="00104227">
        <w:rPr>
          <w:lang w:val="en-US" w:eastAsia="ko-KR"/>
        </w:rPr>
        <w:t xml:space="preserve"> </w:t>
      </w:r>
      <w:r w:rsidR="006311BF" w:rsidRPr="00104227">
        <w:rPr>
          <w:lang w:val="en-US" w:eastAsia="ko-KR"/>
        </w:rPr>
        <w:t>went to</w:t>
      </w:r>
      <w:r w:rsidR="008D3A5E" w:rsidRPr="00104227">
        <w:rPr>
          <w:lang w:val="en-US" w:eastAsia="ko-KR"/>
        </w:rPr>
        <w:t xml:space="preserve"> </w:t>
      </w:r>
      <w:r w:rsidR="006311BF" w:rsidRPr="00104227">
        <w:rPr>
          <w:lang w:val="en-US" w:eastAsia="ko-KR"/>
        </w:rPr>
        <w:t>the</w:t>
      </w:r>
      <w:r w:rsidR="008D3A5E" w:rsidRPr="00104227">
        <w:rPr>
          <w:lang w:val="en-US" w:eastAsia="ko-KR"/>
        </w:rPr>
        <w:t xml:space="preserve"> CEPRESO</w:t>
      </w:r>
      <w:r w:rsidR="006311BF" w:rsidRPr="00104227">
        <w:rPr>
          <w:lang w:val="en-US"/>
        </w:rPr>
        <w:t xml:space="preserve"> </w:t>
      </w:r>
      <w:r w:rsidR="006311BF" w:rsidRPr="00104227">
        <w:rPr>
          <w:lang w:val="en-US" w:eastAsia="ko-KR"/>
        </w:rPr>
        <w:t xml:space="preserve">on May 24, also, and documented that </w:t>
      </w:r>
      <w:r w:rsidR="008D3A5E" w:rsidRPr="00104227">
        <w:rPr>
          <w:lang w:val="en-US" w:eastAsia="ko-KR"/>
        </w:rPr>
        <w:t xml:space="preserve">Norma Aidé Jiménez Osorio, </w:t>
      </w:r>
      <w:r w:rsidR="008D3A5E" w:rsidRPr="00104227">
        <w:rPr>
          <w:lang w:val="en-US"/>
        </w:rPr>
        <w:t>Mariana Selvas Gómez, Georgina Edith Rosales Gutiérrez</w:t>
      </w:r>
      <w:r w:rsidR="00BF5241" w:rsidRPr="00104227">
        <w:rPr>
          <w:lang w:val="en-US"/>
        </w:rPr>
        <w:t xml:space="preserve"> and </w:t>
      </w:r>
      <w:r w:rsidR="008D3A5E" w:rsidRPr="00104227">
        <w:rPr>
          <w:lang w:val="en-US"/>
        </w:rPr>
        <w:t>Suhelen Gabriela Cuevas Jaramillo</w:t>
      </w:r>
      <w:r w:rsidR="008D3A5E" w:rsidRPr="00104227">
        <w:rPr>
          <w:lang w:val="en-US" w:eastAsia="ko-KR"/>
        </w:rPr>
        <w:t xml:space="preserve"> </w:t>
      </w:r>
      <w:r w:rsidR="006311BF" w:rsidRPr="00104227">
        <w:rPr>
          <w:lang w:val="en-US" w:eastAsia="ko-KR"/>
        </w:rPr>
        <w:t>had been on hunger strike since May 6 as a means of protest. A</w:t>
      </w:r>
      <w:r w:rsidR="00334399" w:rsidRPr="00104227">
        <w:rPr>
          <w:lang w:val="en-US" w:eastAsia="ko-KR"/>
        </w:rPr>
        <w:t>m</w:t>
      </w:r>
      <w:r w:rsidR="006311BF" w:rsidRPr="00104227">
        <w:rPr>
          <w:lang w:val="en-US" w:eastAsia="ko-KR"/>
        </w:rPr>
        <w:t xml:space="preserve">ong other reasons, </w:t>
      </w:r>
      <w:r w:rsidR="00334399" w:rsidRPr="00104227">
        <w:rPr>
          <w:lang w:val="en-US" w:eastAsia="ko-KR"/>
        </w:rPr>
        <w:t>they were protesting</w:t>
      </w:r>
      <w:r w:rsidR="006311BF" w:rsidRPr="00104227">
        <w:rPr>
          <w:lang w:val="en-US" w:eastAsia="ko-KR"/>
        </w:rPr>
        <w:t xml:space="preserve"> the lack of medical care, in general, and gynecological care, in </w:t>
      </w:r>
      <w:r w:rsidR="008D3A5E" w:rsidRPr="00104227">
        <w:rPr>
          <w:lang w:val="en-US"/>
        </w:rPr>
        <w:t>particular</w:t>
      </w:r>
      <w:r w:rsidR="008D3A5E" w:rsidRPr="00104227">
        <w:rPr>
          <w:lang w:val="en-US" w:eastAsia="ko-KR"/>
        </w:rPr>
        <w:t xml:space="preserve">. </w:t>
      </w:r>
      <w:r w:rsidR="006311BF" w:rsidRPr="00104227">
        <w:rPr>
          <w:lang w:val="en-US" w:eastAsia="ko-KR"/>
        </w:rPr>
        <w:t xml:space="preserve">They underlined that the </w:t>
      </w:r>
      <w:r w:rsidR="008D3A5E" w:rsidRPr="00104227">
        <w:rPr>
          <w:lang w:val="en-US" w:eastAsia="ko-KR"/>
        </w:rPr>
        <w:t>CNDH ha</w:t>
      </w:r>
      <w:r w:rsidR="006311BF" w:rsidRPr="00104227">
        <w:rPr>
          <w:lang w:val="en-US" w:eastAsia="ko-KR"/>
        </w:rPr>
        <w:t>d sent a gynecologist to check</w:t>
      </w:r>
      <w:r w:rsidR="008D3A5E" w:rsidRPr="00104227">
        <w:rPr>
          <w:lang w:val="en-US" w:eastAsia="ko-KR"/>
        </w:rPr>
        <w:t xml:space="preserve"> Bárbara Italia Méndez</w:t>
      </w:r>
      <w:r w:rsidR="00BF5241" w:rsidRPr="00104227">
        <w:rPr>
          <w:lang w:val="en-US" w:eastAsia="ko-KR"/>
        </w:rPr>
        <w:t xml:space="preserve"> and </w:t>
      </w:r>
      <w:r w:rsidR="006311BF" w:rsidRPr="00104227">
        <w:rPr>
          <w:lang w:val="en-US" w:eastAsia="ko-KR"/>
        </w:rPr>
        <w:t xml:space="preserve">he could </w:t>
      </w:r>
      <w:r w:rsidR="00334399" w:rsidRPr="00104227">
        <w:rPr>
          <w:lang w:val="en-US" w:eastAsia="ko-KR"/>
        </w:rPr>
        <w:t>h</w:t>
      </w:r>
      <w:r w:rsidR="006311BF" w:rsidRPr="00104227">
        <w:rPr>
          <w:lang w:val="en-US" w:eastAsia="ko-KR"/>
        </w:rPr>
        <w:t>ave checked them</w:t>
      </w:r>
      <w:r w:rsidR="00334399" w:rsidRPr="00104227">
        <w:rPr>
          <w:lang w:val="en-US" w:eastAsia="ko-KR"/>
        </w:rPr>
        <w:t xml:space="preserve"> also</w:t>
      </w:r>
      <w:r w:rsidR="006311BF" w:rsidRPr="00104227">
        <w:rPr>
          <w:lang w:val="en-US" w:eastAsia="ko-KR"/>
        </w:rPr>
        <w:t xml:space="preserve">, but they had never been </w:t>
      </w:r>
      <w:r w:rsidR="00334399" w:rsidRPr="00104227">
        <w:rPr>
          <w:lang w:val="en-US" w:eastAsia="ko-KR"/>
        </w:rPr>
        <w:t>advised</w:t>
      </w:r>
      <w:r w:rsidR="006311BF" w:rsidRPr="00104227">
        <w:rPr>
          <w:lang w:val="en-US" w:eastAsia="ko-KR"/>
        </w:rPr>
        <w:t xml:space="preserve"> of this possibility.</w:t>
      </w:r>
      <w:bookmarkEnd w:id="200"/>
      <w:r w:rsidR="008D3A5E" w:rsidRPr="00104227">
        <w:rPr>
          <w:lang w:val="en-US" w:eastAsia="ko-KR"/>
        </w:rPr>
        <w:t xml:space="preserve"> </w:t>
      </w:r>
    </w:p>
    <w:p w14:paraId="5BC7C56E" w14:textId="77777777" w:rsidR="008D3A5E" w:rsidRPr="00104227" w:rsidRDefault="008D3A5E" w:rsidP="00E4619F">
      <w:pPr>
        <w:tabs>
          <w:tab w:val="left" w:pos="567"/>
        </w:tabs>
      </w:pPr>
    </w:p>
    <w:p w14:paraId="19EDEFF2" w14:textId="135B13FC" w:rsidR="008D3A5E" w:rsidRPr="00104227" w:rsidRDefault="006F5741" w:rsidP="00E4619F">
      <w:pPr>
        <w:pStyle w:val="Numberedparagraphs"/>
        <w:tabs>
          <w:tab w:val="left" w:pos="567"/>
        </w:tabs>
        <w:rPr>
          <w:lang w:val="en-US" w:eastAsia="ko-KR"/>
        </w:rPr>
      </w:pPr>
      <w:r w:rsidRPr="00104227">
        <w:rPr>
          <w:lang w:val="en-US"/>
        </w:rPr>
        <w:t>On May 31,</w:t>
      </w:r>
      <w:r w:rsidR="008D3A5E" w:rsidRPr="00104227">
        <w:rPr>
          <w:lang w:val="en-US"/>
        </w:rPr>
        <w:t xml:space="preserve"> 2006, Suhelen Gabriela Cuevas Jaramillo </w:t>
      </w:r>
      <w:r w:rsidR="006311BF" w:rsidRPr="00104227">
        <w:rPr>
          <w:lang w:val="en-US"/>
        </w:rPr>
        <w:t xml:space="preserve">was transferred to the gynecological-obstetric service of the </w:t>
      </w:r>
      <w:r w:rsidR="008D3A5E" w:rsidRPr="00104227">
        <w:rPr>
          <w:lang w:val="en-US"/>
        </w:rPr>
        <w:t>Adolfo López Mateos</w:t>
      </w:r>
      <w:r w:rsidR="006311BF" w:rsidRPr="00104227">
        <w:rPr>
          <w:lang w:val="en-US"/>
        </w:rPr>
        <w:t xml:space="preserve"> Hospital</w:t>
      </w:r>
      <w:r w:rsidR="008D3A5E" w:rsidRPr="00104227">
        <w:rPr>
          <w:lang w:val="en-US"/>
        </w:rPr>
        <w:t xml:space="preserve"> </w:t>
      </w:r>
      <w:r w:rsidR="006311BF" w:rsidRPr="00104227">
        <w:rPr>
          <w:lang w:val="en-US"/>
        </w:rPr>
        <w:t>i</w:t>
      </w:r>
      <w:r w:rsidR="008D3A5E" w:rsidRPr="00104227">
        <w:rPr>
          <w:lang w:val="en-US"/>
        </w:rPr>
        <w:t xml:space="preserve">n Toluca, </w:t>
      </w:r>
      <w:r w:rsidR="006311BF" w:rsidRPr="00104227">
        <w:rPr>
          <w:lang w:val="en-US"/>
        </w:rPr>
        <w:t>where</w:t>
      </w:r>
      <w:r w:rsidR="008D3A5E" w:rsidRPr="00104227">
        <w:rPr>
          <w:lang w:val="en-US"/>
        </w:rPr>
        <w:t xml:space="preserve"> “</w:t>
      </w:r>
      <w:r w:rsidR="006311BF" w:rsidRPr="00104227">
        <w:rPr>
          <w:lang w:val="en-US"/>
        </w:rPr>
        <w:t xml:space="preserve">it was determined that it was </w:t>
      </w:r>
      <w:r w:rsidR="000A14CF" w:rsidRPr="00104227">
        <w:rPr>
          <w:lang w:val="en-US"/>
        </w:rPr>
        <w:t>impossible</w:t>
      </w:r>
      <w:r w:rsidR="006311BF" w:rsidRPr="00104227">
        <w:rPr>
          <w:lang w:val="en-US"/>
        </w:rPr>
        <w:t xml:space="preserve"> to detect whether there had been sexual abuse and/or rape, [among other reasons] because </w:t>
      </w:r>
      <w:r w:rsidR="008D3A5E" w:rsidRPr="00104227">
        <w:rPr>
          <w:lang w:val="en-US"/>
        </w:rPr>
        <w:t xml:space="preserve">[…] </w:t>
      </w:r>
      <w:r w:rsidR="006311BF" w:rsidRPr="00104227">
        <w:rPr>
          <w:lang w:val="en-US"/>
        </w:rPr>
        <w:t>the possible rape [had] occurred 22 days previously.”</w:t>
      </w:r>
    </w:p>
    <w:p w14:paraId="581AC85E" w14:textId="77777777" w:rsidR="008D3A5E" w:rsidRPr="00104227" w:rsidRDefault="008D3A5E" w:rsidP="00E4619F">
      <w:pPr>
        <w:tabs>
          <w:tab w:val="left" w:pos="567"/>
        </w:tabs>
      </w:pPr>
    </w:p>
    <w:p w14:paraId="1685937F" w14:textId="246111D5" w:rsidR="008D3A5E" w:rsidRPr="00104227" w:rsidRDefault="006311BF" w:rsidP="00E4619F">
      <w:pPr>
        <w:pStyle w:val="Numberedparagraphs"/>
        <w:tabs>
          <w:tab w:val="left" w:pos="567"/>
        </w:tabs>
        <w:rPr>
          <w:lang w:val="en-US"/>
        </w:rPr>
      </w:pPr>
      <w:bookmarkStart w:id="201" w:name="_Ref532939823"/>
      <w:r w:rsidRPr="00104227">
        <w:rPr>
          <w:lang w:val="en-US"/>
        </w:rPr>
        <w:t>In May and June</w:t>
      </w:r>
      <w:r w:rsidR="008D3A5E" w:rsidRPr="00104227">
        <w:rPr>
          <w:lang w:val="en-US"/>
        </w:rPr>
        <w:t xml:space="preserve"> 2006, </w:t>
      </w:r>
      <w:r w:rsidRPr="00104227">
        <w:rPr>
          <w:lang w:val="en-US"/>
        </w:rPr>
        <w:t>the</w:t>
      </w:r>
      <w:r w:rsidR="008D3A5E" w:rsidRPr="00104227">
        <w:rPr>
          <w:lang w:val="en-US"/>
        </w:rPr>
        <w:t xml:space="preserve"> CNDH </w:t>
      </w:r>
      <w:r w:rsidRPr="00104227">
        <w:rPr>
          <w:lang w:val="en-US"/>
        </w:rPr>
        <w:t>applied the Istanbul Protocol to seven</w:t>
      </w:r>
      <w:r w:rsidR="008D3A5E" w:rsidRPr="00104227">
        <w:rPr>
          <w:lang w:val="en-US"/>
        </w:rPr>
        <w:t xml:space="preserve"> </w:t>
      </w:r>
      <w:r w:rsidR="00F12946" w:rsidRPr="00104227">
        <w:rPr>
          <w:lang w:val="en-US"/>
        </w:rPr>
        <w:t>of the eleven women</w:t>
      </w:r>
      <w:r w:rsidR="008D3A5E" w:rsidRPr="00104227">
        <w:rPr>
          <w:lang w:val="en-US"/>
        </w:rPr>
        <w:t xml:space="preserve">, </w:t>
      </w:r>
      <w:r w:rsidRPr="00104227">
        <w:rPr>
          <w:lang w:val="en-US"/>
        </w:rPr>
        <w:t>with the following conclusions:</w:t>
      </w:r>
      <w:r w:rsidR="008D3A5E" w:rsidRPr="00104227">
        <w:rPr>
          <w:rStyle w:val="Refdenotaalpie"/>
          <w:lang w:val="en-US"/>
        </w:rPr>
        <w:footnoteReference w:id="124"/>
      </w:r>
      <w:bookmarkEnd w:id="201"/>
    </w:p>
    <w:p w14:paraId="1D781E58" w14:textId="77777777" w:rsidR="008D3A5E" w:rsidRPr="00104227" w:rsidRDefault="008D3A5E" w:rsidP="00E4619F">
      <w:pPr>
        <w:tabs>
          <w:tab w:val="left" w:pos="567"/>
        </w:tabs>
      </w:pPr>
    </w:p>
    <w:p w14:paraId="05D86584" w14:textId="17A9D170" w:rsidR="00612B2F" w:rsidRPr="00104227" w:rsidRDefault="008D3A5E" w:rsidP="00E4619F">
      <w:pPr>
        <w:pStyle w:val="Prrafodelista"/>
        <w:numPr>
          <w:ilvl w:val="0"/>
          <w:numId w:val="88"/>
        </w:numPr>
        <w:tabs>
          <w:tab w:val="left" w:pos="567"/>
        </w:tabs>
      </w:pPr>
      <w:r w:rsidRPr="00104227">
        <w:rPr>
          <w:i/>
        </w:rPr>
        <w:t>Yolanda Muñoz Diosdada</w:t>
      </w:r>
      <w:r w:rsidRPr="00104227">
        <w:t>: s</w:t>
      </w:r>
      <w:r w:rsidR="00612B2F" w:rsidRPr="00104227">
        <w:t xml:space="preserve">igns </w:t>
      </w:r>
      <w:r w:rsidR="000A14CF" w:rsidRPr="00104227">
        <w:t>characteristic</w:t>
      </w:r>
      <w:r w:rsidR="00612B2F" w:rsidRPr="00104227">
        <w:t xml:space="preserve"> of post-traumatic stress disorder, depression and fear were found and it was noted that “it is inferred that the said injuries were caused intentionally by third parties, without resistance by the aggrieved party and</w:t>
      </w:r>
      <w:r w:rsidR="00783EB5" w:rsidRPr="00104227">
        <w:t>,</w:t>
      </w:r>
      <w:r w:rsidR="00612B2F" w:rsidRPr="00104227">
        <w:t xml:space="preserve"> owing to the type and location of the injuries, these are similar to those </w:t>
      </w:r>
      <w:r w:rsidR="00783EB5" w:rsidRPr="00104227">
        <w:lastRenderedPageBreak/>
        <w:t>ca</w:t>
      </w:r>
      <w:r w:rsidR="00612B2F" w:rsidRPr="00104227">
        <w:t xml:space="preserve">used </w:t>
      </w:r>
      <w:r w:rsidR="00783EB5" w:rsidRPr="00104227">
        <w:t>by</w:t>
      </w:r>
      <w:r w:rsidR="00612B2F" w:rsidRPr="00104227">
        <w:t xml:space="preserve"> acts of torture.”</w:t>
      </w:r>
    </w:p>
    <w:p w14:paraId="012B0F61" w14:textId="2CA3DD06" w:rsidR="008D3A5E" w:rsidRPr="00104227" w:rsidRDefault="008D3A5E" w:rsidP="00E4619F">
      <w:pPr>
        <w:pStyle w:val="Prrafodelista"/>
        <w:numPr>
          <w:ilvl w:val="0"/>
          <w:numId w:val="88"/>
        </w:numPr>
        <w:tabs>
          <w:tab w:val="left" w:pos="567"/>
        </w:tabs>
      </w:pPr>
      <w:r w:rsidRPr="00104227">
        <w:rPr>
          <w:i/>
        </w:rPr>
        <w:t>Ana María Velasco Rodríguez</w:t>
      </w:r>
      <w:r w:rsidRPr="00104227">
        <w:t xml:space="preserve">: </w:t>
      </w:r>
      <w:r w:rsidR="00612B2F" w:rsidRPr="00104227">
        <w:t>it was concluded that she suffered from post-traumatic stress disorder and psycho-therapeutic treatment was recommended.</w:t>
      </w:r>
    </w:p>
    <w:p w14:paraId="6BF9B51B" w14:textId="3BB5D52F" w:rsidR="008D3A5E" w:rsidRPr="00104227" w:rsidRDefault="008D3A5E" w:rsidP="00E4619F">
      <w:pPr>
        <w:pStyle w:val="Prrafodelista"/>
        <w:numPr>
          <w:ilvl w:val="0"/>
          <w:numId w:val="88"/>
        </w:numPr>
        <w:tabs>
          <w:tab w:val="left" w:pos="567"/>
        </w:tabs>
      </w:pPr>
      <w:r w:rsidRPr="00104227">
        <w:rPr>
          <w:i/>
        </w:rPr>
        <w:t>María Patricia Romero Hernández</w:t>
      </w:r>
      <w:r w:rsidRPr="00104227">
        <w:t xml:space="preserve">: </w:t>
      </w:r>
      <w:r w:rsidR="00612B2F" w:rsidRPr="00104227">
        <w:t>it was concluded that</w:t>
      </w:r>
      <w:r w:rsidRPr="00104227">
        <w:t xml:space="preserve"> </w:t>
      </w:r>
      <w:r w:rsidR="00783EB5" w:rsidRPr="00104227">
        <w:t>the</w:t>
      </w:r>
      <w:r w:rsidR="00612B2F" w:rsidRPr="00104227">
        <w:t xml:space="preserve"> signs and </w:t>
      </w:r>
      <w:r w:rsidR="000A14CF" w:rsidRPr="00104227">
        <w:t>symptoms</w:t>
      </w:r>
      <w:r w:rsidR="00612B2F" w:rsidRPr="00104227">
        <w:t xml:space="preserve"> were characteristic of post-traumatic stress disorder; therefore, psycho-therapeutic treatment was recommended</w:t>
      </w:r>
      <w:r w:rsidRPr="00104227">
        <w:t>.</w:t>
      </w:r>
    </w:p>
    <w:p w14:paraId="65A5C7D7" w14:textId="2ECE9501" w:rsidR="008D3A5E" w:rsidRPr="00104227" w:rsidRDefault="008D3A5E" w:rsidP="00E4619F">
      <w:pPr>
        <w:pStyle w:val="Prrafodelista"/>
        <w:numPr>
          <w:ilvl w:val="0"/>
          <w:numId w:val="88"/>
        </w:numPr>
        <w:tabs>
          <w:tab w:val="left" w:pos="567"/>
        </w:tabs>
      </w:pPr>
      <w:r w:rsidRPr="00104227">
        <w:rPr>
          <w:i/>
        </w:rPr>
        <w:t>Norma Aidé Jiménez Osorio</w:t>
      </w:r>
      <w:r w:rsidRPr="00104227">
        <w:t xml:space="preserve">: </w:t>
      </w:r>
      <w:r w:rsidR="00612B2F" w:rsidRPr="00104227">
        <w:t>it was concluded that</w:t>
      </w:r>
      <w:r w:rsidRPr="00104227">
        <w:t xml:space="preserve"> </w:t>
      </w:r>
      <w:r w:rsidR="00612B2F" w:rsidRPr="00104227">
        <w:t>she had symptoms characteristic of post-traumatic stress disorder</w:t>
      </w:r>
      <w:r w:rsidRPr="00104227">
        <w:t>, dep</w:t>
      </w:r>
      <w:r w:rsidR="00612B2F" w:rsidRPr="00104227">
        <w:t>ression and general anxiety</w:t>
      </w:r>
      <w:r w:rsidR="00783EB5" w:rsidRPr="00104227">
        <w:t xml:space="preserve">; therefore, </w:t>
      </w:r>
      <w:r w:rsidR="00612B2F" w:rsidRPr="00104227">
        <w:t>psycho-therapeutic treatment was recommended. In addition, at the request of the</w:t>
      </w:r>
      <w:r w:rsidR="00612B2F" w:rsidRPr="00104227">
        <w:rPr>
          <w:rFonts w:eastAsia="Times New Roman"/>
          <w:lang w:eastAsia="ko-KR"/>
        </w:rPr>
        <w:t xml:space="preserve"> </w:t>
      </w:r>
      <w:r w:rsidRPr="00104227">
        <w:rPr>
          <w:rFonts w:eastAsia="Times New Roman"/>
          <w:lang w:eastAsia="ko-KR"/>
        </w:rPr>
        <w:t xml:space="preserve">CNDH, </w:t>
      </w:r>
      <w:r w:rsidR="00612B2F" w:rsidRPr="00104227">
        <w:rPr>
          <w:rFonts w:eastAsia="Times New Roman"/>
          <w:lang w:eastAsia="ko-KR"/>
        </w:rPr>
        <w:t xml:space="preserve">the prison’s medical center performed a gynecological examination on </w:t>
      </w:r>
      <w:r w:rsidR="00E31E41" w:rsidRPr="00104227">
        <w:t>June 1,</w:t>
      </w:r>
      <w:r w:rsidRPr="00104227">
        <w:t xml:space="preserve"> 2006</w:t>
      </w:r>
      <w:r w:rsidR="00730E9B" w:rsidRPr="00104227">
        <w:t>.</w:t>
      </w:r>
      <w:r w:rsidRPr="00104227">
        <w:rPr>
          <w:color w:val="00B050"/>
        </w:rPr>
        <w:t xml:space="preserve"> </w:t>
      </w:r>
    </w:p>
    <w:p w14:paraId="23F0723A" w14:textId="24A7379D" w:rsidR="008D3A5E" w:rsidRPr="00104227" w:rsidRDefault="008D3A5E" w:rsidP="00E4619F">
      <w:pPr>
        <w:pStyle w:val="Prrafodelista"/>
        <w:numPr>
          <w:ilvl w:val="0"/>
          <w:numId w:val="88"/>
        </w:numPr>
        <w:tabs>
          <w:tab w:val="left" w:pos="567"/>
        </w:tabs>
      </w:pPr>
      <w:r w:rsidRPr="00104227">
        <w:rPr>
          <w:i/>
        </w:rPr>
        <w:t>Mariana Selvas Gómez</w:t>
      </w:r>
      <w:r w:rsidRPr="00104227">
        <w:t xml:space="preserve">: </w:t>
      </w:r>
      <w:r w:rsidR="00612B2F" w:rsidRPr="00104227">
        <w:t>it was concluded that she revealed a state of emotional stress, moderate depression and symptoms of</w:t>
      </w:r>
      <w:r w:rsidRPr="00104227">
        <w:t xml:space="preserve"> </w:t>
      </w:r>
      <w:r w:rsidR="00612B2F" w:rsidRPr="00104227">
        <w:t>post-traumatic stress disorder; therefore, psycho-therapeutic treatment was recommended</w:t>
      </w:r>
    </w:p>
    <w:p w14:paraId="5A5ADCDB" w14:textId="6DCF1A3F" w:rsidR="008D3A5E" w:rsidRPr="00104227" w:rsidRDefault="008D3A5E" w:rsidP="00E4619F">
      <w:pPr>
        <w:pStyle w:val="Prrafodelista"/>
        <w:numPr>
          <w:ilvl w:val="0"/>
          <w:numId w:val="88"/>
        </w:numPr>
        <w:tabs>
          <w:tab w:val="left" w:pos="567"/>
        </w:tabs>
      </w:pPr>
      <w:r w:rsidRPr="00104227">
        <w:rPr>
          <w:i/>
        </w:rPr>
        <w:t xml:space="preserve">Georgina Edith </w:t>
      </w:r>
      <w:r w:rsidR="00DA23B8" w:rsidRPr="00104227">
        <w:rPr>
          <w:i/>
        </w:rPr>
        <w:t>Rosales</w:t>
      </w:r>
      <w:r w:rsidRPr="00104227">
        <w:rPr>
          <w:i/>
        </w:rPr>
        <w:t xml:space="preserve"> Gutiérrez</w:t>
      </w:r>
      <w:r w:rsidRPr="00104227">
        <w:t xml:space="preserve">: </w:t>
      </w:r>
      <w:r w:rsidR="00612B2F" w:rsidRPr="00104227">
        <w:t>it was concluded that</w:t>
      </w:r>
      <w:r w:rsidRPr="00104227">
        <w:t xml:space="preserve"> </w:t>
      </w:r>
      <w:r w:rsidR="00612B2F" w:rsidRPr="00104227">
        <w:t>she suffered from</w:t>
      </w:r>
      <w:r w:rsidRPr="00104227">
        <w:t xml:space="preserve"> </w:t>
      </w:r>
      <w:r w:rsidR="00612B2F" w:rsidRPr="00104227">
        <w:t>post-traumatic stress disorder</w:t>
      </w:r>
      <w:r w:rsidR="00BF5241" w:rsidRPr="00104227">
        <w:t xml:space="preserve"> and </w:t>
      </w:r>
      <w:r w:rsidR="00612B2F" w:rsidRPr="00104227">
        <w:t>psycho-therapeutic treatment was recommended</w:t>
      </w:r>
      <w:r w:rsidRPr="00104227">
        <w:t>.</w:t>
      </w:r>
    </w:p>
    <w:p w14:paraId="6AD7A9D4" w14:textId="49B6C784" w:rsidR="008D3A5E" w:rsidRPr="00104227" w:rsidRDefault="008D3A5E" w:rsidP="00E4619F">
      <w:pPr>
        <w:pStyle w:val="Prrafodelista"/>
        <w:numPr>
          <w:ilvl w:val="0"/>
          <w:numId w:val="88"/>
        </w:numPr>
        <w:tabs>
          <w:tab w:val="left" w:pos="567"/>
        </w:tabs>
      </w:pPr>
      <w:r w:rsidRPr="00104227">
        <w:rPr>
          <w:i/>
        </w:rPr>
        <w:t>Suhelen Gabriela Cuevas Jaramillo</w:t>
      </w:r>
      <w:r w:rsidRPr="00104227">
        <w:rPr>
          <w:lang w:eastAsia="es-MX"/>
        </w:rPr>
        <w:t xml:space="preserve">: </w:t>
      </w:r>
      <w:r w:rsidR="00612B2F" w:rsidRPr="00104227">
        <w:t>it was concluded that</w:t>
      </w:r>
      <w:r w:rsidRPr="00104227">
        <w:t xml:space="preserve"> </w:t>
      </w:r>
      <w:r w:rsidR="00612B2F" w:rsidRPr="00104227">
        <w:t>she suffered from post-traumatic stress disorder</w:t>
      </w:r>
      <w:r w:rsidR="00BF5241" w:rsidRPr="00104227">
        <w:t xml:space="preserve"> and </w:t>
      </w:r>
      <w:r w:rsidR="00612B2F" w:rsidRPr="00104227">
        <w:t>psycho-therapeutic treatment was recommended</w:t>
      </w:r>
      <w:r w:rsidRPr="00104227">
        <w:t xml:space="preserve">. </w:t>
      </w:r>
    </w:p>
    <w:p w14:paraId="6E9B15E9" w14:textId="77777777" w:rsidR="008D3A5E" w:rsidRPr="00104227" w:rsidRDefault="008D3A5E" w:rsidP="00E4619F">
      <w:pPr>
        <w:tabs>
          <w:tab w:val="left" w:pos="567"/>
        </w:tabs>
        <w:rPr>
          <w:lang w:eastAsia="es-MX"/>
        </w:rPr>
      </w:pPr>
    </w:p>
    <w:p w14:paraId="45082FA0" w14:textId="4BB125A9" w:rsidR="00612B2F" w:rsidRPr="00104227" w:rsidRDefault="00612B2F" w:rsidP="00612B2F">
      <w:pPr>
        <w:pStyle w:val="Numberedparagraphs"/>
        <w:tabs>
          <w:tab w:val="left" w:pos="567"/>
        </w:tabs>
        <w:rPr>
          <w:lang w:val="en-US"/>
        </w:rPr>
      </w:pPr>
      <w:bookmarkStart w:id="202" w:name="_Ref532906158"/>
      <w:r w:rsidRPr="00104227">
        <w:rPr>
          <w:lang w:val="en-US"/>
        </w:rPr>
        <w:t xml:space="preserve">Similarly, between July and </w:t>
      </w:r>
      <w:r w:rsidR="000A14CF" w:rsidRPr="00104227">
        <w:rPr>
          <w:lang w:val="en-US"/>
        </w:rPr>
        <w:t>September</w:t>
      </w:r>
      <w:r w:rsidRPr="00104227">
        <w:rPr>
          <w:lang w:val="en-US"/>
        </w:rPr>
        <w:t xml:space="preserve"> </w:t>
      </w:r>
      <w:r w:rsidR="008D3A5E" w:rsidRPr="00104227">
        <w:rPr>
          <w:lang w:val="en-US"/>
        </w:rPr>
        <w:t xml:space="preserve">2006, </w:t>
      </w:r>
      <w:r w:rsidRPr="00104227">
        <w:rPr>
          <w:lang w:val="en-US"/>
        </w:rPr>
        <w:t>the</w:t>
      </w:r>
      <w:r w:rsidR="008D3A5E" w:rsidRPr="00104227">
        <w:rPr>
          <w:lang w:val="en-US"/>
        </w:rPr>
        <w:t xml:space="preserve"> </w:t>
      </w:r>
      <w:r w:rsidR="008D3A5E" w:rsidRPr="00104227">
        <w:rPr>
          <w:i/>
          <w:iCs/>
          <w:lang w:val="en-US"/>
        </w:rPr>
        <w:t xml:space="preserve">Colectivo </w:t>
      </w:r>
      <w:r w:rsidR="00E31E41" w:rsidRPr="00104227">
        <w:rPr>
          <w:i/>
          <w:iCs/>
          <w:lang w:val="en-US"/>
        </w:rPr>
        <w:t>contra la Tortura y la</w:t>
      </w:r>
      <w:r w:rsidR="008D3A5E" w:rsidRPr="00104227">
        <w:rPr>
          <w:i/>
          <w:iCs/>
          <w:lang w:val="en-US"/>
        </w:rPr>
        <w:t xml:space="preserve"> Impunidad</w:t>
      </w:r>
      <w:r w:rsidR="008D3A5E" w:rsidRPr="00104227">
        <w:rPr>
          <w:lang w:val="en-US"/>
        </w:rPr>
        <w:t xml:space="preserve"> (</w:t>
      </w:r>
      <w:r w:rsidR="00BF5241" w:rsidRPr="00104227">
        <w:rPr>
          <w:lang w:val="en-US"/>
        </w:rPr>
        <w:t>hereinafter</w:t>
      </w:r>
      <w:r w:rsidR="008D3A5E" w:rsidRPr="00104227">
        <w:rPr>
          <w:lang w:val="en-US"/>
        </w:rPr>
        <w:t xml:space="preserve"> “CCTI”) </w:t>
      </w:r>
      <w:r w:rsidRPr="00104227">
        <w:rPr>
          <w:lang w:val="en-US"/>
        </w:rPr>
        <w:t xml:space="preserve">also examined seven </w:t>
      </w:r>
      <w:r w:rsidR="00F12946" w:rsidRPr="00104227">
        <w:rPr>
          <w:lang w:val="en-US"/>
        </w:rPr>
        <w:t>of the eleven women</w:t>
      </w:r>
      <w:r w:rsidRPr="00104227">
        <w:rPr>
          <w:lang w:val="en-US"/>
        </w:rPr>
        <w:t xml:space="preserve">: </w:t>
      </w:r>
      <w:r w:rsidR="008D3A5E" w:rsidRPr="00104227">
        <w:rPr>
          <w:lang w:val="en-US"/>
        </w:rPr>
        <w:t xml:space="preserve">María Patricia Romero Hernández, Norma Aidé Jiménez Osorio, Claudia Hernández Martínez Mariana Selvas Gómez, Georgina Edith </w:t>
      </w:r>
      <w:r w:rsidR="00DA23B8" w:rsidRPr="00104227">
        <w:rPr>
          <w:lang w:val="en-US"/>
        </w:rPr>
        <w:t>Rosales</w:t>
      </w:r>
      <w:r w:rsidR="008D3A5E" w:rsidRPr="00104227">
        <w:rPr>
          <w:lang w:val="en-US"/>
        </w:rPr>
        <w:t xml:space="preserve"> Gutiérrez, Suhelen Gabriela Cuevas Jaramillo </w:t>
      </w:r>
      <w:r w:rsidR="00783EB5" w:rsidRPr="00104227">
        <w:rPr>
          <w:lang w:val="en-US"/>
        </w:rPr>
        <w:t xml:space="preserve">and </w:t>
      </w:r>
      <w:r w:rsidR="008D3A5E" w:rsidRPr="00104227">
        <w:rPr>
          <w:lang w:val="en-US"/>
        </w:rPr>
        <w:t>Bárbara Italia Méndez Moreno</w:t>
      </w:r>
      <w:r w:rsidR="00783EB5" w:rsidRPr="00104227">
        <w:rPr>
          <w:lang w:val="en-US"/>
        </w:rPr>
        <w:t>.</w:t>
      </w:r>
      <w:r w:rsidR="00BF5241" w:rsidRPr="00104227">
        <w:rPr>
          <w:lang w:val="en-US"/>
        </w:rPr>
        <w:t xml:space="preserve"> </w:t>
      </w:r>
      <w:r w:rsidR="00783EB5" w:rsidRPr="00104227">
        <w:rPr>
          <w:lang w:val="en-US"/>
        </w:rPr>
        <w:t>W</w:t>
      </w:r>
      <w:r w:rsidR="00E31E41" w:rsidRPr="00104227">
        <w:rPr>
          <w:lang w:val="en-US"/>
        </w:rPr>
        <w:t>ith regard to</w:t>
      </w:r>
      <w:r w:rsidRPr="00104227">
        <w:rPr>
          <w:lang w:val="en-US"/>
        </w:rPr>
        <w:t xml:space="preserve"> all of them, it concluded that the</w:t>
      </w:r>
      <w:r w:rsidR="00783EB5" w:rsidRPr="00104227">
        <w:rPr>
          <w:lang w:val="en-US"/>
        </w:rPr>
        <w:t>y</w:t>
      </w:r>
      <w:r w:rsidRPr="00104227">
        <w:rPr>
          <w:lang w:val="en-US"/>
        </w:rPr>
        <w:t xml:space="preserve"> suffered from post-traumatic stress, w</w:t>
      </w:r>
      <w:r w:rsidR="00783EB5" w:rsidRPr="00104227">
        <w:rPr>
          <w:lang w:val="en-US"/>
        </w:rPr>
        <w:t>h</w:t>
      </w:r>
      <w:r w:rsidRPr="00104227">
        <w:rPr>
          <w:lang w:val="en-US"/>
        </w:rPr>
        <w:t xml:space="preserve">ich was chronic in some cases, and also from different degrees of anxiety and/or depression; therefore, it recommended medical and psycho-therapeutic care by trusted professionals. In the case of </w:t>
      </w:r>
      <w:r w:rsidR="008D3A5E" w:rsidRPr="00104227">
        <w:rPr>
          <w:lang w:val="en-US"/>
        </w:rPr>
        <w:t>María Patricia Romero Hernández</w:t>
      </w:r>
      <w:r w:rsidR="00BF5241" w:rsidRPr="00104227">
        <w:rPr>
          <w:lang w:val="en-US"/>
        </w:rPr>
        <w:t xml:space="preserve"> and </w:t>
      </w:r>
      <w:r w:rsidR="008D3A5E" w:rsidRPr="00104227">
        <w:rPr>
          <w:lang w:val="en-US"/>
        </w:rPr>
        <w:t>Bárbara Italia Méndez Moreno</w:t>
      </w:r>
      <w:r w:rsidRPr="00104227">
        <w:rPr>
          <w:lang w:val="en-US"/>
        </w:rPr>
        <w:t>, it also</w:t>
      </w:r>
      <w:r w:rsidR="00783EB5" w:rsidRPr="00104227">
        <w:rPr>
          <w:lang w:val="en-US"/>
        </w:rPr>
        <w:t xml:space="preserve"> </w:t>
      </w:r>
      <w:r w:rsidRPr="00104227">
        <w:rPr>
          <w:lang w:val="en-US"/>
        </w:rPr>
        <w:t xml:space="preserve">underscored that, </w:t>
      </w:r>
      <w:r w:rsidR="00CA75B4" w:rsidRPr="00104227">
        <w:rPr>
          <w:lang w:val="en-US"/>
        </w:rPr>
        <w:t>regarding</w:t>
      </w:r>
      <w:r w:rsidRPr="00104227">
        <w:rPr>
          <w:lang w:val="en-US"/>
        </w:rPr>
        <w:t xml:space="preserve"> the former, she had not had the appropriate medical tests for her initial injuries</w:t>
      </w:r>
      <w:r w:rsidR="00CA75B4" w:rsidRPr="00104227">
        <w:rPr>
          <w:lang w:val="en-US"/>
        </w:rPr>
        <w:t>;</w:t>
      </w:r>
      <w:r w:rsidRPr="00104227">
        <w:rPr>
          <w:lang w:val="en-US"/>
        </w:rPr>
        <w:t xml:space="preserve"> w</w:t>
      </w:r>
      <w:r w:rsidR="00CA75B4" w:rsidRPr="00104227">
        <w:rPr>
          <w:lang w:val="en-US"/>
        </w:rPr>
        <w:t>h</w:t>
      </w:r>
      <w:r w:rsidRPr="00104227">
        <w:rPr>
          <w:lang w:val="en-US"/>
        </w:rPr>
        <w:t>ile</w:t>
      </w:r>
      <w:r w:rsidR="00CA75B4" w:rsidRPr="00104227">
        <w:rPr>
          <w:lang w:val="en-US"/>
        </w:rPr>
        <w:t>,</w:t>
      </w:r>
      <w:r w:rsidRPr="00104227">
        <w:rPr>
          <w:lang w:val="en-US"/>
        </w:rPr>
        <w:t xml:space="preserve"> with regard to Bárbara, it stressed that, although the tests carried out had been positive for semen, DNA testing had not been conducted in order to make the respective comparison.</w:t>
      </w:r>
    </w:p>
    <w:bookmarkEnd w:id="202"/>
    <w:p w14:paraId="2692C79E" w14:textId="77777777" w:rsidR="008D3A5E" w:rsidRPr="00104227" w:rsidRDefault="008D3A5E" w:rsidP="00E4619F">
      <w:pPr>
        <w:tabs>
          <w:tab w:val="left" w:pos="567"/>
        </w:tabs>
      </w:pPr>
    </w:p>
    <w:p w14:paraId="6800BB4F" w14:textId="0737682E" w:rsidR="008D3A5E" w:rsidRPr="00104227" w:rsidRDefault="008D3A5E" w:rsidP="00E4619F">
      <w:pPr>
        <w:pStyle w:val="Ttulo3"/>
        <w:tabs>
          <w:tab w:val="left" w:pos="567"/>
        </w:tabs>
        <w:rPr>
          <w:lang w:val="en-US"/>
        </w:rPr>
      </w:pPr>
      <w:bookmarkStart w:id="203" w:name="_Toc31290578"/>
      <w:r w:rsidRPr="00104227">
        <w:rPr>
          <w:lang w:val="en-US"/>
        </w:rPr>
        <w:t xml:space="preserve">B.5 </w:t>
      </w:r>
      <w:r w:rsidR="00612B2F" w:rsidRPr="00104227">
        <w:rPr>
          <w:lang w:val="en-US"/>
        </w:rPr>
        <w:t>The proceedings against the women</w:t>
      </w:r>
      <w:bookmarkEnd w:id="203"/>
    </w:p>
    <w:p w14:paraId="7F1EA767" w14:textId="77777777" w:rsidR="008D3A5E" w:rsidRPr="00104227" w:rsidRDefault="008D3A5E" w:rsidP="00E4619F">
      <w:pPr>
        <w:tabs>
          <w:tab w:val="left" w:pos="567"/>
        </w:tabs>
      </w:pPr>
    </w:p>
    <w:p w14:paraId="56091539" w14:textId="7377CAC2" w:rsidR="008D3A5E" w:rsidRPr="00104227" w:rsidRDefault="00612B2F" w:rsidP="00E4619F">
      <w:pPr>
        <w:pStyle w:val="Numberedparagraphs"/>
        <w:tabs>
          <w:tab w:val="left" w:pos="567"/>
        </w:tabs>
        <w:rPr>
          <w:lang w:val="en-US"/>
        </w:rPr>
      </w:pPr>
      <w:r w:rsidRPr="00104227">
        <w:rPr>
          <w:lang w:val="en-US"/>
        </w:rPr>
        <w:t xml:space="preserve">Following their detention, </w:t>
      </w:r>
      <w:r w:rsidR="00F12946" w:rsidRPr="00104227">
        <w:rPr>
          <w:lang w:val="en-US"/>
        </w:rPr>
        <w:t>the eleven women</w:t>
      </w:r>
      <w:r w:rsidR="008D3A5E" w:rsidRPr="00104227">
        <w:rPr>
          <w:lang w:val="en-US"/>
        </w:rPr>
        <w:t xml:space="preserve"> </w:t>
      </w:r>
      <w:r w:rsidRPr="00104227">
        <w:rPr>
          <w:lang w:val="en-US"/>
        </w:rPr>
        <w:t>were brought before an agent</w:t>
      </w:r>
      <w:r w:rsidR="000B2982" w:rsidRPr="00104227">
        <w:rPr>
          <w:lang w:val="en-US"/>
        </w:rPr>
        <w:t xml:space="preserve"> of the </w:t>
      </w:r>
      <w:r w:rsidR="00024310" w:rsidRPr="00104227">
        <w:rPr>
          <w:lang w:val="en-US"/>
        </w:rPr>
        <w:t>Public Prosecution Service</w:t>
      </w:r>
      <w:r w:rsidR="00CA75B4" w:rsidRPr="00104227">
        <w:rPr>
          <w:lang w:val="en-US"/>
        </w:rPr>
        <w:t xml:space="preserve"> and, as a</w:t>
      </w:r>
      <w:r w:rsidRPr="00104227">
        <w:rPr>
          <w:lang w:val="en-US"/>
        </w:rPr>
        <w:t xml:space="preserve"> result</w:t>
      </w:r>
      <w:r w:rsidR="00CA75B4" w:rsidRPr="00104227">
        <w:rPr>
          <w:lang w:val="en-US"/>
        </w:rPr>
        <w:t>, the following</w:t>
      </w:r>
      <w:r w:rsidRPr="00104227">
        <w:rPr>
          <w:lang w:val="en-US"/>
        </w:rPr>
        <w:t xml:space="preserve"> preliminary inquiries</w:t>
      </w:r>
      <w:r w:rsidR="00CA75B4" w:rsidRPr="00104227">
        <w:rPr>
          <w:lang w:val="en-US"/>
        </w:rPr>
        <w:t xml:space="preserve"> were opened</w:t>
      </w:r>
      <w:r w:rsidRPr="00104227">
        <w:rPr>
          <w:lang w:val="en-US"/>
        </w:rPr>
        <w:t xml:space="preserve">: </w:t>
      </w:r>
      <w:r w:rsidR="008D3A5E" w:rsidRPr="00104227">
        <w:rPr>
          <w:lang w:val="en-US"/>
        </w:rPr>
        <w:t xml:space="preserve">(i) </w:t>
      </w:r>
      <w:r w:rsidRPr="00104227">
        <w:rPr>
          <w:lang w:val="en-US"/>
        </w:rPr>
        <w:t>preliminary inquiry</w:t>
      </w:r>
      <w:r w:rsidR="008D3A5E" w:rsidRPr="00104227">
        <w:rPr>
          <w:lang w:val="en-US"/>
        </w:rPr>
        <w:t xml:space="preserve"> TOL/MD/I/330/2006, </w:t>
      </w:r>
      <w:r w:rsidRPr="00104227">
        <w:rPr>
          <w:lang w:val="en-US"/>
        </w:rPr>
        <w:t>in relation to</w:t>
      </w:r>
      <w:r w:rsidR="008D3A5E" w:rsidRPr="00104227">
        <w:rPr>
          <w:lang w:val="en-US"/>
        </w:rPr>
        <w:t xml:space="preserve"> Yolanda Muñoz Diosdada, Ana María Velasco Rodríguez</w:t>
      </w:r>
      <w:r w:rsidR="00BF5241" w:rsidRPr="00104227">
        <w:rPr>
          <w:lang w:val="en-US"/>
        </w:rPr>
        <w:t xml:space="preserve"> and </w:t>
      </w:r>
      <w:r w:rsidR="008D3A5E" w:rsidRPr="00104227">
        <w:rPr>
          <w:lang w:val="en-US"/>
        </w:rPr>
        <w:t>María Cr</w:t>
      </w:r>
      <w:r w:rsidR="00D93708" w:rsidRPr="00104227">
        <w:rPr>
          <w:lang w:val="en-US"/>
        </w:rPr>
        <w:t xml:space="preserve">istina Sánchez Hernández; (ii) </w:t>
      </w:r>
      <w:r w:rsidRPr="00104227">
        <w:rPr>
          <w:lang w:val="en-US"/>
        </w:rPr>
        <w:t>preliminary inquiry</w:t>
      </w:r>
      <w:r w:rsidR="008D3A5E" w:rsidRPr="00104227">
        <w:rPr>
          <w:lang w:val="en-US"/>
        </w:rPr>
        <w:t xml:space="preserve"> TOL/MD/III/332/2006, </w:t>
      </w:r>
      <w:r w:rsidRPr="00104227">
        <w:rPr>
          <w:lang w:val="en-US"/>
        </w:rPr>
        <w:t>in relation to</w:t>
      </w:r>
      <w:r w:rsidR="008D3A5E" w:rsidRPr="00104227">
        <w:rPr>
          <w:lang w:val="en-US"/>
        </w:rPr>
        <w:t xml:space="preserve"> Norma Aidé Jiménez Osorio, Mariana Selvas Gómez, Georgina Edith </w:t>
      </w:r>
      <w:r w:rsidR="00DA23B8" w:rsidRPr="00104227">
        <w:rPr>
          <w:lang w:val="en-US"/>
        </w:rPr>
        <w:t>Rosales</w:t>
      </w:r>
      <w:r w:rsidR="00A05917" w:rsidRPr="00104227">
        <w:rPr>
          <w:lang w:val="en-US"/>
        </w:rPr>
        <w:t xml:space="preserve"> Gutiérrez, Suhele</w:t>
      </w:r>
      <w:r w:rsidR="008D3A5E" w:rsidRPr="00104227">
        <w:rPr>
          <w:lang w:val="en-US"/>
        </w:rPr>
        <w:t xml:space="preserve">n Gabriela Cuevas Jaramillo, Bárbara Italia Méndez Moreno, </w:t>
      </w:r>
      <w:r w:rsidR="0047539E" w:rsidRPr="00104227">
        <w:rPr>
          <w:lang w:val="en-US"/>
        </w:rPr>
        <w:t>Angélica Patricia Torres</w:t>
      </w:r>
      <w:r w:rsidR="008D3A5E" w:rsidRPr="00104227">
        <w:rPr>
          <w:lang w:val="en-US"/>
        </w:rPr>
        <w:t xml:space="preserve"> Linares</w:t>
      </w:r>
      <w:r w:rsidR="00BF5241" w:rsidRPr="00104227">
        <w:rPr>
          <w:lang w:val="en-US"/>
        </w:rPr>
        <w:t xml:space="preserve"> and </w:t>
      </w:r>
      <w:r w:rsidR="008D3A5E" w:rsidRPr="00104227">
        <w:rPr>
          <w:lang w:val="en-US"/>
        </w:rPr>
        <w:t>Claudia Hernández Martínez,</w:t>
      </w:r>
      <w:r w:rsidR="00BF5241" w:rsidRPr="00104227">
        <w:rPr>
          <w:lang w:val="en-US"/>
        </w:rPr>
        <w:t xml:space="preserve"> and </w:t>
      </w:r>
      <w:r w:rsidR="008D3A5E" w:rsidRPr="00104227">
        <w:rPr>
          <w:lang w:val="en-US"/>
        </w:rPr>
        <w:t xml:space="preserve">(iii) </w:t>
      </w:r>
      <w:r w:rsidRPr="00104227">
        <w:rPr>
          <w:lang w:val="en-US"/>
        </w:rPr>
        <w:t>preliminary inquiry</w:t>
      </w:r>
      <w:r w:rsidR="008D3A5E" w:rsidRPr="00104227">
        <w:rPr>
          <w:lang w:val="en-US"/>
        </w:rPr>
        <w:t xml:space="preserve"> TEX/AMOD/III/603/2006, </w:t>
      </w:r>
      <w:r w:rsidRPr="00104227">
        <w:rPr>
          <w:lang w:val="en-US"/>
        </w:rPr>
        <w:t>in relation to</w:t>
      </w:r>
      <w:r w:rsidR="008D3A5E" w:rsidRPr="00104227">
        <w:rPr>
          <w:lang w:val="en-US"/>
        </w:rPr>
        <w:t xml:space="preserve"> María Patricia Romero</w:t>
      </w:r>
      <w:r w:rsidR="00A05917" w:rsidRPr="00104227">
        <w:rPr>
          <w:lang w:val="en-US"/>
        </w:rPr>
        <w:t xml:space="preserve"> Hernández</w:t>
      </w:r>
      <w:r w:rsidR="008D3A5E" w:rsidRPr="00104227">
        <w:rPr>
          <w:lang w:val="en-US"/>
        </w:rPr>
        <w:t xml:space="preserve">. </w:t>
      </w:r>
      <w:r w:rsidR="00207CF9" w:rsidRPr="00104227">
        <w:rPr>
          <w:lang w:val="en-US"/>
        </w:rPr>
        <w:t xml:space="preserve">In the context of criminal case </w:t>
      </w:r>
      <w:r w:rsidR="008D3A5E" w:rsidRPr="00104227">
        <w:rPr>
          <w:lang w:val="en-US"/>
        </w:rPr>
        <w:t xml:space="preserve">96/2006, </w:t>
      </w:r>
      <w:r w:rsidR="00207CF9" w:rsidRPr="00104227">
        <w:rPr>
          <w:lang w:val="en-US"/>
        </w:rPr>
        <w:t>on May 7,</w:t>
      </w:r>
      <w:r w:rsidR="008D3A5E" w:rsidRPr="00104227">
        <w:rPr>
          <w:lang w:val="en-US"/>
        </w:rPr>
        <w:t xml:space="preserve"> 2006</w:t>
      </w:r>
      <w:r w:rsidR="00207CF9" w:rsidRPr="00104227">
        <w:rPr>
          <w:lang w:val="en-US"/>
        </w:rPr>
        <w:t>,</w:t>
      </w:r>
      <w:r w:rsidR="008D3A5E" w:rsidRPr="00104227">
        <w:rPr>
          <w:lang w:val="en-US"/>
        </w:rPr>
        <w:t xml:space="preserve"> Yolanda Muñoz Diosdada, Ana María Velasco Rodríguez, María Cristina Sánchez Hernández, Norma Aidé Jiménez Osorio, Mariana Selvas Gómez, Georgina Edith </w:t>
      </w:r>
      <w:r w:rsidR="00DA23B8" w:rsidRPr="00104227">
        <w:rPr>
          <w:lang w:val="en-US"/>
        </w:rPr>
        <w:t>Rosales</w:t>
      </w:r>
      <w:r w:rsidR="008D3A5E" w:rsidRPr="00104227">
        <w:rPr>
          <w:lang w:val="en-US"/>
        </w:rPr>
        <w:t xml:space="preserve"> Gutiérrez, Suhelen Gabriela Cuevas Jaramillo, Bárbara Italia Méndez Moreno, </w:t>
      </w:r>
      <w:r w:rsidR="0047539E" w:rsidRPr="00104227">
        <w:rPr>
          <w:lang w:val="en-US"/>
        </w:rPr>
        <w:t>Angélica Patricia Torres</w:t>
      </w:r>
      <w:r w:rsidR="008D3A5E" w:rsidRPr="00104227">
        <w:rPr>
          <w:lang w:val="en-US"/>
        </w:rPr>
        <w:t xml:space="preserve"> Linares</w:t>
      </w:r>
      <w:r w:rsidR="00BF5241" w:rsidRPr="00104227">
        <w:rPr>
          <w:lang w:val="en-US"/>
        </w:rPr>
        <w:t xml:space="preserve"> and </w:t>
      </w:r>
      <w:r w:rsidR="008D3A5E" w:rsidRPr="00104227">
        <w:rPr>
          <w:lang w:val="en-US"/>
        </w:rPr>
        <w:t>Claudia Hernández Martínez</w:t>
      </w:r>
      <w:r w:rsidR="00207CF9" w:rsidRPr="00104227">
        <w:rPr>
          <w:lang w:val="en-US"/>
        </w:rPr>
        <w:t xml:space="preserve"> were brought before the Second Criminal Trial Court accused of the offenses of attacks on</w:t>
      </w:r>
      <w:r w:rsidR="006F3DC9" w:rsidRPr="00104227">
        <w:rPr>
          <w:lang w:val="en-US"/>
        </w:rPr>
        <w:t xml:space="preserve"> highways and</w:t>
      </w:r>
      <w:r w:rsidR="00207CF9" w:rsidRPr="00104227">
        <w:rPr>
          <w:lang w:val="en-US"/>
        </w:rPr>
        <w:t xml:space="preserve"> </w:t>
      </w:r>
      <w:r w:rsidR="006F3DC9" w:rsidRPr="00104227">
        <w:rPr>
          <w:lang w:val="en-US"/>
        </w:rPr>
        <w:t xml:space="preserve">means of </w:t>
      </w:r>
      <w:r w:rsidR="00207CF9" w:rsidRPr="00104227">
        <w:rPr>
          <w:lang w:val="en-US"/>
        </w:rPr>
        <w:t xml:space="preserve">transportation, felony kidnapping, and organized crime. Also, under criminal case </w:t>
      </w:r>
      <w:r w:rsidR="008D3A5E" w:rsidRPr="00104227">
        <w:rPr>
          <w:lang w:val="en-US"/>
        </w:rPr>
        <w:t xml:space="preserve">95/2006, </w:t>
      </w:r>
      <w:r w:rsidR="00B851FA" w:rsidRPr="00104227">
        <w:rPr>
          <w:lang w:val="en-US"/>
        </w:rPr>
        <w:t>on May 4,</w:t>
      </w:r>
      <w:r w:rsidR="008D3A5E" w:rsidRPr="00104227">
        <w:rPr>
          <w:lang w:val="en-US"/>
        </w:rPr>
        <w:t xml:space="preserve"> 2006</w:t>
      </w:r>
      <w:r w:rsidR="00207CF9" w:rsidRPr="00104227">
        <w:rPr>
          <w:lang w:val="en-US"/>
        </w:rPr>
        <w:t>,</w:t>
      </w:r>
      <w:r w:rsidR="008D3A5E" w:rsidRPr="00104227">
        <w:rPr>
          <w:lang w:val="en-US"/>
        </w:rPr>
        <w:t xml:space="preserve"> María Patricia Romero </w:t>
      </w:r>
      <w:r w:rsidR="00207CF9" w:rsidRPr="00104227">
        <w:rPr>
          <w:lang w:val="en-US"/>
        </w:rPr>
        <w:t xml:space="preserve">was brought </w:t>
      </w:r>
      <w:r w:rsidR="004617E1" w:rsidRPr="00104227">
        <w:rPr>
          <w:lang w:val="en-US"/>
        </w:rPr>
        <w:t>before the</w:t>
      </w:r>
      <w:r w:rsidR="008D3A5E" w:rsidRPr="00104227">
        <w:rPr>
          <w:lang w:val="en-US"/>
        </w:rPr>
        <w:t xml:space="preserve"> </w:t>
      </w:r>
      <w:r w:rsidR="00207CF9" w:rsidRPr="00104227">
        <w:rPr>
          <w:lang w:val="en-US"/>
        </w:rPr>
        <w:t xml:space="preserve">same court for the offenses of bearing a prohibited weapon, insults and malicious injury. </w:t>
      </w:r>
      <w:r w:rsidR="00E31E41" w:rsidRPr="00104227">
        <w:rPr>
          <w:lang w:val="en-US"/>
        </w:rPr>
        <w:t>On May 10,</w:t>
      </w:r>
      <w:r w:rsidR="008D3A5E" w:rsidRPr="00104227">
        <w:rPr>
          <w:lang w:val="en-US"/>
        </w:rPr>
        <w:t xml:space="preserve"> 2006, </w:t>
      </w:r>
      <w:r w:rsidR="00207CF9" w:rsidRPr="00104227">
        <w:rPr>
          <w:lang w:val="en-US"/>
        </w:rPr>
        <w:t>the said court issued an order</w:t>
      </w:r>
      <w:r w:rsidR="00CA75B4" w:rsidRPr="00104227">
        <w:rPr>
          <w:lang w:val="en-US"/>
        </w:rPr>
        <w:t xml:space="preserve"> on the </w:t>
      </w:r>
      <w:r w:rsidR="00C2762E" w:rsidRPr="00104227">
        <w:rPr>
          <w:lang w:val="en-US"/>
        </w:rPr>
        <w:t>constitutional time limit</w:t>
      </w:r>
      <w:r w:rsidR="00207CF9" w:rsidRPr="00104227">
        <w:rPr>
          <w:lang w:val="en-US"/>
        </w:rPr>
        <w:t xml:space="preserve"> in which</w:t>
      </w:r>
      <w:r w:rsidR="008D3A5E" w:rsidRPr="00104227">
        <w:rPr>
          <w:lang w:val="en-US"/>
        </w:rPr>
        <w:t xml:space="preserve"> </w:t>
      </w:r>
      <w:r w:rsidR="00F12946" w:rsidRPr="00104227">
        <w:rPr>
          <w:lang w:val="en-US"/>
        </w:rPr>
        <w:t>the eleven women</w:t>
      </w:r>
      <w:r w:rsidR="008D3A5E" w:rsidRPr="00104227">
        <w:rPr>
          <w:lang w:val="en-US"/>
        </w:rPr>
        <w:t xml:space="preserve"> </w:t>
      </w:r>
      <w:r w:rsidR="00207CF9" w:rsidRPr="00104227">
        <w:rPr>
          <w:lang w:val="en-US"/>
        </w:rPr>
        <w:t>were ordered to stand trial</w:t>
      </w:r>
      <w:r w:rsidR="008D3A5E" w:rsidRPr="00104227">
        <w:rPr>
          <w:lang w:val="en-US"/>
        </w:rPr>
        <w:t>.</w:t>
      </w:r>
    </w:p>
    <w:p w14:paraId="358020D2" w14:textId="77777777" w:rsidR="008D3A5E" w:rsidRPr="00104227" w:rsidRDefault="008D3A5E" w:rsidP="00E4619F">
      <w:pPr>
        <w:tabs>
          <w:tab w:val="left" w:pos="567"/>
        </w:tabs>
      </w:pPr>
    </w:p>
    <w:p w14:paraId="0F77EE76" w14:textId="1BADDB18" w:rsidR="008D3A5E" w:rsidRPr="00104227" w:rsidRDefault="00F12946" w:rsidP="00E4619F">
      <w:pPr>
        <w:pStyle w:val="Numberedparagraphs"/>
        <w:tabs>
          <w:tab w:val="left" w:pos="567"/>
        </w:tabs>
        <w:rPr>
          <w:lang w:val="en-US"/>
        </w:rPr>
      </w:pPr>
      <w:bookmarkStart w:id="204" w:name="_Ref532937790"/>
      <w:r w:rsidRPr="00104227">
        <w:rPr>
          <w:lang w:val="en-US"/>
        </w:rPr>
        <w:lastRenderedPageBreak/>
        <w:t>The eleven women</w:t>
      </w:r>
      <w:r w:rsidR="008D3A5E" w:rsidRPr="00104227">
        <w:rPr>
          <w:lang w:val="en-US"/>
        </w:rPr>
        <w:t xml:space="preserve"> </w:t>
      </w:r>
      <w:r w:rsidR="00A520B7" w:rsidRPr="00104227">
        <w:rPr>
          <w:lang w:val="en-US"/>
        </w:rPr>
        <w:t>were released between</w:t>
      </w:r>
      <w:r w:rsidR="008D3A5E" w:rsidRPr="00104227">
        <w:rPr>
          <w:lang w:val="en-US"/>
        </w:rPr>
        <w:t xml:space="preserve"> </w:t>
      </w:r>
      <w:r w:rsidR="00A520B7" w:rsidRPr="00104227">
        <w:rPr>
          <w:lang w:val="en-US"/>
        </w:rPr>
        <w:t>May</w:t>
      </w:r>
      <w:r w:rsidR="008D3A5E" w:rsidRPr="00104227">
        <w:rPr>
          <w:lang w:val="en-US"/>
        </w:rPr>
        <w:t xml:space="preserve"> 2006</w:t>
      </w:r>
      <w:r w:rsidR="00BF5241" w:rsidRPr="00104227">
        <w:rPr>
          <w:lang w:val="en-US"/>
        </w:rPr>
        <w:t xml:space="preserve"> and </w:t>
      </w:r>
      <w:r w:rsidR="00A520B7" w:rsidRPr="00104227">
        <w:rPr>
          <w:lang w:val="en-US"/>
        </w:rPr>
        <w:t>Augu</w:t>
      </w:r>
      <w:r w:rsidR="00061E9E" w:rsidRPr="00104227">
        <w:rPr>
          <w:lang w:val="en-US"/>
        </w:rPr>
        <w:t>s</w:t>
      </w:r>
      <w:r w:rsidR="00A520B7" w:rsidRPr="00104227">
        <w:rPr>
          <w:lang w:val="en-US"/>
        </w:rPr>
        <w:t>t</w:t>
      </w:r>
      <w:r w:rsidR="008D3A5E" w:rsidRPr="00104227">
        <w:rPr>
          <w:lang w:val="en-US"/>
        </w:rPr>
        <w:t xml:space="preserve"> 2008</w:t>
      </w:r>
      <w:r w:rsidR="00A520B7" w:rsidRPr="00104227">
        <w:rPr>
          <w:lang w:val="en-US"/>
        </w:rPr>
        <w:t>.</w:t>
      </w:r>
      <w:r w:rsidR="008D3A5E" w:rsidRPr="00104227">
        <w:rPr>
          <w:vertAlign w:val="superscript"/>
          <w:lang w:val="en-US"/>
        </w:rPr>
        <w:footnoteReference w:id="125"/>
      </w:r>
      <w:r w:rsidR="008D3A5E" w:rsidRPr="00104227">
        <w:rPr>
          <w:lang w:val="en-US"/>
        </w:rPr>
        <w:t xml:space="preserve"> </w:t>
      </w:r>
      <w:r w:rsidR="00061E9E" w:rsidRPr="00104227">
        <w:rPr>
          <w:lang w:val="en-US"/>
        </w:rPr>
        <w:t>On</w:t>
      </w:r>
      <w:r w:rsidR="008D3A5E" w:rsidRPr="00104227">
        <w:rPr>
          <w:lang w:val="en-US"/>
        </w:rPr>
        <w:t xml:space="preserve"> </w:t>
      </w:r>
      <w:r w:rsidR="00A520B7" w:rsidRPr="00104227">
        <w:rPr>
          <w:lang w:val="en-US"/>
        </w:rPr>
        <w:t>May 13</w:t>
      </w:r>
      <w:r w:rsidR="00061E9E" w:rsidRPr="00104227">
        <w:rPr>
          <w:lang w:val="en-US"/>
        </w:rPr>
        <w:t>,</w:t>
      </w:r>
      <w:r w:rsidR="008D3A5E" w:rsidRPr="00104227">
        <w:rPr>
          <w:lang w:val="en-US"/>
        </w:rPr>
        <w:t xml:space="preserve"> 2008</w:t>
      </w:r>
      <w:r w:rsidR="00061E9E" w:rsidRPr="00104227">
        <w:rPr>
          <w:lang w:val="en-US"/>
        </w:rPr>
        <w:t>, an order to dismiss the proceedings</w:t>
      </w:r>
      <w:r w:rsidR="00C2762E" w:rsidRPr="00104227">
        <w:rPr>
          <w:lang w:val="en-US"/>
        </w:rPr>
        <w:t>, with the effects of an acquittal,</w:t>
      </w:r>
      <w:r w:rsidR="00061E9E" w:rsidRPr="00104227">
        <w:rPr>
          <w:lang w:val="en-US"/>
        </w:rPr>
        <w:t xml:space="preserve"> was issued in favor of </w:t>
      </w:r>
      <w:r w:rsidR="008D3A5E" w:rsidRPr="00104227">
        <w:rPr>
          <w:lang w:val="en-US"/>
        </w:rPr>
        <w:t xml:space="preserve">Yolanda Muñoz Diosdada, Ana María Velasco Rodríguez, María Cristina Sánchez Hernández, Norma Aidé Jiménez Osorio, Mariana Selvas Gómez, Georgina Edith </w:t>
      </w:r>
      <w:r w:rsidR="00DA23B8" w:rsidRPr="00104227">
        <w:rPr>
          <w:lang w:val="en-US"/>
        </w:rPr>
        <w:t>Rosales</w:t>
      </w:r>
      <w:r w:rsidR="008D3A5E" w:rsidRPr="00104227">
        <w:rPr>
          <w:lang w:val="en-US"/>
        </w:rPr>
        <w:t xml:space="preserve"> Gutiérrez, Suhelen Gabriela Cuevas Jaramillo, Bárbara Italia Méndez Moreno, </w:t>
      </w:r>
      <w:r w:rsidR="0047539E" w:rsidRPr="00104227">
        <w:rPr>
          <w:lang w:val="en-US"/>
        </w:rPr>
        <w:t>Angélica Patricia Torres</w:t>
      </w:r>
      <w:r w:rsidR="008D3A5E" w:rsidRPr="00104227">
        <w:rPr>
          <w:lang w:val="en-US"/>
        </w:rPr>
        <w:t xml:space="preserve"> Linares</w:t>
      </w:r>
      <w:r w:rsidR="00BF5241" w:rsidRPr="00104227">
        <w:rPr>
          <w:lang w:val="en-US"/>
        </w:rPr>
        <w:t xml:space="preserve"> and </w:t>
      </w:r>
      <w:r w:rsidR="008D3A5E" w:rsidRPr="00104227">
        <w:rPr>
          <w:lang w:val="en-US"/>
        </w:rPr>
        <w:t>Claudia Hernández Martínez</w:t>
      </w:r>
      <w:r w:rsidR="00061E9E" w:rsidRPr="00104227">
        <w:rPr>
          <w:lang w:val="en-US"/>
        </w:rPr>
        <w:t xml:space="preserve">, because the 90-day time limit had passed without </w:t>
      </w:r>
      <w:r w:rsidR="00024310" w:rsidRPr="00104227">
        <w:rPr>
          <w:lang w:val="en-US"/>
        </w:rPr>
        <w:t>the Public Prosecution Service</w:t>
      </w:r>
      <w:r w:rsidR="008D3A5E" w:rsidRPr="00104227">
        <w:rPr>
          <w:lang w:val="en-US"/>
        </w:rPr>
        <w:t xml:space="preserve"> </w:t>
      </w:r>
      <w:r w:rsidR="00061E9E" w:rsidRPr="00104227">
        <w:rPr>
          <w:lang w:val="en-US"/>
        </w:rPr>
        <w:t>taking any action.</w:t>
      </w:r>
      <w:r w:rsidR="008D3A5E" w:rsidRPr="00104227">
        <w:rPr>
          <w:vertAlign w:val="superscript"/>
          <w:lang w:val="en-US"/>
        </w:rPr>
        <w:footnoteReference w:id="126"/>
      </w:r>
      <w:r w:rsidR="00BC5A2F" w:rsidRPr="00104227">
        <w:rPr>
          <w:lang w:val="en-US"/>
        </w:rPr>
        <w:t xml:space="preserve"> A</w:t>
      </w:r>
      <w:r w:rsidR="00061E9E" w:rsidRPr="00104227">
        <w:rPr>
          <w:lang w:val="en-US"/>
        </w:rPr>
        <w:t xml:space="preserve">lso, on July 17, </w:t>
      </w:r>
      <w:r w:rsidR="008D3A5E" w:rsidRPr="00104227">
        <w:rPr>
          <w:lang w:val="en-US"/>
        </w:rPr>
        <w:t>2008</w:t>
      </w:r>
      <w:r w:rsidR="00061E9E" w:rsidRPr="00104227">
        <w:rPr>
          <w:lang w:val="en-US"/>
        </w:rPr>
        <w:t xml:space="preserve">, an order was </w:t>
      </w:r>
      <w:r w:rsidR="00C2762E" w:rsidRPr="00104227">
        <w:rPr>
          <w:lang w:val="en-US"/>
        </w:rPr>
        <w:t>issued</w:t>
      </w:r>
      <w:r w:rsidR="00061E9E" w:rsidRPr="00104227">
        <w:rPr>
          <w:lang w:val="en-US"/>
        </w:rPr>
        <w:t xml:space="preserve"> to release </w:t>
      </w:r>
      <w:r w:rsidR="008D3A5E" w:rsidRPr="00104227">
        <w:rPr>
          <w:lang w:val="en-US"/>
        </w:rPr>
        <w:t>Norma</w:t>
      </w:r>
      <w:r w:rsidR="003F6036" w:rsidRPr="00104227">
        <w:rPr>
          <w:lang w:val="en-US"/>
        </w:rPr>
        <w:t xml:space="preserve"> Aidé</w:t>
      </w:r>
      <w:r w:rsidR="008D3A5E" w:rsidRPr="00104227">
        <w:rPr>
          <w:lang w:val="en-US"/>
        </w:rPr>
        <w:t xml:space="preserve"> Jiménez Osorio</w:t>
      </w:r>
      <w:r w:rsidR="008D3A5E" w:rsidRPr="00104227">
        <w:rPr>
          <w:rStyle w:val="Refdenotaalpie"/>
          <w:lang w:val="en-US"/>
        </w:rPr>
        <w:footnoteReference w:id="127"/>
      </w:r>
      <w:r w:rsidR="00BF5241" w:rsidRPr="00104227">
        <w:rPr>
          <w:lang w:val="en-US"/>
        </w:rPr>
        <w:t xml:space="preserve"> and </w:t>
      </w:r>
      <w:r w:rsidR="008D3A5E" w:rsidRPr="00104227">
        <w:rPr>
          <w:lang w:val="en-US"/>
        </w:rPr>
        <w:t>Mariana Selvas Gómez</w:t>
      </w:r>
      <w:r w:rsidR="008D3A5E" w:rsidRPr="00104227">
        <w:rPr>
          <w:vertAlign w:val="superscript"/>
          <w:lang w:val="en-US"/>
        </w:rPr>
        <w:footnoteReference w:id="128"/>
      </w:r>
      <w:r w:rsidR="00061E9E" w:rsidRPr="00104227">
        <w:rPr>
          <w:lang w:val="en-US"/>
        </w:rPr>
        <w:t xml:space="preserve"> because there was no evidence to prosecute them</w:t>
      </w:r>
      <w:r w:rsidR="008D3A5E" w:rsidRPr="00104227">
        <w:rPr>
          <w:lang w:val="en-US"/>
        </w:rPr>
        <w:t xml:space="preserve">. </w:t>
      </w:r>
      <w:r w:rsidR="006F5741" w:rsidRPr="00104227">
        <w:rPr>
          <w:lang w:val="en-US"/>
        </w:rPr>
        <w:t>On May 24,</w:t>
      </w:r>
      <w:r w:rsidR="008D3A5E" w:rsidRPr="00104227">
        <w:rPr>
          <w:lang w:val="en-US"/>
        </w:rPr>
        <w:t xml:space="preserve"> 2011</w:t>
      </w:r>
      <w:r w:rsidR="00061E9E" w:rsidRPr="00104227">
        <w:rPr>
          <w:lang w:val="en-US"/>
        </w:rPr>
        <w:t xml:space="preserve">, an order was </w:t>
      </w:r>
      <w:r w:rsidR="00C2762E" w:rsidRPr="00104227">
        <w:rPr>
          <w:lang w:val="en-US"/>
        </w:rPr>
        <w:t>issued</w:t>
      </w:r>
      <w:r w:rsidR="00061E9E" w:rsidRPr="00104227">
        <w:rPr>
          <w:lang w:val="en-US"/>
        </w:rPr>
        <w:t xml:space="preserve"> to release </w:t>
      </w:r>
      <w:r w:rsidR="008D3A5E" w:rsidRPr="00104227">
        <w:rPr>
          <w:lang w:val="en-US"/>
        </w:rPr>
        <w:t xml:space="preserve">Claudia Hernández Martínez </w:t>
      </w:r>
      <w:r w:rsidR="00061E9E" w:rsidRPr="00104227">
        <w:rPr>
          <w:lang w:val="en-US"/>
        </w:rPr>
        <w:t>based on lack of evidence to prosecute her.</w:t>
      </w:r>
      <w:r w:rsidR="008D3A5E" w:rsidRPr="00104227">
        <w:rPr>
          <w:rStyle w:val="Refdenotaalpie"/>
          <w:lang w:val="en-US"/>
        </w:rPr>
        <w:footnoteReference w:id="129"/>
      </w:r>
      <w:r w:rsidR="008D3A5E" w:rsidRPr="00104227">
        <w:rPr>
          <w:lang w:val="en-US"/>
        </w:rPr>
        <w:t xml:space="preserve"> </w:t>
      </w:r>
      <w:r w:rsidR="00061E9E" w:rsidRPr="00104227">
        <w:rPr>
          <w:lang w:val="en-US"/>
        </w:rPr>
        <w:t>On</w:t>
      </w:r>
      <w:r w:rsidR="008D3A5E" w:rsidRPr="00104227">
        <w:rPr>
          <w:lang w:val="en-US"/>
        </w:rPr>
        <w:t xml:space="preserve"> </w:t>
      </w:r>
      <w:r w:rsidR="005C421F" w:rsidRPr="00104227">
        <w:rPr>
          <w:lang w:val="en-US"/>
        </w:rPr>
        <w:t>August 27,</w:t>
      </w:r>
      <w:r w:rsidR="008D3A5E" w:rsidRPr="00104227">
        <w:rPr>
          <w:lang w:val="en-US"/>
        </w:rPr>
        <w:t xml:space="preserve"> 2008</w:t>
      </w:r>
      <w:r w:rsidR="00061E9E" w:rsidRPr="00104227">
        <w:rPr>
          <w:lang w:val="en-US"/>
        </w:rPr>
        <w:t>,</w:t>
      </w:r>
      <w:r w:rsidR="008D3A5E" w:rsidRPr="00104227">
        <w:rPr>
          <w:lang w:val="en-US"/>
        </w:rPr>
        <w:t xml:space="preserve"> </w:t>
      </w:r>
      <w:r w:rsidR="00061E9E" w:rsidRPr="00104227">
        <w:rPr>
          <w:lang w:val="en-US"/>
        </w:rPr>
        <w:t xml:space="preserve">an order to dismiss the proceedings, with the effects of an acquittal, was issued in favor </w:t>
      </w:r>
      <w:r w:rsidR="008D3A5E" w:rsidRPr="00104227">
        <w:rPr>
          <w:lang w:val="en-US"/>
        </w:rPr>
        <w:t xml:space="preserve">Georgina Edith </w:t>
      </w:r>
      <w:r w:rsidR="00DA23B8" w:rsidRPr="00104227">
        <w:rPr>
          <w:lang w:val="en-US"/>
        </w:rPr>
        <w:t>Rosales</w:t>
      </w:r>
      <w:r w:rsidR="008D3A5E" w:rsidRPr="00104227">
        <w:rPr>
          <w:lang w:val="en-US"/>
        </w:rPr>
        <w:t xml:space="preserve"> Gutiérrez, </w:t>
      </w:r>
      <w:r w:rsidR="00061E9E" w:rsidRPr="00104227">
        <w:rPr>
          <w:lang w:val="en-US"/>
        </w:rPr>
        <w:t>because the 90-day time limit had passed without the Public Prosecution Service taking any action.</w:t>
      </w:r>
      <w:r w:rsidR="008D3A5E" w:rsidRPr="00104227">
        <w:rPr>
          <w:rStyle w:val="Refdenotaalpie"/>
          <w:lang w:val="en-US"/>
        </w:rPr>
        <w:footnoteReference w:id="130"/>
      </w:r>
      <w:bookmarkEnd w:id="204"/>
    </w:p>
    <w:p w14:paraId="0703D400" w14:textId="77777777" w:rsidR="008D3A5E" w:rsidRPr="00104227" w:rsidRDefault="008D3A5E" w:rsidP="00E4619F">
      <w:pPr>
        <w:tabs>
          <w:tab w:val="left" w:pos="567"/>
        </w:tabs>
      </w:pPr>
    </w:p>
    <w:p w14:paraId="5446644F" w14:textId="384AB1EB" w:rsidR="008D3A5E" w:rsidRPr="00104227" w:rsidRDefault="00061E9E" w:rsidP="00E4619F">
      <w:pPr>
        <w:pStyle w:val="Numberedparagraphs"/>
        <w:tabs>
          <w:tab w:val="left" w:pos="567"/>
        </w:tabs>
        <w:rPr>
          <w:b/>
          <w:color w:val="00B050"/>
          <w:lang w:val="en-US"/>
        </w:rPr>
      </w:pPr>
      <w:bookmarkStart w:id="205" w:name="_Ref532976004"/>
      <w:r w:rsidRPr="00104227">
        <w:rPr>
          <w:lang w:val="en-US"/>
        </w:rPr>
        <w:t xml:space="preserve">Meanwhile, on </w:t>
      </w:r>
      <w:r w:rsidR="000A14CF" w:rsidRPr="00104227">
        <w:rPr>
          <w:lang w:val="en-US"/>
        </w:rPr>
        <w:t>August</w:t>
      </w:r>
      <w:r w:rsidRPr="00104227">
        <w:rPr>
          <w:lang w:val="en-US"/>
        </w:rPr>
        <w:t xml:space="preserve"> 21, 2008, </w:t>
      </w:r>
      <w:r w:rsidR="008D3A5E" w:rsidRPr="00104227">
        <w:rPr>
          <w:lang w:val="en-US"/>
        </w:rPr>
        <w:t xml:space="preserve">María Patricia Romero </w:t>
      </w:r>
      <w:r w:rsidR="003F6036" w:rsidRPr="00104227">
        <w:rPr>
          <w:lang w:val="en-US"/>
        </w:rPr>
        <w:t xml:space="preserve">Hernández </w:t>
      </w:r>
      <w:r w:rsidRPr="00104227">
        <w:rPr>
          <w:lang w:val="en-US"/>
        </w:rPr>
        <w:t xml:space="preserve">was convicted of insults and carrying a prohibited weapon, but was granted the benefit of commutation of </w:t>
      </w:r>
      <w:r w:rsidR="002D30DA" w:rsidRPr="00104227">
        <w:rPr>
          <w:lang w:val="en-US"/>
        </w:rPr>
        <w:t>her</w:t>
      </w:r>
      <w:r w:rsidRPr="00104227">
        <w:rPr>
          <w:lang w:val="en-US"/>
        </w:rPr>
        <w:t xml:space="preserve"> sentence.</w:t>
      </w:r>
      <w:r w:rsidR="008D3A5E" w:rsidRPr="00104227">
        <w:rPr>
          <w:vertAlign w:val="superscript"/>
          <w:lang w:val="en-US"/>
        </w:rPr>
        <w:footnoteReference w:id="131"/>
      </w:r>
      <w:r w:rsidR="008D3A5E" w:rsidRPr="00104227">
        <w:rPr>
          <w:lang w:val="en-US"/>
        </w:rPr>
        <w:t xml:space="preserve"> </w:t>
      </w:r>
      <w:r w:rsidRPr="00104227">
        <w:rPr>
          <w:lang w:val="en-US"/>
        </w:rPr>
        <w:t>On Augus</w:t>
      </w:r>
      <w:r w:rsidR="002D30DA" w:rsidRPr="00104227">
        <w:rPr>
          <w:lang w:val="en-US"/>
        </w:rPr>
        <w:t>t</w:t>
      </w:r>
      <w:r w:rsidRPr="00104227">
        <w:rPr>
          <w:lang w:val="en-US"/>
        </w:rPr>
        <w:t xml:space="preserve"> 9,</w:t>
      </w:r>
      <w:r w:rsidR="008D3A5E" w:rsidRPr="00104227">
        <w:rPr>
          <w:lang w:val="en-US"/>
        </w:rPr>
        <w:t xml:space="preserve"> 2017</w:t>
      </w:r>
      <w:r w:rsidRPr="00104227">
        <w:rPr>
          <w:lang w:val="en-US"/>
        </w:rPr>
        <w:t>, the conviction was annulled and she was declared to be innocent, after</w:t>
      </w:r>
      <w:r w:rsidR="008956EF" w:rsidRPr="00104227">
        <w:rPr>
          <w:lang w:val="en-US"/>
        </w:rPr>
        <w:t xml:space="preserve"> the Attorney General of the state of Mexico had</w:t>
      </w:r>
      <w:r w:rsidRPr="00104227">
        <w:rPr>
          <w:lang w:val="en-US"/>
        </w:rPr>
        <w:t xml:space="preserve"> fil</w:t>
      </w:r>
      <w:r w:rsidR="008956EF" w:rsidRPr="00104227">
        <w:rPr>
          <w:lang w:val="en-US"/>
        </w:rPr>
        <w:t>ed</w:t>
      </w:r>
      <w:r w:rsidRPr="00104227">
        <w:rPr>
          <w:lang w:val="en-US"/>
        </w:rPr>
        <w:t xml:space="preserve"> a special appeal</w:t>
      </w:r>
      <w:r w:rsidR="008956EF" w:rsidRPr="00104227">
        <w:rPr>
          <w:lang w:val="en-US"/>
        </w:rPr>
        <w:t xml:space="preserve"> considering that the violations </w:t>
      </w:r>
      <w:r w:rsidR="000A14CF" w:rsidRPr="00104227">
        <w:rPr>
          <w:lang w:val="en-US"/>
        </w:rPr>
        <w:t>committed</w:t>
      </w:r>
      <w:r w:rsidR="008956EF" w:rsidRPr="00104227">
        <w:rPr>
          <w:lang w:val="en-US"/>
        </w:rPr>
        <w:t xml:space="preserve"> against her “had corrupted the whole procee</w:t>
      </w:r>
      <w:r w:rsidR="002D30DA" w:rsidRPr="00104227">
        <w:rPr>
          <w:lang w:val="en-US"/>
        </w:rPr>
        <w:t>d</w:t>
      </w:r>
      <w:r w:rsidR="008956EF" w:rsidRPr="00104227">
        <w:rPr>
          <w:lang w:val="en-US"/>
        </w:rPr>
        <w:t>ing.</w:t>
      </w:r>
      <w:r w:rsidR="008D3A5E" w:rsidRPr="00104227">
        <w:rPr>
          <w:lang w:val="en-US"/>
        </w:rPr>
        <w:t>”</w:t>
      </w:r>
      <w:r w:rsidR="008D3A5E" w:rsidRPr="00104227">
        <w:rPr>
          <w:vertAlign w:val="superscript"/>
          <w:lang w:val="en-US"/>
        </w:rPr>
        <w:footnoteReference w:id="132"/>
      </w:r>
      <w:bookmarkEnd w:id="205"/>
    </w:p>
    <w:p w14:paraId="517C6DE4" w14:textId="77777777" w:rsidR="003D6661" w:rsidRPr="00104227" w:rsidRDefault="003D6661" w:rsidP="00E4619F">
      <w:pPr>
        <w:tabs>
          <w:tab w:val="left" w:pos="567"/>
        </w:tabs>
        <w:rPr>
          <w:lang w:eastAsia="es-MX"/>
        </w:rPr>
      </w:pPr>
    </w:p>
    <w:p w14:paraId="2D909E0B" w14:textId="0F0EC949" w:rsidR="003D6661" w:rsidRPr="00104227" w:rsidRDefault="008956EF" w:rsidP="00E4619F">
      <w:pPr>
        <w:pStyle w:val="Ttulo2"/>
        <w:tabs>
          <w:tab w:val="left" w:pos="709"/>
        </w:tabs>
        <w:ind w:left="993" w:hanging="360"/>
        <w:rPr>
          <w:lang w:val="en-US"/>
        </w:rPr>
      </w:pPr>
      <w:bookmarkStart w:id="206" w:name="_Toc31290579"/>
      <w:r w:rsidRPr="00104227">
        <w:rPr>
          <w:lang w:val="en-US"/>
        </w:rPr>
        <w:t xml:space="preserve">The domestic proceedings </w:t>
      </w:r>
      <w:r w:rsidR="002D30DA" w:rsidRPr="00104227">
        <w:rPr>
          <w:lang w:val="en-US"/>
        </w:rPr>
        <w:t>on the facts alleged to the detriment of the</w:t>
      </w:r>
      <w:r w:rsidRPr="00104227">
        <w:rPr>
          <w:lang w:val="en-US"/>
        </w:rPr>
        <w:t xml:space="preserve"> 11 women</w:t>
      </w:r>
      <w:bookmarkEnd w:id="206"/>
    </w:p>
    <w:p w14:paraId="200BDA26" w14:textId="77777777" w:rsidR="003D6661" w:rsidRPr="00104227" w:rsidRDefault="003D6661" w:rsidP="00E4619F">
      <w:pPr>
        <w:tabs>
          <w:tab w:val="left" w:pos="567"/>
        </w:tabs>
      </w:pPr>
    </w:p>
    <w:p w14:paraId="01BCA898" w14:textId="00459119" w:rsidR="003D6661" w:rsidRPr="00104227" w:rsidRDefault="001841E3" w:rsidP="00E4619F">
      <w:pPr>
        <w:pStyle w:val="Numberedparagraphs"/>
        <w:tabs>
          <w:tab w:val="left" w:pos="567"/>
        </w:tabs>
        <w:rPr>
          <w:lang w:val="en-US"/>
        </w:rPr>
      </w:pPr>
      <w:r w:rsidRPr="00104227">
        <w:rPr>
          <w:lang w:val="en-US"/>
        </w:rPr>
        <w:t>Following the events of</w:t>
      </w:r>
      <w:r w:rsidR="003D6661" w:rsidRPr="00104227">
        <w:rPr>
          <w:lang w:val="en-US"/>
        </w:rPr>
        <w:t xml:space="preserve"> </w:t>
      </w:r>
      <w:r w:rsidR="00DF5F3C" w:rsidRPr="00104227">
        <w:rPr>
          <w:lang w:val="en-US"/>
        </w:rPr>
        <w:t>May 3 and 4,</w:t>
      </w:r>
      <w:r w:rsidR="003D6661" w:rsidRPr="00104227">
        <w:rPr>
          <w:lang w:val="en-US"/>
        </w:rPr>
        <w:t xml:space="preserve"> 2006, </w:t>
      </w:r>
      <w:r w:rsidR="0065009A" w:rsidRPr="00104227">
        <w:rPr>
          <w:lang w:val="en-US"/>
        </w:rPr>
        <w:t>non-jurisdictional investigations, and</w:t>
      </w:r>
      <w:r w:rsidR="002D30DA" w:rsidRPr="00104227">
        <w:rPr>
          <w:lang w:val="en-US"/>
        </w:rPr>
        <w:t xml:space="preserve"> also</w:t>
      </w:r>
      <w:r w:rsidR="0065009A" w:rsidRPr="00104227">
        <w:rPr>
          <w:lang w:val="en-US"/>
        </w:rPr>
        <w:t xml:space="preserve"> criminal investigations</w:t>
      </w:r>
      <w:r w:rsidR="002D30DA" w:rsidRPr="00104227">
        <w:rPr>
          <w:lang w:val="en-US"/>
        </w:rPr>
        <w:t xml:space="preserve"> were opened</w:t>
      </w:r>
      <w:r w:rsidR="0065009A" w:rsidRPr="00104227">
        <w:rPr>
          <w:lang w:val="en-US"/>
        </w:rPr>
        <w:t xml:space="preserve">. Specifically, investigations were opened to document the facts by: (i) </w:t>
      </w:r>
      <w:r w:rsidR="00BF5241" w:rsidRPr="00104227">
        <w:rPr>
          <w:lang w:val="en-US"/>
        </w:rPr>
        <w:t xml:space="preserve">the </w:t>
      </w:r>
      <w:r w:rsidR="00F12946" w:rsidRPr="00104227">
        <w:rPr>
          <w:lang w:val="en-US"/>
        </w:rPr>
        <w:t>National Human Rights Commission</w:t>
      </w:r>
      <w:r w:rsidR="003D6661" w:rsidRPr="00104227">
        <w:rPr>
          <w:lang w:val="en-US"/>
        </w:rPr>
        <w:t xml:space="preserve"> (CNDH)</w:t>
      </w:r>
      <w:r w:rsidR="0065009A" w:rsidRPr="00104227">
        <w:rPr>
          <w:lang w:val="en-US"/>
        </w:rPr>
        <w:t>,</w:t>
      </w:r>
      <w:r w:rsidR="00BF5241" w:rsidRPr="00104227">
        <w:rPr>
          <w:lang w:val="en-US"/>
        </w:rPr>
        <w:t xml:space="preserve"> and </w:t>
      </w:r>
      <w:r w:rsidR="003D6661" w:rsidRPr="00104227">
        <w:rPr>
          <w:lang w:val="en-US"/>
        </w:rPr>
        <w:t xml:space="preserve">(ii) </w:t>
      </w:r>
      <w:r w:rsidR="008F27D0" w:rsidRPr="00104227">
        <w:rPr>
          <w:lang w:val="en-US"/>
        </w:rPr>
        <w:t xml:space="preserve">the </w:t>
      </w:r>
      <w:r w:rsidR="002D30DA" w:rsidRPr="00104227">
        <w:rPr>
          <w:lang w:val="en-US"/>
        </w:rPr>
        <w:t>Supreme Court of Justice of the Nation (</w:t>
      </w:r>
      <w:r w:rsidR="008F27D0" w:rsidRPr="00104227">
        <w:rPr>
          <w:lang w:val="en-US"/>
        </w:rPr>
        <w:t>SCJN</w:t>
      </w:r>
      <w:r w:rsidR="002D30DA" w:rsidRPr="00104227">
        <w:rPr>
          <w:lang w:val="en-US"/>
        </w:rPr>
        <w:t>)</w:t>
      </w:r>
      <w:r w:rsidR="003D6661" w:rsidRPr="00104227">
        <w:rPr>
          <w:lang w:val="en-US"/>
        </w:rPr>
        <w:t xml:space="preserve">, </w:t>
      </w:r>
      <w:r w:rsidR="002D30DA" w:rsidRPr="00104227">
        <w:rPr>
          <w:lang w:val="en-US"/>
        </w:rPr>
        <w:t>and also</w:t>
      </w:r>
      <w:r w:rsidR="0065009A" w:rsidRPr="00104227">
        <w:rPr>
          <w:lang w:val="en-US"/>
        </w:rPr>
        <w:t xml:space="preserve"> criminal investigations by</w:t>
      </w:r>
      <w:r w:rsidR="002D30DA" w:rsidRPr="00104227">
        <w:rPr>
          <w:lang w:val="en-US"/>
        </w:rPr>
        <w:t>:</w:t>
      </w:r>
      <w:r w:rsidR="0065009A" w:rsidRPr="00104227">
        <w:rPr>
          <w:lang w:val="en-US"/>
        </w:rPr>
        <w:t xml:space="preserve"> (iii) the state jurisdiction </w:t>
      </w:r>
      <w:r w:rsidR="002826A6" w:rsidRPr="00104227">
        <w:rPr>
          <w:lang w:val="en-US"/>
        </w:rPr>
        <w:t xml:space="preserve">of the </w:t>
      </w:r>
      <w:r w:rsidR="00CA330F" w:rsidRPr="00104227">
        <w:rPr>
          <w:lang w:val="en-US"/>
        </w:rPr>
        <w:t>state of Mexico</w:t>
      </w:r>
      <w:r w:rsidR="003D6661" w:rsidRPr="00104227">
        <w:rPr>
          <w:lang w:val="en-US"/>
        </w:rPr>
        <w:t>,</w:t>
      </w:r>
      <w:r w:rsidR="00BF5241" w:rsidRPr="00104227">
        <w:rPr>
          <w:lang w:val="en-US"/>
        </w:rPr>
        <w:t xml:space="preserve"> and </w:t>
      </w:r>
      <w:r w:rsidR="003D6661" w:rsidRPr="00104227">
        <w:rPr>
          <w:lang w:val="en-US"/>
        </w:rPr>
        <w:t xml:space="preserve">(iv) </w:t>
      </w:r>
      <w:r w:rsidR="0065009A" w:rsidRPr="00104227">
        <w:rPr>
          <w:lang w:val="en-US"/>
        </w:rPr>
        <w:t xml:space="preserve">the federal jurisdiction, through the Special Prosecutor for </w:t>
      </w:r>
      <w:r w:rsidR="00F75936" w:rsidRPr="00104227">
        <w:rPr>
          <w:lang w:val="en-US"/>
        </w:rPr>
        <w:t>Crimes</w:t>
      </w:r>
      <w:r w:rsidR="0065009A" w:rsidRPr="00104227">
        <w:rPr>
          <w:lang w:val="en-US"/>
        </w:rPr>
        <w:t xml:space="preserve"> relat</w:t>
      </w:r>
      <w:r w:rsidR="00C87135" w:rsidRPr="00104227">
        <w:rPr>
          <w:lang w:val="en-US"/>
        </w:rPr>
        <w:t>ed</w:t>
      </w:r>
      <w:r w:rsidR="0065009A" w:rsidRPr="00104227">
        <w:rPr>
          <w:lang w:val="en-US"/>
        </w:rPr>
        <w:t xml:space="preserve"> to Acts of Violence against Women in </w:t>
      </w:r>
      <w:r w:rsidR="00C87135" w:rsidRPr="00104227">
        <w:rPr>
          <w:lang w:val="en-US"/>
        </w:rPr>
        <w:t xml:space="preserve">the </w:t>
      </w:r>
      <w:r w:rsidR="002D30DA" w:rsidRPr="00104227">
        <w:rPr>
          <w:lang w:val="en-US"/>
        </w:rPr>
        <w:t>c</w:t>
      </w:r>
      <w:r w:rsidR="00C87135" w:rsidRPr="00104227">
        <w:rPr>
          <w:lang w:val="en-US"/>
        </w:rPr>
        <w:t>ountry</w:t>
      </w:r>
      <w:r w:rsidR="003D6661" w:rsidRPr="00104227">
        <w:rPr>
          <w:lang w:val="en-US"/>
        </w:rPr>
        <w:t xml:space="preserve"> (</w:t>
      </w:r>
      <w:r w:rsidR="00BF5241" w:rsidRPr="00104227">
        <w:rPr>
          <w:lang w:val="en-US"/>
        </w:rPr>
        <w:t>hereinafter</w:t>
      </w:r>
      <w:r w:rsidR="003D6661" w:rsidRPr="00104227">
        <w:rPr>
          <w:lang w:val="en-US"/>
        </w:rPr>
        <w:t xml:space="preserve"> “</w:t>
      </w:r>
      <w:r w:rsidR="0065009A" w:rsidRPr="00104227">
        <w:rPr>
          <w:lang w:val="en-US"/>
        </w:rPr>
        <w:t xml:space="preserve">the </w:t>
      </w:r>
      <w:r w:rsidR="003D6661" w:rsidRPr="00104227">
        <w:rPr>
          <w:lang w:val="en-US"/>
        </w:rPr>
        <w:t xml:space="preserve">FEVIM”). </w:t>
      </w:r>
    </w:p>
    <w:p w14:paraId="3D9C78F4" w14:textId="77777777" w:rsidR="003D6661" w:rsidRPr="00104227" w:rsidRDefault="003D6661" w:rsidP="00E4619F">
      <w:pPr>
        <w:tabs>
          <w:tab w:val="left" w:pos="567"/>
        </w:tabs>
      </w:pPr>
    </w:p>
    <w:p w14:paraId="3F40E5D9" w14:textId="63441057" w:rsidR="003D6661" w:rsidRPr="00104227" w:rsidRDefault="003D6661" w:rsidP="002D30DA">
      <w:pPr>
        <w:pStyle w:val="Ttulo3"/>
        <w:tabs>
          <w:tab w:val="left" w:pos="567"/>
        </w:tabs>
        <w:rPr>
          <w:lang w:val="en-US"/>
        </w:rPr>
      </w:pPr>
      <w:bookmarkStart w:id="207" w:name="_Toc433650887"/>
      <w:bookmarkStart w:id="208" w:name="_Toc433650989"/>
      <w:bookmarkStart w:id="209" w:name="_Toc438128498"/>
      <w:bookmarkStart w:id="210" w:name="_Toc527464916"/>
      <w:bookmarkStart w:id="211" w:name="_Toc31290580"/>
      <w:r w:rsidRPr="00104227">
        <w:rPr>
          <w:lang w:val="en-US"/>
        </w:rPr>
        <w:t xml:space="preserve">C.1 </w:t>
      </w:r>
      <w:r w:rsidR="0065009A" w:rsidRPr="00104227">
        <w:rPr>
          <w:lang w:val="en-US"/>
        </w:rPr>
        <w:t>Investigation conducted by the</w:t>
      </w:r>
      <w:r w:rsidRPr="00104227">
        <w:rPr>
          <w:lang w:val="en-US"/>
        </w:rPr>
        <w:t xml:space="preserve"> CNDH</w:t>
      </w:r>
      <w:bookmarkEnd w:id="207"/>
      <w:bookmarkEnd w:id="208"/>
      <w:bookmarkEnd w:id="209"/>
      <w:bookmarkEnd w:id="210"/>
      <w:bookmarkEnd w:id="211"/>
    </w:p>
    <w:p w14:paraId="37BE9704" w14:textId="23099D8B" w:rsidR="003D6661" w:rsidRPr="00104227" w:rsidRDefault="00B851FA" w:rsidP="00E4619F">
      <w:pPr>
        <w:pStyle w:val="Numberedparagraphs"/>
        <w:tabs>
          <w:tab w:val="left" w:pos="567"/>
        </w:tabs>
        <w:rPr>
          <w:lang w:val="en-US"/>
        </w:rPr>
      </w:pPr>
      <w:r w:rsidRPr="00104227">
        <w:rPr>
          <w:lang w:val="en-US"/>
        </w:rPr>
        <w:lastRenderedPageBreak/>
        <w:t>On May 3,</w:t>
      </w:r>
      <w:r w:rsidR="003D6661" w:rsidRPr="00104227">
        <w:rPr>
          <w:lang w:val="en-US"/>
        </w:rPr>
        <w:t xml:space="preserve"> 2006</w:t>
      </w:r>
      <w:r w:rsidR="00856BE5" w:rsidRPr="00104227">
        <w:rPr>
          <w:lang w:val="en-US"/>
        </w:rPr>
        <w:t>,</w:t>
      </w:r>
      <w:r w:rsidR="003D6661" w:rsidRPr="00104227">
        <w:rPr>
          <w:lang w:val="en-US"/>
        </w:rPr>
        <w:t xml:space="preserve"> </w:t>
      </w:r>
      <w:r w:rsidR="0065009A" w:rsidRPr="00104227">
        <w:rPr>
          <w:lang w:val="en-US"/>
        </w:rPr>
        <w:t>the CNDH</w:t>
      </w:r>
      <w:r w:rsidR="003249E9" w:rsidRPr="00104227">
        <w:rPr>
          <w:rStyle w:val="Refdenotaalpie"/>
          <w:lang w:val="en-US"/>
        </w:rPr>
        <w:footnoteReference w:id="133"/>
      </w:r>
      <w:r w:rsidR="003D6661" w:rsidRPr="00104227">
        <w:rPr>
          <w:lang w:val="en-US"/>
        </w:rPr>
        <w:t xml:space="preserve"> </w:t>
      </w:r>
      <w:r w:rsidR="0065009A" w:rsidRPr="00104227">
        <w:rPr>
          <w:lang w:val="en-US"/>
        </w:rPr>
        <w:t xml:space="preserve">decided to open an </w:t>
      </w:r>
      <w:r w:rsidR="000A14CF" w:rsidRPr="00104227">
        <w:rPr>
          <w:lang w:val="en-US"/>
        </w:rPr>
        <w:t>investigation</w:t>
      </w:r>
      <w:r w:rsidR="0065009A" w:rsidRPr="00104227">
        <w:rPr>
          <w:lang w:val="en-US"/>
        </w:rPr>
        <w:t xml:space="preserve">, </w:t>
      </w:r>
      <w:r w:rsidR="0065009A" w:rsidRPr="00104227">
        <w:rPr>
          <w:i/>
          <w:iCs/>
          <w:lang w:val="en-US"/>
        </w:rPr>
        <w:t>ex officio</w:t>
      </w:r>
      <w:r w:rsidR="0065009A" w:rsidRPr="00104227">
        <w:rPr>
          <w:lang w:val="en-US"/>
        </w:rPr>
        <w:t xml:space="preserve">, based on newspaper reports indicating “events that presumably violated human rights” during the confrontations in </w:t>
      </w:r>
      <w:r w:rsidR="003D6661" w:rsidRPr="00104227">
        <w:rPr>
          <w:lang w:val="en-US"/>
        </w:rPr>
        <w:t>San Salvador Atenco</w:t>
      </w:r>
      <w:r w:rsidR="00BF5241" w:rsidRPr="00104227">
        <w:rPr>
          <w:lang w:val="en-US"/>
        </w:rPr>
        <w:t xml:space="preserve"> and </w:t>
      </w:r>
      <w:r w:rsidR="003D6661" w:rsidRPr="00104227">
        <w:rPr>
          <w:lang w:val="en-US"/>
        </w:rPr>
        <w:t xml:space="preserve">Texcoco </w:t>
      </w:r>
      <w:r w:rsidR="002D30DA" w:rsidRPr="00104227">
        <w:rPr>
          <w:lang w:val="en-US"/>
        </w:rPr>
        <w:t>on</w:t>
      </w:r>
      <w:r w:rsidR="003D6661" w:rsidRPr="00104227">
        <w:rPr>
          <w:lang w:val="en-US"/>
        </w:rPr>
        <w:t xml:space="preserve"> </w:t>
      </w:r>
      <w:r w:rsidR="00DF5F3C" w:rsidRPr="00104227">
        <w:rPr>
          <w:lang w:val="en-US"/>
        </w:rPr>
        <w:t>May 3</w:t>
      </w:r>
      <w:r w:rsidR="002D30DA" w:rsidRPr="00104227">
        <w:rPr>
          <w:lang w:val="en-US"/>
        </w:rPr>
        <w:t>,</w:t>
      </w:r>
      <w:r w:rsidR="00DF5F3C" w:rsidRPr="00104227">
        <w:rPr>
          <w:lang w:val="en-US"/>
        </w:rPr>
        <w:t xml:space="preserve"> and</w:t>
      </w:r>
      <w:r w:rsidR="002D30DA" w:rsidRPr="00104227">
        <w:rPr>
          <w:lang w:val="en-US"/>
        </w:rPr>
        <w:t xml:space="preserve"> then on May</w:t>
      </w:r>
      <w:r w:rsidR="00DF5F3C" w:rsidRPr="00104227">
        <w:rPr>
          <w:lang w:val="en-US"/>
        </w:rPr>
        <w:t xml:space="preserve"> 4,</w:t>
      </w:r>
      <w:r w:rsidR="003D6661" w:rsidRPr="00104227">
        <w:rPr>
          <w:lang w:val="en-US"/>
        </w:rPr>
        <w:t xml:space="preserve"> 2006</w:t>
      </w:r>
      <w:r w:rsidR="0065009A" w:rsidRPr="00104227">
        <w:rPr>
          <w:lang w:val="en-US"/>
        </w:rPr>
        <w:t>.</w:t>
      </w:r>
      <w:r w:rsidR="003D6661" w:rsidRPr="00104227">
        <w:rPr>
          <w:vertAlign w:val="superscript"/>
          <w:lang w:val="en-US"/>
        </w:rPr>
        <w:footnoteReference w:id="134"/>
      </w:r>
      <w:r w:rsidR="003D6661" w:rsidRPr="00104227">
        <w:rPr>
          <w:lang w:val="en-US"/>
        </w:rPr>
        <w:t xml:space="preserve"> </w:t>
      </w:r>
    </w:p>
    <w:p w14:paraId="25B43E7C" w14:textId="77777777" w:rsidR="003D6661" w:rsidRPr="00104227" w:rsidRDefault="003D6661" w:rsidP="00E4619F">
      <w:pPr>
        <w:tabs>
          <w:tab w:val="left" w:pos="567"/>
        </w:tabs>
      </w:pPr>
    </w:p>
    <w:p w14:paraId="0ECDE036" w14:textId="4132E11C" w:rsidR="003D6661" w:rsidRPr="00104227" w:rsidRDefault="0065009A" w:rsidP="0065009A">
      <w:pPr>
        <w:pStyle w:val="Numberedparagraphs"/>
        <w:tabs>
          <w:tab w:val="left" w:pos="567"/>
        </w:tabs>
        <w:rPr>
          <w:rFonts w:eastAsiaTheme="minorHAnsi" w:cs="Arial"/>
          <w:lang w:val="en-US"/>
        </w:rPr>
      </w:pPr>
      <w:bookmarkStart w:id="212" w:name="_Ref532934643"/>
      <w:r w:rsidRPr="00104227">
        <w:rPr>
          <w:lang w:val="en-US"/>
        </w:rPr>
        <w:t xml:space="preserve">In the context of this investigation, as of </w:t>
      </w:r>
      <w:r w:rsidR="00B851FA" w:rsidRPr="00104227">
        <w:rPr>
          <w:lang w:val="en-US"/>
        </w:rPr>
        <w:t>May 3,</w:t>
      </w:r>
      <w:r w:rsidR="003D6661" w:rsidRPr="00104227">
        <w:rPr>
          <w:lang w:val="en-US"/>
        </w:rPr>
        <w:t xml:space="preserve"> 2006</w:t>
      </w:r>
      <w:r w:rsidRPr="00104227">
        <w:rPr>
          <w:lang w:val="en-US"/>
        </w:rPr>
        <w:t>, deputy inspectors and medical experts attached to the CNDH</w:t>
      </w:r>
      <w:r w:rsidR="003D6661" w:rsidRPr="00104227">
        <w:rPr>
          <w:lang w:val="en-US"/>
        </w:rPr>
        <w:t xml:space="preserve"> </w:t>
      </w:r>
      <w:r w:rsidRPr="00104227">
        <w:rPr>
          <w:lang w:val="en-US"/>
        </w:rPr>
        <w:t xml:space="preserve">went to the site of the events, and also to the </w:t>
      </w:r>
      <w:r w:rsidR="003D6661" w:rsidRPr="00104227">
        <w:rPr>
          <w:lang w:val="en-US"/>
        </w:rPr>
        <w:t xml:space="preserve">CEPRESO, </w:t>
      </w:r>
      <w:r w:rsidRPr="00104227">
        <w:rPr>
          <w:lang w:val="en-US"/>
        </w:rPr>
        <w:t xml:space="preserve">to verify the situation </w:t>
      </w:r>
      <w:r w:rsidR="00D564D7" w:rsidRPr="00104227">
        <w:rPr>
          <w:lang w:val="en-US"/>
        </w:rPr>
        <w:t xml:space="preserve">and to </w:t>
      </w:r>
      <w:r w:rsidRPr="00104227">
        <w:rPr>
          <w:lang w:val="en-US"/>
        </w:rPr>
        <w:t>locate and gather information and statements</w:t>
      </w:r>
      <w:r w:rsidR="00E24405" w:rsidRPr="00104227">
        <w:rPr>
          <w:lang w:val="en-US"/>
        </w:rPr>
        <w:t xml:space="preserve">; they also </w:t>
      </w:r>
      <w:r w:rsidRPr="00104227">
        <w:rPr>
          <w:lang w:val="en-US"/>
        </w:rPr>
        <w:t>obtained photographic evidence and video of the aggrieved parties, as well as of the site of the events and the homes that had been affected. The CNDH interviewed individuals who reported that they had been victims of abuse by the authorities, including the women presumed victims in this case</w:t>
      </w:r>
      <w:r w:rsidR="00D564D7" w:rsidRPr="00104227">
        <w:rPr>
          <w:lang w:val="en-US"/>
        </w:rPr>
        <w:t>.</w:t>
      </w:r>
      <w:r w:rsidRPr="00104227">
        <w:rPr>
          <w:lang w:val="en-US"/>
        </w:rPr>
        <w:t xml:space="preserve"> </w:t>
      </w:r>
      <w:r w:rsidR="00D564D7" w:rsidRPr="00104227">
        <w:rPr>
          <w:lang w:val="en-US"/>
        </w:rPr>
        <w:t>I</w:t>
      </w:r>
      <w:r w:rsidRPr="00104227">
        <w:rPr>
          <w:lang w:val="en-US"/>
        </w:rPr>
        <w:t xml:space="preserve">t gathered physical, documentary and expert evidence, and requested information from the public institutions involved (authorities </w:t>
      </w:r>
      <w:r w:rsidRPr="00104227">
        <w:rPr>
          <w:rFonts w:eastAsiaTheme="minorHAnsi" w:cs="Arial"/>
          <w:lang w:val="en-US"/>
        </w:rPr>
        <w:t>of the</w:t>
      </w:r>
      <w:r w:rsidR="00E24405" w:rsidRPr="00104227">
        <w:rPr>
          <w:rFonts w:eastAsiaTheme="minorHAnsi" w:cs="Arial"/>
          <w:lang w:val="en-US"/>
        </w:rPr>
        <w:t xml:space="preserve"> </w:t>
      </w:r>
      <w:r w:rsidR="00E24405" w:rsidRPr="00104227">
        <w:rPr>
          <w:lang w:val="en-US"/>
        </w:rPr>
        <w:t>government of the</w:t>
      </w:r>
      <w:r w:rsidRPr="00104227">
        <w:rPr>
          <w:rFonts w:eastAsiaTheme="minorHAnsi" w:cs="Arial"/>
          <w:lang w:val="en-US"/>
        </w:rPr>
        <w:t xml:space="preserve"> state of Mexico and of the federal Government). </w:t>
      </w:r>
      <w:r w:rsidR="00D564D7" w:rsidRPr="00104227">
        <w:rPr>
          <w:lang w:val="en-US"/>
        </w:rPr>
        <w:t>It</w:t>
      </w:r>
      <w:r w:rsidRPr="00104227">
        <w:rPr>
          <w:lang w:val="en-US"/>
        </w:rPr>
        <w:t xml:space="preserve"> documented the cases of 212 individuals affected by the events and found that “numerous acts that violated constitutional guarantees</w:t>
      </w:r>
      <w:r w:rsidR="00D564D7" w:rsidRPr="00104227">
        <w:rPr>
          <w:lang w:val="en-US"/>
        </w:rPr>
        <w:t xml:space="preserve"> had been committed against 209 persons</w:t>
      </w:r>
      <w:r w:rsidRPr="00104227">
        <w:rPr>
          <w:lang w:val="en-US"/>
        </w:rPr>
        <w:t>.</w:t>
      </w:r>
      <w:r w:rsidR="003D6661" w:rsidRPr="00104227">
        <w:rPr>
          <w:lang w:val="en-US"/>
        </w:rPr>
        <w:t>”</w:t>
      </w:r>
      <w:r w:rsidR="003D6661" w:rsidRPr="00104227">
        <w:rPr>
          <w:rStyle w:val="Refdenotaalpie"/>
          <w:lang w:val="en-US"/>
        </w:rPr>
        <w:footnoteReference w:id="135"/>
      </w:r>
      <w:bookmarkEnd w:id="212"/>
    </w:p>
    <w:p w14:paraId="0B1F1DD6" w14:textId="77777777" w:rsidR="003D6661" w:rsidRPr="00104227" w:rsidRDefault="003D6661" w:rsidP="00E4619F">
      <w:pPr>
        <w:tabs>
          <w:tab w:val="left" w:pos="567"/>
        </w:tabs>
        <w:ind w:right="617"/>
        <w:rPr>
          <w:sz w:val="18"/>
          <w:szCs w:val="18"/>
        </w:rPr>
      </w:pPr>
    </w:p>
    <w:p w14:paraId="43C84048" w14:textId="5E3A0E7C" w:rsidR="003D6661" w:rsidRPr="00104227" w:rsidRDefault="0065009A" w:rsidP="00E4619F">
      <w:pPr>
        <w:pStyle w:val="Numberedparagraphs"/>
        <w:tabs>
          <w:tab w:val="left" w:pos="567"/>
        </w:tabs>
        <w:rPr>
          <w:lang w:val="en-US"/>
        </w:rPr>
      </w:pPr>
      <w:bookmarkStart w:id="213" w:name="_Ref532934648"/>
      <w:r w:rsidRPr="00104227">
        <w:rPr>
          <w:lang w:val="en-US"/>
        </w:rPr>
        <w:t>On</w:t>
      </w:r>
      <w:r w:rsidR="003D6661" w:rsidRPr="00104227">
        <w:rPr>
          <w:lang w:val="en-US"/>
        </w:rPr>
        <w:t xml:space="preserve"> </w:t>
      </w:r>
      <w:r w:rsidR="00CA330F" w:rsidRPr="00104227">
        <w:rPr>
          <w:lang w:val="en-US"/>
        </w:rPr>
        <w:t>October 16,</w:t>
      </w:r>
      <w:r w:rsidR="003D6661" w:rsidRPr="00104227">
        <w:rPr>
          <w:lang w:val="en-US"/>
        </w:rPr>
        <w:t xml:space="preserve"> 2006</w:t>
      </w:r>
      <w:r w:rsidRPr="00104227">
        <w:rPr>
          <w:lang w:val="en-US"/>
        </w:rPr>
        <w:t>,</w:t>
      </w:r>
      <w:r w:rsidR="003D6661" w:rsidRPr="00104227">
        <w:rPr>
          <w:lang w:val="en-US"/>
        </w:rPr>
        <w:t xml:space="preserve"> </w:t>
      </w:r>
      <w:r w:rsidRPr="00104227">
        <w:rPr>
          <w:lang w:val="en-US"/>
        </w:rPr>
        <w:t>the CNDH issued its</w:t>
      </w:r>
      <w:r w:rsidR="003D6661" w:rsidRPr="00104227">
        <w:rPr>
          <w:lang w:val="en-US"/>
        </w:rPr>
        <w:t xml:space="preserve"> </w:t>
      </w:r>
      <w:r w:rsidR="00856FE0" w:rsidRPr="00104227">
        <w:rPr>
          <w:lang w:val="en-US"/>
        </w:rPr>
        <w:t>Recommendation</w:t>
      </w:r>
      <w:r w:rsidR="003D6661" w:rsidRPr="00104227">
        <w:rPr>
          <w:lang w:val="en-US"/>
        </w:rPr>
        <w:t xml:space="preserve"> 38/2006 </w:t>
      </w:r>
      <w:r w:rsidRPr="00104227">
        <w:rPr>
          <w:lang w:val="en-US"/>
        </w:rPr>
        <w:t>addressed to the</w:t>
      </w:r>
      <w:r w:rsidR="003D6661" w:rsidRPr="00104227">
        <w:rPr>
          <w:lang w:val="en-US"/>
        </w:rPr>
        <w:t xml:space="preserve"> </w:t>
      </w:r>
      <w:r w:rsidRPr="00104227">
        <w:rPr>
          <w:lang w:val="en-US"/>
        </w:rPr>
        <w:t xml:space="preserve">Federal Minister of Public Security and the Governor </w:t>
      </w:r>
      <w:r w:rsidR="002826A6" w:rsidRPr="00104227">
        <w:rPr>
          <w:lang w:val="en-US"/>
        </w:rPr>
        <w:t xml:space="preserve">of the </w:t>
      </w:r>
      <w:r w:rsidR="00CA330F" w:rsidRPr="00104227">
        <w:rPr>
          <w:lang w:val="en-US"/>
        </w:rPr>
        <w:t>state of Mexico</w:t>
      </w:r>
      <w:r w:rsidR="003D6661" w:rsidRPr="00104227">
        <w:rPr>
          <w:lang w:val="en-US"/>
        </w:rPr>
        <w:t xml:space="preserve">, </w:t>
      </w:r>
      <w:r w:rsidRPr="00104227">
        <w:rPr>
          <w:lang w:val="en-US"/>
        </w:rPr>
        <w:t>among others.</w:t>
      </w:r>
      <w:r w:rsidR="003D6661" w:rsidRPr="00104227">
        <w:rPr>
          <w:rStyle w:val="Refdenotaalpie"/>
          <w:lang w:val="en-US"/>
        </w:rPr>
        <w:footnoteReference w:id="136"/>
      </w:r>
      <w:r w:rsidR="003D6661" w:rsidRPr="00104227">
        <w:rPr>
          <w:lang w:val="en-US"/>
        </w:rPr>
        <w:t xml:space="preserve"> </w:t>
      </w:r>
      <w:r w:rsidRPr="00104227">
        <w:rPr>
          <w:lang w:val="en-US"/>
        </w:rPr>
        <w:t>I</w:t>
      </w:r>
      <w:r w:rsidR="003D6661" w:rsidRPr="00104227">
        <w:rPr>
          <w:lang w:val="en-US"/>
        </w:rPr>
        <w:t xml:space="preserve">n </w:t>
      </w:r>
      <w:r w:rsidRPr="00104227">
        <w:rPr>
          <w:lang w:val="en-US"/>
        </w:rPr>
        <w:t>this</w:t>
      </w:r>
      <w:r w:rsidR="00403DBC" w:rsidRPr="00104227">
        <w:rPr>
          <w:lang w:val="en-US"/>
        </w:rPr>
        <w:t xml:space="preserve"> </w:t>
      </w:r>
      <w:r w:rsidR="00856FE0" w:rsidRPr="00104227">
        <w:rPr>
          <w:lang w:val="en-US"/>
        </w:rPr>
        <w:t>Recommendation</w:t>
      </w:r>
      <w:r w:rsidR="00403DBC" w:rsidRPr="00104227">
        <w:rPr>
          <w:lang w:val="en-US"/>
        </w:rPr>
        <w:t xml:space="preserve">, </w:t>
      </w:r>
      <w:r w:rsidRPr="00104227">
        <w:rPr>
          <w:lang w:val="en-US"/>
        </w:rPr>
        <w:t>the CNDH</w:t>
      </w:r>
      <w:r w:rsidR="00403DBC" w:rsidRPr="00104227">
        <w:rPr>
          <w:lang w:val="en-US"/>
        </w:rPr>
        <w:t xml:space="preserve"> </w:t>
      </w:r>
      <w:r w:rsidRPr="00104227">
        <w:rPr>
          <w:lang w:val="en-US"/>
        </w:rPr>
        <w:t xml:space="preserve">observed that state and federal authorities had committed a series of </w:t>
      </w:r>
      <w:r w:rsidR="00F12946" w:rsidRPr="00104227">
        <w:rPr>
          <w:lang w:val="en-US"/>
        </w:rPr>
        <w:t>human rights violations</w:t>
      </w:r>
      <w:r w:rsidRPr="00104227">
        <w:rPr>
          <w:lang w:val="en-US"/>
        </w:rPr>
        <w:t xml:space="preserve"> during the operations.</w:t>
      </w:r>
      <w:r w:rsidR="003D6661" w:rsidRPr="00104227">
        <w:rPr>
          <w:rStyle w:val="Refdenotaalpie"/>
          <w:lang w:val="en-US"/>
        </w:rPr>
        <w:footnoteReference w:id="137"/>
      </w:r>
      <w:r w:rsidRPr="00104227">
        <w:rPr>
          <w:lang w:val="en-US"/>
        </w:rPr>
        <w:t xml:space="preserve"> It considered that</w:t>
      </w:r>
      <w:r w:rsidR="003D6661" w:rsidRPr="00104227">
        <w:rPr>
          <w:lang w:val="en-US"/>
        </w:rPr>
        <w:t xml:space="preserve"> “207 perso</w:t>
      </w:r>
      <w:r w:rsidRPr="00104227">
        <w:rPr>
          <w:lang w:val="en-US"/>
        </w:rPr>
        <w:t xml:space="preserve">ns suffered cruel and/or degrading treatment,” and some had also been subjected to torture; it also noted the sexual abuse of women, and urged the authorities to open the corresponding investigations in their respective spheres (federal and state). In particular, it </w:t>
      </w:r>
      <w:r w:rsidR="00E24405" w:rsidRPr="00104227">
        <w:rPr>
          <w:lang w:val="en-US"/>
        </w:rPr>
        <w:t>noted</w:t>
      </w:r>
      <w:r w:rsidRPr="00104227">
        <w:rPr>
          <w:lang w:val="en-US"/>
        </w:rPr>
        <w:t xml:space="preserve"> that “the statements made by </w:t>
      </w:r>
      <w:r w:rsidR="003D6661" w:rsidRPr="00104227">
        <w:rPr>
          <w:lang w:val="en-US"/>
        </w:rPr>
        <w:t xml:space="preserve">26 </w:t>
      </w:r>
      <w:r w:rsidRPr="00104227">
        <w:rPr>
          <w:lang w:val="en-US"/>
        </w:rPr>
        <w:t xml:space="preserve">women involved in the events reveal the perpetration of presumed conducts that violated their sexual </w:t>
      </w:r>
      <w:r w:rsidR="00814DEC" w:rsidRPr="00104227">
        <w:rPr>
          <w:lang w:val="en-US"/>
        </w:rPr>
        <w:t>freedom</w:t>
      </w:r>
      <w:r w:rsidRPr="00104227">
        <w:rPr>
          <w:lang w:val="en-US"/>
        </w:rPr>
        <w:t xml:space="preserve"> </w:t>
      </w:r>
      <w:r w:rsidR="003D6661" w:rsidRPr="00104227">
        <w:rPr>
          <w:lang w:val="en-US"/>
        </w:rPr>
        <w:t>[</w:t>
      </w:r>
      <w:r w:rsidR="00814DEC" w:rsidRPr="00104227">
        <w:rPr>
          <w:lang w:val="en-US"/>
        </w:rPr>
        <w:t>…</w:t>
      </w:r>
      <w:r w:rsidR="003D6661" w:rsidRPr="00104227">
        <w:rPr>
          <w:lang w:val="en-US"/>
        </w:rPr>
        <w:t>]</w:t>
      </w:r>
      <w:r w:rsidR="00814DEC" w:rsidRPr="00104227">
        <w:rPr>
          <w:lang w:val="en-US"/>
        </w:rPr>
        <w:t xml:space="preserve">, which could constitute offenses such as sexual abuse and rape,” and it concluded, based on the evidence gathered, “that such acts were committed systematically against at least 26 women detained and transferred to the </w:t>
      </w:r>
      <w:r w:rsidR="003D6661" w:rsidRPr="00104227">
        <w:rPr>
          <w:lang w:val="en-US"/>
        </w:rPr>
        <w:t>[CEPRESO]</w:t>
      </w:r>
      <w:r w:rsidR="00814DEC" w:rsidRPr="00104227">
        <w:rPr>
          <w:lang w:val="en-US"/>
        </w:rPr>
        <w:t>.</w:t>
      </w:r>
      <w:r w:rsidR="003D6661" w:rsidRPr="00104227">
        <w:rPr>
          <w:lang w:val="en-US"/>
        </w:rPr>
        <w:t>”</w:t>
      </w:r>
      <w:r w:rsidR="003D6661" w:rsidRPr="00104227">
        <w:rPr>
          <w:rStyle w:val="Refdenotaalpie"/>
          <w:lang w:val="en-US"/>
        </w:rPr>
        <w:footnoteReference w:id="138"/>
      </w:r>
      <w:r w:rsidR="003D6661" w:rsidRPr="00104227">
        <w:rPr>
          <w:lang w:val="en-US"/>
        </w:rPr>
        <w:t xml:space="preserve"> </w:t>
      </w:r>
      <w:r w:rsidR="00814DEC" w:rsidRPr="00104227">
        <w:rPr>
          <w:lang w:val="en-US"/>
        </w:rPr>
        <w:t>In addition</w:t>
      </w:r>
      <w:r w:rsidR="003D6661" w:rsidRPr="00104227">
        <w:rPr>
          <w:lang w:val="en-US"/>
        </w:rPr>
        <w:t xml:space="preserve">, </w:t>
      </w:r>
      <w:r w:rsidRPr="00104227">
        <w:rPr>
          <w:lang w:val="en-US"/>
        </w:rPr>
        <w:t>the CNDH</w:t>
      </w:r>
      <w:r w:rsidR="003D6661" w:rsidRPr="00104227">
        <w:rPr>
          <w:lang w:val="en-US"/>
        </w:rPr>
        <w:t xml:space="preserve"> conclu</w:t>
      </w:r>
      <w:r w:rsidR="00814DEC" w:rsidRPr="00104227">
        <w:rPr>
          <w:lang w:val="en-US"/>
        </w:rPr>
        <w:t>ded that</w:t>
      </w:r>
      <w:r w:rsidR="003D6661" w:rsidRPr="00104227">
        <w:rPr>
          <w:lang w:val="en-US"/>
        </w:rPr>
        <w:t>:</w:t>
      </w:r>
      <w:bookmarkEnd w:id="213"/>
    </w:p>
    <w:p w14:paraId="7456E411" w14:textId="77777777" w:rsidR="003D6661" w:rsidRPr="00104227" w:rsidRDefault="003D6661" w:rsidP="00E4619F">
      <w:pPr>
        <w:tabs>
          <w:tab w:val="left" w:pos="567"/>
        </w:tabs>
      </w:pPr>
    </w:p>
    <w:p w14:paraId="44785F2E" w14:textId="668BBF2A" w:rsidR="003D6661" w:rsidRPr="00104227" w:rsidRDefault="00814DEC" w:rsidP="00E4619F">
      <w:pPr>
        <w:tabs>
          <w:tab w:val="left" w:pos="567"/>
        </w:tabs>
        <w:ind w:left="567" w:right="617"/>
        <w:rPr>
          <w:sz w:val="18"/>
          <w:szCs w:val="18"/>
        </w:rPr>
      </w:pPr>
      <w:r w:rsidRPr="00104227">
        <w:rPr>
          <w:sz w:val="18"/>
          <w:szCs w:val="18"/>
        </w:rPr>
        <w:t>The attitude assumed by the authorities</w:t>
      </w:r>
      <w:r w:rsidR="00DF0305" w:rsidRPr="00104227">
        <w:rPr>
          <w:sz w:val="18"/>
          <w:szCs w:val="18"/>
        </w:rPr>
        <w:t xml:space="preserve"> of the Federal Preventive Police</w:t>
      </w:r>
      <w:r w:rsidR="003D6661" w:rsidRPr="00104227">
        <w:rPr>
          <w:sz w:val="18"/>
          <w:szCs w:val="18"/>
        </w:rPr>
        <w:t xml:space="preserve">, </w:t>
      </w:r>
      <w:r w:rsidRPr="00104227">
        <w:rPr>
          <w:sz w:val="18"/>
          <w:szCs w:val="18"/>
        </w:rPr>
        <w:t xml:space="preserve">the state Security Agency, </w:t>
      </w:r>
      <w:r w:rsidR="006F5741" w:rsidRPr="00104227">
        <w:rPr>
          <w:sz w:val="18"/>
          <w:szCs w:val="18"/>
        </w:rPr>
        <w:t>the Office of the Attorney General</w:t>
      </w:r>
      <w:r w:rsidR="00BF5241" w:rsidRPr="00104227">
        <w:rPr>
          <w:sz w:val="18"/>
          <w:szCs w:val="18"/>
        </w:rPr>
        <w:t xml:space="preserve"> and </w:t>
      </w:r>
      <w:r w:rsidRPr="00104227">
        <w:rPr>
          <w:sz w:val="18"/>
          <w:szCs w:val="18"/>
        </w:rPr>
        <w:t>the</w:t>
      </w:r>
      <w:r w:rsidR="003D6661" w:rsidRPr="00104227">
        <w:rPr>
          <w:sz w:val="18"/>
          <w:szCs w:val="18"/>
        </w:rPr>
        <w:t xml:space="preserve"> [CEPRESO], </w:t>
      </w:r>
      <w:r w:rsidRPr="00104227">
        <w:rPr>
          <w:sz w:val="18"/>
          <w:szCs w:val="18"/>
        </w:rPr>
        <w:t xml:space="preserve">the last three part of the </w:t>
      </w:r>
      <w:r w:rsidRPr="00104227">
        <w:rPr>
          <w:sz w:val="18"/>
          <w:szCs w:val="18"/>
        </w:rPr>
        <w:lastRenderedPageBreak/>
        <w:t>government of the state of Mexico, by subverting the historical truth of the facts and, in some cases, denying this […] entails an evasive and obstructive conduct by the personnel of the said authorities.</w:t>
      </w:r>
      <w:r w:rsidR="003D6661" w:rsidRPr="00104227">
        <w:rPr>
          <w:rStyle w:val="Refdenotaalpie"/>
        </w:rPr>
        <w:footnoteReference w:id="139"/>
      </w:r>
    </w:p>
    <w:p w14:paraId="58E83D0E" w14:textId="77777777" w:rsidR="003D6661" w:rsidRPr="00104227" w:rsidRDefault="003D6661" w:rsidP="00E4619F">
      <w:pPr>
        <w:tabs>
          <w:tab w:val="left" w:pos="567"/>
        </w:tabs>
        <w:rPr>
          <w:lang w:eastAsia="es-MX"/>
        </w:rPr>
      </w:pPr>
    </w:p>
    <w:p w14:paraId="607B17A7" w14:textId="307A8B23" w:rsidR="003D6661" w:rsidRPr="00104227" w:rsidRDefault="00E31E41" w:rsidP="00E4619F">
      <w:pPr>
        <w:pStyle w:val="Numberedparagraphs"/>
        <w:tabs>
          <w:tab w:val="left" w:pos="567"/>
        </w:tabs>
        <w:rPr>
          <w:lang w:val="en-US"/>
        </w:rPr>
      </w:pPr>
      <w:bookmarkStart w:id="214" w:name="_Ref532934828"/>
      <w:r w:rsidRPr="00104227">
        <w:rPr>
          <w:lang w:val="en-US"/>
        </w:rPr>
        <w:t>With regard to</w:t>
      </w:r>
      <w:r w:rsidR="003D6661" w:rsidRPr="00104227">
        <w:rPr>
          <w:lang w:val="en-US"/>
        </w:rPr>
        <w:t xml:space="preserve"> </w:t>
      </w:r>
      <w:r w:rsidR="00814DEC" w:rsidRPr="00104227">
        <w:rPr>
          <w:lang w:val="en-US"/>
        </w:rPr>
        <w:t>the specific facts relating to the women in this case,</w:t>
      </w:r>
      <w:r w:rsidR="003D6661" w:rsidRPr="00104227">
        <w:rPr>
          <w:lang w:val="en-US"/>
        </w:rPr>
        <w:t xml:space="preserve"> </w:t>
      </w:r>
      <w:r w:rsidR="0065009A" w:rsidRPr="00104227">
        <w:rPr>
          <w:lang w:val="en-US"/>
        </w:rPr>
        <w:t>the CNDH</w:t>
      </w:r>
      <w:r w:rsidR="003D6661" w:rsidRPr="00104227">
        <w:rPr>
          <w:lang w:val="en-US"/>
        </w:rPr>
        <w:t xml:space="preserve"> conclu</w:t>
      </w:r>
      <w:r w:rsidR="00814DEC" w:rsidRPr="00104227">
        <w:rPr>
          <w:lang w:val="en-US"/>
        </w:rPr>
        <w:t xml:space="preserve">ded that “it is presumed that the public servants of the municipal and state police forces, as well as of </w:t>
      </w:r>
      <w:r w:rsidR="006F5741" w:rsidRPr="00104227">
        <w:rPr>
          <w:lang w:val="en-US"/>
        </w:rPr>
        <w:t>the Office of the Attorney General</w:t>
      </w:r>
      <w:r w:rsidR="00BF5241" w:rsidRPr="00104227">
        <w:rPr>
          <w:lang w:val="en-US"/>
        </w:rPr>
        <w:t xml:space="preserve"> and </w:t>
      </w:r>
      <w:r w:rsidR="00814DEC" w:rsidRPr="00104227">
        <w:rPr>
          <w:lang w:val="en-US"/>
        </w:rPr>
        <w:t>of the Office of Public Defense in the state of Mexico violated the rights to physical integrity and personal safety, personal liberty, and legality and legal protection</w:t>
      </w:r>
      <w:r w:rsidR="003D6661" w:rsidRPr="00104227">
        <w:rPr>
          <w:lang w:val="en-US"/>
        </w:rPr>
        <w:t xml:space="preserve"> </w:t>
      </w:r>
      <w:r w:rsidR="00C2124F" w:rsidRPr="00104227">
        <w:rPr>
          <w:lang w:val="en-US"/>
        </w:rPr>
        <w:t>to the detriment of</w:t>
      </w:r>
      <w:r w:rsidR="003D6661" w:rsidRPr="00104227">
        <w:rPr>
          <w:lang w:val="en-US"/>
        </w:rPr>
        <w:t xml:space="preserve"> [Yolanda Muñoz Diosdada,</w:t>
      </w:r>
      <w:r w:rsidR="00380A22" w:rsidRPr="00104227">
        <w:rPr>
          <w:lang w:val="en-US"/>
        </w:rPr>
        <w:t xml:space="preserve"> Norma Aidé Jiménez Osorio, Marí</w:t>
      </w:r>
      <w:r w:rsidR="003D6661" w:rsidRPr="00104227">
        <w:rPr>
          <w:lang w:val="en-US"/>
        </w:rPr>
        <w:t xml:space="preserve">a Patricia Romero Hernández, Mariana Selvas Gómez, Georgina Edith Rosales Gutiérrez, Ana María Velasco Rodríguez, Suhelen Gabriela Cuevas Jaramillo, Bárbara Italia Méndez Moreno, </w:t>
      </w:r>
      <w:r w:rsidR="0053506B" w:rsidRPr="00104227">
        <w:rPr>
          <w:lang w:val="en-US"/>
        </w:rPr>
        <w:t xml:space="preserve">María </w:t>
      </w:r>
      <w:r w:rsidR="003D6661" w:rsidRPr="00104227">
        <w:rPr>
          <w:lang w:val="en-US"/>
        </w:rPr>
        <w:t>Cristina Sánchez Hernández</w:t>
      </w:r>
      <w:r w:rsidR="00D564D7" w:rsidRPr="00104227">
        <w:rPr>
          <w:lang w:val="en-US"/>
        </w:rPr>
        <w:t xml:space="preserve"> and</w:t>
      </w:r>
      <w:r w:rsidR="003D6661" w:rsidRPr="00104227">
        <w:rPr>
          <w:lang w:val="en-US"/>
        </w:rPr>
        <w:t xml:space="preserve"> </w:t>
      </w:r>
      <w:r w:rsidR="0047539E" w:rsidRPr="00104227">
        <w:rPr>
          <w:lang w:val="en-US"/>
        </w:rPr>
        <w:t>Angélica Patricia Torres</w:t>
      </w:r>
      <w:r w:rsidR="003D6661" w:rsidRPr="00104227">
        <w:rPr>
          <w:lang w:val="en-US"/>
        </w:rPr>
        <w:t xml:space="preserve"> Linares]</w:t>
      </w:r>
      <w:r w:rsidR="00814DEC" w:rsidRPr="00104227">
        <w:rPr>
          <w:lang w:val="en-US"/>
        </w:rPr>
        <w:t>.</w:t>
      </w:r>
      <w:r w:rsidR="003D6661" w:rsidRPr="00104227">
        <w:rPr>
          <w:lang w:val="en-US"/>
        </w:rPr>
        <w:t>”</w:t>
      </w:r>
      <w:r w:rsidR="003D6661" w:rsidRPr="00104227">
        <w:rPr>
          <w:rStyle w:val="Refdenotaalpie"/>
          <w:lang w:val="en-US"/>
        </w:rPr>
        <w:footnoteReference w:id="140"/>
      </w:r>
      <w:r w:rsidR="003D6661" w:rsidRPr="00104227">
        <w:rPr>
          <w:lang w:val="en-US"/>
        </w:rPr>
        <w:t xml:space="preserve"> </w:t>
      </w:r>
      <w:r w:rsidR="00D564D7" w:rsidRPr="00104227">
        <w:rPr>
          <w:lang w:val="en-US"/>
        </w:rPr>
        <w:t>The CNDH</w:t>
      </w:r>
      <w:r w:rsidR="00814DEC" w:rsidRPr="00104227">
        <w:rPr>
          <w:lang w:val="en-US"/>
        </w:rPr>
        <w:t xml:space="preserve"> also concluded that, owing to the injuries suffered on being detained or during </w:t>
      </w:r>
      <w:r w:rsidR="004617E1" w:rsidRPr="00104227">
        <w:rPr>
          <w:lang w:val="en-US"/>
        </w:rPr>
        <w:t>the</w:t>
      </w:r>
      <w:r w:rsidR="003D6661" w:rsidRPr="00104227">
        <w:rPr>
          <w:lang w:val="en-US"/>
        </w:rPr>
        <w:t xml:space="preserve"> tra</w:t>
      </w:r>
      <w:r w:rsidR="00814DEC" w:rsidRPr="00104227">
        <w:rPr>
          <w:lang w:val="en-US"/>
        </w:rPr>
        <w:t>nsfer,</w:t>
      </w:r>
      <w:r w:rsidR="003D6661" w:rsidRPr="00104227">
        <w:rPr>
          <w:lang w:val="en-US"/>
        </w:rPr>
        <w:t xml:space="preserve"> “</w:t>
      </w:r>
      <w:r w:rsidR="00814DEC" w:rsidRPr="00104227">
        <w:rPr>
          <w:lang w:val="en-US"/>
        </w:rPr>
        <w:t>it is presumed that they were subjected to cruel and degrading treatment,</w:t>
      </w:r>
      <w:r w:rsidR="003D6661" w:rsidRPr="00104227">
        <w:rPr>
          <w:lang w:val="en-US"/>
        </w:rPr>
        <w:t>”</w:t>
      </w:r>
      <w:r w:rsidR="003D6661" w:rsidRPr="00104227">
        <w:rPr>
          <w:rStyle w:val="Refdenotaalpie"/>
          <w:lang w:val="en-US"/>
        </w:rPr>
        <w:footnoteReference w:id="141"/>
      </w:r>
      <w:r w:rsidR="00814DEC" w:rsidRPr="00104227">
        <w:rPr>
          <w:lang w:val="en-US"/>
        </w:rPr>
        <w:t xml:space="preserve"> and </w:t>
      </w:r>
      <w:r w:rsidR="00D564D7" w:rsidRPr="00104227">
        <w:rPr>
          <w:lang w:val="en-US"/>
        </w:rPr>
        <w:t xml:space="preserve">it </w:t>
      </w:r>
      <w:r w:rsidR="00814DEC" w:rsidRPr="00104227">
        <w:rPr>
          <w:lang w:val="en-US"/>
        </w:rPr>
        <w:t>also referred to the sexual abuse committed against them, indicating that “it is presumed that their sexual freedom […] was violated.</w:t>
      </w:r>
      <w:r w:rsidR="003D6661" w:rsidRPr="00104227">
        <w:rPr>
          <w:lang w:val="en-US"/>
        </w:rPr>
        <w:t>”</w:t>
      </w:r>
      <w:r w:rsidR="003D6661" w:rsidRPr="00104227">
        <w:rPr>
          <w:rStyle w:val="Refdenotaalpie"/>
          <w:lang w:val="en-US"/>
        </w:rPr>
        <w:footnoteReference w:id="142"/>
      </w:r>
      <w:r w:rsidR="003D6661" w:rsidRPr="00104227">
        <w:rPr>
          <w:lang w:val="en-US"/>
        </w:rPr>
        <w:t xml:space="preserve"> Ad</w:t>
      </w:r>
      <w:r w:rsidR="00814DEC" w:rsidRPr="00104227">
        <w:rPr>
          <w:lang w:val="en-US"/>
        </w:rPr>
        <w:t xml:space="preserve">ditionally, in the cases of </w:t>
      </w:r>
      <w:r w:rsidR="00380A22" w:rsidRPr="00104227">
        <w:rPr>
          <w:lang w:val="en-US"/>
        </w:rPr>
        <w:t>Norm</w:t>
      </w:r>
      <w:r w:rsidR="000A14CF" w:rsidRPr="00104227">
        <w:rPr>
          <w:lang w:val="en-US"/>
        </w:rPr>
        <w:t>a</w:t>
      </w:r>
      <w:r w:rsidR="00380A22" w:rsidRPr="00104227">
        <w:rPr>
          <w:lang w:val="en-US"/>
        </w:rPr>
        <w:t xml:space="preserve"> Aidé Jiménez Osorio</w:t>
      </w:r>
      <w:r w:rsidR="00BF5241" w:rsidRPr="00104227">
        <w:rPr>
          <w:lang w:val="en-US"/>
        </w:rPr>
        <w:t xml:space="preserve"> and </w:t>
      </w:r>
      <w:r w:rsidR="003D6661" w:rsidRPr="00104227">
        <w:rPr>
          <w:lang w:val="en-US"/>
        </w:rPr>
        <w:t>Bárbara Italia Méndez Moreno</w:t>
      </w:r>
      <w:r w:rsidR="00380A22" w:rsidRPr="00104227">
        <w:rPr>
          <w:lang w:val="en-US"/>
        </w:rPr>
        <w:t>,</w:t>
      </w:r>
      <w:r w:rsidR="003D6661" w:rsidRPr="00104227">
        <w:rPr>
          <w:lang w:val="en-US"/>
        </w:rPr>
        <w:t xml:space="preserve"> </w:t>
      </w:r>
      <w:r w:rsidR="0065009A" w:rsidRPr="00104227">
        <w:rPr>
          <w:lang w:val="en-US"/>
        </w:rPr>
        <w:t>the CNDH</w:t>
      </w:r>
      <w:r w:rsidR="003D6661" w:rsidRPr="00104227">
        <w:rPr>
          <w:lang w:val="en-US"/>
        </w:rPr>
        <w:t xml:space="preserve"> conclu</w:t>
      </w:r>
      <w:r w:rsidR="00814DEC" w:rsidRPr="00104227">
        <w:rPr>
          <w:lang w:val="en-US"/>
        </w:rPr>
        <w:t>ded, expressly, that it “presumes that rape occurred</w:t>
      </w:r>
      <w:r w:rsidR="00380A22" w:rsidRPr="00104227">
        <w:rPr>
          <w:lang w:val="en-US"/>
        </w:rPr>
        <w:t xml:space="preserve"> […] </w:t>
      </w:r>
      <w:r w:rsidR="00814DEC" w:rsidRPr="00104227">
        <w:rPr>
          <w:lang w:val="en-US"/>
        </w:rPr>
        <w:t xml:space="preserve">by the police agents who were guarding them on board the truck when they were transferred from </w:t>
      </w:r>
      <w:r w:rsidR="003D6661" w:rsidRPr="00104227">
        <w:rPr>
          <w:lang w:val="en-US"/>
        </w:rPr>
        <w:t>San Salvador Atenco</w:t>
      </w:r>
      <w:r w:rsidR="00D564D7" w:rsidRPr="00104227">
        <w:rPr>
          <w:lang w:val="en-US"/>
        </w:rPr>
        <w:t>.</w:t>
      </w:r>
      <w:r w:rsidR="003D6661" w:rsidRPr="00104227">
        <w:rPr>
          <w:lang w:val="en-US"/>
        </w:rPr>
        <w:t>”</w:t>
      </w:r>
      <w:r w:rsidR="003D6661" w:rsidRPr="00104227">
        <w:rPr>
          <w:rStyle w:val="Refdenotaalpie"/>
          <w:lang w:val="en-US"/>
        </w:rPr>
        <w:footnoteReference w:id="143"/>
      </w:r>
      <w:r w:rsidR="003D6661" w:rsidRPr="00104227">
        <w:rPr>
          <w:lang w:val="en-US"/>
        </w:rPr>
        <w:t xml:space="preserve"> A</w:t>
      </w:r>
      <w:r w:rsidR="00B727B9" w:rsidRPr="00104227">
        <w:rPr>
          <w:lang w:val="en-US"/>
        </w:rPr>
        <w:t xml:space="preserve">lso, </w:t>
      </w:r>
      <w:r w:rsidRPr="00104227">
        <w:rPr>
          <w:lang w:val="en-US"/>
        </w:rPr>
        <w:t>with regard to</w:t>
      </w:r>
      <w:r w:rsidR="003D6661" w:rsidRPr="00104227">
        <w:rPr>
          <w:lang w:val="en-US"/>
        </w:rPr>
        <w:t xml:space="preserve"> </w:t>
      </w:r>
      <w:r w:rsidR="00B727B9" w:rsidRPr="00104227">
        <w:rPr>
          <w:lang w:val="en-US"/>
        </w:rPr>
        <w:t>some of the women,</w:t>
      </w:r>
      <w:r w:rsidR="003D6661" w:rsidRPr="00104227">
        <w:rPr>
          <w:lang w:val="en-US"/>
        </w:rPr>
        <w:t xml:space="preserve"> </w:t>
      </w:r>
      <w:r w:rsidR="0065009A" w:rsidRPr="00104227">
        <w:rPr>
          <w:lang w:val="en-US"/>
        </w:rPr>
        <w:t>the CNDH</w:t>
      </w:r>
      <w:r w:rsidR="00380A22" w:rsidRPr="00104227">
        <w:rPr>
          <w:lang w:val="en-US"/>
        </w:rPr>
        <w:t xml:space="preserve"> </w:t>
      </w:r>
      <w:r w:rsidR="003D6661" w:rsidRPr="00104227">
        <w:rPr>
          <w:lang w:val="en-US"/>
        </w:rPr>
        <w:t>expres</w:t>
      </w:r>
      <w:r w:rsidR="00B727B9" w:rsidRPr="00104227">
        <w:rPr>
          <w:lang w:val="en-US"/>
        </w:rPr>
        <w:t>sly indicated that, given the absence of an order from a competent authority, the detentions had been arbitrary.</w:t>
      </w:r>
      <w:r w:rsidR="003D6661" w:rsidRPr="00104227">
        <w:rPr>
          <w:rStyle w:val="Refdenotaalpie"/>
          <w:lang w:val="en-US"/>
        </w:rPr>
        <w:footnoteReference w:id="144"/>
      </w:r>
      <w:r w:rsidR="00B727B9" w:rsidRPr="00104227">
        <w:rPr>
          <w:lang w:val="en-US"/>
        </w:rPr>
        <w:t xml:space="preserve"> Lastly, it also determined that a series of irregularities</w:t>
      </w:r>
      <w:r w:rsidR="00D564D7" w:rsidRPr="00104227">
        <w:rPr>
          <w:lang w:val="en-US"/>
        </w:rPr>
        <w:t xml:space="preserve"> were committed</w:t>
      </w:r>
      <w:r w:rsidR="00B727B9" w:rsidRPr="00104227">
        <w:rPr>
          <w:lang w:val="en-US"/>
        </w:rPr>
        <w:t xml:space="preserve"> in the </w:t>
      </w:r>
      <w:r w:rsidRPr="00104227">
        <w:rPr>
          <w:lang w:val="en-US"/>
        </w:rPr>
        <w:t>preliminary inquiry</w:t>
      </w:r>
      <w:r w:rsidR="003D6661" w:rsidRPr="00104227">
        <w:rPr>
          <w:lang w:val="en-US"/>
        </w:rPr>
        <w:t xml:space="preserve"> </w:t>
      </w:r>
      <w:r w:rsidR="00D564D7" w:rsidRPr="00104227">
        <w:rPr>
          <w:lang w:val="en-US"/>
        </w:rPr>
        <w:t xml:space="preserve">opened </w:t>
      </w:r>
      <w:r w:rsidR="00B727B9" w:rsidRPr="00104227">
        <w:rPr>
          <w:lang w:val="en-US"/>
        </w:rPr>
        <w:t>against the women</w:t>
      </w:r>
      <w:r w:rsidR="003D6661" w:rsidRPr="00104227">
        <w:rPr>
          <w:lang w:val="en-US"/>
        </w:rPr>
        <w:t xml:space="preserve"> </w:t>
      </w:r>
      <w:r w:rsidR="00EF03E5" w:rsidRPr="00104227">
        <w:rPr>
          <w:lang w:val="en-US"/>
        </w:rPr>
        <w:t>victims in this case</w:t>
      </w:r>
      <w:r w:rsidR="00B727B9" w:rsidRPr="00104227">
        <w:rPr>
          <w:lang w:val="en-US"/>
        </w:rPr>
        <w:t>.</w:t>
      </w:r>
      <w:r w:rsidR="003D6661" w:rsidRPr="00104227">
        <w:rPr>
          <w:rStyle w:val="Refdenotaalpie"/>
          <w:lang w:val="en-US"/>
        </w:rPr>
        <w:footnoteReference w:id="145"/>
      </w:r>
      <w:bookmarkEnd w:id="214"/>
      <w:r w:rsidR="003D6661" w:rsidRPr="00104227">
        <w:rPr>
          <w:lang w:val="en-US"/>
        </w:rPr>
        <w:t xml:space="preserve"> </w:t>
      </w:r>
    </w:p>
    <w:p w14:paraId="6D474C23" w14:textId="77777777" w:rsidR="003D6661" w:rsidRPr="00104227" w:rsidRDefault="003D6661" w:rsidP="00E4619F">
      <w:pPr>
        <w:tabs>
          <w:tab w:val="left" w:pos="567"/>
        </w:tabs>
        <w:rPr>
          <w:lang w:eastAsia="es-MX"/>
        </w:rPr>
      </w:pPr>
    </w:p>
    <w:p w14:paraId="6340DF30" w14:textId="3E178218" w:rsidR="003D6661" w:rsidRPr="00104227" w:rsidRDefault="003D6661" w:rsidP="00E4619F">
      <w:pPr>
        <w:pStyle w:val="Numberedparagraphs"/>
        <w:tabs>
          <w:tab w:val="left" w:pos="567"/>
        </w:tabs>
        <w:rPr>
          <w:lang w:val="en-US"/>
        </w:rPr>
      </w:pPr>
      <w:r w:rsidRPr="00104227">
        <w:rPr>
          <w:lang w:val="en-US"/>
        </w:rPr>
        <w:t xml:space="preserve"> </w:t>
      </w:r>
      <w:r w:rsidR="00B727B9" w:rsidRPr="00104227">
        <w:rPr>
          <w:lang w:val="en-US"/>
        </w:rPr>
        <w:t>On October 26,</w:t>
      </w:r>
      <w:r w:rsidRPr="00104227">
        <w:rPr>
          <w:lang w:val="en-US"/>
        </w:rPr>
        <w:t xml:space="preserve"> 2006</w:t>
      </w:r>
      <w:r w:rsidR="004C1AE9" w:rsidRPr="00104227">
        <w:rPr>
          <w:lang w:val="en-US"/>
        </w:rPr>
        <w:t>,</w:t>
      </w:r>
      <w:r w:rsidRPr="00104227">
        <w:rPr>
          <w:b/>
          <w:lang w:val="en-US"/>
        </w:rPr>
        <w:t xml:space="preserve"> </w:t>
      </w:r>
      <w:r w:rsidR="00856FE0" w:rsidRPr="00104227">
        <w:rPr>
          <w:lang w:val="en-US"/>
        </w:rPr>
        <w:t>Recommendation</w:t>
      </w:r>
      <w:r w:rsidRPr="00104227">
        <w:rPr>
          <w:lang w:val="en-US"/>
        </w:rPr>
        <w:t xml:space="preserve"> 38/2006 </w:t>
      </w:r>
      <w:r w:rsidR="00B727B9" w:rsidRPr="00104227">
        <w:rPr>
          <w:lang w:val="en-US"/>
        </w:rPr>
        <w:t>was sent to the First Criminal Trial Judge</w:t>
      </w:r>
      <w:r w:rsidRPr="00104227">
        <w:rPr>
          <w:lang w:val="en-US"/>
        </w:rPr>
        <w:t xml:space="preserve"> </w:t>
      </w:r>
      <w:r w:rsidR="00B727B9" w:rsidRPr="00104227">
        <w:rPr>
          <w:lang w:val="en-US"/>
        </w:rPr>
        <w:t>of the Tenango del Valle Judicial District</w:t>
      </w:r>
      <w:r w:rsidR="00BF5241" w:rsidRPr="00104227">
        <w:rPr>
          <w:lang w:val="en-US"/>
        </w:rPr>
        <w:t xml:space="preserve"> and </w:t>
      </w:r>
      <w:r w:rsidR="00B727B9" w:rsidRPr="00104227">
        <w:rPr>
          <w:lang w:val="en-US"/>
        </w:rPr>
        <w:t>to the</w:t>
      </w:r>
      <w:r w:rsidRPr="00104227">
        <w:rPr>
          <w:lang w:val="en-US"/>
        </w:rPr>
        <w:t xml:space="preserve"> </w:t>
      </w:r>
      <w:r w:rsidR="00B727B9" w:rsidRPr="00104227">
        <w:rPr>
          <w:lang w:val="en-US"/>
        </w:rPr>
        <w:t>Second Criminal Trial Judge</w:t>
      </w:r>
      <w:r w:rsidRPr="00104227">
        <w:rPr>
          <w:lang w:val="en-US"/>
        </w:rPr>
        <w:t xml:space="preserve"> </w:t>
      </w:r>
      <w:r w:rsidR="004617E1" w:rsidRPr="00104227">
        <w:rPr>
          <w:lang w:val="en-US"/>
        </w:rPr>
        <w:t>of the Toluca Judicial District</w:t>
      </w:r>
      <w:r w:rsidRPr="00104227">
        <w:rPr>
          <w:lang w:val="en-US"/>
        </w:rPr>
        <w:t xml:space="preserve">, </w:t>
      </w:r>
      <w:r w:rsidR="00B727B9" w:rsidRPr="00104227">
        <w:rPr>
          <w:lang w:val="en-US"/>
        </w:rPr>
        <w:t>both of</w:t>
      </w:r>
      <w:r w:rsidR="002826A6" w:rsidRPr="00104227">
        <w:rPr>
          <w:lang w:val="en-US"/>
        </w:rPr>
        <w:t xml:space="preserve"> the </w:t>
      </w:r>
      <w:r w:rsidR="00CA330F" w:rsidRPr="00104227">
        <w:rPr>
          <w:lang w:val="en-US"/>
        </w:rPr>
        <w:t>state of Mexico</w:t>
      </w:r>
      <w:r w:rsidRPr="00104227">
        <w:rPr>
          <w:lang w:val="en-US"/>
        </w:rPr>
        <w:t xml:space="preserve">, </w:t>
      </w:r>
      <w:r w:rsidR="00B727B9" w:rsidRPr="00104227">
        <w:rPr>
          <w:lang w:val="en-US"/>
        </w:rPr>
        <w:t xml:space="preserve">for incorporation into criminal </w:t>
      </w:r>
      <w:r w:rsidR="0050556D" w:rsidRPr="00104227">
        <w:rPr>
          <w:lang w:val="en-US"/>
        </w:rPr>
        <w:t>cases</w:t>
      </w:r>
      <w:r w:rsidR="00B727B9" w:rsidRPr="00104227">
        <w:rPr>
          <w:lang w:val="en-US"/>
        </w:rPr>
        <w:t xml:space="preserve"> </w:t>
      </w:r>
      <w:r w:rsidRPr="00104227">
        <w:rPr>
          <w:lang w:val="en-US"/>
        </w:rPr>
        <w:t>59/2006, 79/2006, 95/2006</w:t>
      </w:r>
      <w:r w:rsidR="00BF5241" w:rsidRPr="00104227">
        <w:rPr>
          <w:lang w:val="en-US"/>
        </w:rPr>
        <w:t xml:space="preserve"> and </w:t>
      </w:r>
      <w:r w:rsidRPr="00104227">
        <w:rPr>
          <w:lang w:val="en-US"/>
        </w:rPr>
        <w:t>96/2006</w:t>
      </w:r>
      <w:r w:rsidR="00B727B9" w:rsidRPr="00104227">
        <w:rPr>
          <w:lang w:val="en-US"/>
        </w:rPr>
        <w:t>.</w:t>
      </w:r>
      <w:r w:rsidRPr="00104227">
        <w:rPr>
          <w:vertAlign w:val="superscript"/>
          <w:lang w:val="en-US"/>
        </w:rPr>
        <w:footnoteReference w:id="146"/>
      </w:r>
      <w:r w:rsidRPr="00104227">
        <w:rPr>
          <w:lang w:val="en-US"/>
        </w:rPr>
        <w:t xml:space="preserve"> </w:t>
      </w:r>
    </w:p>
    <w:p w14:paraId="4ABF13AC" w14:textId="77777777" w:rsidR="003D6661" w:rsidRPr="00104227" w:rsidRDefault="003D6661" w:rsidP="00E4619F">
      <w:pPr>
        <w:tabs>
          <w:tab w:val="left" w:pos="567"/>
        </w:tabs>
      </w:pPr>
    </w:p>
    <w:p w14:paraId="1F628228" w14:textId="11031F94" w:rsidR="003D6661" w:rsidRPr="00104227" w:rsidRDefault="003D6661" w:rsidP="00E4619F">
      <w:pPr>
        <w:pStyle w:val="Ttulo3"/>
        <w:tabs>
          <w:tab w:val="left" w:pos="567"/>
        </w:tabs>
        <w:rPr>
          <w:lang w:val="en-US"/>
        </w:rPr>
      </w:pPr>
      <w:bookmarkStart w:id="216" w:name="_Toc433650888"/>
      <w:bookmarkStart w:id="217" w:name="_Toc433650990"/>
      <w:bookmarkStart w:id="218" w:name="_Toc438128499"/>
      <w:bookmarkStart w:id="219" w:name="_Toc527464917"/>
      <w:bookmarkStart w:id="220" w:name="_Toc31290581"/>
      <w:r w:rsidRPr="00104227">
        <w:rPr>
          <w:lang w:val="en-US"/>
        </w:rPr>
        <w:t xml:space="preserve">C.2 </w:t>
      </w:r>
      <w:r w:rsidR="00B727B9" w:rsidRPr="00104227">
        <w:rPr>
          <w:lang w:val="en-US"/>
        </w:rPr>
        <w:t>Investigation conducted by</w:t>
      </w:r>
      <w:r w:rsidRPr="00104227">
        <w:rPr>
          <w:lang w:val="en-US"/>
        </w:rPr>
        <w:t xml:space="preserve"> </w:t>
      </w:r>
      <w:r w:rsidR="008F27D0" w:rsidRPr="00104227">
        <w:rPr>
          <w:lang w:val="en-US"/>
        </w:rPr>
        <w:t>the SCJN</w:t>
      </w:r>
      <w:bookmarkEnd w:id="216"/>
      <w:bookmarkEnd w:id="217"/>
      <w:bookmarkEnd w:id="218"/>
      <w:bookmarkEnd w:id="219"/>
      <w:bookmarkEnd w:id="220"/>
    </w:p>
    <w:p w14:paraId="2127F5C0" w14:textId="77777777" w:rsidR="003D6661" w:rsidRPr="00104227" w:rsidRDefault="003D6661" w:rsidP="00E4619F">
      <w:pPr>
        <w:tabs>
          <w:tab w:val="left" w:pos="567"/>
        </w:tabs>
      </w:pPr>
    </w:p>
    <w:p w14:paraId="150B8997" w14:textId="00FE5FD6" w:rsidR="003D6661" w:rsidRPr="00104227" w:rsidRDefault="00B727B9" w:rsidP="00E4619F">
      <w:pPr>
        <w:pStyle w:val="Numberedparagraphs"/>
        <w:tabs>
          <w:tab w:val="left" w:pos="567"/>
        </w:tabs>
        <w:rPr>
          <w:lang w:val="en-US"/>
        </w:rPr>
      </w:pPr>
      <w:bookmarkStart w:id="221" w:name="_Ref532825371"/>
      <w:r w:rsidRPr="00104227">
        <w:rPr>
          <w:lang w:val="en-US"/>
        </w:rPr>
        <w:t>On</w:t>
      </w:r>
      <w:r w:rsidR="003D6661" w:rsidRPr="00104227">
        <w:rPr>
          <w:lang w:val="en-US"/>
        </w:rPr>
        <w:t xml:space="preserve"> </w:t>
      </w:r>
      <w:r w:rsidRPr="00104227">
        <w:rPr>
          <w:lang w:val="en-US"/>
        </w:rPr>
        <w:t>February 6,</w:t>
      </w:r>
      <w:r w:rsidR="003D6661" w:rsidRPr="00104227">
        <w:rPr>
          <w:lang w:val="en-US"/>
        </w:rPr>
        <w:t xml:space="preserve"> 2007</w:t>
      </w:r>
      <w:r w:rsidRPr="00104227">
        <w:rPr>
          <w:lang w:val="en-US"/>
        </w:rPr>
        <w:t>,</w:t>
      </w:r>
      <w:r w:rsidR="003D6661" w:rsidRPr="00104227">
        <w:rPr>
          <w:lang w:val="en-US"/>
        </w:rPr>
        <w:t xml:space="preserve"> </w:t>
      </w:r>
      <w:r w:rsidR="008F27D0" w:rsidRPr="00104227">
        <w:rPr>
          <w:lang w:val="en-US"/>
        </w:rPr>
        <w:t>the SCJN</w:t>
      </w:r>
      <w:r w:rsidR="003D6661" w:rsidRPr="00104227">
        <w:rPr>
          <w:lang w:val="en-US"/>
        </w:rPr>
        <w:t xml:space="preserve"> </w:t>
      </w:r>
      <w:r w:rsidRPr="00104227">
        <w:rPr>
          <w:lang w:val="en-US"/>
        </w:rPr>
        <w:t>decided to exercise its non-jurisdictional authority to investigate, granted by the Federal Constitution,</w:t>
      </w:r>
      <w:r w:rsidR="003D6661" w:rsidRPr="00104227">
        <w:rPr>
          <w:rStyle w:val="Refdenotaalpie"/>
          <w:lang w:val="en-US"/>
        </w:rPr>
        <w:footnoteReference w:id="147"/>
      </w:r>
      <w:r w:rsidR="003D6661" w:rsidRPr="00104227">
        <w:rPr>
          <w:lang w:val="en-US"/>
        </w:rPr>
        <w:t xml:space="preserve"> </w:t>
      </w:r>
      <w:r w:rsidRPr="00104227">
        <w:rPr>
          <w:lang w:val="en-US"/>
        </w:rPr>
        <w:t xml:space="preserve">in relation to the events that had occurred on </w:t>
      </w:r>
      <w:r w:rsidR="003D6661" w:rsidRPr="00104227">
        <w:rPr>
          <w:lang w:val="en-US"/>
        </w:rPr>
        <w:t xml:space="preserve"> </w:t>
      </w:r>
      <w:r w:rsidR="00DF5F3C" w:rsidRPr="00104227">
        <w:rPr>
          <w:lang w:val="en-US"/>
        </w:rPr>
        <w:lastRenderedPageBreak/>
        <w:t>May 3 and 4,</w:t>
      </w:r>
      <w:r w:rsidR="003D6661" w:rsidRPr="00104227">
        <w:rPr>
          <w:lang w:val="en-US"/>
        </w:rPr>
        <w:t xml:space="preserve"> 2006, </w:t>
      </w:r>
      <w:r w:rsidRPr="00104227">
        <w:rPr>
          <w:lang w:val="en-US"/>
        </w:rPr>
        <w:t xml:space="preserve">understanding </w:t>
      </w:r>
      <w:r w:rsidR="003D6661" w:rsidRPr="00104227">
        <w:rPr>
          <w:i/>
          <w:lang w:val="en-US"/>
        </w:rPr>
        <w:t>prima facie</w:t>
      </w:r>
      <w:r w:rsidR="003D6661" w:rsidRPr="00104227">
        <w:rPr>
          <w:lang w:val="en-US"/>
        </w:rPr>
        <w:t xml:space="preserve"> </w:t>
      </w:r>
      <w:r w:rsidRPr="00104227">
        <w:rPr>
          <w:lang w:val="en-US"/>
        </w:rPr>
        <w:t xml:space="preserve">that they involved serious </w:t>
      </w:r>
      <w:r w:rsidR="00F12946" w:rsidRPr="00104227">
        <w:rPr>
          <w:lang w:val="en-US"/>
        </w:rPr>
        <w:t>human rights violations</w:t>
      </w:r>
      <w:r w:rsidRPr="00104227">
        <w:rPr>
          <w:lang w:val="en-US"/>
        </w:rPr>
        <w:t>.</w:t>
      </w:r>
      <w:r w:rsidR="003D6661" w:rsidRPr="00104227">
        <w:rPr>
          <w:rStyle w:val="Refdenotaalpie"/>
          <w:lang w:val="en-US"/>
        </w:rPr>
        <w:footnoteReference w:id="148"/>
      </w:r>
      <w:bookmarkEnd w:id="221"/>
    </w:p>
    <w:p w14:paraId="76AA1A3A" w14:textId="77777777" w:rsidR="003D6661" w:rsidRPr="00104227" w:rsidRDefault="003D6661" w:rsidP="00E4619F">
      <w:pPr>
        <w:tabs>
          <w:tab w:val="left" w:pos="567"/>
        </w:tabs>
        <w:rPr>
          <w:lang w:eastAsia="es-MX"/>
        </w:rPr>
      </w:pPr>
    </w:p>
    <w:p w14:paraId="76BD21FF" w14:textId="0DB377E3" w:rsidR="003D6661" w:rsidRPr="00104227" w:rsidRDefault="008F27D0" w:rsidP="00B727B9">
      <w:pPr>
        <w:pStyle w:val="Numberedparagraphs"/>
        <w:tabs>
          <w:tab w:val="left" w:pos="567"/>
        </w:tabs>
        <w:rPr>
          <w:lang w:val="en-US"/>
        </w:rPr>
      </w:pPr>
      <w:r w:rsidRPr="00104227">
        <w:rPr>
          <w:lang w:val="en-US"/>
        </w:rPr>
        <w:t>The SCJN</w:t>
      </w:r>
      <w:r w:rsidR="003D6661" w:rsidRPr="00104227">
        <w:rPr>
          <w:lang w:val="en-US"/>
        </w:rPr>
        <w:t xml:space="preserve"> </w:t>
      </w:r>
      <w:r w:rsidR="00B727B9" w:rsidRPr="00104227">
        <w:rPr>
          <w:lang w:val="en-US"/>
        </w:rPr>
        <w:t xml:space="preserve">set up a </w:t>
      </w:r>
      <w:r w:rsidR="00AC55B8" w:rsidRPr="00104227">
        <w:rPr>
          <w:lang w:val="en-US"/>
        </w:rPr>
        <w:t>c</w:t>
      </w:r>
      <w:r w:rsidR="00B727B9" w:rsidRPr="00104227">
        <w:rPr>
          <w:lang w:val="en-US"/>
        </w:rPr>
        <w:t xml:space="preserve">ommission of </w:t>
      </w:r>
      <w:r w:rsidR="00AC55B8" w:rsidRPr="00104227">
        <w:rPr>
          <w:lang w:val="en-US"/>
        </w:rPr>
        <w:t>i</w:t>
      </w:r>
      <w:r w:rsidR="00B727B9" w:rsidRPr="00104227">
        <w:rPr>
          <w:lang w:val="en-US"/>
        </w:rPr>
        <w:t>nquiry</w:t>
      </w:r>
      <w:r w:rsidR="003D6661" w:rsidRPr="00104227">
        <w:rPr>
          <w:lang w:val="en-US"/>
        </w:rPr>
        <w:t xml:space="preserve"> </w:t>
      </w:r>
      <w:r w:rsidR="00B727B9" w:rsidRPr="00104227">
        <w:rPr>
          <w:lang w:val="en-US"/>
        </w:rPr>
        <w:t>composed of two justices</w:t>
      </w:r>
      <w:r w:rsidR="003D6661" w:rsidRPr="00104227">
        <w:rPr>
          <w:rStyle w:val="Refdenotaalpie"/>
          <w:lang w:val="en-US"/>
        </w:rPr>
        <w:footnoteReference w:id="149"/>
      </w:r>
      <w:r w:rsidR="003D6661" w:rsidRPr="00104227">
        <w:rPr>
          <w:lang w:val="en-US"/>
        </w:rPr>
        <w:t xml:space="preserve"> </w:t>
      </w:r>
      <w:r w:rsidR="00B727B9" w:rsidRPr="00104227">
        <w:rPr>
          <w:lang w:val="en-US"/>
        </w:rPr>
        <w:t xml:space="preserve">to investigate “the reasons </w:t>
      </w:r>
      <w:r w:rsidR="00AC55B8" w:rsidRPr="00104227">
        <w:rPr>
          <w:lang w:val="en-US"/>
        </w:rPr>
        <w:t>for</w:t>
      </w:r>
      <w:r w:rsidR="00B727B9" w:rsidRPr="00104227">
        <w:rPr>
          <w:lang w:val="en-US"/>
        </w:rPr>
        <w:t xml:space="preserve"> the violations that occurred on May 3 and 4, 2006, in the </w:t>
      </w:r>
      <w:r w:rsidR="008C6D02" w:rsidRPr="00104227">
        <w:rPr>
          <w:lang w:val="en-US"/>
        </w:rPr>
        <w:t>municipalities of</w:t>
      </w:r>
      <w:r w:rsidR="003D6661" w:rsidRPr="00104227">
        <w:rPr>
          <w:lang w:val="en-US"/>
        </w:rPr>
        <w:t xml:space="preserve"> Texcoco</w:t>
      </w:r>
      <w:r w:rsidR="00BF5241" w:rsidRPr="00104227">
        <w:rPr>
          <w:lang w:val="en-US"/>
        </w:rPr>
        <w:t xml:space="preserve"> and </w:t>
      </w:r>
      <w:r w:rsidR="003D6661" w:rsidRPr="00104227">
        <w:rPr>
          <w:lang w:val="en-US"/>
        </w:rPr>
        <w:t>San Salvador de Atenco</w:t>
      </w:r>
      <w:r w:rsidR="00B727B9" w:rsidRPr="00104227">
        <w:rPr>
          <w:lang w:val="en-US"/>
        </w:rPr>
        <w:t>; whether someone ordered them</w:t>
      </w:r>
      <w:r w:rsidR="00AC55B8" w:rsidRPr="00104227">
        <w:rPr>
          <w:lang w:val="en-US"/>
        </w:rPr>
        <w:t>,</w:t>
      </w:r>
      <w:r w:rsidR="00B727B9" w:rsidRPr="00104227">
        <w:rPr>
          <w:lang w:val="en-US"/>
        </w:rPr>
        <w:t xml:space="preserve"> </w:t>
      </w:r>
      <w:r w:rsidR="00AC55B8" w:rsidRPr="00104227">
        <w:rPr>
          <w:lang w:val="en-US"/>
        </w:rPr>
        <w:t xml:space="preserve">and </w:t>
      </w:r>
      <w:r w:rsidR="00B727B9" w:rsidRPr="00104227">
        <w:rPr>
          <w:lang w:val="en-US"/>
        </w:rPr>
        <w:t xml:space="preserve">whether they were the result of a state strategy when the situation got out of hand, and </w:t>
      </w:r>
      <w:r w:rsidR="00AC55B8" w:rsidRPr="00104227">
        <w:rPr>
          <w:lang w:val="en-US"/>
        </w:rPr>
        <w:t>of</w:t>
      </w:r>
      <w:r w:rsidR="00B727B9" w:rsidRPr="00104227">
        <w:rPr>
          <w:lang w:val="en-US"/>
        </w:rPr>
        <w:t xml:space="preserve"> the deficient understanding of the situation, training of the polic</w:t>
      </w:r>
      <w:r w:rsidR="00AC55B8" w:rsidRPr="00104227">
        <w:rPr>
          <w:lang w:val="en-US"/>
        </w:rPr>
        <w:t xml:space="preserve">e, etcetera.” </w:t>
      </w:r>
      <w:r w:rsidR="00B727B9" w:rsidRPr="00104227">
        <w:rPr>
          <w:lang w:val="en-US"/>
        </w:rPr>
        <w:t>However, owing to a subsequent amendment, this inquiry could “not refer to aspects related to either civil or legal forms of reparation for the violation of guarantees, or possible civil, criminal, administrative or political responsibilities.</w:t>
      </w:r>
      <w:r w:rsidR="003D6661" w:rsidRPr="00104227">
        <w:rPr>
          <w:lang w:val="en-US"/>
        </w:rPr>
        <w:t>”</w:t>
      </w:r>
      <w:r w:rsidR="00751DF2" w:rsidRPr="00104227">
        <w:rPr>
          <w:rStyle w:val="Refdenotaalpie"/>
          <w:lang w:val="en-US"/>
        </w:rPr>
        <w:footnoteReference w:id="150"/>
      </w:r>
      <w:r w:rsidR="00B727B9" w:rsidRPr="00104227">
        <w:rPr>
          <w:lang w:val="en-US"/>
        </w:rPr>
        <w:t xml:space="preserve"> </w:t>
      </w:r>
      <w:r w:rsidR="00AC55B8" w:rsidRPr="00104227">
        <w:rPr>
          <w:lang w:val="en-US"/>
        </w:rPr>
        <w:t xml:space="preserve">However, the SCJN noted that </w:t>
      </w:r>
      <w:r w:rsidR="00B727B9" w:rsidRPr="00104227">
        <w:rPr>
          <w:lang w:val="en-US"/>
        </w:rPr>
        <w:t xml:space="preserve">the individuals who had </w:t>
      </w:r>
      <w:r w:rsidR="00AC55B8" w:rsidRPr="00104227">
        <w:rPr>
          <w:lang w:val="en-US"/>
        </w:rPr>
        <w:t>t</w:t>
      </w:r>
      <w:r w:rsidR="00B727B9" w:rsidRPr="00104227">
        <w:rPr>
          <w:lang w:val="en-US"/>
        </w:rPr>
        <w:t>aken part in the events</w:t>
      </w:r>
      <w:r w:rsidR="00AC55B8" w:rsidRPr="00104227">
        <w:rPr>
          <w:lang w:val="en-US"/>
        </w:rPr>
        <w:t xml:space="preserve"> should be identified</w:t>
      </w:r>
      <w:r w:rsidR="00B727B9" w:rsidRPr="00104227">
        <w:rPr>
          <w:lang w:val="en-US"/>
        </w:rPr>
        <w:t>.</w:t>
      </w:r>
      <w:r w:rsidR="003D6661" w:rsidRPr="00104227">
        <w:rPr>
          <w:rStyle w:val="Refdenotaalpie"/>
          <w:lang w:val="en-US"/>
        </w:rPr>
        <w:footnoteReference w:id="151"/>
      </w:r>
    </w:p>
    <w:p w14:paraId="50CE284D" w14:textId="77777777" w:rsidR="003D6661" w:rsidRPr="00104227" w:rsidRDefault="003D6661" w:rsidP="00E4619F">
      <w:pPr>
        <w:tabs>
          <w:tab w:val="left" w:pos="567"/>
        </w:tabs>
        <w:rPr>
          <w:lang w:eastAsia="es-MX"/>
        </w:rPr>
      </w:pPr>
    </w:p>
    <w:p w14:paraId="0FECE4C6" w14:textId="4C2FD9DE" w:rsidR="003D6661" w:rsidRPr="00104227" w:rsidRDefault="00BF5241" w:rsidP="009B223C">
      <w:pPr>
        <w:pStyle w:val="Numberedparagraphs"/>
        <w:tabs>
          <w:tab w:val="left" w:pos="567"/>
        </w:tabs>
        <w:rPr>
          <w:lang w:val="en-US"/>
        </w:rPr>
      </w:pPr>
      <w:bookmarkStart w:id="222" w:name="_Ref533148172"/>
      <w:r w:rsidRPr="00104227">
        <w:rPr>
          <w:lang w:val="en-US"/>
        </w:rPr>
        <w:t xml:space="preserve">The </w:t>
      </w:r>
      <w:r w:rsidR="00A84F20" w:rsidRPr="00104227">
        <w:rPr>
          <w:lang w:val="en-US"/>
        </w:rPr>
        <w:t>Commission of Inquiry</w:t>
      </w:r>
      <w:r w:rsidR="003D6661" w:rsidRPr="00104227">
        <w:rPr>
          <w:lang w:val="en-US"/>
        </w:rPr>
        <w:t xml:space="preserve"> </w:t>
      </w:r>
      <w:r w:rsidR="002A4D19" w:rsidRPr="00104227">
        <w:rPr>
          <w:lang w:val="en-US"/>
        </w:rPr>
        <w:t>opened a case file and conducted in</w:t>
      </w:r>
      <w:r w:rsidR="00AC55B8" w:rsidRPr="00104227">
        <w:rPr>
          <w:lang w:val="en-US"/>
        </w:rPr>
        <w:t>t</w:t>
      </w:r>
      <w:r w:rsidR="002A4D19" w:rsidRPr="00104227">
        <w:rPr>
          <w:lang w:val="en-US"/>
        </w:rPr>
        <w:t>erviews, requested information from individuals connected to the events and third parties interested in supporting the inquiry.</w:t>
      </w:r>
      <w:r w:rsidR="003D6661" w:rsidRPr="00104227">
        <w:rPr>
          <w:rStyle w:val="Refdenotaalpie"/>
          <w:lang w:val="en-US"/>
        </w:rPr>
        <w:footnoteReference w:id="152"/>
      </w:r>
      <w:r w:rsidR="003D6661" w:rsidRPr="00104227">
        <w:rPr>
          <w:lang w:val="en-US"/>
        </w:rPr>
        <w:t xml:space="preserve"> </w:t>
      </w:r>
      <w:r w:rsidR="002A4D19" w:rsidRPr="00104227">
        <w:rPr>
          <w:lang w:val="en-US"/>
        </w:rPr>
        <w:t>On</w:t>
      </w:r>
      <w:r w:rsidR="003D6661" w:rsidRPr="00104227">
        <w:rPr>
          <w:lang w:val="en-US"/>
        </w:rPr>
        <w:t xml:space="preserve"> </w:t>
      </w:r>
      <w:r w:rsidR="002A4D19" w:rsidRPr="00104227">
        <w:rPr>
          <w:lang w:val="en-US"/>
        </w:rPr>
        <w:t>March 10,</w:t>
      </w:r>
      <w:r w:rsidR="003D6661" w:rsidRPr="00104227">
        <w:rPr>
          <w:lang w:val="en-US"/>
        </w:rPr>
        <w:t xml:space="preserve"> 2008, </w:t>
      </w:r>
      <w:r w:rsidRPr="00104227">
        <w:rPr>
          <w:lang w:val="en-US"/>
        </w:rPr>
        <w:t>the Commission</w:t>
      </w:r>
      <w:r w:rsidR="003D6661" w:rsidRPr="00104227">
        <w:rPr>
          <w:lang w:val="en-US"/>
        </w:rPr>
        <w:t xml:space="preserve"> </w:t>
      </w:r>
      <w:r w:rsidR="002A4D19" w:rsidRPr="00104227">
        <w:rPr>
          <w:lang w:val="en-US"/>
        </w:rPr>
        <w:t xml:space="preserve">delivered its conclusions to the Plenary </w:t>
      </w:r>
      <w:r w:rsidR="008F27D0" w:rsidRPr="00104227">
        <w:rPr>
          <w:lang w:val="en-US"/>
        </w:rPr>
        <w:t>of the SCJN</w:t>
      </w:r>
      <w:r w:rsidR="003D6661" w:rsidRPr="00104227">
        <w:rPr>
          <w:rStyle w:val="Refdenotaalpie"/>
          <w:lang w:val="en-US"/>
        </w:rPr>
        <w:footnoteReference w:id="153"/>
      </w:r>
      <w:r w:rsidR="003D6661" w:rsidRPr="00104227">
        <w:rPr>
          <w:lang w:val="en-US"/>
        </w:rPr>
        <w:t xml:space="preserve"> </w:t>
      </w:r>
      <w:r w:rsidR="002A4D19" w:rsidRPr="00104227">
        <w:rPr>
          <w:lang w:val="en-US"/>
        </w:rPr>
        <w:t xml:space="preserve">and to 144 persons involved in the facts so that they could submit any observations or documentation they </w:t>
      </w:r>
      <w:r w:rsidR="00AC55B8" w:rsidRPr="00104227">
        <w:rPr>
          <w:lang w:val="en-US"/>
        </w:rPr>
        <w:t>deemed</w:t>
      </w:r>
      <w:r w:rsidR="002A4D19" w:rsidRPr="00104227">
        <w:rPr>
          <w:lang w:val="en-US"/>
        </w:rPr>
        <w:t xml:space="preserve"> pertinent.</w:t>
      </w:r>
      <w:r w:rsidR="003D6661" w:rsidRPr="00104227">
        <w:rPr>
          <w:rStyle w:val="Refdenotaalpie"/>
          <w:lang w:val="en-US"/>
        </w:rPr>
        <w:footnoteReference w:id="154"/>
      </w:r>
      <w:r w:rsidR="003D6661" w:rsidRPr="00104227">
        <w:rPr>
          <w:lang w:val="en-US"/>
        </w:rPr>
        <w:t xml:space="preserve"> </w:t>
      </w:r>
      <w:r w:rsidR="002A4D19" w:rsidRPr="00104227">
        <w:rPr>
          <w:lang w:val="en-US"/>
        </w:rPr>
        <w:t>On</w:t>
      </w:r>
      <w:r w:rsidR="003D6661" w:rsidRPr="00104227">
        <w:rPr>
          <w:lang w:val="en-US"/>
        </w:rPr>
        <w:t xml:space="preserve"> </w:t>
      </w:r>
      <w:r w:rsidR="006B32AA" w:rsidRPr="00104227">
        <w:rPr>
          <w:lang w:val="en-US"/>
        </w:rPr>
        <w:t>February 12,</w:t>
      </w:r>
      <w:r w:rsidR="003D6661" w:rsidRPr="00104227">
        <w:rPr>
          <w:lang w:val="en-US"/>
        </w:rPr>
        <w:t xml:space="preserve"> 2009</w:t>
      </w:r>
      <w:r w:rsidR="002A4D19" w:rsidRPr="00104227">
        <w:rPr>
          <w:lang w:val="en-US"/>
        </w:rPr>
        <w:t>,</w:t>
      </w:r>
      <w:r w:rsidR="003D6661" w:rsidRPr="00104227">
        <w:rPr>
          <w:lang w:val="en-US"/>
        </w:rPr>
        <w:t xml:space="preserve"> </w:t>
      </w:r>
      <w:r w:rsidR="002A4D19" w:rsidRPr="00104227">
        <w:rPr>
          <w:lang w:val="en-US"/>
        </w:rPr>
        <w:t>the Plenary</w:t>
      </w:r>
      <w:r w:rsidR="008F27D0" w:rsidRPr="00104227">
        <w:rPr>
          <w:lang w:val="en-US"/>
        </w:rPr>
        <w:t xml:space="preserve"> of the SCJN</w:t>
      </w:r>
      <w:r w:rsidR="003D6661" w:rsidRPr="00104227">
        <w:rPr>
          <w:lang w:val="en-US"/>
        </w:rPr>
        <w:t xml:space="preserve"> d</w:t>
      </w:r>
      <w:r w:rsidR="002A4D19" w:rsidRPr="00104227">
        <w:rPr>
          <w:lang w:val="en-US"/>
        </w:rPr>
        <w:t>elivered a ruling based</w:t>
      </w:r>
      <w:r w:rsidR="009B223C" w:rsidRPr="00104227">
        <w:rPr>
          <w:lang w:val="en-US"/>
        </w:rPr>
        <w:t xml:space="preserve"> </w:t>
      </w:r>
      <w:r w:rsidR="002A4D19" w:rsidRPr="00104227">
        <w:rPr>
          <w:lang w:val="en-US"/>
        </w:rPr>
        <w:t xml:space="preserve">on the report </w:t>
      </w:r>
      <w:r w:rsidRPr="00104227">
        <w:rPr>
          <w:lang w:val="en-US"/>
        </w:rPr>
        <w:t xml:space="preserve">of the </w:t>
      </w:r>
      <w:r w:rsidR="00A84F20" w:rsidRPr="00104227">
        <w:rPr>
          <w:lang w:val="en-US"/>
        </w:rPr>
        <w:t>Commission of Inquiry</w:t>
      </w:r>
      <w:r w:rsidR="003D6661" w:rsidRPr="00104227">
        <w:rPr>
          <w:lang w:val="en-US"/>
        </w:rPr>
        <w:t xml:space="preserve">, </w:t>
      </w:r>
      <w:r w:rsidR="009B223C" w:rsidRPr="00104227">
        <w:rPr>
          <w:lang w:val="en-US"/>
        </w:rPr>
        <w:t>in which</w:t>
      </w:r>
      <w:r w:rsidR="003D6661" w:rsidRPr="00104227">
        <w:rPr>
          <w:lang w:val="en-US"/>
        </w:rPr>
        <w:t xml:space="preserve">: (i) </w:t>
      </w:r>
      <w:r w:rsidR="009B223C" w:rsidRPr="00104227">
        <w:rPr>
          <w:lang w:val="en-US"/>
        </w:rPr>
        <w:t>it established the background information and the way in which the operations of</w:t>
      </w:r>
      <w:r w:rsidR="003D6661" w:rsidRPr="00104227">
        <w:rPr>
          <w:lang w:val="en-US"/>
        </w:rPr>
        <w:t xml:space="preserve"> </w:t>
      </w:r>
      <w:r w:rsidR="00DF5F3C" w:rsidRPr="00104227">
        <w:rPr>
          <w:lang w:val="en-US"/>
        </w:rPr>
        <w:t>May 3 and 4,</w:t>
      </w:r>
      <w:r w:rsidR="003D6661" w:rsidRPr="00104227">
        <w:rPr>
          <w:lang w:val="en-US"/>
        </w:rPr>
        <w:t xml:space="preserve"> </w:t>
      </w:r>
      <w:r w:rsidR="008C6D02" w:rsidRPr="00104227">
        <w:rPr>
          <w:lang w:val="en-US"/>
        </w:rPr>
        <w:t>2006, in</w:t>
      </w:r>
      <w:r w:rsidR="003D6661" w:rsidRPr="00104227">
        <w:rPr>
          <w:lang w:val="en-US"/>
        </w:rPr>
        <w:t xml:space="preserve"> Texcoco</w:t>
      </w:r>
      <w:r w:rsidRPr="00104227">
        <w:rPr>
          <w:lang w:val="en-US"/>
        </w:rPr>
        <w:t xml:space="preserve"> and </w:t>
      </w:r>
      <w:r w:rsidR="003D6661" w:rsidRPr="00104227">
        <w:rPr>
          <w:lang w:val="en-US"/>
        </w:rPr>
        <w:t>San Salvador de Atenco</w:t>
      </w:r>
      <w:r w:rsidR="009B223C" w:rsidRPr="00104227">
        <w:rPr>
          <w:lang w:val="en-US"/>
        </w:rPr>
        <w:t xml:space="preserve"> </w:t>
      </w:r>
      <w:r w:rsidR="00AC55B8" w:rsidRPr="00104227">
        <w:rPr>
          <w:lang w:val="en-US"/>
        </w:rPr>
        <w:t>had been</w:t>
      </w:r>
      <w:r w:rsidR="009B223C" w:rsidRPr="00104227">
        <w:rPr>
          <w:lang w:val="en-US"/>
        </w:rPr>
        <w:t xml:space="preserve"> </w:t>
      </w:r>
      <w:r w:rsidR="00F77853" w:rsidRPr="00104227">
        <w:rPr>
          <w:lang w:val="en-US"/>
        </w:rPr>
        <w:t>executed</w:t>
      </w:r>
      <w:r w:rsidR="003D6661" w:rsidRPr="00104227">
        <w:rPr>
          <w:lang w:val="en-US"/>
        </w:rPr>
        <w:t xml:space="preserve">; (ii) </w:t>
      </w:r>
      <w:r w:rsidR="009B223C" w:rsidRPr="00104227">
        <w:rPr>
          <w:lang w:val="en-US"/>
        </w:rPr>
        <w:t>it concluded that “serious violations of individual gu</w:t>
      </w:r>
      <w:r w:rsidR="00F77853" w:rsidRPr="00104227">
        <w:rPr>
          <w:lang w:val="en-US"/>
        </w:rPr>
        <w:t>a</w:t>
      </w:r>
      <w:r w:rsidR="009B223C" w:rsidRPr="00104227">
        <w:rPr>
          <w:lang w:val="en-US"/>
        </w:rPr>
        <w:t xml:space="preserve">rantees had been committed”; </w:t>
      </w:r>
      <w:r w:rsidR="003D6661" w:rsidRPr="00104227">
        <w:rPr>
          <w:lang w:val="en-US"/>
        </w:rPr>
        <w:t xml:space="preserve">(iii) </w:t>
      </w:r>
      <w:r w:rsidR="009B223C" w:rsidRPr="00104227">
        <w:rPr>
          <w:lang w:val="en-US"/>
        </w:rPr>
        <w:t>it established the responsibility of the Stat</w:t>
      </w:r>
      <w:r w:rsidR="00A74D80" w:rsidRPr="00104227">
        <w:rPr>
          <w:lang w:val="en-US"/>
        </w:rPr>
        <w:t>e</w:t>
      </w:r>
      <w:r w:rsidR="009B223C" w:rsidRPr="00104227">
        <w:rPr>
          <w:lang w:val="en-US"/>
        </w:rPr>
        <w:t xml:space="preserve"> for using </w:t>
      </w:r>
      <w:r w:rsidR="00B665DF" w:rsidRPr="00104227">
        <w:rPr>
          <w:lang w:val="en-US"/>
        </w:rPr>
        <w:t>law enforcement agents</w:t>
      </w:r>
      <w:r w:rsidR="009B223C" w:rsidRPr="00104227">
        <w:rPr>
          <w:lang w:val="en-US"/>
        </w:rPr>
        <w:t xml:space="preserve"> “excessively, disproportionately, inefficiently, unprofessionally and </w:t>
      </w:r>
      <w:r w:rsidR="00F77853" w:rsidRPr="00104227">
        <w:rPr>
          <w:lang w:val="en-US"/>
        </w:rPr>
        <w:t xml:space="preserve">in a manner </w:t>
      </w:r>
      <w:r w:rsidR="009B223C" w:rsidRPr="00104227">
        <w:rPr>
          <w:lang w:val="en-US"/>
        </w:rPr>
        <w:t>careless of respect for human rights”; (iv) it individualized those possibly responsible, without determining responsibility</w:t>
      </w:r>
      <w:r w:rsidR="00F77853" w:rsidRPr="00104227">
        <w:rPr>
          <w:lang w:val="en-US"/>
        </w:rPr>
        <w:t xml:space="preserve"> of any kind</w:t>
      </w:r>
      <w:r w:rsidR="009B223C" w:rsidRPr="00104227">
        <w:rPr>
          <w:lang w:val="en-US"/>
        </w:rPr>
        <w:t xml:space="preserve">, and noted that “the competent </w:t>
      </w:r>
      <w:r w:rsidR="009B223C" w:rsidRPr="00104227">
        <w:rPr>
          <w:lang w:val="en-US"/>
        </w:rPr>
        <w:lastRenderedPageBreak/>
        <w:t xml:space="preserve">authorities [must determine] whether any other members of the police forces, commanders or rank and file, also committed serious violations of individual guarantees”; (v) it ordered that the list of those possibly responsible be forwarded to the entities with competence to investigate and sanction, and (vi) it ordered that all the municipalities in the Mexican State be advised of the standards </w:t>
      </w:r>
      <w:r w:rsidR="00F77853" w:rsidRPr="00104227">
        <w:rPr>
          <w:lang w:val="en-US"/>
        </w:rPr>
        <w:t xml:space="preserve">for the use of force </w:t>
      </w:r>
      <w:r w:rsidR="009B223C" w:rsidRPr="00104227">
        <w:rPr>
          <w:lang w:val="en-US"/>
        </w:rPr>
        <w:t>established in the said judgment, granting it interpretive value and establishing criteria applicable to the municipal authorities.</w:t>
      </w:r>
      <w:r w:rsidR="003D6661" w:rsidRPr="00104227">
        <w:rPr>
          <w:rStyle w:val="Refdenotaalpie"/>
          <w:sz w:val="20"/>
          <w:szCs w:val="20"/>
          <w:lang w:val="en-US"/>
        </w:rPr>
        <w:footnoteReference w:id="155"/>
      </w:r>
      <w:r w:rsidR="009B223C" w:rsidRPr="00104227">
        <w:rPr>
          <w:lang w:val="en-US"/>
        </w:rPr>
        <w:t xml:space="preserve"> It also indicated that</w:t>
      </w:r>
      <w:bookmarkEnd w:id="222"/>
      <w:r w:rsidR="009B223C" w:rsidRPr="00104227">
        <w:rPr>
          <w:lang w:val="en-US"/>
        </w:rPr>
        <w:t>:</w:t>
      </w:r>
    </w:p>
    <w:p w14:paraId="0E112865" w14:textId="77777777" w:rsidR="003D6661" w:rsidRPr="00104227" w:rsidRDefault="003D6661" w:rsidP="00E4619F">
      <w:pPr>
        <w:tabs>
          <w:tab w:val="left" w:pos="567"/>
        </w:tabs>
      </w:pPr>
    </w:p>
    <w:p w14:paraId="43476177" w14:textId="3EFF81E0" w:rsidR="003D6661" w:rsidRPr="00104227" w:rsidRDefault="00C168DE" w:rsidP="00A74D80">
      <w:pPr>
        <w:tabs>
          <w:tab w:val="left" w:pos="567"/>
        </w:tabs>
        <w:ind w:left="567" w:right="617"/>
        <w:rPr>
          <w:sz w:val="18"/>
          <w:szCs w:val="18"/>
        </w:rPr>
      </w:pPr>
      <w:r w:rsidRPr="00104227">
        <w:rPr>
          <w:sz w:val="18"/>
          <w:szCs w:val="18"/>
        </w:rPr>
        <w:t xml:space="preserve">It </w:t>
      </w:r>
      <w:r w:rsidR="00F77853" w:rsidRPr="00104227">
        <w:rPr>
          <w:sz w:val="18"/>
          <w:szCs w:val="18"/>
        </w:rPr>
        <w:t xml:space="preserve">has been </w:t>
      </w:r>
      <w:r w:rsidRPr="00104227">
        <w:rPr>
          <w:sz w:val="18"/>
          <w:szCs w:val="18"/>
        </w:rPr>
        <w:t xml:space="preserve">determined, without identifying those who gave the orders and those who carried them out, </w:t>
      </w:r>
      <w:r w:rsidR="00F77853" w:rsidRPr="00104227">
        <w:rPr>
          <w:sz w:val="18"/>
          <w:szCs w:val="18"/>
        </w:rPr>
        <w:t xml:space="preserve">that </w:t>
      </w:r>
      <w:r w:rsidRPr="00104227">
        <w:rPr>
          <w:sz w:val="18"/>
          <w:szCs w:val="18"/>
        </w:rPr>
        <w:t>the authorities are attributed with participation in the events</w:t>
      </w:r>
      <w:r w:rsidR="003D6661" w:rsidRPr="00104227">
        <w:rPr>
          <w:sz w:val="18"/>
          <w:szCs w:val="18"/>
        </w:rPr>
        <w:t xml:space="preserve">; […] </w:t>
      </w:r>
      <w:r w:rsidRPr="00104227">
        <w:rPr>
          <w:sz w:val="18"/>
          <w:szCs w:val="18"/>
        </w:rPr>
        <w:t xml:space="preserve">it </w:t>
      </w:r>
      <w:r w:rsidR="00F77853" w:rsidRPr="00104227">
        <w:rPr>
          <w:sz w:val="18"/>
          <w:szCs w:val="18"/>
        </w:rPr>
        <w:t xml:space="preserve">is </w:t>
      </w:r>
      <w:r w:rsidRPr="00104227">
        <w:rPr>
          <w:sz w:val="18"/>
          <w:szCs w:val="18"/>
        </w:rPr>
        <w:t xml:space="preserve">established that </w:t>
      </w:r>
      <w:r w:rsidR="00F77853" w:rsidRPr="00104227">
        <w:rPr>
          <w:sz w:val="18"/>
          <w:szCs w:val="18"/>
        </w:rPr>
        <w:t>the roles played</w:t>
      </w:r>
      <w:r w:rsidRPr="00104227">
        <w:rPr>
          <w:sz w:val="18"/>
          <w:szCs w:val="18"/>
        </w:rPr>
        <w:t xml:space="preserve"> by authorities and officials who assembled on May 3 and authorized the use of </w:t>
      </w:r>
      <w:r w:rsidR="00B665DF" w:rsidRPr="00104227">
        <w:rPr>
          <w:sz w:val="18"/>
          <w:szCs w:val="18"/>
        </w:rPr>
        <w:t>law enforcement personnel</w:t>
      </w:r>
      <w:r w:rsidRPr="00104227">
        <w:rPr>
          <w:sz w:val="18"/>
          <w:szCs w:val="18"/>
        </w:rPr>
        <w:t xml:space="preserve"> cannot be determined [… nor</w:t>
      </w:r>
      <w:r w:rsidR="00F77853" w:rsidRPr="00104227">
        <w:rPr>
          <w:sz w:val="18"/>
          <w:szCs w:val="18"/>
        </w:rPr>
        <w:t xml:space="preserve"> the roles played by</w:t>
      </w:r>
      <w:r w:rsidRPr="00104227">
        <w:rPr>
          <w:sz w:val="18"/>
          <w:szCs w:val="18"/>
        </w:rPr>
        <w:t>] those that assembled on May 3 and d</w:t>
      </w:r>
      <w:r w:rsidR="00F77853" w:rsidRPr="00104227">
        <w:rPr>
          <w:sz w:val="18"/>
          <w:szCs w:val="18"/>
        </w:rPr>
        <w:t>rew up</w:t>
      </w:r>
      <w:r w:rsidRPr="00104227">
        <w:rPr>
          <w:sz w:val="18"/>
          <w:szCs w:val="18"/>
        </w:rPr>
        <w:t xml:space="preserve"> the strategy for the use of force; […] based on data from the investigations, specific individual </w:t>
      </w:r>
      <w:r w:rsidR="00474075" w:rsidRPr="00104227">
        <w:rPr>
          <w:sz w:val="18"/>
          <w:szCs w:val="18"/>
        </w:rPr>
        <w:t>roles played</w:t>
      </w:r>
      <w:r w:rsidRPr="00104227">
        <w:rPr>
          <w:sz w:val="18"/>
          <w:szCs w:val="18"/>
        </w:rPr>
        <w:t xml:space="preserve"> in the acts that constituted serious violations of individual guarantees</w:t>
      </w:r>
      <w:r w:rsidR="00474075" w:rsidRPr="00104227">
        <w:rPr>
          <w:sz w:val="18"/>
          <w:szCs w:val="18"/>
        </w:rPr>
        <w:t xml:space="preserve"> can be established</w:t>
      </w:r>
      <w:r w:rsidRPr="00104227">
        <w:rPr>
          <w:sz w:val="18"/>
          <w:szCs w:val="18"/>
        </w:rPr>
        <w:t xml:space="preserve">, and […] it </w:t>
      </w:r>
      <w:r w:rsidR="00474075" w:rsidRPr="00104227">
        <w:rPr>
          <w:sz w:val="18"/>
          <w:szCs w:val="18"/>
        </w:rPr>
        <w:t xml:space="preserve">has been </w:t>
      </w:r>
      <w:r w:rsidRPr="00104227">
        <w:rPr>
          <w:sz w:val="18"/>
          <w:szCs w:val="18"/>
        </w:rPr>
        <w:t>de</w:t>
      </w:r>
      <w:r w:rsidR="00474075" w:rsidRPr="00104227">
        <w:rPr>
          <w:sz w:val="18"/>
          <w:szCs w:val="18"/>
        </w:rPr>
        <w:t>cided</w:t>
      </w:r>
      <w:r w:rsidRPr="00104227">
        <w:rPr>
          <w:sz w:val="18"/>
          <w:szCs w:val="18"/>
        </w:rPr>
        <w:t xml:space="preserve"> to establish criteria for the competent authorities</w:t>
      </w:r>
      <w:r w:rsidR="00A74D80" w:rsidRPr="00104227">
        <w:rPr>
          <w:sz w:val="18"/>
          <w:szCs w:val="18"/>
        </w:rPr>
        <w:t xml:space="preserve"> to supplement the investigations in order to establish responsibilities.</w:t>
      </w:r>
      <w:r w:rsidR="003D6661" w:rsidRPr="00104227">
        <w:rPr>
          <w:rStyle w:val="Refdenotaalpie"/>
          <w:szCs w:val="20"/>
        </w:rPr>
        <w:footnoteReference w:id="156"/>
      </w:r>
    </w:p>
    <w:p w14:paraId="2472E39B" w14:textId="77777777" w:rsidR="003D6661" w:rsidRPr="00104227" w:rsidRDefault="003D6661" w:rsidP="00E4619F">
      <w:pPr>
        <w:tabs>
          <w:tab w:val="left" w:pos="567"/>
        </w:tabs>
        <w:ind w:left="567" w:right="617"/>
        <w:rPr>
          <w:sz w:val="18"/>
          <w:szCs w:val="18"/>
        </w:rPr>
      </w:pPr>
    </w:p>
    <w:p w14:paraId="66926ED3" w14:textId="5D28FC6C" w:rsidR="003D6661" w:rsidRPr="00104227" w:rsidRDefault="00A74D80" w:rsidP="00A74D80">
      <w:pPr>
        <w:pStyle w:val="Numberedparagraphs"/>
        <w:tabs>
          <w:tab w:val="left" w:pos="567"/>
        </w:tabs>
        <w:rPr>
          <w:lang w:val="en-US"/>
        </w:rPr>
      </w:pPr>
      <w:bookmarkStart w:id="223" w:name="_Ref532838856"/>
      <w:r w:rsidRPr="00104227">
        <w:rPr>
          <w:lang w:val="en-US"/>
        </w:rPr>
        <w:t xml:space="preserve">Furthermore, </w:t>
      </w:r>
      <w:r w:rsidR="00474075" w:rsidRPr="00104227">
        <w:rPr>
          <w:lang w:val="en-US"/>
        </w:rPr>
        <w:t>the SCJN</w:t>
      </w:r>
      <w:r w:rsidRPr="00104227">
        <w:rPr>
          <w:lang w:val="en-US"/>
        </w:rPr>
        <w:t xml:space="preserve"> consider</w:t>
      </w:r>
      <w:r w:rsidR="00474075" w:rsidRPr="00104227">
        <w:rPr>
          <w:lang w:val="en-US"/>
        </w:rPr>
        <w:t>ed</w:t>
      </w:r>
      <w:r w:rsidRPr="00104227">
        <w:rPr>
          <w:lang w:val="en-US"/>
        </w:rPr>
        <w:t xml:space="preserve"> that “the inquiry </w:t>
      </w:r>
      <w:r w:rsidR="00474075" w:rsidRPr="00104227">
        <w:rPr>
          <w:lang w:val="en-US"/>
        </w:rPr>
        <w:t xml:space="preserve">had gathered no evidence whatsoever </w:t>
      </w:r>
      <w:r w:rsidRPr="00104227">
        <w:rPr>
          <w:lang w:val="en-US"/>
        </w:rPr>
        <w:t>establish</w:t>
      </w:r>
      <w:r w:rsidR="00474075" w:rsidRPr="00104227">
        <w:rPr>
          <w:lang w:val="en-US"/>
        </w:rPr>
        <w:t>ing</w:t>
      </w:r>
      <w:r w:rsidRPr="00104227">
        <w:rPr>
          <w:lang w:val="en-US"/>
        </w:rPr>
        <w:t xml:space="preserve"> that the interventions and </w:t>
      </w:r>
      <w:r w:rsidR="00474075" w:rsidRPr="00104227">
        <w:rPr>
          <w:lang w:val="en-US"/>
        </w:rPr>
        <w:t xml:space="preserve">the </w:t>
      </w:r>
      <w:r w:rsidRPr="00104227">
        <w:rPr>
          <w:lang w:val="en-US"/>
        </w:rPr>
        <w:t>use of force that occurred in those events had been agreed or ordered directly by the superior</w:t>
      </w:r>
      <w:r w:rsidR="00474075" w:rsidRPr="00104227">
        <w:rPr>
          <w:lang w:val="en-US"/>
        </w:rPr>
        <w:t>s</w:t>
      </w:r>
      <w:r w:rsidRPr="00104227">
        <w:rPr>
          <w:lang w:val="en-US"/>
        </w:rPr>
        <w:t xml:space="preserve"> of the head </w:t>
      </w:r>
      <w:r w:rsidR="00DF0305" w:rsidRPr="00104227">
        <w:rPr>
          <w:lang w:val="en-US"/>
        </w:rPr>
        <w:t>of the state Security Agency</w:t>
      </w:r>
      <w:r w:rsidR="00BF5241" w:rsidRPr="00104227">
        <w:rPr>
          <w:lang w:val="en-US"/>
        </w:rPr>
        <w:t xml:space="preserve"> and </w:t>
      </w:r>
      <w:r w:rsidR="00DF0305" w:rsidRPr="00104227">
        <w:rPr>
          <w:lang w:val="en-US"/>
        </w:rPr>
        <w:t>of the Federal Preventive Police</w:t>
      </w:r>
      <w:r w:rsidRPr="00104227">
        <w:rPr>
          <w:lang w:val="en-US"/>
        </w:rPr>
        <w:t>.</w:t>
      </w:r>
      <w:r w:rsidR="003D6661" w:rsidRPr="00104227">
        <w:rPr>
          <w:lang w:val="en-US"/>
        </w:rPr>
        <w:t>”</w:t>
      </w:r>
      <w:r w:rsidR="003D6661" w:rsidRPr="00104227">
        <w:rPr>
          <w:rStyle w:val="Refdenotaalpie"/>
          <w:lang w:val="en-US"/>
        </w:rPr>
        <w:footnoteReference w:id="157"/>
      </w:r>
      <w:r w:rsidRPr="00104227">
        <w:rPr>
          <w:lang w:val="en-US"/>
        </w:rPr>
        <w:t xml:space="preserve"> Nevertheless, according to </w:t>
      </w:r>
      <w:r w:rsidR="008F27D0" w:rsidRPr="00104227">
        <w:rPr>
          <w:lang w:val="en-US"/>
        </w:rPr>
        <w:t>the SCJN</w:t>
      </w:r>
      <w:r w:rsidR="003D6661" w:rsidRPr="00104227">
        <w:rPr>
          <w:lang w:val="en-US"/>
        </w:rPr>
        <w:t xml:space="preserve"> “</w:t>
      </w:r>
      <w:r w:rsidRPr="00104227">
        <w:rPr>
          <w:lang w:val="en-US"/>
        </w:rPr>
        <w:t xml:space="preserve">it can be affirmed […] that even though the violence was not ordered, it </w:t>
      </w:r>
      <w:r w:rsidRPr="00104227">
        <w:rPr>
          <w:i/>
          <w:iCs/>
          <w:lang w:val="en-US"/>
        </w:rPr>
        <w:t>was permitted and encouraged</w:t>
      </w:r>
      <w:r w:rsidRPr="00104227">
        <w:rPr>
          <w:lang w:val="en-US"/>
        </w:rPr>
        <w:t xml:space="preserve"> and, to that extent, authorized, encouraged </w:t>
      </w:r>
      <w:r w:rsidR="00474075" w:rsidRPr="00104227">
        <w:rPr>
          <w:lang w:val="en-US"/>
        </w:rPr>
        <w:t>and</w:t>
      </w:r>
      <w:r w:rsidRPr="00104227">
        <w:rPr>
          <w:lang w:val="en-US"/>
        </w:rPr>
        <w:t xml:space="preserve"> endorsed.</w:t>
      </w:r>
      <w:r w:rsidR="003D6661" w:rsidRPr="00104227">
        <w:rPr>
          <w:lang w:val="en-US"/>
        </w:rPr>
        <w:t>”</w:t>
      </w:r>
      <w:r w:rsidR="003D6661" w:rsidRPr="00104227">
        <w:rPr>
          <w:rStyle w:val="Refdenotaalpie"/>
          <w:lang w:val="en-US"/>
        </w:rPr>
        <w:footnoteReference w:id="158"/>
      </w:r>
      <w:bookmarkEnd w:id="223"/>
      <w:r w:rsidR="003D6661" w:rsidRPr="00104227">
        <w:rPr>
          <w:lang w:val="en-US"/>
        </w:rPr>
        <w:t xml:space="preserve"> </w:t>
      </w:r>
    </w:p>
    <w:p w14:paraId="1AB2735D" w14:textId="77777777" w:rsidR="003D6661" w:rsidRPr="00104227" w:rsidRDefault="003D6661" w:rsidP="00E4619F">
      <w:pPr>
        <w:tabs>
          <w:tab w:val="left" w:pos="567"/>
        </w:tabs>
      </w:pPr>
    </w:p>
    <w:p w14:paraId="4B00810A" w14:textId="7ADE1F9C" w:rsidR="003D6661" w:rsidRPr="00104227" w:rsidRDefault="003D6661" w:rsidP="00E4619F">
      <w:pPr>
        <w:pStyle w:val="Ttulo3"/>
        <w:tabs>
          <w:tab w:val="left" w:pos="567"/>
        </w:tabs>
        <w:rPr>
          <w:szCs w:val="20"/>
          <w:lang w:val="en-US"/>
        </w:rPr>
      </w:pPr>
      <w:bookmarkStart w:id="224" w:name="_Toc527464918"/>
      <w:bookmarkStart w:id="225" w:name="_Toc31290582"/>
      <w:bookmarkStart w:id="226" w:name="_Toc433650889"/>
      <w:bookmarkStart w:id="227" w:name="_Toc433650991"/>
      <w:bookmarkStart w:id="228" w:name="_Toc438128500"/>
      <w:r w:rsidRPr="00104227">
        <w:rPr>
          <w:szCs w:val="20"/>
          <w:lang w:val="en-US"/>
        </w:rPr>
        <w:t xml:space="preserve">C.3 </w:t>
      </w:r>
      <w:r w:rsidR="00A74D80" w:rsidRPr="00104227">
        <w:rPr>
          <w:szCs w:val="20"/>
          <w:lang w:val="en-US"/>
        </w:rPr>
        <w:t>Investigations and criminal proceedings in</w:t>
      </w:r>
      <w:r w:rsidRPr="00104227">
        <w:rPr>
          <w:szCs w:val="20"/>
          <w:lang w:val="en-US"/>
        </w:rPr>
        <w:t xml:space="preserve"> </w:t>
      </w:r>
      <w:r w:rsidR="00AC3BFC" w:rsidRPr="00104227">
        <w:rPr>
          <w:szCs w:val="20"/>
          <w:lang w:val="en-US"/>
        </w:rPr>
        <w:t xml:space="preserve">the </w:t>
      </w:r>
      <w:r w:rsidR="00CA330F" w:rsidRPr="00104227">
        <w:rPr>
          <w:szCs w:val="20"/>
          <w:lang w:val="en-US"/>
        </w:rPr>
        <w:t>state of Mexico</w:t>
      </w:r>
      <w:bookmarkEnd w:id="224"/>
      <w:bookmarkEnd w:id="225"/>
      <w:r w:rsidRPr="00104227">
        <w:rPr>
          <w:szCs w:val="20"/>
          <w:lang w:val="en-US"/>
        </w:rPr>
        <w:t xml:space="preserve"> </w:t>
      </w:r>
      <w:bookmarkEnd w:id="226"/>
      <w:bookmarkEnd w:id="227"/>
      <w:bookmarkEnd w:id="228"/>
    </w:p>
    <w:p w14:paraId="6D6336B2" w14:textId="77777777" w:rsidR="003D6661" w:rsidRPr="00104227" w:rsidRDefault="003D6661" w:rsidP="00E4619F">
      <w:pPr>
        <w:tabs>
          <w:tab w:val="left" w:pos="567"/>
        </w:tabs>
        <w:rPr>
          <w:szCs w:val="20"/>
        </w:rPr>
      </w:pPr>
    </w:p>
    <w:p w14:paraId="1236313E" w14:textId="7E765A20" w:rsidR="003D6661" w:rsidRPr="00104227" w:rsidRDefault="00A74D80" w:rsidP="00E4619F">
      <w:pPr>
        <w:pStyle w:val="Numberedparagraphs"/>
        <w:tabs>
          <w:tab w:val="left" w:pos="567"/>
        </w:tabs>
        <w:rPr>
          <w:lang w:val="en-US"/>
        </w:rPr>
      </w:pPr>
      <w:bookmarkStart w:id="229" w:name="_Ref528937104"/>
      <w:r w:rsidRPr="00104227">
        <w:rPr>
          <w:lang w:val="en-US"/>
        </w:rPr>
        <w:t>On May 9,</w:t>
      </w:r>
      <w:r w:rsidR="003D6661" w:rsidRPr="00104227">
        <w:rPr>
          <w:lang w:val="en-US"/>
        </w:rPr>
        <w:t xml:space="preserve"> 2006, </w:t>
      </w:r>
      <w:r w:rsidR="0065009A" w:rsidRPr="00104227">
        <w:rPr>
          <w:lang w:val="en-US"/>
        </w:rPr>
        <w:t>the CNDH</w:t>
      </w:r>
      <w:r w:rsidR="003D6661" w:rsidRPr="00104227">
        <w:rPr>
          <w:lang w:val="en-US"/>
        </w:rPr>
        <w:t xml:space="preserve"> </w:t>
      </w:r>
      <w:r w:rsidRPr="00104227">
        <w:rPr>
          <w:lang w:val="en-US"/>
        </w:rPr>
        <w:t>advised</w:t>
      </w:r>
      <w:r w:rsidR="003D6661" w:rsidRPr="00104227">
        <w:rPr>
          <w:lang w:val="en-US"/>
        </w:rPr>
        <w:t xml:space="preserve"> </w:t>
      </w:r>
      <w:r w:rsidR="006F5741" w:rsidRPr="00104227">
        <w:rPr>
          <w:lang w:val="en-US"/>
        </w:rPr>
        <w:t>the Office of the Attorney General</w:t>
      </w:r>
      <w:r w:rsidR="002826A6" w:rsidRPr="00104227">
        <w:rPr>
          <w:lang w:val="en-US"/>
        </w:rPr>
        <w:t xml:space="preserve"> of the </w:t>
      </w:r>
      <w:r w:rsidR="00CA330F" w:rsidRPr="00104227">
        <w:rPr>
          <w:lang w:val="en-US"/>
        </w:rPr>
        <w:t>state of Mexico</w:t>
      </w:r>
      <w:r w:rsidR="003D6661" w:rsidRPr="00104227">
        <w:rPr>
          <w:lang w:val="en-US"/>
        </w:rPr>
        <w:t xml:space="preserve"> (PGJEM) </w:t>
      </w:r>
      <w:r w:rsidR="00D146BF" w:rsidRPr="00104227">
        <w:rPr>
          <w:lang w:val="en-US"/>
        </w:rPr>
        <w:t xml:space="preserve">of </w:t>
      </w:r>
      <w:r w:rsidR="003D6661" w:rsidRPr="00104227">
        <w:rPr>
          <w:lang w:val="en-US"/>
        </w:rPr>
        <w:t>“</w:t>
      </w:r>
      <w:r w:rsidR="00D146BF" w:rsidRPr="00104227">
        <w:rPr>
          <w:lang w:val="en-US"/>
        </w:rPr>
        <w:t>the presumed acts consistent with abuse of a</w:t>
      </w:r>
      <w:r w:rsidR="00474075" w:rsidRPr="00104227">
        <w:rPr>
          <w:lang w:val="en-US"/>
        </w:rPr>
        <w:t xml:space="preserve"> </w:t>
      </w:r>
      <w:r w:rsidR="00D146BF" w:rsidRPr="00104227">
        <w:rPr>
          <w:lang w:val="en-US"/>
        </w:rPr>
        <w:t>sexual nature perpetrated by police agents,” in relation to the events that occurred on</w:t>
      </w:r>
      <w:r w:rsidR="00E31E41" w:rsidRPr="00104227">
        <w:rPr>
          <w:lang w:val="en-US"/>
        </w:rPr>
        <w:t xml:space="preserve"> </w:t>
      </w:r>
      <w:r w:rsidR="00DF5F3C" w:rsidRPr="00104227">
        <w:rPr>
          <w:lang w:val="en-US"/>
        </w:rPr>
        <w:t>May 3 and 4,</w:t>
      </w:r>
      <w:r w:rsidR="003D6661" w:rsidRPr="00104227">
        <w:rPr>
          <w:lang w:val="en-US"/>
        </w:rPr>
        <w:t xml:space="preserve"> 2006</w:t>
      </w:r>
      <w:r w:rsidR="00D146BF" w:rsidRPr="00104227">
        <w:rPr>
          <w:lang w:val="en-US"/>
        </w:rPr>
        <w:t xml:space="preserve">, and, on this basis, </w:t>
      </w:r>
      <w:r w:rsidR="003D6661" w:rsidRPr="00104227">
        <w:rPr>
          <w:lang w:val="en-US"/>
        </w:rPr>
        <w:t xml:space="preserve"> </w:t>
      </w:r>
      <w:r w:rsidR="00E31E41" w:rsidRPr="00104227">
        <w:rPr>
          <w:lang w:val="en-US"/>
        </w:rPr>
        <w:t>preliminary inquiry</w:t>
      </w:r>
      <w:r w:rsidR="00D146BF" w:rsidRPr="00104227">
        <w:rPr>
          <w:lang w:val="en-US"/>
        </w:rPr>
        <w:t xml:space="preserve"> </w:t>
      </w:r>
      <w:r w:rsidR="003D6661" w:rsidRPr="00104227">
        <w:rPr>
          <w:lang w:val="en-US"/>
        </w:rPr>
        <w:t>TOL/DR/I/470/2006</w:t>
      </w:r>
      <w:r w:rsidR="00D146BF" w:rsidRPr="00104227">
        <w:rPr>
          <w:lang w:val="en-US"/>
        </w:rPr>
        <w:t xml:space="preserve"> was opened.</w:t>
      </w:r>
      <w:r w:rsidR="003D6661" w:rsidRPr="00104227">
        <w:rPr>
          <w:vertAlign w:val="superscript"/>
          <w:lang w:val="en-US"/>
        </w:rPr>
        <w:footnoteReference w:id="159"/>
      </w:r>
      <w:r w:rsidR="003D6661" w:rsidRPr="00104227">
        <w:rPr>
          <w:lang w:val="en-US"/>
        </w:rPr>
        <w:t xml:space="preserve"> </w:t>
      </w:r>
      <w:r w:rsidR="00D146BF" w:rsidRPr="00104227">
        <w:rPr>
          <w:lang w:val="en-US"/>
        </w:rPr>
        <w:t xml:space="preserve">The </w:t>
      </w:r>
      <w:r w:rsidR="00474075" w:rsidRPr="00104227">
        <w:rPr>
          <w:lang w:val="en-US"/>
        </w:rPr>
        <w:t>next</w:t>
      </w:r>
      <w:r w:rsidR="00D146BF" w:rsidRPr="00104227">
        <w:rPr>
          <w:lang w:val="en-US"/>
        </w:rPr>
        <w:t xml:space="preserve"> day</w:t>
      </w:r>
      <w:r w:rsidR="003D6661" w:rsidRPr="00104227">
        <w:rPr>
          <w:lang w:val="en-US"/>
        </w:rPr>
        <w:t xml:space="preserve">, </w:t>
      </w:r>
      <w:r w:rsidR="00D146BF" w:rsidRPr="00104227">
        <w:rPr>
          <w:lang w:val="en-US"/>
        </w:rPr>
        <w:t>the</w:t>
      </w:r>
      <w:r w:rsidR="003D6661" w:rsidRPr="00104227">
        <w:rPr>
          <w:lang w:val="en-US"/>
        </w:rPr>
        <w:t xml:space="preserve"> PGJEM </w:t>
      </w:r>
      <w:r w:rsidR="00D146BF" w:rsidRPr="00104227">
        <w:rPr>
          <w:lang w:val="en-US"/>
        </w:rPr>
        <w:t>opened</w:t>
      </w:r>
      <w:r w:rsidR="00E31E41" w:rsidRPr="00104227">
        <w:rPr>
          <w:lang w:val="en-US"/>
        </w:rPr>
        <w:t xml:space="preserve"> preliminary </w:t>
      </w:r>
      <w:r w:rsidR="00D146BF" w:rsidRPr="00104227">
        <w:rPr>
          <w:lang w:val="en-US"/>
        </w:rPr>
        <w:t xml:space="preserve">inquiry </w:t>
      </w:r>
      <w:r w:rsidR="003D6661" w:rsidRPr="00104227">
        <w:rPr>
          <w:lang w:val="en-US"/>
        </w:rPr>
        <w:t>TOL/DR/I/466/</w:t>
      </w:r>
      <w:r w:rsidR="00684423" w:rsidRPr="00104227">
        <w:rPr>
          <w:lang w:val="en-US"/>
        </w:rPr>
        <w:t>20</w:t>
      </w:r>
      <w:r w:rsidR="003D6661" w:rsidRPr="00104227">
        <w:rPr>
          <w:lang w:val="en-US"/>
        </w:rPr>
        <w:t>06</w:t>
      </w:r>
      <w:r w:rsidR="00D146BF" w:rsidRPr="00104227">
        <w:rPr>
          <w:lang w:val="en-US"/>
        </w:rPr>
        <w:t>,</w:t>
      </w:r>
      <w:r w:rsidR="003D6661" w:rsidRPr="00104227">
        <w:rPr>
          <w:rStyle w:val="Refdenotaalpie"/>
          <w:sz w:val="20"/>
          <w:szCs w:val="20"/>
          <w:lang w:val="en-US"/>
        </w:rPr>
        <w:footnoteReference w:id="160"/>
      </w:r>
      <w:r w:rsidR="00D146BF" w:rsidRPr="00104227">
        <w:rPr>
          <w:lang w:val="en-US"/>
        </w:rPr>
        <w:t xml:space="preserve"> in response to </w:t>
      </w:r>
      <w:r w:rsidR="00474075" w:rsidRPr="00104227">
        <w:rPr>
          <w:lang w:val="en-US"/>
        </w:rPr>
        <w:t xml:space="preserve">newspaper </w:t>
      </w:r>
      <w:r w:rsidR="00D146BF" w:rsidRPr="00104227">
        <w:rPr>
          <w:lang w:val="en-US"/>
        </w:rPr>
        <w:t>articles report</w:t>
      </w:r>
      <w:r w:rsidR="00474075" w:rsidRPr="00104227">
        <w:rPr>
          <w:lang w:val="en-US"/>
        </w:rPr>
        <w:t>ing</w:t>
      </w:r>
      <w:r w:rsidR="00D146BF" w:rsidRPr="00104227">
        <w:rPr>
          <w:lang w:val="en-US"/>
        </w:rPr>
        <w:t xml:space="preserve"> injuries and sexual abuse during the operations of </w:t>
      </w:r>
      <w:r w:rsidR="00DF5F3C" w:rsidRPr="00104227">
        <w:rPr>
          <w:lang w:val="en-US"/>
        </w:rPr>
        <w:t>May 3 and 4,</w:t>
      </w:r>
      <w:r w:rsidR="003D6661" w:rsidRPr="00104227">
        <w:rPr>
          <w:lang w:val="en-US"/>
        </w:rPr>
        <w:t xml:space="preserve"> </w:t>
      </w:r>
      <w:r w:rsidR="008C6D02" w:rsidRPr="00104227">
        <w:rPr>
          <w:lang w:val="en-US"/>
        </w:rPr>
        <w:t>2006, in</w:t>
      </w:r>
      <w:r w:rsidR="003D6661" w:rsidRPr="00104227">
        <w:rPr>
          <w:lang w:val="en-US"/>
        </w:rPr>
        <w:t xml:space="preserve"> Atenco, </w:t>
      </w:r>
      <w:r w:rsidR="008C6D02" w:rsidRPr="00104227">
        <w:rPr>
          <w:lang w:val="en-US"/>
        </w:rPr>
        <w:t>state of Mexico</w:t>
      </w:r>
      <w:r w:rsidR="00D146BF" w:rsidRPr="00104227">
        <w:rPr>
          <w:lang w:val="en-US"/>
        </w:rPr>
        <w:t>.</w:t>
      </w:r>
      <w:r w:rsidR="003D6661" w:rsidRPr="00104227">
        <w:rPr>
          <w:rStyle w:val="Refdenotaalpie"/>
          <w:sz w:val="20"/>
          <w:szCs w:val="20"/>
          <w:lang w:val="en-US"/>
        </w:rPr>
        <w:footnoteReference w:id="161"/>
      </w:r>
      <w:r w:rsidR="00C726C5" w:rsidRPr="00104227">
        <w:rPr>
          <w:lang w:val="en-US"/>
        </w:rPr>
        <w:t xml:space="preserve"> </w:t>
      </w:r>
      <w:r w:rsidR="00D146BF" w:rsidRPr="00104227">
        <w:rPr>
          <w:lang w:val="en-US"/>
        </w:rPr>
        <w:t>On May 11, the two</w:t>
      </w:r>
      <w:r w:rsidR="00A04AD0" w:rsidRPr="00104227">
        <w:rPr>
          <w:lang w:val="en-US"/>
        </w:rPr>
        <w:t xml:space="preserve"> preliminary</w:t>
      </w:r>
      <w:r w:rsidR="00D146BF" w:rsidRPr="00104227">
        <w:rPr>
          <w:lang w:val="en-US"/>
        </w:rPr>
        <w:t xml:space="preserve"> inquiries were</w:t>
      </w:r>
      <w:r w:rsidR="00474075" w:rsidRPr="00104227">
        <w:rPr>
          <w:lang w:val="en-US"/>
        </w:rPr>
        <w:t xml:space="preserve"> </w:t>
      </w:r>
      <w:r w:rsidR="00D146BF" w:rsidRPr="00104227">
        <w:rPr>
          <w:lang w:val="en-US"/>
        </w:rPr>
        <w:t>combined</w:t>
      </w:r>
      <w:r w:rsidR="00A04AD0" w:rsidRPr="00104227">
        <w:rPr>
          <w:lang w:val="en-US"/>
        </w:rPr>
        <w:t>;</w:t>
      </w:r>
      <w:r w:rsidR="003D6661" w:rsidRPr="00104227">
        <w:rPr>
          <w:rStyle w:val="Refdenotaalpie"/>
          <w:sz w:val="20"/>
          <w:szCs w:val="20"/>
          <w:lang w:val="en-US"/>
        </w:rPr>
        <w:footnoteReference w:id="162"/>
      </w:r>
      <w:r w:rsidR="00A04AD0" w:rsidRPr="00104227">
        <w:rPr>
          <w:lang w:val="en-US"/>
        </w:rPr>
        <w:t xml:space="preserve"> they </w:t>
      </w:r>
      <w:r w:rsidR="00474075" w:rsidRPr="00104227">
        <w:rPr>
          <w:lang w:val="en-US"/>
        </w:rPr>
        <w:t>included</w:t>
      </w:r>
      <w:r w:rsidR="00A04AD0" w:rsidRPr="00104227">
        <w:rPr>
          <w:lang w:val="en-US"/>
        </w:rPr>
        <w:t xml:space="preserve"> the complaints of, and interviews with, among others:</w:t>
      </w:r>
      <w:r w:rsidR="003D6661" w:rsidRPr="00104227">
        <w:rPr>
          <w:lang w:val="en-US"/>
        </w:rPr>
        <w:t xml:space="preserve"> </w:t>
      </w:r>
      <w:r w:rsidR="0047539E" w:rsidRPr="00104227">
        <w:rPr>
          <w:lang w:val="en-US"/>
        </w:rPr>
        <w:t>Angélica Patricia Torres</w:t>
      </w:r>
      <w:r w:rsidR="003D6661" w:rsidRPr="00104227">
        <w:rPr>
          <w:lang w:val="en-US"/>
        </w:rPr>
        <w:t xml:space="preserve"> Linares, Bárbara Italia Méndez Moreno, </w:t>
      </w:r>
      <w:r w:rsidR="003D6661" w:rsidRPr="00104227">
        <w:rPr>
          <w:lang w:val="en-US"/>
        </w:rPr>
        <w:lastRenderedPageBreak/>
        <w:t>Ana María Velasco Rodríguez, Claudia Hernández García, Suhelen Gabriela Cuevas Jaramillo</w:t>
      </w:r>
      <w:r w:rsidR="00A04AD0" w:rsidRPr="00104227">
        <w:rPr>
          <w:lang w:val="en-US"/>
        </w:rPr>
        <w:t>,</w:t>
      </w:r>
      <w:r w:rsidR="003D6661" w:rsidRPr="00104227">
        <w:rPr>
          <w:rStyle w:val="Refdenotaalpie"/>
          <w:lang w:val="en-US"/>
        </w:rPr>
        <w:footnoteReference w:id="163"/>
      </w:r>
      <w:r w:rsidR="003D6661" w:rsidRPr="00104227">
        <w:rPr>
          <w:lang w:val="en-US"/>
        </w:rPr>
        <w:t xml:space="preserve"> Yolanda Muñoz Diosdada, Mariana Selvas Gómez</w:t>
      </w:r>
      <w:r w:rsidR="00BF5241" w:rsidRPr="00104227">
        <w:rPr>
          <w:lang w:val="en-US"/>
        </w:rPr>
        <w:t xml:space="preserve"> and </w:t>
      </w:r>
      <w:r w:rsidR="0053506B" w:rsidRPr="00104227">
        <w:rPr>
          <w:lang w:val="en-US"/>
        </w:rPr>
        <w:t xml:space="preserve">María </w:t>
      </w:r>
      <w:r w:rsidR="003D6661" w:rsidRPr="00104227">
        <w:rPr>
          <w:lang w:val="en-US"/>
        </w:rPr>
        <w:t>Cristina Sánchez He</w:t>
      </w:r>
      <w:r w:rsidR="00A23EE6" w:rsidRPr="00104227">
        <w:rPr>
          <w:lang w:val="en-US"/>
        </w:rPr>
        <w:t>rnández</w:t>
      </w:r>
      <w:r w:rsidR="00A04AD0" w:rsidRPr="00104227">
        <w:rPr>
          <w:lang w:val="en-US"/>
        </w:rPr>
        <w:t>.</w:t>
      </w:r>
      <w:r w:rsidR="003D6661" w:rsidRPr="00104227">
        <w:rPr>
          <w:rStyle w:val="Refdenotaalpie"/>
          <w:sz w:val="20"/>
          <w:szCs w:val="20"/>
          <w:lang w:val="en-US"/>
        </w:rPr>
        <w:footnoteReference w:id="164"/>
      </w:r>
      <w:r w:rsidR="003D6661" w:rsidRPr="00104227">
        <w:rPr>
          <w:lang w:val="en-US"/>
        </w:rPr>
        <w:t xml:space="preserve"> </w:t>
      </w:r>
      <w:r w:rsidR="00A84F20" w:rsidRPr="00104227">
        <w:rPr>
          <w:lang w:val="en-US"/>
        </w:rPr>
        <w:t>Subsequently</w:t>
      </w:r>
      <w:r w:rsidR="003D6661" w:rsidRPr="00104227">
        <w:rPr>
          <w:lang w:val="en-US"/>
        </w:rPr>
        <w:t xml:space="preserve">, </w:t>
      </w:r>
      <w:r w:rsidR="006F5741" w:rsidRPr="00104227">
        <w:rPr>
          <w:lang w:val="en-US"/>
        </w:rPr>
        <w:t>on May 16,</w:t>
      </w:r>
      <w:r w:rsidR="003D6661" w:rsidRPr="00104227">
        <w:rPr>
          <w:lang w:val="en-US"/>
        </w:rPr>
        <w:t xml:space="preserve"> 2006</w:t>
      </w:r>
      <w:r w:rsidR="00A04AD0" w:rsidRPr="00104227">
        <w:rPr>
          <w:lang w:val="en-US"/>
        </w:rPr>
        <w:t>,</w:t>
      </w:r>
      <w:r w:rsidR="003D6661" w:rsidRPr="00104227">
        <w:rPr>
          <w:lang w:val="en-US"/>
        </w:rPr>
        <w:t xml:space="preserve"> </w:t>
      </w:r>
      <w:r w:rsidR="00A04AD0" w:rsidRPr="00104227">
        <w:rPr>
          <w:lang w:val="en-US"/>
        </w:rPr>
        <w:t>inquiry</w:t>
      </w:r>
      <w:r w:rsidR="003D6661" w:rsidRPr="00104227">
        <w:rPr>
          <w:lang w:val="en-US"/>
        </w:rPr>
        <w:t xml:space="preserve"> ZIN/I/718/</w:t>
      </w:r>
      <w:r w:rsidR="00B3339A" w:rsidRPr="00104227">
        <w:rPr>
          <w:lang w:val="en-US"/>
        </w:rPr>
        <w:t>20</w:t>
      </w:r>
      <w:r w:rsidR="003D6661" w:rsidRPr="00104227">
        <w:rPr>
          <w:lang w:val="en-US"/>
        </w:rPr>
        <w:t>06</w:t>
      </w:r>
      <w:r w:rsidR="00A04AD0" w:rsidRPr="00104227">
        <w:rPr>
          <w:lang w:val="en-US"/>
        </w:rPr>
        <w:t xml:space="preserve"> concerning the injuries and sexual abuse </w:t>
      </w:r>
      <w:r w:rsidR="00C2124F" w:rsidRPr="00104227">
        <w:rPr>
          <w:lang w:val="en-US"/>
        </w:rPr>
        <w:t>of</w:t>
      </w:r>
      <w:r w:rsidR="003D6661" w:rsidRPr="00104227">
        <w:rPr>
          <w:lang w:val="en-US"/>
        </w:rPr>
        <w:t xml:space="preserve"> Bárbara Italia Méndez Moreno</w:t>
      </w:r>
      <w:r w:rsidR="00BF5241" w:rsidRPr="00104227">
        <w:rPr>
          <w:lang w:val="en-US"/>
        </w:rPr>
        <w:t xml:space="preserve"> and </w:t>
      </w:r>
      <w:r w:rsidR="003D6661" w:rsidRPr="00104227">
        <w:rPr>
          <w:lang w:val="en-US"/>
        </w:rPr>
        <w:t>Claudia Hernández Martínez</w:t>
      </w:r>
      <w:r w:rsidR="00A04AD0" w:rsidRPr="00104227">
        <w:rPr>
          <w:lang w:val="en-US"/>
        </w:rPr>
        <w:t xml:space="preserve"> </w:t>
      </w:r>
      <w:r w:rsidR="004432A6" w:rsidRPr="00104227">
        <w:rPr>
          <w:lang w:val="en-US"/>
        </w:rPr>
        <w:t>was received and incorporated.</w:t>
      </w:r>
      <w:r w:rsidR="003D6661" w:rsidRPr="00104227">
        <w:rPr>
          <w:vertAlign w:val="superscript"/>
          <w:lang w:val="en-US"/>
        </w:rPr>
        <w:footnoteReference w:id="165"/>
      </w:r>
      <w:r w:rsidR="003D6661" w:rsidRPr="00104227">
        <w:rPr>
          <w:lang w:val="en-US"/>
        </w:rPr>
        <w:t xml:space="preserve"> A</w:t>
      </w:r>
      <w:r w:rsidR="004432A6" w:rsidRPr="00104227">
        <w:rPr>
          <w:lang w:val="en-US"/>
        </w:rPr>
        <w:t>lso</w:t>
      </w:r>
      <w:r w:rsidR="003D6661" w:rsidRPr="00104227">
        <w:rPr>
          <w:lang w:val="en-US"/>
        </w:rPr>
        <w:t xml:space="preserve">, </w:t>
      </w:r>
      <w:r w:rsidR="004432A6" w:rsidRPr="00104227">
        <w:rPr>
          <w:lang w:val="en-US"/>
        </w:rPr>
        <w:t>on May 19,</w:t>
      </w:r>
      <w:r w:rsidR="003D6661" w:rsidRPr="00104227">
        <w:rPr>
          <w:lang w:val="en-US"/>
        </w:rPr>
        <w:t xml:space="preserve"> 2006, </w:t>
      </w:r>
      <w:r w:rsidR="004432A6" w:rsidRPr="00104227">
        <w:rPr>
          <w:lang w:val="en-US"/>
        </w:rPr>
        <w:t xml:space="preserve">the complaints of </w:t>
      </w:r>
      <w:r w:rsidR="003D6661" w:rsidRPr="00104227">
        <w:rPr>
          <w:lang w:val="en-US"/>
        </w:rPr>
        <w:t>María Patricia Romero Hernández, Georgina Edith Rosales Gutiérrez</w:t>
      </w:r>
      <w:r w:rsidR="00BF5241" w:rsidRPr="00104227">
        <w:rPr>
          <w:lang w:val="en-US"/>
        </w:rPr>
        <w:t xml:space="preserve"> and </w:t>
      </w:r>
      <w:r w:rsidR="003D6661" w:rsidRPr="00104227">
        <w:rPr>
          <w:lang w:val="en-US"/>
        </w:rPr>
        <w:t>Norma Aidé Jiménez Osorio</w:t>
      </w:r>
      <w:r w:rsidR="004432A6" w:rsidRPr="00104227">
        <w:rPr>
          <w:lang w:val="en-US"/>
        </w:rPr>
        <w:t xml:space="preserve"> were received, and these were also added to </w:t>
      </w:r>
      <w:r w:rsidR="00E31E41" w:rsidRPr="00104227">
        <w:rPr>
          <w:lang w:val="en-US"/>
        </w:rPr>
        <w:t>preliminary inquiry</w:t>
      </w:r>
      <w:r w:rsidR="004432A6" w:rsidRPr="00104227">
        <w:rPr>
          <w:lang w:val="en-US"/>
        </w:rPr>
        <w:t xml:space="preserve"> </w:t>
      </w:r>
      <w:r w:rsidR="003D6661" w:rsidRPr="00104227">
        <w:rPr>
          <w:lang w:val="en-US"/>
        </w:rPr>
        <w:t>TOL/DR/I/466/</w:t>
      </w:r>
      <w:r w:rsidR="00B3339A" w:rsidRPr="00104227">
        <w:rPr>
          <w:lang w:val="en-US"/>
        </w:rPr>
        <w:t>20</w:t>
      </w:r>
      <w:r w:rsidR="003D6661" w:rsidRPr="00104227">
        <w:rPr>
          <w:lang w:val="en-US"/>
        </w:rPr>
        <w:t>06</w:t>
      </w:r>
      <w:r w:rsidR="004432A6" w:rsidRPr="00104227">
        <w:rPr>
          <w:lang w:val="en-US"/>
        </w:rPr>
        <w:t>.</w:t>
      </w:r>
      <w:r w:rsidR="003D6661" w:rsidRPr="00104227">
        <w:rPr>
          <w:rStyle w:val="Refdenotaalpie"/>
          <w:lang w:val="en-US"/>
        </w:rPr>
        <w:footnoteReference w:id="166"/>
      </w:r>
      <w:bookmarkEnd w:id="229"/>
    </w:p>
    <w:p w14:paraId="440BE4A0" w14:textId="77777777" w:rsidR="003D6661" w:rsidRPr="00104227" w:rsidRDefault="003D6661" w:rsidP="00E4619F">
      <w:pPr>
        <w:tabs>
          <w:tab w:val="left" w:pos="567"/>
        </w:tabs>
        <w:rPr>
          <w:lang w:eastAsia="es-MX"/>
        </w:rPr>
      </w:pPr>
    </w:p>
    <w:p w14:paraId="174EA472" w14:textId="5223BA4F" w:rsidR="003D6661" w:rsidRPr="00104227" w:rsidRDefault="004432A6" w:rsidP="004432A6">
      <w:pPr>
        <w:pStyle w:val="Numberedparagraphs"/>
        <w:tabs>
          <w:tab w:val="left" w:pos="567"/>
        </w:tabs>
        <w:rPr>
          <w:lang w:val="en-US"/>
        </w:rPr>
      </w:pPr>
      <w:r w:rsidRPr="00104227">
        <w:rPr>
          <w:lang w:val="en-US"/>
        </w:rPr>
        <w:t xml:space="preserve">According to information provided by the State, which was not contested by </w:t>
      </w:r>
      <w:r w:rsidR="002826A6" w:rsidRPr="00104227">
        <w:rPr>
          <w:lang w:val="en-US"/>
        </w:rPr>
        <w:t>the representatives</w:t>
      </w:r>
      <w:r w:rsidR="003D6661" w:rsidRPr="00104227">
        <w:rPr>
          <w:lang w:val="en-US"/>
        </w:rPr>
        <w:t xml:space="preserve">, </w:t>
      </w:r>
      <w:r w:rsidRPr="00104227">
        <w:rPr>
          <w:lang w:val="en-US"/>
        </w:rPr>
        <w:t>between May</w:t>
      </w:r>
      <w:r w:rsidR="003D6661" w:rsidRPr="00104227">
        <w:rPr>
          <w:lang w:val="en-US"/>
        </w:rPr>
        <w:t xml:space="preserve"> 10</w:t>
      </w:r>
      <w:r w:rsidR="00E31E41" w:rsidRPr="00104227">
        <w:rPr>
          <w:lang w:val="en-US"/>
        </w:rPr>
        <w:t xml:space="preserve"> </w:t>
      </w:r>
      <w:r w:rsidRPr="00104227">
        <w:rPr>
          <w:lang w:val="en-US"/>
        </w:rPr>
        <w:t>and August</w:t>
      </w:r>
      <w:r w:rsidR="003D6661" w:rsidRPr="00104227">
        <w:rPr>
          <w:lang w:val="en-US"/>
        </w:rPr>
        <w:t xml:space="preserve"> 9</w:t>
      </w:r>
      <w:r w:rsidRPr="00104227">
        <w:rPr>
          <w:lang w:val="en-US"/>
        </w:rPr>
        <w:t xml:space="preserve">, </w:t>
      </w:r>
      <w:r w:rsidR="003D6661" w:rsidRPr="00104227">
        <w:rPr>
          <w:lang w:val="en-US"/>
        </w:rPr>
        <w:t>2006,</w:t>
      </w:r>
      <w:r w:rsidRPr="00104227">
        <w:rPr>
          <w:lang w:val="en-US"/>
        </w:rPr>
        <w:t xml:space="preserve"> the PGJEM</w:t>
      </w:r>
      <w:r w:rsidR="003D6661" w:rsidRPr="00104227">
        <w:rPr>
          <w:lang w:val="en-US"/>
        </w:rPr>
        <w:t xml:space="preserve"> </w:t>
      </w:r>
      <w:r w:rsidRPr="00104227">
        <w:rPr>
          <w:lang w:val="en-US"/>
        </w:rPr>
        <w:t>requested and received documents from the institutions involved, namely: documents on the criminal proceedings instituted against the women, copy of the CNDH investigation, videos of the operation, and also medical certificates and information on the eleven petitioners in this case, among others. It also obtained statements from victims</w:t>
      </w:r>
      <w:r w:rsidR="003D6661" w:rsidRPr="00104227">
        <w:rPr>
          <w:rStyle w:val="Refdenotaalpie"/>
          <w:lang w:val="en-US"/>
        </w:rPr>
        <w:footnoteReference w:id="167"/>
      </w:r>
      <w:r w:rsidR="00BF5241" w:rsidRPr="00104227">
        <w:rPr>
          <w:lang w:val="en-US"/>
        </w:rPr>
        <w:t xml:space="preserve"> and </w:t>
      </w:r>
      <w:r w:rsidRPr="00104227">
        <w:rPr>
          <w:lang w:val="en-US"/>
        </w:rPr>
        <w:t>police</w:t>
      </w:r>
      <w:r w:rsidR="003D6661" w:rsidRPr="00104227">
        <w:rPr>
          <w:lang w:val="en-US"/>
        </w:rPr>
        <w:t xml:space="preserve">, </w:t>
      </w:r>
      <w:r w:rsidRPr="00104227">
        <w:rPr>
          <w:lang w:val="en-US"/>
        </w:rPr>
        <w:t>and inspected the trucks used for the transfer. Over the same period,</w:t>
      </w:r>
      <w:r w:rsidR="003D6661" w:rsidRPr="00104227">
        <w:rPr>
          <w:lang w:val="en-US"/>
        </w:rPr>
        <w:t xml:space="preserve"> </w:t>
      </w:r>
      <w:r w:rsidRPr="00104227">
        <w:rPr>
          <w:lang w:val="en-US"/>
        </w:rPr>
        <w:t>the PGJEM</w:t>
      </w:r>
      <w:r w:rsidR="003D6661" w:rsidRPr="00104227">
        <w:rPr>
          <w:lang w:val="en-US"/>
        </w:rPr>
        <w:t xml:space="preserve"> </w:t>
      </w:r>
      <w:r w:rsidRPr="00104227">
        <w:rPr>
          <w:lang w:val="en-US"/>
        </w:rPr>
        <w:t xml:space="preserve">provided reports on the investigation to various state and federal institutions, </w:t>
      </w:r>
      <w:r w:rsidR="003D6661" w:rsidRPr="00104227">
        <w:rPr>
          <w:lang w:val="en-US"/>
        </w:rPr>
        <w:t>inclu</w:t>
      </w:r>
      <w:r w:rsidRPr="00104227">
        <w:rPr>
          <w:lang w:val="en-US"/>
        </w:rPr>
        <w:t>ding</w:t>
      </w:r>
      <w:r w:rsidR="003D6661" w:rsidRPr="00104227">
        <w:rPr>
          <w:lang w:val="en-US"/>
        </w:rPr>
        <w:t xml:space="preserve">: </w:t>
      </w:r>
      <w:r w:rsidR="0065009A" w:rsidRPr="00104227">
        <w:rPr>
          <w:lang w:val="en-US"/>
        </w:rPr>
        <w:t>the CNDH</w:t>
      </w:r>
      <w:r w:rsidR="003D6661" w:rsidRPr="00104227">
        <w:rPr>
          <w:lang w:val="en-US"/>
        </w:rPr>
        <w:t xml:space="preserve">, </w:t>
      </w:r>
      <w:r w:rsidRPr="00104227">
        <w:rPr>
          <w:lang w:val="en-US"/>
        </w:rPr>
        <w:t>the</w:t>
      </w:r>
      <w:r w:rsidR="003D6661" w:rsidRPr="00104227">
        <w:rPr>
          <w:lang w:val="en-US"/>
        </w:rPr>
        <w:t xml:space="preserve"> Coordina</w:t>
      </w:r>
      <w:r w:rsidRPr="00104227">
        <w:rPr>
          <w:lang w:val="en-US"/>
        </w:rPr>
        <w:t xml:space="preserve">tor of Citizen Services of the government </w:t>
      </w:r>
      <w:r w:rsidR="002826A6" w:rsidRPr="00104227">
        <w:rPr>
          <w:lang w:val="en-US"/>
        </w:rPr>
        <w:t xml:space="preserve">of the </w:t>
      </w:r>
      <w:r w:rsidR="00CA330F" w:rsidRPr="00104227">
        <w:rPr>
          <w:lang w:val="en-US"/>
        </w:rPr>
        <w:t>state of Mexico</w:t>
      </w:r>
      <w:r w:rsidR="003D6661" w:rsidRPr="00104227">
        <w:rPr>
          <w:lang w:val="en-US"/>
        </w:rPr>
        <w:t xml:space="preserve">, </w:t>
      </w:r>
      <w:r w:rsidRPr="00104227">
        <w:rPr>
          <w:lang w:val="en-US"/>
        </w:rPr>
        <w:t>the Unit for the Promotion and Protection of Human Rights of the Ministry of the Interio</w:t>
      </w:r>
      <w:r w:rsidR="00087E1D" w:rsidRPr="00104227">
        <w:rPr>
          <w:lang w:val="en-US"/>
        </w:rPr>
        <w:t>r</w:t>
      </w:r>
      <w:r w:rsidRPr="00104227">
        <w:rPr>
          <w:lang w:val="en-US"/>
        </w:rPr>
        <w:t xml:space="preserve"> (federal), and the General Directorate of Human Rights and Democracy of the Ministry of Foreign Affairs.</w:t>
      </w:r>
      <w:r w:rsidR="003D6661" w:rsidRPr="00104227">
        <w:rPr>
          <w:rStyle w:val="Refdenotaalpie"/>
          <w:lang w:val="en-US"/>
        </w:rPr>
        <w:footnoteReference w:id="168"/>
      </w:r>
    </w:p>
    <w:p w14:paraId="3F07667B" w14:textId="77777777" w:rsidR="003D6661" w:rsidRPr="00104227" w:rsidRDefault="003D6661" w:rsidP="00E4619F">
      <w:pPr>
        <w:pStyle w:val="PrrafodeSentencia"/>
        <w:numPr>
          <w:ilvl w:val="0"/>
          <w:numId w:val="0"/>
        </w:numPr>
        <w:rPr>
          <w:lang w:val="en-US"/>
        </w:rPr>
      </w:pPr>
    </w:p>
    <w:p w14:paraId="19F357F3" w14:textId="7835D501" w:rsidR="003D6661" w:rsidRPr="00104227" w:rsidRDefault="00A84F20" w:rsidP="00E4619F">
      <w:pPr>
        <w:pStyle w:val="Numberedparagraphs"/>
        <w:tabs>
          <w:tab w:val="left" w:pos="567"/>
        </w:tabs>
        <w:rPr>
          <w:lang w:val="en-US"/>
        </w:rPr>
      </w:pPr>
      <w:bookmarkStart w:id="230" w:name="_Ref524533658"/>
      <w:r w:rsidRPr="00104227">
        <w:rPr>
          <w:lang w:val="en-US"/>
        </w:rPr>
        <w:lastRenderedPageBreak/>
        <w:t>On June 16,</w:t>
      </w:r>
      <w:r w:rsidR="003D6661" w:rsidRPr="00104227">
        <w:rPr>
          <w:lang w:val="en-US"/>
        </w:rPr>
        <w:t xml:space="preserve"> 2006</w:t>
      </w:r>
      <w:r w:rsidR="00D04B8B" w:rsidRPr="00104227">
        <w:rPr>
          <w:lang w:val="en-US"/>
        </w:rPr>
        <w:t>,</w:t>
      </w:r>
      <w:r w:rsidR="004432A6" w:rsidRPr="00104227">
        <w:rPr>
          <w:lang w:val="en-US"/>
        </w:rPr>
        <w:t xml:space="preserve"> the PGJEM</w:t>
      </w:r>
      <w:r w:rsidR="003D6661" w:rsidRPr="00104227">
        <w:rPr>
          <w:lang w:val="en-US"/>
        </w:rPr>
        <w:t xml:space="preserve"> </w:t>
      </w:r>
      <w:r w:rsidR="00332721" w:rsidRPr="00104227">
        <w:rPr>
          <w:lang w:val="en-US"/>
        </w:rPr>
        <w:t xml:space="preserve">transferred part </w:t>
      </w:r>
      <w:r w:rsidR="00D04B8B" w:rsidRPr="00104227">
        <w:rPr>
          <w:lang w:val="en-US"/>
        </w:rPr>
        <w:t xml:space="preserve">of the </w:t>
      </w:r>
      <w:r w:rsidR="00E31E41" w:rsidRPr="00104227">
        <w:rPr>
          <w:lang w:val="en-US"/>
        </w:rPr>
        <w:t xml:space="preserve">preliminary </w:t>
      </w:r>
      <w:r w:rsidR="00332721" w:rsidRPr="00104227">
        <w:rPr>
          <w:lang w:val="en-US"/>
        </w:rPr>
        <w:t>inquiry against seventeen (17) members of the</w:t>
      </w:r>
      <w:r w:rsidR="003D6661" w:rsidRPr="00104227">
        <w:rPr>
          <w:lang w:val="en-US"/>
        </w:rPr>
        <w:t xml:space="preserve"> </w:t>
      </w:r>
      <w:r w:rsidR="00332721" w:rsidRPr="00104227">
        <w:rPr>
          <w:lang w:val="en-US"/>
        </w:rPr>
        <w:t>state police and four</w:t>
      </w:r>
      <w:r w:rsidR="003D6661" w:rsidRPr="00104227">
        <w:rPr>
          <w:lang w:val="en-US"/>
        </w:rPr>
        <w:t xml:space="preserve"> (4) </w:t>
      </w:r>
      <w:r w:rsidR="00332721" w:rsidRPr="00104227">
        <w:rPr>
          <w:lang w:val="en-US"/>
        </w:rPr>
        <w:t>members of the municipal police</w:t>
      </w:r>
      <w:r w:rsidR="00087E1D" w:rsidRPr="00104227">
        <w:rPr>
          <w:lang w:val="en-US"/>
        </w:rPr>
        <w:t xml:space="preserve"> to the First Criminal Trial Judge of the Tenango del Valle Judicial District, state of Mexico,</w:t>
      </w:r>
      <w:r w:rsidR="00332721" w:rsidRPr="00104227">
        <w:rPr>
          <w:lang w:val="en-US"/>
        </w:rPr>
        <w:t xml:space="preserve"> and this gave rise to </w:t>
      </w:r>
      <w:r w:rsidR="0050556D" w:rsidRPr="00104227">
        <w:rPr>
          <w:lang w:val="en-US"/>
        </w:rPr>
        <w:t>criminal case 59</w:t>
      </w:r>
      <w:r w:rsidR="003D6661" w:rsidRPr="00104227">
        <w:rPr>
          <w:lang w:val="en-US"/>
        </w:rPr>
        <w:t>/2006</w:t>
      </w:r>
      <w:r w:rsidR="00332721" w:rsidRPr="00104227">
        <w:rPr>
          <w:lang w:val="en-US"/>
        </w:rPr>
        <w:t xml:space="preserve"> for the offense of abuse of authority against </w:t>
      </w:r>
      <w:r w:rsidR="003D6661" w:rsidRPr="00104227">
        <w:rPr>
          <w:lang w:val="en-US"/>
        </w:rPr>
        <w:t>María Patricia Romero</w:t>
      </w:r>
      <w:r w:rsidR="00B3339A" w:rsidRPr="00104227">
        <w:rPr>
          <w:lang w:val="en-US"/>
        </w:rPr>
        <w:t xml:space="preserve"> Hernández</w:t>
      </w:r>
      <w:r w:rsidR="003D6661" w:rsidRPr="00104227">
        <w:rPr>
          <w:lang w:val="en-US"/>
        </w:rPr>
        <w:t xml:space="preserve">, </w:t>
      </w:r>
      <w:r w:rsidR="00332721" w:rsidRPr="00104227">
        <w:rPr>
          <w:lang w:val="en-US"/>
        </w:rPr>
        <w:t>her father and her son,</w:t>
      </w:r>
      <w:r w:rsidR="003D6661" w:rsidRPr="00104227">
        <w:rPr>
          <w:vertAlign w:val="superscript"/>
          <w:lang w:val="en-US"/>
        </w:rPr>
        <w:footnoteReference w:id="169"/>
      </w:r>
      <w:r w:rsidR="00E95621" w:rsidRPr="00104227">
        <w:rPr>
          <w:lang w:val="en-US"/>
        </w:rPr>
        <w:t xml:space="preserve"> </w:t>
      </w:r>
      <w:r w:rsidR="0044023C" w:rsidRPr="00104227">
        <w:rPr>
          <w:lang w:val="en-US"/>
        </w:rPr>
        <w:t xml:space="preserve">but the </w:t>
      </w:r>
      <w:r w:rsidR="00087E1D" w:rsidRPr="00104227">
        <w:rPr>
          <w:lang w:val="en-US"/>
        </w:rPr>
        <w:t>charges were</w:t>
      </w:r>
      <w:r w:rsidR="0044023C" w:rsidRPr="00104227">
        <w:rPr>
          <w:lang w:val="en-US"/>
        </w:rPr>
        <w:t xml:space="preserve"> declared</w:t>
      </w:r>
      <w:r w:rsidR="00087E1D" w:rsidRPr="00104227">
        <w:rPr>
          <w:lang w:val="en-US"/>
        </w:rPr>
        <w:t xml:space="preserve"> to be unfounded</w:t>
      </w:r>
      <w:r w:rsidR="0044023C" w:rsidRPr="00104227">
        <w:rPr>
          <w:lang w:val="en-US"/>
        </w:rPr>
        <w:t xml:space="preserve"> </w:t>
      </w:r>
      <w:r w:rsidR="003D6661" w:rsidRPr="00104227">
        <w:rPr>
          <w:lang w:val="en-US"/>
        </w:rPr>
        <w:t>(</w:t>
      </w:r>
      <w:r w:rsidR="003D6661" w:rsidRPr="00104227">
        <w:rPr>
          <w:i/>
          <w:lang w:val="en-US"/>
        </w:rPr>
        <w:t xml:space="preserve">infra </w:t>
      </w:r>
      <w:r w:rsidR="00BF5241" w:rsidRPr="00104227">
        <w:rPr>
          <w:lang w:val="en-US"/>
        </w:rPr>
        <w:t>para.</w:t>
      </w:r>
      <w:r w:rsidR="003D6661" w:rsidRPr="00104227">
        <w:rPr>
          <w:lang w:val="en-US"/>
        </w:rPr>
        <w:t xml:space="preserve"> </w:t>
      </w:r>
      <w:r w:rsidR="003D6661" w:rsidRPr="00104227">
        <w:rPr>
          <w:lang w:val="en-US"/>
        </w:rPr>
        <w:fldChar w:fldCharType="begin"/>
      </w:r>
      <w:r w:rsidR="003D6661" w:rsidRPr="00104227">
        <w:rPr>
          <w:lang w:val="en-US"/>
        </w:rPr>
        <w:instrText xml:space="preserve"> REF _Ref524533886 \r \h </w:instrText>
      </w:r>
      <w:r w:rsidR="006E365C" w:rsidRPr="00104227">
        <w:rPr>
          <w:lang w:val="en-US"/>
        </w:rPr>
        <w:instrText xml:space="preserve"> \* MERGEFORMAT </w:instrText>
      </w:r>
      <w:r w:rsidR="003D6661" w:rsidRPr="00104227">
        <w:rPr>
          <w:lang w:val="en-US"/>
        </w:rPr>
      </w:r>
      <w:r w:rsidR="003D6661" w:rsidRPr="00104227">
        <w:rPr>
          <w:lang w:val="en-US"/>
        </w:rPr>
        <w:fldChar w:fldCharType="separate"/>
      </w:r>
      <w:r w:rsidR="004276BD">
        <w:rPr>
          <w:lang w:val="en-US"/>
        </w:rPr>
        <w:t>134</w:t>
      </w:r>
      <w:r w:rsidR="003D6661" w:rsidRPr="00104227">
        <w:rPr>
          <w:lang w:val="en-US"/>
        </w:rPr>
        <w:fldChar w:fldCharType="end"/>
      </w:r>
      <w:r w:rsidR="00E95621" w:rsidRPr="00104227">
        <w:rPr>
          <w:lang w:val="en-US"/>
        </w:rPr>
        <w:t>).</w:t>
      </w:r>
      <w:bookmarkEnd w:id="230"/>
    </w:p>
    <w:p w14:paraId="2781C1E5" w14:textId="77777777" w:rsidR="003D6661" w:rsidRPr="00104227" w:rsidRDefault="003D6661" w:rsidP="00E4619F">
      <w:pPr>
        <w:tabs>
          <w:tab w:val="left" w:pos="567"/>
        </w:tabs>
      </w:pPr>
    </w:p>
    <w:p w14:paraId="37F84602" w14:textId="30221E06" w:rsidR="003D6661" w:rsidRPr="00104227" w:rsidRDefault="0044023C" w:rsidP="0044023C">
      <w:pPr>
        <w:pStyle w:val="Numberedparagraphs"/>
        <w:tabs>
          <w:tab w:val="left" w:pos="567"/>
        </w:tabs>
        <w:rPr>
          <w:lang w:val="en-US"/>
        </w:rPr>
      </w:pPr>
      <w:r w:rsidRPr="00104227">
        <w:rPr>
          <w:lang w:val="en-US"/>
        </w:rPr>
        <w:t>On March 8,</w:t>
      </w:r>
      <w:r w:rsidR="003D6661" w:rsidRPr="00104227">
        <w:rPr>
          <w:lang w:val="en-US"/>
        </w:rPr>
        <w:t xml:space="preserve"> 2007, </w:t>
      </w:r>
      <w:r w:rsidRPr="00104227">
        <w:rPr>
          <w:lang w:val="en-US"/>
        </w:rPr>
        <w:t>the agent</w:t>
      </w:r>
      <w:r w:rsidR="000B2982" w:rsidRPr="00104227">
        <w:rPr>
          <w:lang w:val="en-US"/>
        </w:rPr>
        <w:t xml:space="preserve"> </w:t>
      </w:r>
      <w:r w:rsidRPr="00104227">
        <w:rPr>
          <w:lang w:val="en-US"/>
        </w:rPr>
        <w:t xml:space="preserve">of the Public Prosecution Service for ordinary offenses, attached to the First Bureau of the General Directorate </w:t>
      </w:r>
      <w:r w:rsidR="00087E1D" w:rsidRPr="00104227">
        <w:rPr>
          <w:lang w:val="en-US"/>
        </w:rPr>
        <w:t>on</w:t>
      </w:r>
      <w:r w:rsidRPr="00104227">
        <w:rPr>
          <w:lang w:val="en-US"/>
        </w:rPr>
        <w:t xml:space="preserve"> Responsibilit</w:t>
      </w:r>
      <w:r w:rsidR="00087E1D" w:rsidRPr="00104227">
        <w:rPr>
          <w:lang w:val="en-US"/>
        </w:rPr>
        <w:t>y</w:t>
      </w:r>
      <w:r w:rsidRPr="00104227">
        <w:rPr>
          <w:lang w:val="en-US"/>
        </w:rPr>
        <w:t xml:space="preserve"> of the Office of the Attorney General of the state of Mexico stipulated that the preliminary inquiry should </w:t>
      </w:r>
      <w:r w:rsidR="006E753C" w:rsidRPr="00104227">
        <w:rPr>
          <w:lang w:val="en-US"/>
        </w:rPr>
        <w:t xml:space="preserve">maintain </w:t>
      </w:r>
      <w:r w:rsidRPr="00104227">
        <w:rPr>
          <w:lang w:val="en-US"/>
        </w:rPr>
        <w:t xml:space="preserve">the </w:t>
      </w:r>
      <w:r w:rsidR="00031CC3" w:rsidRPr="00104227">
        <w:rPr>
          <w:lang w:val="en-US"/>
        </w:rPr>
        <w:t>crime of torture</w:t>
      </w:r>
      <w:r w:rsidR="006E753C" w:rsidRPr="00104227">
        <w:rPr>
          <w:lang w:val="en-US"/>
        </w:rPr>
        <w:t xml:space="preserve"> in reserve</w:t>
      </w:r>
      <w:r w:rsidRPr="00104227">
        <w:rPr>
          <w:lang w:val="en-US"/>
        </w:rPr>
        <w:t>,</w:t>
      </w:r>
      <w:r w:rsidR="003D6661" w:rsidRPr="00104227">
        <w:rPr>
          <w:rStyle w:val="Refdenotaalpie"/>
          <w:sz w:val="20"/>
          <w:szCs w:val="20"/>
          <w:lang w:val="en-US"/>
        </w:rPr>
        <w:footnoteReference w:id="170"/>
      </w:r>
      <w:r w:rsidR="003D6661" w:rsidRPr="00104227">
        <w:rPr>
          <w:lang w:val="en-US"/>
        </w:rPr>
        <w:t xml:space="preserve"> </w:t>
      </w:r>
      <w:r w:rsidRPr="00104227">
        <w:rPr>
          <w:lang w:val="en-US"/>
        </w:rPr>
        <w:t>pursuant to</w:t>
      </w:r>
      <w:r w:rsidR="003D6661" w:rsidRPr="00104227">
        <w:rPr>
          <w:lang w:val="en-US"/>
        </w:rPr>
        <w:t xml:space="preserve"> </w:t>
      </w:r>
      <w:r w:rsidR="00BF5241" w:rsidRPr="00104227">
        <w:rPr>
          <w:lang w:val="en-US"/>
        </w:rPr>
        <w:t>Article</w:t>
      </w:r>
      <w:r w:rsidR="003D6661" w:rsidRPr="00104227">
        <w:rPr>
          <w:lang w:val="en-US"/>
        </w:rPr>
        <w:t xml:space="preserve"> 116</w:t>
      </w:r>
      <w:r w:rsidR="00D04B8B" w:rsidRPr="00104227">
        <w:rPr>
          <w:lang w:val="en-US"/>
        </w:rPr>
        <w:t xml:space="preserve"> of the Code of Criminal Procedure</w:t>
      </w:r>
      <w:r w:rsidR="002826A6" w:rsidRPr="00104227">
        <w:rPr>
          <w:lang w:val="en-US"/>
        </w:rPr>
        <w:t xml:space="preserve"> of the </w:t>
      </w:r>
      <w:r w:rsidR="00CA330F" w:rsidRPr="00104227">
        <w:rPr>
          <w:lang w:val="en-US"/>
        </w:rPr>
        <w:t>state of Mexico</w:t>
      </w:r>
      <w:r w:rsidRPr="00104227">
        <w:rPr>
          <w:lang w:val="en-US"/>
        </w:rPr>
        <w:t>,</w:t>
      </w:r>
      <w:r w:rsidR="003D6661" w:rsidRPr="00104227">
        <w:rPr>
          <w:rStyle w:val="Refdenotaalpie"/>
          <w:lang w:val="en-US"/>
        </w:rPr>
        <w:footnoteReference w:id="171"/>
      </w:r>
      <w:r w:rsidRPr="00104227">
        <w:rPr>
          <w:lang w:val="en-US"/>
        </w:rPr>
        <w:t xml:space="preserve"> indicating that “no evidence has been gathered that […] would establish the existence of perpetration of the crime of torture.</w:t>
      </w:r>
      <w:r w:rsidR="003D6661" w:rsidRPr="00104227">
        <w:rPr>
          <w:lang w:val="en-US"/>
        </w:rPr>
        <w:t>”</w:t>
      </w:r>
      <w:r w:rsidR="003D6661" w:rsidRPr="00104227">
        <w:rPr>
          <w:rStyle w:val="Refdenotaalpie"/>
          <w:lang w:val="en-US"/>
        </w:rPr>
        <w:footnoteReference w:id="172"/>
      </w:r>
    </w:p>
    <w:p w14:paraId="4AA29012" w14:textId="77777777" w:rsidR="003D6661" w:rsidRPr="00104227" w:rsidRDefault="003D6661" w:rsidP="00E4619F">
      <w:pPr>
        <w:tabs>
          <w:tab w:val="left" w:pos="567"/>
        </w:tabs>
      </w:pPr>
    </w:p>
    <w:p w14:paraId="597DD81B" w14:textId="326E1C5F" w:rsidR="003D6661" w:rsidRPr="00104227" w:rsidRDefault="0044023C" w:rsidP="0044023C">
      <w:pPr>
        <w:pStyle w:val="Numberedparagraphs"/>
        <w:tabs>
          <w:tab w:val="left" w:pos="567"/>
        </w:tabs>
        <w:rPr>
          <w:b/>
          <w:lang w:val="en-US"/>
        </w:rPr>
      </w:pPr>
      <w:r w:rsidRPr="00104227">
        <w:rPr>
          <w:lang w:val="en-US"/>
        </w:rPr>
        <w:t>Almost one year later, on February 11,</w:t>
      </w:r>
      <w:r w:rsidR="003D6661" w:rsidRPr="00104227">
        <w:rPr>
          <w:lang w:val="en-US"/>
        </w:rPr>
        <w:t xml:space="preserve"> 2009, </w:t>
      </w:r>
      <w:r w:rsidRPr="00104227">
        <w:rPr>
          <w:lang w:val="en-US"/>
        </w:rPr>
        <w:t>the agent</w:t>
      </w:r>
      <w:r w:rsidR="000B2982" w:rsidRPr="00104227">
        <w:rPr>
          <w:lang w:val="en-US"/>
        </w:rPr>
        <w:t xml:space="preserve"> of the </w:t>
      </w:r>
      <w:r w:rsidR="00024310" w:rsidRPr="00104227">
        <w:rPr>
          <w:lang w:val="en-US"/>
        </w:rPr>
        <w:t>Public Prosecution Service</w:t>
      </w:r>
      <w:r w:rsidR="003D6661" w:rsidRPr="00104227">
        <w:rPr>
          <w:lang w:val="en-US"/>
        </w:rPr>
        <w:t xml:space="preserve"> </w:t>
      </w:r>
      <w:r w:rsidRPr="00104227">
        <w:rPr>
          <w:lang w:val="en-US"/>
        </w:rPr>
        <w:t>authorized to combine the preliminary inquiries relating to the events that occurred on</w:t>
      </w:r>
      <w:r w:rsidR="003D6661" w:rsidRPr="00104227">
        <w:rPr>
          <w:lang w:val="en-US"/>
        </w:rPr>
        <w:t xml:space="preserve"> </w:t>
      </w:r>
      <w:r w:rsidR="00DF5F3C" w:rsidRPr="00104227">
        <w:rPr>
          <w:lang w:val="en-US"/>
        </w:rPr>
        <w:t>May 3 and 4,</w:t>
      </w:r>
      <w:r w:rsidR="003D6661" w:rsidRPr="00104227">
        <w:rPr>
          <w:lang w:val="en-US"/>
        </w:rPr>
        <w:t xml:space="preserve"> </w:t>
      </w:r>
      <w:r w:rsidR="008C6D02" w:rsidRPr="00104227">
        <w:rPr>
          <w:lang w:val="en-US"/>
        </w:rPr>
        <w:t>2006, in</w:t>
      </w:r>
      <w:r w:rsidR="003D6661" w:rsidRPr="00104227">
        <w:rPr>
          <w:lang w:val="en-US"/>
        </w:rPr>
        <w:t xml:space="preserve"> Texcoco</w:t>
      </w:r>
      <w:r w:rsidR="00BF5241" w:rsidRPr="00104227">
        <w:rPr>
          <w:lang w:val="en-US"/>
        </w:rPr>
        <w:t xml:space="preserve"> and </w:t>
      </w:r>
      <w:r w:rsidR="003D6661" w:rsidRPr="00104227">
        <w:rPr>
          <w:lang w:val="en-US"/>
        </w:rPr>
        <w:t xml:space="preserve">San Salvador Atenco, </w:t>
      </w:r>
      <w:r w:rsidRPr="00104227">
        <w:rPr>
          <w:lang w:val="en-US"/>
        </w:rPr>
        <w:t>again established this caveat.</w:t>
      </w:r>
      <w:r w:rsidR="003D6661" w:rsidRPr="00104227">
        <w:rPr>
          <w:vertAlign w:val="superscript"/>
          <w:lang w:val="en-US"/>
        </w:rPr>
        <w:footnoteReference w:id="173"/>
      </w:r>
      <w:r w:rsidRPr="00104227">
        <w:rPr>
          <w:lang w:val="en-US"/>
        </w:rPr>
        <w:t xml:space="preserve"> On June 6,</w:t>
      </w:r>
      <w:r w:rsidR="003D6661" w:rsidRPr="00104227">
        <w:rPr>
          <w:lang w:val="en-US"/>
        </w:rPr>
        <w:t xml:space="preserve"> 2008</w:t>
      </w:r>
      <w:r w:rsidRPr="00104227">
        <w:rPr>
          <w:lang w:val="en-US"/>
        </w:rPr>
        <w:t>,</w:t>
      </w:r>
      <w:r w:rsidR="004432A6" w:rsidRPr="00104227">
        <w:rPr>
          <w:lang w:val="en-US"/>
        </w:rPr>
        <w:t xml:space="preserve"> the PGJEM</w:t>
      </w:r>
      <w:r w:rsidR="003D6661" w:rsidRPr="00104227">
        <w:rPr>
          <w:lang w:val="en-US"/>
        </w:rPr>
        <w:t xml:space="preserve"> orde</w:t>
      </w:r>
      <w:r w:rsidRPr="00104227">
        <w:rPr>
          <w:lang w:val="en-US"/>
        </w:rPr>
        <w:t>red that a technical and legal assessment be conducted of the actions taken in the preliminary inquiries. As a result of this, several irregularities were detected and the Internal Comptroller of the PGJEM and the Special Prosecutor for offenses committed by public servants were advised of this.</w:t>
      </w:r>
      <w:r w:rsidR="003D6661" w:rsidRPr="00104227">
        <w:rPr>
          <w:vertAlign w:val="superscript"/>
          <w:lang w:val="en-US"/>
        </w:rPr>
        <w:footnoteReference w:id="174"/>
      </w:r>
    </w:p>
    <w:p w14:paraId="4BD86E48" w14:textId="77777777" w:rsidR="003D6661" w:rsidRPr="00104227" w:rsidRDefault="003D6661" w:rsidP="00E4619F">
      <w:pPr>
        <w:tabs>
          <w:tab w:val="left" w:pos="567"/>
        </w:tabs>
      </w:pPr>
    </w:p>
    <w:p w14:paraId="490B9E44" w14:textId="6A58425B" w:rsidR="003D6661" w:rsidRPr="00104227" w:rsidRDefault="006E753C" w:rsidP="00E4619F">
      <w:pPr>
        <w:pStyle w:val="Numberedparagraphs"/>
        <w:tabs>
          <w:tab w:val="left" w:pos="567"/>
        </w:tabs>
        <w:rPr>
          <w:lang w:val="en-US"/>
        </w:rPr>
      </w:pPr>
      <w:r w:rsidRPr="00104227">
        <w:rPr>
          <w:lang w:val="en-US"/>
        </w:rPr>
        <w:t>On</w:t>
      </w:r>
      <w:r w:rsidR="003D6661" w:rsidRPr="00104227">
        <w:rPr>
          <w:lang w:val="en-US"/>
        </w:rPr>
        <w:t xml:space="preserve"> </w:t>
      </w:r>
      <w:r w:rsidRPr="00104227">
        <w:rPr>
          <w:lang w:val="en-US"/>
        </w:rPr>
        <w:t>July 15,</w:t>
      </w:r>
      <w:r w:rsidR="003D6661" w:rsidRPr="00104227">
        <w:rPr>
          <w:lang w:val="en-US"/>
        </w:rPr>
        <w:t xml:space="preserve"> 2009</w:t>
      </w:r>
      <w:r w:rsidR="00803E8C" w:rsidRPr="00104227">
        <w:rPr>
          <w:lang w:val="en-US"/>
        </w:rPr>
        <w:t>,</w:t>
      </w:r>
      <w:r w:rsidR="004432A6" w:rsidRPr="00104227">
        <w:rPr>
          <w:lang w:val="en-US"/>
        </w:rPr>
        <w:t xml:space="preserve"> the PGJEM</w:t>
      </w:r>
      <w:r w:rsidR="003D6661" w:rsidRPr="00104227">
        <w:rPr>
          <w:lang w:val="en-US"/>
        </w:rPr>
        <w:t xml:space="preserve"> rec</w:t>
      </w:r>
      <w:r w:rsidRPr="00104227">
        <w:rPr>
          <w:lang w:val="en-US"/>
        </w:rPr>
        <w:t>eived</w:t>
      </w:r>
      <w:r w:rsidR="00E31E41" w:rsidRPr="00104227">
        <w:rPr>
          <w:lang w:val="en-US"/>
        </w:rPr>
        <w:t xml:space="preserve"> preliminary inquiry</w:t>
      </w:r>
      <w:r w:rsidRPr="00104227">
        <w:rPr>
          <w:lang w:val="en-US"/>
        </w:rPr>
        <w:t xml:space="preserve"> </w:t>
      </w:r>
      <w:r w:rsidR="003D6661" w:rsidRPr="00104227">
        <w:rPr>
          <w:lang w:val="en-US"/>
        </w:rPr>
        <w:t>AP/PGR/FEVIM/03/05-</w:t>
      </w:r>
      <w:r w:rsidR="008C6D02" w:rsidRPr="00104227">
        <w:rPr>
          <w:lang w:val="en-US"/>
        </w:rPr>
        <w:t xml:space="preserve">2006, </w:t>
      </w:r>
      <w:r w:rsidRPr="00104227">
        <w:rPr>
          <w:lang w:val="en-US"/>
        </w:rPr>
        <w:t xml:space="preserve">because </w:t>
      </w:r>
      <w:r w:rsidR="002A1C62" w:rsidRPr="00104227">
        <w:rPr>
          <w:lang w:val="en-US"/>
        </w:rPr>
        <w:t>the</w:t>
      </w:r>
      <w:r w:rsidR="003D6661" w:rsidRPr="00104227">
        <w:rPr>
          <w:lang w:val="en-US"/>
        </w:rPr>
        <w:t xml:space="preserve"> FEVIM</w:t>
      </w:r>
      <w:r w:rsidRPr="00104227">
        <w:rPr>
          <w:lang w:val="en-US"/>
        </w:rPr>
        <w:t xml:space="preserve"> had</w:t>
      </w:r>
      <w:r w:rsidR="002A1C62" w:rsidRPr="00104227">
        <w:rPr>
          <w:lang w:val="en-US"/>
        </w:rPr>
        <w:t xml:space="preserve"> waived jurisdiction in its</w:t>
      </w:r>
      <w:r w:rsidR="003D6661" w:rsidRPr="00104227">
        <w:rPr>
          <w:lang w:val="en-US"/>
        </w:rPr>
        <w:t xml:space="preserve"> favor</w:t>
      </w:r>
      <w:r w:rsidR="003D6661" w:rsidRPr="00104227">
        <w:rPr>
          <w:vertAlign w:val="superscript"/>
          <w:lang w:val="en-US"/>
        </w:rPr>
        <w:footnoteReference w:id="175"/>
      </w:r>
      <w:r w:rsidR="003D6661" w:rsidRPr="00104227">
        <w:rPr>
          <w:lang w:val="en-US"/>
        </w:rPr>
        <w:t xml:space="preserve"> (</w:t>
      </w:r>
      <w:r w:rsidR="003D6661" w:rsidRPr="00104227">
        <w:rPr>
          <w:i/>
          <w:lang w:val="en-US"/>
        </w:rPr>
        <w:t>infra</w:t>
      </w:r>
      <w:r w:rsidR="003D6661" w:rsidRPr="00104227">
        <w:rPr>
          <w:lang w:val="en-US"/>
        </w:rPr>
        <w:t xml:space="preserve"> </w:t>
      </w:r>
      <w:r w:rsidR="00BF5241" w:rsidRPr="00104227">
        <w:rPr>
          <w:lang w:val="en-US"/>
        </w:rPr>
        <w:t>para.</w:t>
      </w:r>
      <w:r w:rsidR="003D6661" w:rsidRPr="00104227">
        <w:rPr>
          <w:lang w:val="en-US"/>
        </w:rPr>
        <w:t xml:space="preserve"> </w:t>
      </w:r>
      <w:r w:rsidR="003D6661" w:rsidRPr="00104227">
        <w:rPr>
          <w:lang w:val="en-US"/>
        </w:rPr>
        <w:fldChar w:fldCharType="begin"/>
      </w:r>
      <w:r w:rsidR="003D6661" w:rsidRPr="00104227">
        <w:rPr>
          <w:lang w:val="en-US"/>
        </w:rPr>
        <w:instrText xml:space="preserve"> REF _Ref524532244 \r \h  \* MERGEFORMAT </w:instrText>
      </w:r>
      <w:r w:rsidR="003D6661" w:rsidRPr="00104227">
        <w:rPr>
          <w:lang w:val="en-US"/>
        </w:rPr>
      </w:r>
      <w:r w:rsidR="003D6661" w:rsidRPr="00104227">
        <w:rPr>
          <w:lang w:val="en-US"/>
        </w:rPr>
        <w:fldChar w:fldCharType="separate"/>
      </w:r>
      <w:r w:rsidR="004276BD">
        <w:rPr>
          <w:lang w:val="en-US"/>
        </w:rPr>
        <w:t>147</w:t>
      </w:r>
      <w:r w:rsidR="003D6661" w:rsidRPr="00104227">
        <w:rPr>
          <w:lang w:val="en-US"/>
        </w:rPr>
        <w:fldChar w:fldCharType="end"/>
      </w:r>
      <w:r w:rsidR="003D6661" w:rsidRPr="00104227">
        <w:rPr>
          <w:lang w:val="en-US"/>
        </w:rPr>
        <w:t>).</w:t>
      </w:r>
    </w:p>
    <w:p w14:paraId="5DC375EF" w14:textId="77777777" w:rsidR="003D6661" w:rsidRPr="00104227" w:rsidRDefault="003D6661" w:rsidP="00E4619F">
      <w:pPr>
        <w:pStyle w:val="PrrafodeSentencia"/>
        <w:numPr>
          <w:ilvl w:val="0"/>
          <w:numId w:val="0"/>
        </w:numPr>
        <w:rPr>
          <w:lang w:val="en-US"/>
        </w:rPr>
      </w:pPr>
    </w:p>
    <w:p w14:paraId="2E904CDC" w14:textId="2F0B7887" w:rsidR="003D6661" w:rsidRPr="00104227" w:rsidRDefault="002A1C62" w:rsidP="00E4619F">
      <w:pPr>
        <w:pStyle w:val="Numberedparagraphs"/>
        <w:tabs>
          <w:tab w:val="left" w:pos="567"/>
        </w:tabs>
        <w:rPr>
          <w:lang w:val="en-US"/>
        </w:rPr>
      </w:pPr>
      <w:r w:rsidRPr="00104227">
        <w:rPr>
          <w:lang w:val="en-US"/>
        </w:rPr>
        <w:lastRenderedPageBreak/>
        <w:t>On</w:t>
      </w:r>
      <w:r w:rsidR="003D6661" w:rsidRPr="00104227">
        <w:rPr>
          <w:lang w:val="en-US"/>
        </w:rPr>
        <w:t xml:space="preserve"> </w:t>
      </w:r>
      <w:r w:rsidR="006E753C" w:rsidRPr="00104227">
        <w:rPr>
          <w:lang w:val="en-US"/>
        </w:rPr>
        <w:t>October 8,</w:t>
      </w:r>
      <w:r w:rsidR="003D6661" w:rsidRPr="00104227">
        <w:rPr>
          <w:lang w:val="en-US"/>
        </w:rPr>
        <w:t xml:space="preserve"> 2009</w:t>
      </w:r>
      <w:r w:rsidR="00803E8C" w:rsidRPr="00104227">
        <w:rPr>
          <w:lang w:val="en-US"/>
        </w:rPr>
        <w:t>,</w:t>
      </w:r>
      <w:r w:rsidR="003D6661" w:rsidRPr="00104227">
        <w:rPr>
          <w:lang w:val="en-US"/>
        </w:rPr>
        <w:t xml:space="preserve"> </w:t>
      </w:r>
      <w:r w:rsidR="00F12946" w:rsidRPr="00104227">
        <w:rPr>
          <w:lang w:val="en-US"/>
        </w:rPr>
        <w:t>the eleven women</w:t>
      </w:r>
      <w:r w:rsidR="003D6661" w:rsidRPr="00104227">
        <w:rPr>
          <w:lang w:val="en-US"/>
        </w:rPr>
        <w:t xml:space="preserve"> </w:t>
      </w:r>
      <w:r w:rsidRPr="00104227">
        <w:rPr>
          <w:lang w:val="en-US"/>
        </w:rPr>
        <w:t xml:space="preserve">asked to be recognized as interveners and as representatives of members of the </w:t>
      </w:r>
      <w:r w:rsidR="005957F8" w:rsidRPr="00104227">
        <w:rPr>
          <w:lang w:val="en-US"/>
        </w:rPr>
        <w:t xml:space="preserve">Center Prodh </w:t>
      </w:r>
      <w:r w:rsidRPr="00104227">
        <w:rPr>
          <w:lang w:val="en-US"/>
        </w:rPr>
        <w:t xml:space="preserve">in the </w:t>
      </w:r>
      <w:r w:rsidR="00612B2F" w:rsidRPr="00104227">
        <w:rPr>
          <w:lang w:val="en-US"/>
        </w:rPr>
        <w:t>preliminary inquiry</w:t>
      </w:r>
      <w:r w:rsidR="003D6661" w:rsidRPr="00104227">
        <w:rPr>
          <w:lang w:val="en-US"/>
        </w:rPr>
        <w:t xml:space="preserve">. </w:t>
      </w:r>
      <w:r w:rsidRPr="00104227">
        <w:rPr>
          <w:lang w:val="en-US"/>
        </w:rPr>
        <w:t>They also asked that the thirty-four (34) state police</w:t>
      </w:r>
      <w:r w:rsidR="00656F39" w:rsidRPr="00104227">
        <w:rPr>
          <w:lang w:val="en-US"/>
        </w:rPr>
        <w:t xml:space="preserve"> agents</w:t>
      </w:r>
      <w:r w:rsidRPr="00104227">
        <w:rPr>
          <w:lang w:val="en-US"/>
        </w:rPr>
        <w:t xml:space="preserve"> be located so that they </w:t>
      </w:r>
      <w:r w:rsidR="00656F39" w:rsidRPr="00104227">
        <w:rPr>
          <w:lang w:val="en-US"/>
        </w:rPr>
        <w:t>could be brought to justice as</w:t>
      </w:r>
      <w:r w:rsidRPr="00104227">
        <w:rPr>
          <w:lang w:val="en-US"/>
        </w:rPr>
        <w:t xml:space="preserve"> th</w:t>
      </w:r>
      <w:r w:rsidR="00656F39" w:rsidRPr="00104227">
        <w:rPr>
          <w:lang w:val="en-US"/>
        </w:rPr>
        <w:t>os</w:t>
      </w:r>
      <w:r w:rsidRPr="00104227">
        <w:rPr>
          <w:lang w:val="en-US"/>
        </w:rPr>
        <w:t>e probably responsible.</w:t>
      </w:r>
      <w:r w:rsidR="003D6661" w:rsidRPr="00104227">
        <w:rPr>
          <w:rStyle w:val="Refdenotaalpie"/>
          <w:sz w:val="20"/>
          <w:szCs w:val="20"/>
          <w:lang w:val="en-US"/>
        </w:rPr>
        <w:footnoteReference w:id="176"/>
      </w:r>
    </w:p>
    <w:p w14:paraId="70E15123" w14:textId="77777777" w:rsidR="003D6661" w:rsidRPr="00104227" w:rsidRDefault="003D6661" w:rsidP="00E4619F">
      <w:pPr>
        <w:pStyle w:val="PrrafodeSentencia"/>
        <w:numPr>
          <w:ilvl w:val="0"/>
          <w:numId w:val="0"/>
        </w:numPr>
        <w:autoSpaceDE w:val="0"/>
        <w:autoSpaceDN w:val="0"/>
        <w:adjustRightInd w:val="0"/>
        <w:rPr>
          <w:rFonts w:eastAsiaTheme="minorHAnsi" w:cs="Arial"/>
          <w:spacing w:val="0"/>
          <w:lang w:val="en-US" w:eastAsia="en-US"/>
        </w:rPr>
      </w:pPr>
    </w:p>
    <w:p w14:paraId="0EF294EB" w14:textId="4D079001" w:rsidR="003D6661" w:rsidRPr="00104227" w:rsidRDefault="002A1C62" w:rsidP="00E4619F">
      <w:pPr>
        <w:pStyle w:val="Numberedparagraphs"/>
        <w:tabs>
          <w:tab w:val="left" w:pos="567"/>
        </w:tabs>
        <w:rPr>
          <w:rFonts w:eastAsiaTheme="minorHAnsi" w:cs="Arial"/>
          <w:lang w:val="en-US"/>
        </w:rPr>
      </w:pPr>
      <w:r w:rsidRPr="00104227">
        <w:rPr>
          <w:lang w:val="en-US"/>
        </w:rPr>
        <w:t>In light of the</w:t>
      </w:r>
      <w:r w:rsidR="003D6661" w:rsidRPr="00104227">
        <w:rPr>
          <w:lang w:val="en-US"/>
        </w:rPr>
        <w:t xml:space="preserve"> </w:t>
      </w:r>
      <w:r w:rsidR="00656F39" w:rsidRPr="00104227">
        <w:rPr>
          <w:lang w:val="en-US"/>
        </w:rPr>
        <w:t xml:space="preserve">SCJN </w:t>
      </w:r>
      <w:r w:rsidRPr="00104227">
        <w:rPr>
          <w:lang w:val="en-US"/>
        </w:rPr>
        <w:t>i</w:t>
      </w:r>
      <w:r w:rsidR="00B727B9" w:rsidRPr="00104227">
        <w:rPr>
          <w:lang w:val="en-US"/>
        </w:rPr>
        <w:t xml:space="preserve">nvestigation </w:t>
      </w:r>
      <w:r w:rsidR="003D6661" w:rsidRPr="00104227">
        <w:rPr>
          <w:lang w:val="en-US"/>
        </w:rPr>
        <w:t>(</w:t>
      </w:r>
      <w:r w:rsidR="003D6661" w:rsidRPr="00104227">
        <w:rPr>
          <w:i/>
          <w:lang w:val="en-US"/>
        </w:rPr>
        <w:t xml:space="preserve">supra </w:t>
      </w:r>
      <w:r w:rsidR="00BF5241" w:rsidRPr="00104227">
        <w:rPr>
          <w:lang w:val="en-US"/>
        </w:rPr>
        <w:t>para.</w:t>
      </w:r>
      <w:r w:rsidR="00803E8C" w:rsidRPr="00104227">
        <w:rPr>
          <w:lang w:val="en-US"/>
        </w:rPr>
        <w:t xml:space="preserve"> </w:t>
      </w:r>
      <w:r w:rsidR="00803E8C" w:rsidRPr="00104227">
        <w:rPr>
          <w:lang w:val="en-US"/>
        </w:rPr>
        <w:fldChar w:fldCharType="begin"/>
      </w:r>
      <w:r w:rsidR="00803E8C" w:rsidRPr="00104227">
        <w:rPr>
          <w:lang w:val="en-US"/>
        </w:rPr>
        <w:instrText xml:space="preserve"> REF _Ref532825371 \w \h </w:instrText>
      </w:r>
      <w:r w:rsidR="00284EAE" w:rsidRPr="00104227">
        <w:rPr>
          <w:lang w:val="en-US"/>
        </w:rPr>
        <w:instrText xml:space="preserve"> \* MERGEFORMAT </w:instrText>
      </w:r>
      <w:r w:rsidR="00803E8C" w:rsidRPr="00104227">
        <w:rPr>
          <w:lang w:val="en-US"/>
        </w:rPr>
      </w:r>
      <w:r w:rsidR="00803E8C" w:rsidRPr="00104227">
        <w:rPr>
          <w:lang w:val="en-US"/>
        </w:rPr>
        <w:fldChar w:fldCharType="separate"/>
      </w:r>
      <w:r w:rsidR="004276BD">
        <w:rPr>
          <w:lang w:val="en-US"/>
        </w:rPr>
        <w:t>122</w:t>
      </w:r>
      <w:r w:rsidR="00803E8C" w:rsidRPr="00104227">
        <w:rPr>
          <w:lang w:val="en-US"/>
        </w:rPr>
        <w:fldChar w:fldCharType="end"/>
      </w:r>
      <w:r w:rsidR="00BF5241" w:rsidRPr="00104227">
        <w:rPr>
          <w:lang w:val="en-US"/>
        </w:rPr>
        <w:t xml:space="preserve"> and </w:t>
      </w:r>
      <w:r w:rsidRPr="00104227">
        <w:rPr>
          <w:i/>
          <w:iCs/>
          <w:lang w:val="en-US"/>
        </w:rPr>
        <w:t>ff</w:t>
      </w:r>
      <w:r w:rsidR="00803E8C" w:rsidRPr="00104227">
        <w:rPr>
          <w:lang w:val="en-US"/>
        </w:rPr>
        <w:t>.</w:t>
      </w:r>
      <w:r w:rsidR="003D6661" w:rsidRPr="00104227">
        <w:rPr>
          <w:lang w:val="en-US"/>
        </w:rPr>
        <w:t xml:space="preserve">), </w:t>
      </w:r>
      <w:r w:rsidRPr="00104227">
        <w:rPr>
          <w:lang w:val="en-US"/>
        </w:rPr>
        <w:t>on</w:t>
      </w:r>
      <w:r w:rsidR="003D6661" w:rsidRPr="00104227">
        <w:rPr>
          <w:lang w:val="en-US"/>
        </w:rPr>
        <w:t xml:space="preserve"> </w:t>
      </w:r>
      <w:r w:rsidR="006E753C" w:rsidRPr="00104227">
        <w:rPr>
          <w:lang w:val="en-US"/>
        </w:rPr>
        <w:t>March 11,</w:t>
      </w:r>
      <w:r w:rsidR="003D6661" w:rsidRPr="00104227">
        <w:rPr>
          <w:lang w:val="en-US"/>
        </w:rPr>
        <w:t xml:space="preserve"> 2010</w:t>
      </w:r>
      <w:r w:rsidRPr="00104227">
        <w:rPr>
          <w:lang w:val="en-US"/>
        </w:rPr>
        <w:t>,</w:t>
      </w:r>
      <w:r w:rsidR="003D6661" w:rsidRPr="00104227">
        <w:rPr>
          <w:lang w:val="en-US"/>
        </w:rPr>
        <w:t xml:space="preserve"> </w:t>
      </w:r>
      <w:r w:rsidRPr="00104227">
        <w:rPr>
          <w:rFonts w:eastAsiaTheme="minorHAnsi" w:cs="Arial"/>
          <w:lang w:val="en-US"/>
        </w:rPr>
        <w:t xml:space="preserve">the </w:t>
      </w:r>
      <w:r w:rsidR="00656F39" w:rsidRPr="00104227">
        <w:rPr>
          <w:rFonts w:eastAsiaTheme="minorHAnsi" w:cs="Arial"/>
          <w:lang w:val="en-US"/>
        </w:rPr>
        <w:t xml:space="preserve">PGJEM </w:t>
      </w:r>
      <w:r w:rsidRPr="00104227">
        <w:rPr>
          <w:rFonts w:eastAsiaTheme="minorHAnsi" w:cs="Arial"/>
          <w:lang w:val="en-US"/>
        </w:rPr>
        <w:t>Assistant Attorney General</w:t>
      </w:r>
      <w:r w:rsidR="00D04B8B" w:rsidRPr="00104227">
        <w:rPr>
          <w:rFonts w:eastAsiaTheme="minorHAnsi" w:cs="Arial"/>
          <w:lang w:val="en-US"/>
        </w:rPr>
        <w:t xml:space="preserve"> </w:t>
      </w:r>
      <w:r w:rsidRPr="00104227">
        <w:rPr>
          <w:rFonts w:eastAsiaTheme="minorHAnsi" w:cs="Arial"/>
          <w:lang w:val="en-US"/>
        </w:rPr>
        <w:t>forwarded the inquiries related to the case to the General Directorate for Inspections</w:t>
      </w:r>
      <w:r w:rsidR="003D6661" w:rsidRPr="00104227">
        <w:rPr>
          <w:rFonts w:eastAsiaTheme="minorHAnsi" w:cs="Arial"/>
          <w:lang w:val="en-US"/>
        </w:rPr>
        <w:t xml:space="preserve"> </w:t>
      </w:r>
      <w:r w:rsidRPr="00104227">
        <w:rPr>
          <w:rFonts w:eastAsiaTheme="minorHAnsi" w:cs="Arial"/>
          <w:lang w:val="en-US"/>
        </w:rPr>
        <w:t xml:space="preserve">to be continued and for a decision on the following steps. </w:t>
      </w:r>
      <w:r w:rsidRPr="00104227">
        <w:rPr>
          <w:lang w:val="en-US"/>
        </w:rPr>
        <w:t>The General Directorate for Inspections</w:t>
      </w:r>
      <w:r w:rsidR="003D6661" w:rsidRPr="00104227">
        <w:rPr>
          <w:lang w:val="en-US"/>
        </w:rPr>
        <w:t xml:space="preserve"> </w:t>
      </w:r>
      <w:r w:rsidRPr="00104227">
        <w:rPr>
          <w:lang w:val="en-US"/>
        </w:rPr>
        <w:t>carried out a legal study of the investigation file an</w:t>
      </w:r>
      <w:r w:rsidR="00F554E3" w:rsidRPr="00104227">
        <w:rPr>
          <w:lang w:val="en-US"/>
        </w:rPr>
        <w:t>d</w:t>
      </w:r>
      <w:r w:rsidRPr="00104227">
        <w:rPr>
          <w:lang w:val="en-US"/>
        </w:rPr>
        <w:t xml:space="preserve"> returned it on </w:t>
      </w:r>
      <w:r w:rsidR="00E31E41" w:rsidRPr="00104227">
        <w:rPr>
          <w:lang w:val="en-US"/>
        </w:rPr>
        <w:t>June 1,</w:t>
      </w:r>
      <w:r w:rsidR="003D6661" w:rsidRPr="00104227">
        <w:rPr>
          <w:lang w:val="en-US"/>
        </w:rPr>
        <w:t xml:space="preserve"> 2010, orde</w:t>
      </w:r>
      <w:r w:rsidRPr="00104227">
        <w:rPr>
          <w:lang w:val="en-US"/>
        </w:rPr>
        <w:t>ring the reactivation of the criminal proceedings and proposing a series of procedures.</w:t>
      </w:r>
      <w:r w:rsidR="003D6661" w:rsidRPr="00104227">
        <w:rPr>
          <w:vertAlign w:val="superscript"/>
          <w:lang w:val="en-US"/>
        </w:rPr>
        <w:footnoteReference w:id="177"/>
      </w:r>
      <w:r w:rsidR="003D6661" w:rsidRPr="00104227">
        <w:rPr>
          <w:lang w:val="en-US"/>
        </w:rPr>
        <w:t xml:space="preserve"> </w:t>
      </w:r>
      <w:r w:rsidRPr="00104227">
        <w:rPr>
          <w:lang w:val="en-US"/>
        </w:rPr>
        <w:t>On</w:t>
      </w:r>
      <w:r w:rsidR="003D6661" w:rsidRPr="00104227">
        <w:rPr>
          <w:lang w:val="en-US"/>
        </w:rPr>
        <w:t xml:space="preserve"> </w:t>
      </w:r>
      <w:r w:rsidRPr="00104227">
        <w:rPr>
          <w:lang w:val="en-US"/>
        </w:rPr>
        <w:t>September 22,</w:t>
      </w:r>
      <w:r w:rsidR="003D6661" w:rsidRPr="00104227">
        <w:rPr>
          <w:lang w:val="en-US"/>
        </w:rPr>
        <w:t xml:space="preserve"> 2010</w:t>
      </w:r>
      <w:r w:rsidRPr="00104227">
        <w:rPr>
          <w:lang w:val="en-US"/>
        </w:rPr>
        <w:t xml:space="preserve">, the Special Working Group for the Atenco Case </w:t>
      </w:r>
      <w:r w:rsidR="00F554E3" w:rsidRPr="00104227">
        <w:rPr>
          <w:lang w:val="en-US"/>
        </w:rPr>
        <w:t>(</w:t>
      </w:r>
      <w:r w:rsidRPr="00104227">
        <w:rPr>
          <w:lang w:val="en-US"/>
        </w:rPr>
        <w:t>GETCA) was established to act in the context of this</w:t>
      </w:r>
      <w:r w:rsidR="003D6661" w:rsidRPr="00104227">
        <w:rPr>
          <w:lang w:val="en-US"/>
        </w:rPr>
        <w:t xml:space="preserve"> </w:t>
      </w:r>
      <w:r w:rsidR="00612B2F" w:rsidRPr="00104227">
        <w:rPr>
          <w:lang w:val="en-US"/>
        </w:rPr>
        <w:t>preliminary inquiry</w:t>
      </w:r>
      <w:r w:rsidR="003D6661" w:rsidRPr="00104227">
        <w:rPr>
          <w:lang w:val="en-US"/>
        </w:rPr>
        <w:t xml:space="preserve">. </w:t>
      </w:r>
      <w:r w:rsidRPr="00104227">
        <w:rPr>
          <w:lang w:val="en-US"/>
        </w:rPr>
        <w:t>The</w:t>
      </w:r>
      <w:r w:rsidR="003D6661" w:rsidRPr="00104227">
        <w:rPr>
          <w:rFonts w:eastAsiaTheme="minorHAnsi" w:cs="Arial"/>
          <w:lang w:val="en-US"/>
        </w:rPr>
        <w:t xml:space="preserve"> </w:t>
      </w:r>
      <w:r w:rsidR="003D6661" w:rsidRPr="00104227">
        <w:rPr>
          <w:lang w:val="en-US"/>
        </w:rPr>
        <w:t>GETCA</w:t>
      </w:r>
      <w:r w:rsidR="003D6661" w:rsidRPr="00104227">
        <w:rPr>
          <w:rFonts w:eastAsiaTheme="minorHAnsi" w:cs="Arial"/>
          <w:lang w:val="en-US"/>
        </w:rPr>
        <w:t xml:space="preserve"> </w:t>
      </w:r>
      <w:r w:rsidRPr="00104227">
        <w:rPr>
          <w:rFonts w:eastAsiaTheme="minorHAnsi" w:cs="Arial"/>
          <w:lang w:val="en-US"/>
        </w:rPr>
        <w:t>addressed a series of official communications to other authorities, as proposed by the General Directorate for Inspections</w:t>
      </w:r>
      <w:r w:rsidR="00F554E3" w:rsidRPr="00104227">
        <w:rPr>
          <w:rFonts w:eastAsiaTheme="minorHAnsi" w:cs="Arial"/>
          <w:lang w:val="en-US"/>
        </w:rPr>
        <w:t>,</w:t>
      </w:r>
      <w:r w:rsidR="00BF5241" w:rsidRPr="00104227">
        <w:rPr>
          <w:rFonts w:eastAsiaTheme="minorHAnsi" w:cs="Arial"/>
          <w:lang w:val="en-US"/>
        </w:rPr>
        <w:t xml:space="preserve"> and </w:t>
      </w:r>
      <w:r w:rsidRPr="00104227">
        <w:rPr>
          <w:rFonts w:eastAsiaTheme="minorHAnsi" w:cs="Arial"/>
          <w:lang w:val="en-US"/>
        </w:rPr>
        <w:t>obtained s</w:t>
      </w:r>
      <w:r w:rsidR="00F554E3" w:rsidRPr="00104227">
        <w:rPr>
          <w:rFonts w:eastAsiaTheme="minorHAnsi" w:cs="Arial"/>
          <w:lang w:val="en-US"/>
        </w:rPr>
        <w:t>ome</w:t>
      </w:r>
      <w:r w:rsidRPr="00104227">
        <w:rPr>
          <w:rFonts w:eastAsiaTheme="minorHAnsi" w:cs="Arial"/>
          <w:lang w:val="en-US"/>
        </w:rPr>
        <w:t xml:space="preserve"> statements from the state police. Between September </w:t>
      </w:r>
      <w:r w:rsidR="003D6661" w:rsidRPr="00104227">
        <w:rPr>
          <w:rFonts w:eastAsiaTheme="minorHAnsi" w:cs="Arial"/>
          <w:lang w:val="en-US"/>
        </w:rPr>
        <w:t>2010</w:t>
      </w:r>
      <w:r w:rsidR="00BF5241" w:rsidRPr="00104227">
        <w:rPr>
          <w:rFonts w:eastAsiaTheme="minorHAnsi" w:cs="Arial"/>
          <w:lang w:val="en-US"/>
        </w:rPr>
        <w:t xml:space="preserve"> and </w:t>
      </w:r>
      <w:r w:rsidR="00603094" w:rsidRPr="00104227">
        <w:rPr>
          <w:rFonts w:eastAsiaTheme="minorHAnsi" w:cs="Arial"/>
          <w:lang w:val="en-US"/>
        </w:rPr>
        <w:t>September</w:t>
      </w:r>
      <w:r w:rsidR="003D6661" w:rsidRPr="00104227">
        <w:rPr>
          <w:rFonts w:eastAsiaTheme="minorHAnsi" w:cs="Arial"/>
          <w:lang w:val="en-US"/>
        </w:rPr>
        <w:t xml:space="preserve"> 2011, </w:t>
      </w:r>
      <w:r w:rsidR="00603094" w:rsidRPr="00104227">
        <w:rPr>
          <w:rFonts w:eastAsiaTheme="minorHAnsi" w:cs="Arial"/>
          <w:lang w:val="en-US"/>
        </w:rPr>
        <w:t>the investigation was active</w:t>
      </w:r>
      <w:r w:rsidR="00F554E3" w:rsidRPr="00104227">
        <w:rPr>
          <w:rFonts w:eastAsiaTheme="minorHAnsi" w:cs="Arial"/>
          <w:lang w:val="en-US"/>
        </w:rPr>
        <w:t xml:space="preserve"> and</w:t>
      </w:r>
      <w:r w:rsidR="00603094" w:rsidRPr="00104227">
        <w:rPr>
          <w:rFonts w:eastAsiaTheme="minorHAnsi" w:cs="Arial"/>
          <w:lang w:val="en-US"/>
        </w:rPr>
        <w:t xml:space="preserve"> conduct</w:t>
      </w:r>
      <w:r w:rsidR="00F554E3" w:rsidRPr="00104227">
        <w:rPr>
          <w:rFonts w:eastAsiaTheme="minorHAnsi" w:cs="Arial"/>
          <w:lang w:val="en-US"/>
        </w:rPr>
        <w:t>ed</w:t>
      </w:r>
      <w:r w:rsidR="00603094" w:rsidRPr="00104227">
        <w:rPr>
          <w:rFonts w:eastAsiaTheme="minorHAnsi" w:cs="Arial"/>
          <w:lang w:val="en-US"/>
        </w:rPr>
        <w:t xml:space="preserve"> the proposed procedures.</w:t>
      </w:r>
      <w:r w:rsidR="003D6661" w:rsidRPr="00104227">
        <w:rPr>
          <w:rStyle w:val="Refdenotaalpie"/>
          <w:rFonts w:eastAsiaTheme="minorHAnsi" w:cs="Arial"/>
          <w:lang w:val="en-US"/>
        </w:rPr>
        <w:footnoteReference w:id="178"/>
      </w:r>
    </w:p>
    <w:p w14:paraId="0B47AFC0" w14:textId="77777777" w:rsidR="003D6661" w:rsidRPr="00104227" w:rsidRDefault="003D6661" w:rsidP="00E4619F">
      <w:pPr>
        <w:tabs>
          <w:tab w:val="left" w:pos="567"/>
        </w:tabs>
      </w:pPr>
    </w:p>
    <w:p w14:paraId="582E0AF3" w14:textId="3DD314B7" w:rsidR="003D6661" w:rsidRPr="00104227" w:rsidRDefault="003D6661" w:rsidP="00885693">
      <w:pPr>
        <w:pStyle w:val="Ttulo4"/>
        <w:rPr>
          <w:lang w:val="en-US"/>
        </w:rPr>
      </w:pPr>
      <w:r w:rsidRPr="00104227">
        <w:rPr>
          <w:lang w:val="en-US"/>
        </w:rPr>
        <w:t xml:space="preserve">C.3.1 </w:t>
      </w:r>
      <w:r w:rsidR="0050556D" w:rsidRPr="00104227">
        <w:rPr>
          <w:lang w:val="en-US"/>
        </w:rPr>
        <w:t>Criminal case 59</w:t>
      </w:r>
      <w:r w:rsidRPr="00104227">
        <w:rPr>
          <w:lang w:val="en-US"/>
        </w:rPr>
        <w:t>/2006 (</w:t>
      </w:r>
      <w:r w:rsidR="00332721" w:rsidRPr="00104227">
        <w:rPr>
          <w:lang w:val="en-US"/>
        </w:rPr>
        <w:t>relating to</w:t>
      </w:r>
      <w:r w:rsidRPr="00104227">
        <w:rPr>
          <w:lang w:val="en-US"/>
        </w:rPr>
        <w:t xml:space="preserve"> María Patricia Romero Hernández)</w:t>
      </w:r>
    </w:p>
    <w:p w14:paraId="796700F0" w14:textId="77777777" w:rsidR="003D6661" w:rsidRPr="00104227" w:rsidRDefault="003D6661" w:rsidP="00E4619F">
      <w:pPr>
        <w:tabs>
          <w:tab w:val="left" w:pos="567"/>
        </w:tabs>
        <w:rPr>
          <w:lang w:eastAsia="es-MX"/>
        </w:rPr>
      </w:pPr>
    </w:p>
    <w:p w14:paraId="7F9BF045" w14:textId="5DBD04AC" w:rsidR="003D6661" w:rsidRPr="00104227" w:rsidRDefault="00A84F20" w:rsidP="00332721">
      <w:pPr>
        <w:pStyle w:val="Numberedparagraphs"/>
        <w:tabs>
          <w:tab w:val="left" w:pos="567"/>
        </w:tabs>
        <w:rPr>
          <w:lang w:val="en-US"/>
        </w:rPr>
      </w:pPr>
      <w:bookmarkStart w:id="231" w:name="_Ref524533886"/>
      <w:r w:rsidRPr="00104227">
        <w:rPr>
          <w:lang w:val="en-US"/>
        </w:rPr>
        <w:t>On June 16,</w:t>
      </w:r>
      <w:r w:rsidR="003D6661" w:rsidRPr="00104227">
        <w:rPr>
          <w:lang w:val="en-US"/>
        </w:rPr>
        <w:t xml:space="preserve"> 2006</w:t>
      </w:r>
      <w:r w:rsidR="00332721" w:rsidRPr="00104227">
        <w:rPr>
          <w:lang w:val="en-US"/>
        </w:rPr>
        <w:t xml:space="preserve">, </w:t>
      </w:r>
      <w:r w:rsidR="0050556D" w:rsidRPr="00104227">
        <w:rPr>
          <w:lang w:val="en-US"/>
        </w:rPr>
        <w:t>criminal case 59</w:t>
      </w:r>
      <w:r w:rsidR="003D6661" w:rsidRPr="00104227">
        <w:rPr>
          <w:lang w:val="en-US"/>
        </w:rPr>
        <w:t>/2006</w:t>
      </w:r>
      <w:r w:rsidR="00332721" w:rsidRPr="00104227">
        <w:rPr>
          <w:lang w:val="en-US"/>
        </w:rPr>
        <w:t xml:space="preserve"> w</w:t>
      </w:r>
      <w:r w:rsidR="00F554E3" w:rsidRPr="00104227">
        <w:rPr>
          <w:lang w:val="en-US"/>
        </w:rPr>
        <w:t>as</w:t>
      </w:r>
      <w:r w:rsidR="00332721" w:rsidRPr="00104227">
        <w:rPr>
          <w:lang w:val="en-US"/>
        </w:rPr>
        <w:t xml:space="preserve"> instituted</w:t>
      </w:r>
      <w:r w:rsidR="003D6661" w:rsidRPr="00104227">
        <w:rPr>
          <w:lang w:val="en-US"/>
        </w:rPr>
        <w:t xml:space="preserve"> </w:t>
      </w:r>
      <w:r w:rsidR="00332721" w:rsidRPr="00104227">
        <w:rPr>
          <w:lang w:val="en-US"/>
        </w:rPr>
        <w:t>against seventeen (17)  members of the state police and four (4) members of the municipal police for the offense of abuse of authority against María Patricia Romero Hernández, her father and her son</w:t>
      </w:r>
      <w:r w:rsidR="003D6661" w:rsidRPr="00104227">
        <w:rPr>
          <w:lang w:val="en-US"/>
        </w:rPr>
        <w:t xml:space="preserve"> (</w:t>
      </w:r>
      <w:r w:rsidR="003D6661" w:rsidRPr="00104227">
        <w:rPr>
          <w:i/>
          <w:lang w:val="en-US"/>
        </w:rPr>
        <w:t>supra</w:t>
      </w:r>
      <w:r w:rsidR="003D6661" w:rsidRPr="00104227">
        <w:rPr>
          <w:lang w:val="en-US"/>
        </w:rPr>
        <w:t xml:space="preserve"> </w:t>
      </w:r>
      <w:r w:rsidR="00BF5241" w:rsidRPr="00104227">
        <w:rPr>
          <w:lang w:val="en-US"/>
        </w:rPr>
        <w:t>para.</w:t>
      </w:r>
      <w:r w:rsidR="003D6661" w:rsidRPr="00104227">
        <w:rPr>
          <w:lang w:val="en-US"/>
        </w:rPr>
        <w:t xml:space="preserve"> </w:t>
      </w:r>
      <w:r w:rsidR="003D6661" w:rsidRPr="00104227">
        <w:rPr>
          <w:lang w:val="en-US"/>
        </w:rPr>
        <w:fldChar w:fldCharType="begin"/>
      </w:r>
      <w:r w:rsidR="003D6661" w:rsidRPr="00104227">
        <w:rPr>
          <w:lang w:val="en-US"/>
        </w:rPr>
        <w:instrText xml:space="preserve"> REF _Ref524533658 \r \h </w:instrText>
      </w:r>
      <w:r w:rsidR="006E365C" w:rsidRPr="00104227">
        <w:rPr>
          <w:lang w:val="en-US"/>
        </w:rPr>
        <w:instrText xml:space="preserve"> \* MERGEFORMAT </w:instrText>
      </w:r>
      <w:r w:rsidR="003D6661" w:rsidRPr="00104227">
        <w:rPr>
          <w:lang w:val="en-US"/>
        </w:rPr>
      </w:r>
      <w:r w:rsidR="003D6661" w:rsidRPr="00104227">
        <w:rPr>
          <w:lang w:val="en-US"/>
        </w:rPr>
        <w:fldChar w:fldCharType="separate"/>
      </w:r>
      <w:r w:rsidR="004276BD">
        <w:rPr>
          <w:lang w:val="en-US"/>
        </w:rPr>
        <w:t>128</w:t>
      </w:r>
      <w:r w:rsidR="003D6661" w:rsidRPr="00104227">
        <w:rPr>
          <w:lang w:val="en-US"/>
        </w:rPr>
        <w:fldChar w:fldCharType="end"/>
      </w:r>
      <w:r w:rsidR="003D6661" w:rsidRPr="00104227">
        <w:rPr>
          <w:lang w:val="en-US"/>
        </w:rPr>
        <w:t xml:space="preserve">). </w:t>
      </w:r>
      <w:r w:rsidR="00E31E41" w:rsidRPr="00104227">
        <w:rPr>
          <w:lang w:val="en-US"/>
        </w:rPr>
        <w:t>On June</w:t>
      </w:r>
      <w:r w:rsidR="00335431" w:rsidRPr="00104227">
        <w:rPr>
          <w:lang w:val="en-US"/>
        </w:rPr>
        <w:t xml:space="preserve"> 19,</w:t>
      </w:r>
      <w:r w:rsidR="003D6661" w:rsidRPr="00104227">
        <w:rPr>
          <w:lang w:val="en-US"/>
        </w:rPr>
        <w:t xml:space="preserve"> 2006</w:t>
      </w:r>
      <w:r w:rsidR="00332721" w:rsidRPr="00104227">
        <w:rPr>
          <w:lang w:val="en-US"/>
        </w:rPr>
        <w:t xml:space="preserve">, an arrest warrant was issued, and on June 30, </w:t>
      </w:r>
      <w:r w:rsidR="003D6661" w:rsidRPr="00104227">
        <w:rPr>
          <w:lang w:val="en-US"/>
        </w:rPr>
        <w:t>2006</w:t>
      </w:r>
      <w:r w:rsidR="00332721" w:rsidRPr="00104227">
        <w:rPr>
          <w:lang w:val="en-US"/>
        </w:rPr>
        <w:t>, a formal order of imprisonment was ordered.</w:t>
      </w:r>
      <w:r w:rsidR="003D6661" w:rsidRPr="00104227">
        <w:rPr>
          <w:rStyle w:val="Refdenotaalpie"/>
          <w:lang w:val="en-US"/>
        </w:rPr>
        <w:footnoteReference w:id="179"/>
      </w:r>
      <w:bookmarkEnd w:id="231"/>
      <w:r w:rsidR="00332721" w:rsidRPr="00104227">
        <w:rPr>
          <w:lang w:val="en-US"/>
        </w:rPr>
        <w:t xml:space="preserve"> However, following several legal remedi</w:t>
      </w:r>
      <w:r w:rsidR="004D30F0" w:rsidRPr="00104227">
        <w:rPr>
          <w:lang w:val="en-US"/>
        </w:rPr>
        <w:t>e</w:t>
      </w:r>
      <w:r w:rsidR="00332721" w:rsidRPr="00104227">
        <w:rPr>
          <w:lang w:val="en-US"/>
        </w:rPr>
        <w:t xml:space="preserve">s, the </w:t>
      </w:r>
      <w:r w:rsidR="004D30F0" w:rsidRPr="00104227">
        <w:rPr>
          <w:lang w:val="en-US"/>
        </w:rPr>
        <w:t>charges were</w:t>
      </w:r>
      <w:r w:rsidR="00332721" w:rsidRPr="00104227">
        <w:rPr>
          <w:lang w:val="en-US"/>
        </w:rPr>
        <w:t xml:space="preserve"> declared</w:t>
      </w:r>
      <w:r w:rsidR="004D30F0" w:rsidRPr="00104227">
        <w:rPr>
          <w:lang w:val="en-US"/>
        </w:rPr>
        <w:t xml:space="preserve"> to be</w:t>
      </w:r>
      <w:r w:rsidR="00332721" w:rsidRPr="00104227">
        <w:rPr>
          <w:lang w:val="en-US"/>
        </w:rPr>
        <w:t xml:space="preserve"> un</w:t>
      </w:r>
      <w:r w:rsidR="004D30F0" w:rsidRPr="00104227">
        <w:rPr>
          <w:lang w:val="en-US"/>
        </w:rPr>
        <w:t>founded</w:t>
      </w:r>
      <w:r w:rsidR="003D6661" w:rsidRPr="00104227">
        <w:rPr>
          <w:lang w:val="en-US"/>
        </w:rPr>
        <w:t xml:space="preserve"> </w:t>
      </w:r>
      <w:r w:rsidR="00E31E41" w:rsidRPr="00104227">
        <w:rPr>
          <w:lang w:val="en-US"/>
        </w:rPr>
        <w:t>with regard to</w:t>
      </w:r>
      <w:r w:rsidR="003D6661" w:rsidRPr="00104227">
        <w:rPr>
          <w:lang w:val="en-US"/>
        </w:rPr>
        <w:t xml:space="preserve"> </w:t>
      </w:r>
      <w:r w:rsidR="00332721" w:rsidRPr="00104227">
        <w:rPr>
          <w:lang w:val="en-US"/>
        </w:rPr>
        <w:t>some of the police agents, owing to insufficient evidence, while others were acquitted.</w:t>
      </w:r>
      <w:r w:rsidR="003D6661" w:rsidRPr="00104227">
        <w:rPr>
          <w:rStyle w:val="Refdenotaalpie"/>
          <w:lang w:val="en-US"/>
        </w:rPr>
        <w:footnoteReference w:id="180"/>
      </w:r>
    </w:p>
    <w:p w14:paraId="1C5D754A" w14:textId="77777777" w:rsidR="003D6661" w:rsidRPr="00104227" w:rsidRDefault="003D6661" w:rsidP="00E4619F">
      <w:pPr>
        <w:tabs>
          <w:tab w:val="left" w:pos="567"/>
        </w:tabs>
        <w:rPr>
          <w:lang w:eastAsia="es-MX"/>
        </w:rPr>
      </w:pPr>
    </w:p>
    <w:p w14:paraId="0B9C4D2A" w14:textId="2E1EB830" w:rsidR="003D6661" w:rsidRPr="00104227" w:rsidRDefault="003D6661" w:rsidP="006A4F86">
      <w:pPr>
        <w:pStyle w:val="Ttulo4"/>
        <w:rPr>
          <w:lang w:val="en-US"/>
        </w:rPr>
      </w:pPr>
      <w:bookmarkStart w:id="232" w:name="_Toc433650890"/>
      <w:bookmarkStart w:id="233" w:name="_Toc433650992"/>
      <w:bookmarkStart w:id="234" w:name="_Toc438128501"/>
      <w:r w:rsidRPr="00104227">
        <w:rPr>
          <w:lang w:val="en-US"/>
        </w:rPr>
        <w:t xml:space="preserve">C.3.2 </w:t>
      </w:r>
      <w:r w:rsidR="0050556D" w:rsidRPr="00104227">
        <w:rPr>
          <w:lang w:val="en-US"/>
        </w:rPr>
        <w:t>Criminal case 418</w:t>
      </w:r>
      <w:r w:rsidRPr="00104227">
        <w:rPr>
          <w:lang w:val="en-US"/>
        </w:rPr>
        <w:t>/2011-55/2013</w:t>
      </w:r>
      <w:bookmarkStart w:id="235" w:name="_Ref524619980"/>
      <w:bookmarkEnd w:id="232"/>
      <w:bookmarkEnd w:id="233"/>
      <w:bookmarkEnd w:id="234"/>
      <w:r w:rsidRPr="00104227">
        <w:rPr>
          <w:rStyle w:val="Refdenotaalpie"/>
          <w:lang w:val="en-US"/>
        </w:rPr>
        <w:footnoteReference w:id="181"/>
      </w:r>
      <w:bookmarkEnd w:id="235"/>
      <w:r w:rsidRPr="00104227">
        <w:rPr>
          <w:lang w:val="en-US"/>
        </w:rPr>
        <w:t xml:space="preserve"> (</w:t>
      </w:r>
      <w:r w:rsidR="00332721" w:rsidRPr="00104227">
        <w:rPr>
          <w:lang w:val="en-US"/>
        </w:rPr>
        <w:t>relating to</w:t>
      </w:r>
      <w:r w:rsidRPr="00104227">
        <w:rPr>
          <w:lang w:val="en-US"/>
        </w:rPr>
        <w:t xml:space="preserve"> </w:t>
      </w:r>
      <w:r w:rsidR="00332721" w:rsidRPr="00104227">
        <w:rPr>
          <w:lang w:val="en-US"/>
        </w:rPr>
        <w:t>the other ten women</w:t>
      </w:r>
      <w:r w:rsidRPr="00104227">
        <w:rPr>
          <w:lang w:val="en-US"/>
        </w:rPr>
        <w:t xml:space="preserve">) </w:t>
      </w:r>
    </w:p>
    <w:p w14:paraId="43F89F42" w14:textId="77777777" w:rsidR="00F554E3" w:rsidRPr="00104227" w:rsidRDefault="00F554E3" w:rsidP="00F554E3"/>
    <w:p w14:paraId="0649012E" w14:textId="23DE3F41" w:rsidR="003D6661" w:rsidRPr="00104227" w:rsidRDefault="006A4F86" w:rsidP="00E4619F">
      <w:pPr>
        <w:pStyle w:val="Numberedparagraphs"/>
        <w:tabs>
          <w:tab w:val="left" w:pos="567"/>
        </w:tabs>
        <w:rPr>
          <w:lang w:val="en-US"/>
        </w:rPr>
      </w:pPr>
      <w:r w:rsidRPr="00104227">
        <w:rPr>
          <w:lang w:val="en-US"/>
        </w:rPr>
        <w:t>On</w:t>
      </w:r>
      <w:r w:rsidR="003D6661" w:rsidRPr="00104227">
        <w:rPr>
          <w:lang w:val="en-US"/>
        </w:rPr>
        <w:t xml:space="preserve"> </w:t>
      </w:r>
      <w:r w:rsidRPr="00104227">
        <w:rPr>
          <w:lang w:val="en-US"/>
        </w:rPr>
        <w:t>September 14,</w:t>
      </w:r>
      <w:r w:rsidR="003D6661" w:rsidRPr="00104227">
        <w:rPr>
          <w:lang w:val="en-US"/>
        </w:rPr>
        <w:t xml:space="preserve"> 2011</w:t>
      </w:r>
      <w:r w:rsidRPr="00104227">
        <w:rPr>
          <w:lang w:val="en-US"/>
        </w:rPr>
        <w:t>,</w:t>
      </w:r>
      <w:r w:rsidR="003D6661" w:rsidRPr="00104227">
        <w:rPr>
          <w:lang w:val="en-US"/>
        </w:rPr>
        <w:t xml:space="preserve"> </w:t>
      </w:r>
      <w:r w:rsidR="00024310" w:rsidRPr="00104227">
        <w:rPr>
          <w:lang w:val="en-US"/>
        </w:rPr>
        <w:t xml:space="preserve">the </w:t>
      </w:r>
      <w:r w:rsidR="00F554E3" w:rsidRPr="00104227">
        <w:rPr>
          <w:lang w:val="en-US"/>
        </w:rPr>
        <w:t xml:space="preserve">PGJEM </w:t>
      </w:r>
      <w:r w:rsidR="00024310" w:rsidRPr="00104227">
        <w:rPr>
          <w:lang w:val="en-US"/>
        </w:rPr>
        <w:t>Public Prosecution Service</w:t>
      </w:r>
      <w:r w:rsidR="00D04B8B" w:rsidRPr="00104227">
        <w:rPr>
          <w:lang w:val="en-US"/>
        </w:rPr>
        <w:t xml:space="preserve"> </w:t>
      </w:r>
      <w:r w:rsidRPr="00104227">
        <w:rPr>
          <w:lang w:val="en-US"/>
        </w:rPr>
        <w:t>identified and requested arrest warrants for twenty-nine (29) state police agents,</w:t>
      </w:r>
      <w:r w:rsidR="003D6661" w:rsidRPr="00104227">
        <w:rPr>
          <w:rStyle w:val="Refdenotaalpie"/>
          <w:lang w:val="en-US"/>
        </w:rPr>
        <w:footnoteReference w:id="182"/>
      </w:r>
      <w:r w:rsidRPr="00104227">
        <w:rPr>
          <w:lang w:val="en-US"/>
        </w:rPr>
        <w:t xml:space="preserve"> based on their probabl</w:t>
      </w:r>
      <w:r w:rsidR="00F554E3" w:rsidRPr="00104227">
        <w:rPr>
          <w:lang w:val="en-US"/>
        </w:rPr>
        <w:t>e</w:t>
      </w:r>
      <w:r w:rsidRPr="00104227">
        <w:rPr>
          <w:lang w:val="en-US"/>
        </w:rPr>
        <w:t xml:space="preserve"> responsibility by omission </w:t>
      </w:r>
      <w:r w:rsidR="00F554E3" w:rsidRPr="00104227">
        <w:rPr>
          <w:lang w:val="en-US"/>
        </w:rPr>
        <w:t>for</w:t>
      </w:r>
      <w:r w:rsidR="003D6661" w:rsidRPr="00104227">
        <w:rPr>
          <w:lang w:val="en-US"/>
        </w:rPr>
        <w:t xml:space="preserve"> </w:t>
      </w:r>
      <w:r w:rsidRPr="00104227">
        <w:rPr>
          <w:lang w:val="en-US"/>
        </w:rPr>
        <w:t>crimes of</w:t>
      </w:r>
      <w:r w:rsidR="003D6661" w:rsidRPr="00104227">
        <w:rPr>
          <w:lang w:val="en-US"/>
        </w:rPr>
        <w:t xml:space="preserve"> </w:t>
      </w:r>
      <w:r w:rsidR="00BC5201" w:rsidRPr="00104227">
        <w:rPr>
          <w:lang w:val="en-US"/>
        </w:rPr>
        <w:t>torture</w:t>
      </w:r>
      <w:r w:rsidR="003D6661" w:rsidRPr="00104227">
        <w:rPr>
          <w:lang w:val="en-US"/>
        </w:rPr>
        <w:t>, abus</w:t>
      </w:r>
      <w:r w:rsidRPr="00104227">
        <w:rPr>
          <w:lang w:val="en-US"/>
        </w:rPr>
        <w:t>e of authority and injuries perpetrated</w:t>
      </w:r>
      <w:r w:rsidR="00F554E3" w:rsidRPr="00104227">
        <w:rPr>
          <w:lang w:val="en-US"/>
        </w:rPr>
        <w:t xml:space="preserve"> </w:t>
      </w:r>
      <w:r w:rsidRPr="00104227">
        <w:rPr>
          <w:lang w:val="en-US"/>
        </w:rPr>
        <w:t xml:space="preserve">against twelve </w:t>
      </w:r>
      <w:r w:rsidR="00803E8C" w:rsidRPr="00104227">
        <w:rPr>
          <w:lang w:val="en-US"/>
        </w:rPr>
        <w:t>(</w:t>
      </w:r>
      <w:r w:rsidR="003D6661" w:rsidRPr="00104227">
        <w:rPr>
          <w:lang w:val="en-US"/>
        </w:rPr>
        <w:t>12</w:t>
      </w:r>
      <w:r w:rsidR="00803E8C" w:rsidRPr="00104227">
        <w:rPr>
          <w:lang w:val="en-US"/>
        </w:rPr>
        <w:t>)</w:t>
      </w:r>
      <w:r w:rsidR="003D6661" w:rsidRPr="00104227">
        <w:rPr>
          <w:lang w:val="en-US"/>
        </w:rPr>
        <w:t xml:space="preserve"> </w:t>
      </w:r>
      <w:r w:rsidRPr="00104227">
        <w:rPr>
          <w:lang w:val="en-US"/>
        </w:rPr>
        <w:lastRenderedPageBreak/>
        <w:t>women</w:t>
      </w:r>
      <w:r w:rsidR="003D6661" w:rsidRPr="00104227">
        <w:rPr>
          <w:lang w:val="en-US"/>
        </w:rPr>
        <w:t xml:space="preserve">, </w:t>
      </w:r>
      <w:r w:rsidRPr="00104227">
        <w:rPr>
          <w:lang w:val="en-US"/>
        </w:rPr>
        <w:t>ten</w:t>
      </w:r>
      <w:r w:rsidR="00803E8C" w:rsidRPr="00104227">
        <w:rPr>
          <w:lang w:val="en-US"/>
        </w:rPr>
        <w:t xml:space="preserve"> (</w:t>
      </w:r>
      <w:r w:rsidR="003D6661" w:rsidRPr="00104227">
        <w:rPr>
          <w:lang w:val="en-US"/>
        </w:rPr>
        <w:t>10</w:t>
      </w:r>
      <w:r w:rsidR="00803E8C" w:rsidRPr="00104227">
        <w:rPr>
          <w:lang w:val="en-US"/>
        </w:rPr>
        <w:t>)</w:t>
      </w:r>
      <w:r w:rsidR="003D6661" w:rsidRPr="00104227">
        <w:rPr>
          <w:lang w:val="en-US"/>
        </w:rPr>
        <w:t xml:space="preserve"> </w:t>
      </w:r>
      <w:r w:rsidRPr="00104227">
        <w:rPr>
          <w:lang w:val="en-US"/>
        </w:rPr>
        <w:t>of them involved in this case,</w:t>
      </w:r>
      <w:r w:rsidR="003D6661" w:rsidRPr="00104227">
        <w:rPr>
          <w:rStyle w:val="Refdenotaalpie"/>
          <w:lang w:val="en-US"/>
        </w:rPr>
        <w:footnoteReference w:id="183"/>
      </w:r>
      <w:r w:rsidRPr="00104227">
        <w:rPr>
          <w:lang w:val="en-US"/>
        </w:rPr>
        <w:t xml:space="preserve"> and requested measures of reparation for the</w:t>
      </w:r>
      <w:r w:rsidR="00F554E3" w:rsidRPr="00104227">
        <w:rPr>
          <w:lang w:val="en-US"/>
        </w:rPr>
        <w:t>se individuals</w:t>
      </w:r>
      <w:r w:rsidRPr="00104227">
        <w:rPr>
          <w:lang w:val="en-US"/>
        </w:rPr>
        <w:t>.</w:t>
      </w:r>
      <w:r w:rsidR="003D6661" w:rsidRPr="00104227">
        <w:rPr>
          <w:rStyle w:val="Refdenotaalpie"/>
          <w:lang w:val="en-US"/>
        </w:rPr>
        <w:footnoteReference w:id="184"/>
      </w:r>
      <w:r w:rsidR="003D6661" w:rsidRPr="00104227">
        <w:rPr>
          <w:lang w:val="en-US"/>
        </w:rPr>
        <w:t xml:space="preserve"> </w:t>
      </w:r>
    </w:p>
    <w:p w14:paraId="39BEE8AD" w14:textId="77777777" w:rsidR="003D6661" w:rsidRPr="00104227" w:rsidRDefault="003D6661" w:rsidP="00E4619F">
      <w:pPr>
        <w:tabs>
          <w:tab w:val="left" w:pos="567"/>
        </w:tabs>
      </w:pPr>
    </w:p>
    <w:p w14:paraId="6BF0F9B4" w14:textId="727972D1" w:rsidR="003D6661" w:rsidRPr="00104227" w:rsidRDefault="006A4F86" w:rsidP="006A4F86">
      <w:pPr>
        <w:pStyle w:val="Numberedparagraphs"/>
        <w:tabs>
          <w:tab w:val="left" w:pos="567"/>
        </w:tabs>
        <w:rPr>
          <w:lang w:val="en-US"/>
        </w:rPr>
      </w:pPr>
      <w:r w:rsidRPr="00104227">
        <w:rPr>
          <w:lang w:val="en-US"/>
        </w:rPr>
        <w:t>On</w:t>
      </w:r>
      <w:r w:rsidR="003D6661" w:rsidRPr="00104227">
        <w:rPr>
          <w:lang w:val="en-US"/>
        </w:rPr>
        <w:t xml:space="preserve"> </w:t>
      </w:r>
      <w:r w:rsidRPr="00104227">
        <w:rPr>
          <w:lang w:val="en-US"/>
        </w:rPr>
        <w:t>September 27,</w:t>
      </w:r>
      <w:r w:rsidR="003D6661" w:rsidRPr="00104227">
        <w:rPr>
          <w:lang w:val="en-US"/>
        </w:rPr>
        <w:t xml:space="preserve"> 2011</w:t>
      </w:r>
      <w:r w:rsidRPr="00104227">
        <w:rPr>
          <w:b/>
          <w:lang w:val="en-US"/>
        </w:rPr>
        <w:t xml:space="preserve">, </w:t>
      </w:r>
      <w:r w:rsidRPr="00104227">
        <w:rPr>
          <w:bCs/>
          <w:lang w:val="en-US"/>
        </w:rPr>
        <w:t>the</w:t>
      </w:r>
      <w:r w:rsidR="00736F07" w:rsidRPr="00104227">
        <w:rPr>
          <w:lang w:val="en-US"/>
        </w:rPr>
        <w:t xml:space="preserve"> </w:t>
      </w:r>
      <w:r w:rsidR="004617E1" w:rsidRPr="00104227">
        <w:rPr>
          <w:lang w:val="en-US"/>
        </w:rPr>
        <w:t xml:space="preserve">Fourth Criminal </w:t>
      </w:r>
      <w:r w:rsidRPr="00104227">
        <w:rPr>
          <w:lang w:val="en-US"/>
        </w:rPr>
        <w:t xml:space="preserve">Trial </w:t>
      </w:r>
      <w:r w:rsidR="004617E1" w:rsidRPr="00104227">
        <w:rPr>
          <w:lang w:val="en-US"/>
        </w:rPr>
        <w:t>Court</w:t>
      </w:r>
      <w:r w:rsidR="00736F07" w:rsidRPr="00104227">
        <w:rPr>
          <w:lang w:val="en-US"/>
        </w:rPr>
        <w:t xml:space="preserve"> </w:t>
      </w:r>
      <w:r w:rsidRPr="00104227">
        <w:rPr>
          <w:lang w:val="en-US"/>
        </w:rPr>
        <w:t>of</w:t>
      </w:r>
      <w:r w:rsidR="00736F07" w:rsidRPr="00104227">
        <w:rPr>
          <w:lang w:val="en-US"/>
        </w:rPr>
        <w:t xml:space="preserve"> Toluca (</w:t>
      </w:r>
      <w:r w:rsidR="00BF5241" w:rsidRPr="00104227">
        <w:rPr>
          <w:lang w:val="en-US"/>
        </w:rPr>
        <w:t>hereinafter</w:t>
      </w:r>
      <w:r w:rsidR="00736F07" w:rsidRPr="00104227">
        <w:rPr>
          <w:lang w:val="en-US"/>
        </w:rPr>
        <w:t>, “</w:t>
      </w:r>
      <w:r w:rsidRPr="00104227">
        <w:rPr>
          <w:lang w:val="en-US"/>
        </w:rPr>
        <w:t xml:space="preserve">the </w:t>
      </w:r>
      <w:r w:rsidR="004617E1" w:rsidRPr="00104227">
        <w:rPr>
          <w:lang w:val="en-US"/>
        </w:rPr>
        <w:t>Fourth Criminal Court</w:t>
      </w:r>
      <w:r w:rsidR="00736F07" w:rsidRPr="00104227">
        <w:rPr>
          <w:lang w:val="en-US"/>
        </w:rPr>
        <w:t xml:space="preserve"> </w:t>
      </w:r>
      <w:r w:rsidRPr="00104227">
        <w:rPr>
          <w:lang w:val="en-US"/>
        </w:rPr>
        <w:t>of</w:t>
      </w:r>
      <w:r w:rsidR="00736F07" w:rsidRPr="00104227">
        <w:rPr>
          <w:lang w:val="en-US"/>
        </w:rPr>
        <w:t xml:space="preserve"> Toluca”) </w:t>
      </w:r>
      <w:r w:rsidRPr="00104227">
        <w:rPr>
          <w:lang w:val="en-US"/>
        </w:rPr>
        <w:t xml:space="preserve">decided that </w:t>
      </w:r>
      <w:r w:rsidR="000B2982" w:rsidRPr="00104227">
        <w:rPr>
          <w:lang w:val="en-US"/>
        </w:rPr>
        <w:t xml:space="preserve">the </w:t>
      </w:r>
      <w:r w:rsidR="00024310" w:rsidRPr="00104227">
        <w:rPr>
          <w:lang w:val="en-US"/>
        </w:rPr>
        <w:t>Public Prosecution Service</w:t>
      </w:r>
      <w:r w:rsidRPr="00104227">
        <w:rPr>
          <w:lang w:val="en-US"/>
        </w:rPr>
        <w:t>’s request</w:t>
      </w:r>
      <w:r w:rsidR="003D6661" w:rsidRPr="00104227">
        <w:rPr>
          <w:lang w:val="en-US"/>
        </w:rPr>
        <w:t xml:space="preserve"> </w:t>
      </w:r>
      <w:r w:rsidRPr="00104227">
        <w:rPr>
          <w:lang w:val="en-US"/>
        </w:rPr>
        <w:t xml:space="preserve">lacked legal grounds and substantiation </w:t>
      </w:r>
      <w:r w:rsidR="00E31E41" w:rsidRPr="00104227">
        <w:rPr>
          <w:lang w:val="en-US"/>
        </w:rPr>
        <w:t>with regard to</w:t>
      </w:r>
      <w:r w:rsidRPr="00104227">
        <w:rPr>
          <w:lang w:val="en-US"/>
        </w:rPr>
        <w:t xml:space="preserve"> the crimes of </w:t>
      </w:r>
      <w:r w:rsidR="00BC5201" w:rsidRPr="00104227">
        <w:rPr>
          <w:lang w:val="en-US"/>
        </w:rPr>
        <w:t>torture</w:t>
      </w:r>
      <w:r w:rsidR="003D6661" w:rsidRPr="00104227">
        <w:rPr>
          <w:lang w:val="en-US"/>
        </w:rPr>
        <w:t xml:space="preserve">, </w:t>
      </w:r>
      <w:r w:rsidRPr="00104227">
        <w:rPr>
          <w:lang w:val="en-US"/>
        </w:rPr>
        <w:t>abuse of authority</w:t>
      </w:r>
      <w:r w:rsidR="00BF5241" w:rsidRPr="00104227">
        <w:rPr>
          <w:lang w:val="en-US"/>
        </w:rPr>
        <w:t xml:space="preserve"> and </w:t>
      </w:r>
      <w:r w:rsidRPr="00104227">
        <w:rPr>
          <w:lang w:val="en-US"/>
        </w:rPr>
        <w:t>personal injuries because there was “inconsistency and a lack of clarity with regard to the [three] offenses”</w:t>
      </w:r>
      <w:r w:rsidR="0050556D" w:rsidRPr="00104227">
        <w:rPr>
          <w:lang w:val="en-US"/>
        </w:rPr>
        <w:t>;</w:t>
      </w:r>
      <w:r w:rsidRPr="00104227">
        <w:rPr>
          <w:lang w:val="en-US"/>
        </w:rPr>
        <w:t xml:space="preserve"> consequently, it refused to issue the arrest warrant against the twenty-nine police agents.</w:t>
      </w:r>
      <w:r w:rsidR="003D6661" w:rsidRPr="00104227">
        <w:rPr>
          <w:rStyle w:val="Refdenotaalpie"/>
          <w:lang w:val="en-US"/>
        </w:rPr>
        <w:footnoteReference w:id="185"/>
      </w:r>
      <w:r w:rsidR="003D6661" w:rsidRPr="00104227">
        <w:rPr>
          <w:lang w:val="en-US"/>
        </w:rPr>
        <w:t xml:space="preserve"> </w:t>
      </w:r>
      <w:r w:rsidRPr="00104227">
        <w:rPr>
          <w:lang w:val="en-US"/>
        </w:rPr>
        <w:t>On</w:t>
      </w:r>
      <w:r w:rsidR="003D6661" w:rsidRPr="00104227">
        <w:rPr>
          <w:lang w:val="en-US"/>
        </w:rPr>
        <w:t xml:space="preserve"> </w:t>
      </w:r>
      <w:r w:rsidRPr="00104227">
        <w:rPr>
          <w:lang w:val="en-US"/>
        </w:rPr>
        <w:t>February 17,</w:t>
      </w:r>
      <w:r w:rsidR="003D6661" w:rsidRPr="00104227">
        <w:rPr>
          <w:lang w:val="en-US"/>
        </w:rPr>
        <w:t xml:space="preserve"> 2012</w:t>
      </w:r>
      <w:r w:rsidRPr="00104227">
        <w:rPr>
          <w:lang w:val="en-US"/>
        </w:rPr>
        <w:t>,</w:t>
      </w:r>
      <w:r w:rsidR="003D6661" w:rsidRPr="00104227">
        <w:rPr>
          <w:lang w:val="en-US"/>
        </w:rPr>
        <w:t xml:space="preserve"> </w:t>
      </w:r>
      <w:r w:rsidR="00024310" w:rsidRPr="00104227">
        <w:rPr>
          <w:lang w:val="en-US"/>
        </w:rPr>
        <w:t xml:space="preserve">the </w:t>
      </w:r>
      <w:r w:rsidR="0050556D" w:rsidRPr="00104227">
        <w:rPr>
          <w:lang w:val="en-US"/>
        </w:rPr>
        <w:t xml:space="preserve">PGJEM </w:t>
      </w:r>
      <w:r w:rsidR="00024310" w:rsidRPr="00104227">
        <w:rPr>
          <w:lang w:val="en-US"/>
        </w:rPr>
        <w:t>Public Prosecution Service</w:t>
      </w:r>
      <w:r w:rsidR="00D04B8B" w:rsidRPr="00104227">
        <w:rPr>
          <w:lang w:val="en-US"/>
        </w:rPr>
        <w:t xml:space="preserve"> </w:t>
      </w:r>
      <w:r w:rsidR="00894B57" w:rsidRPr="00104227">
        <w:rPr>
          <w:lang w:val="en-US"/>
        </w:rPr>
        <w:t>corrected</w:t>
      </w:r>
      <w:r w:rsidRPr="00104227">
        <w:rPr>
          <w:lang w:val="en-US"/>
        </w:rPr>
        <w:t xml:space="preserve"> the criminal </w:t>
      </w:r>
      <w:r w:rsidR="00894B57" w:rsidRPr="00104227">
        <w:rPr>
          <w:lang w:val="en-US"/>
        </w:rPr>
        <w:t>case</w:t>
      </w:r>
      <w:r w:rsidRPr="00104227">
        <w:rPr>
          <w:lang w:val="en-US"/>
        </w:rPr>
        <w:t xml:space="preserve"> </w:t>
      </w:r>
      <w:r w:rsidR="000A14CF" w:rsidRPr="00104227">
        <w:rPr>
          <w:lang w:val="en-US"/>
        </w:rPr>
        <w:t>against</w:t>
      </w:r>
      <w:r w:rsidRPr="00104227">
        <w:rPr>
          <w:lang w:val="en-US"/>
        </w:rPr>
        <w:t xml:space="preserve"> the twenty-nine police agents and again requested their arrest.</w:t>
      </w:r>
      <w:r w:rsidR="003D6661" w:rsidRPr="00104227">
        <w:rPr>
          <w:rStyle w:val="Refdenotaalpie"/>
          <w:lang w:val="en-US"/>
        </w:rPr>
        <w:footnoteReference w:id="186"/>
      </w:r>
      <w:r w:rsidRPr="00104227">
        <w:rPr>
          <w:lang w:val="en-US"/>
        </w:rPr>
        <w:t xml:space="preserve"> After postponing the decision owing to the dimensions of the case,</w:t>
      </w:r>
      <w:r w:rsidR="003D6661" w:rsidRPr="00104227">
        <w:rPr>
          <w:rStyle w:val="Refdenotaalpie"/>
          <w:lang w:val="en-US"/>
        </w:rPr>
        <w:footnoteReference w:id="187"/>
      </w:r>
      <w:bookmarkStart w:id="236" w:name="_Ref520811415"/>
      <w:r w:rsidRPr="00104227">
        <w:rPr>
          <w:lang w:val="en-US"/>
        </w:rPr>
        <w:t xml:space="preserve"> on</w:t>
      </w:r>
      <w:r w:rsidR="003D6661" w:rsidRPr="00104227">
        <w:rPr>
          <w:lang w:val="en-US"/>
        </w:rPr>
        <w:t xml:space="preserve"> </w:t>
      </w:r>
      <w:r w:rsidRPr="00104227">
        <w:rPr>
          <w:lang w:val="en-US"/>
        </w:rPr>
        <w:t>April 9,</w:t>
      </w:r>
      <w:r w:rsidR="003D6661" w:rsidRPr="00104227">
        <w:rPr>
          <w:lang w:val="en-US"/>
        </w:rPr>
        <w:t xml:space="preserve"> 2012</w:t>
      </w:r>
      <w:r w:rsidRPr="00104227">
        <w:rPr>
          <w:lang w:val="en-US"/>
        </w:rPr>
        <w:t>, the</w:t>
      </w:r>
      <w:r w:rsidR="003D6661" w:rsidRPr="00104227">
        <w:rPr>
          <w:lang w:val="en-US"/>
        </w:rPr>
        <w:t xml:space="preserve"> </w:t>
      </w:r>
      <w:r w:rsidR="004617E1" w:rsidRPr="00104227">
        <w:rPr>
          <w:lang w:val="en-US"/>
        </w:rPr>
        <w:t>Fourth Criminal Court</w:t>
      </w:r>
      <w:r w:rsidRPr="00104227">
        <w:rPr>
          <w:lang w:val="en-US"/>
        </w:rPr>
        <w:t xml:space="preserve"> of Toluca</w:t>
      </w:r>
      <w:r w:rsidR="003D6661" w:rsidRPr="00104227">
        <w:rPr>
          <w:lang w:val="en-US"/>
        </w:rPr>
        <w:t xml:space="preserve"> </w:t>
      </w:r>
      <w:r w:rsidRPr="00104227">
        <w:rPr>
          <w:lang w:val="en-US"/>
        </w:rPr>
        <w:t xml:space="preserve">again refused to issue the requested arrest warrants considering that the purpose of the acts had not been proved, in order to classify them as </w:t>
      </w:r>
      <w:r w:rsidR="00BC5201" w:rsidRPr="00104227">
        <w:rPr>
          <w:lang w:val="en-US"/>
        </w:rPr>
        <w:t>torture</w:t>
      </w:r>
      <w:r w:rsidRPr="00104227">
        <w:rPr>
          <w:lang w:val="en-US"/>
        </w:rPr>
        <w:t>.</w:t>
      </w:r>
      <w:r w:rsidR="003D6661" w:rsidRPr="00104227">
        <w:rPr>
          <w:rStyle w:val="Refdenotaalpie"/>
          <w:lang w:val="en-US"/>
        </w:rPr>
        <w:footnoteReference w:id="188"/>
      </w:r>
      <w:bookmarkEnd w:id="236"/>
      <w:r w:rsidRPr="00104227">
        <w:rPr>
          <w:lang w:val="en-US"/>
        </w:rPr>
        <w:t xml:space="preserve"> Following an appeal by</w:t>
      </w:r>
      <w:r w:rsidR="003D6661" w:rsidRPr="00104227">
        <w:rPr>
          <w:lang w:val="en-US"/>
        </w:rPr>
        <w:t xml:space="preserve"> </w:t>
      </w:r>
      <w:r w:rsidR="00024310" w:rsidRPr="00104227">
        <w:rPr>
          <w:lang w:val="en-US"/>
        </w:rPr>
        <w:t>the Public Prosecution Service</w:t>
      </w:r>
      <w:r w:rsidR="003D6661" w:rsidRPr="00104227">
        <w:rPr>
          <w:lang w:val="en-US"/>
        </w:rPr>
        <w:t xml:space="preserve"> </w:t>
      </w:r>
      <w:r w:rsidRPr="00104227">
        <w:rPr>
          <w:lang w:val="en-US"/>
        </w:rPr>
        <w:t xml:space="preserve">on </w:t>
      </w:r>
      <w:r w:rsidR="009075C6" w:rsidRPr="00104227">
        <w:rPr>
          <w:lang w:val="en-US"/>
        </w:rPr>
        <w:t>April 12,</w:t>
      </w:r>
      <w:r w:rsidR="003D6661" w:rsidRPr="00104227">
        <w:rPr>
          <w:lang w:val="en-US"/>
        </w:rPr>
        <w:t xml:space="preserve"> 2012</w:t>
      </w:r>
      <w:r w:rsidRPr="00104227">
        <w:rPr>
          <w:lang w:val="en-US"/>
        </w:rPr>
        <w:t>,</w:t>
      </w:r>
      <w:r w:rsidR="003D6661" w:rsidRPr="00104227">
        <w:rPr>
          <w:rStyle w:val="Refdenotaalpie"/>
          <w:lang w:val="en-US"/>
        </w:rPr>
        <w:footnoteReference w:id="189"/>
      </w:r>
      <w:bookmarkStart w:id="237" w:name="_Ref520558433"/>
      <w:r w:rsidR="003D6661" w:rsidRPr="00104227">
        <w:rPr>
          <w:lang w:val="en-US"/>
        </w:rPr>
        <w:t xml:space="preserve"> </w:t>
      </w:r>
      <w:r w:rsidRPr="00104227">
        <w:rPr>
          <w:lang w:val="en-US"/>
        </w:rPr>
        <w:t>on</w:t>
      </w:r>
      <w:r w:rsidR="003D6661" w:rsidRPr="00104227">
        <w:rPr>
          <w:lang w:val="en-US"/>
        </w:rPr>
        <w:t xml:space="preserve"> </w:t>
      </w:r>
      <w:r w:rsidRPr="00104227">
        <w:rPr>
          <w:lang w:val="en-US"/>
        </w:rPr>
        <w:t>July 17,</w:t>
      </w:r>
      <w:r w:rsidR="003D6661" w:rsidRPr="00104227">
        <w:rPr>
          <w:lang w:val="en-US"/>
        </w:rPr>
        <w:t xml:space="preserve"> 2012</w:t>
      </w:r>
      <w:r w:rsidRPr="00104227">
        <w:rPr>
          <w:lang w:val="en-US"/>
        </w:rPr>
        <w:t>, the</w:t>
      </w:r>
      <w:r w:rsidR="00894B57" w:rsidRPr="00104227">
        <w:rPr>
          <w:lang w:val="en-US"/>
        </w:rPr>
        <w:t xml:space="preserve"> Toluca</w:t>
      </w:r>
      <w:r w:rsidRPr="00104227">
        <w:rPr>
          <w:lang w:val="en-US"/>
        </w:rPr>
        <w:t xml:space="preserve"> First Collegiate Criminal Chamber </w:t>
      </w:r>
      <w:r w:rsidR="00BF5241" w:rsidRPr="00104227">
        <w:rPr>
          <w:lang w:val="en-US"/>
        </w:rPr>
        <w:t xml:space="preserve">of the </w:t>
      </w:r>
      <w:r w:rsidR="00675D9D" w:rsidRPr="00104227">
        <w:rPr>
          <w:lang w:val="en-US"/>
        </w:rPr>
        <w:t>Superior Court of Justice</w:t>
      </w:r>
      <w:r w:rsidR="002826A6" w:rsidRPr="00104227">
        <w:rPr>
          <w:lang w:val="en-US"/>
        </w:rPr>
        <w:t xml:space="preserve"> of the </w:t>
      </w:r>
      <w:r w:rsidR="00CA330F" w:rsidRPr="00104227">
        <w:rPr>
          <w:lang w:val="en-US"/>
        </w:rPr>
        <w:t>state of Mexico</w:t>
      </w:r>
      <w:r w:rsidR="003D6661" w:rsidRPr="00104227">
        <w:rPr>
          <w:lang w:val="en-US"/>
        </w:rPr>
        <w:t xml:space="preserve"> confirm</w:t>
      </w:r>
      <w:r w:rsidR="00675D9D" w:rsidRPr="00104227">
        <w:rPr>
          <w:lang w:val="en-US"/>
        </w:rPr>
        <w:t>ed the refusal to issue the arrest warrant against twenty-six state police agents and issued arrest warrant</w:t>
      </w:r>
      <w:r w:rsidR="00894B57" w:rsidRPr="00104227">
        <w:rPr>
          <w:lang w:val="en-US"/>
        </w:rPr>
        <w:t>s</w:t>
      </w:r>
      <w:r w:rsidR="00675D9D" w:rsidRPr="00104227">
        <w:rPr>
          <w:lang w:val="en-US"/>
        </w:rPr>
        <w:t xml:space="preserve"> against</w:t>
      </w:r>
      <w:r w:rsidR="00894B57" w:rsidRPr="00104227">
        <w:rPr>
          <w:lang w:val="en-US"/>
        </w:rPr>
        <w:t xml:space="preserve"> the</w:t>
      </w:r>
      <w:r w:rsidR="00675D9D" w:rsidRPr="00104227">
        <w:rPr>
          <w:lang w:val="en-US"/>
        </w:rPr>
        <w:t xml:space="preserve"> three police agents responsible for the three trucks, who had the obligation to supervise and regulate the conduct of the others, because they appeared to be those probably responsible for perpetrating the crime of torture against </w:t>
      </w:r>
      <w:r w:rsidR="003D6661" w:rsidRPr="00104227">
        <w:rPr>
          <w:lang w:val="en-US"/>
        </w:rPr>
        <w:t>Ana María Velasco</w:t>
      </w:r>
      <w:r w:rsidR="00736F07" w:rsidRPr="00104227">
        <w:rPr>
          <w:lang w:val="en-US"/>
        </w:rPr>
        <w:t xml:space="preserve"> Rodríguez</w:t>
      </w:r>
      <w:r w:rsidR="003D6661" w:rsidRPr="00104227">
        <w:rPr>
          <w:lang w:val="en-US"/>
        </w:rPr>
        <w:t xml:space="preserve">, Yolanda Muñoz Diosdada, </w:t>
      </w:r>
      <w:r w:rsidR="0053506B" w:rsidRPr="00104227">
        <w:rPr>
          <w:lang w:val="en-US"/>
        </w:rPr>
        <w:t xml:space="preserve">María </w:t>
      </w:r>
      <w:r w:rsidR="003D6661" w:rsidRPr="00104227">
        <w:rPr>
          <w:lang w:val="en-US"/>
        </w:rPr>
        <w:t xml:space="preserve">Cristina Sánchez Hernández, Suhelen Gabriela Cuevas Jaramillo, Bárbara Italia Méndez Moreno, Claudia Hernández Martínez, Norma Aidé Jiménez Osorio, </w:t>
      </w:r>
      <w:r w:rsidR="0047539E" w:rsidRPr="00104227">
        <w:rPr>
          <w:lang w:val="en-US"/>
        </w:rPr>
        <w:t>Angélica Patricia Torres</w:t>
      </w:r>
      <w:r w:rsidR="003D6661" w:rsidRPr="00104227">
        <w:rPr>
          <w:lang w:val="en-US"/>
        </w:rPr>
        <w:t xml:space="preserve"> Linares</w:t>
      </w:r>
      <w:r w:rsidR="00BF5241" w:rsidRPr="00104227">
        <w:rPr>
          <w:lang w:val="en-US"/>
        </w:rPr>
        <w:t xml:space="preserve"> and </w:t>
      </w:r>
      <w:r w:rsidR="00675D9D" w:rsidRPr="00104227">
        <w:rPr>
          <w:lang w:val="en-US"/>
        </w:rPr>
        <w:t>another two women who are not part of this case.</w:t>
      </w:r>
      <w:r w:rsidR="003D6661" w:rsidRPr="00104227">
        <w:rPr>
          <w:rStyle w:val="Refdenotaalpie"/>
          <w:lang w:val="en-US"/>
        </w:rPr>
        <w:footnoteReference w:id="190"/>
      </w:r>
      <w:bookmarkEnd w:id="237"/>
    </w:p>
    <w:p w14:paraId="16A86BD3" w14:textId="77777777" w:rsidR="003D6661" w:rsidRPr="00104227" w:rsidRDefault="003D6661" w:rsidP="00E4619F">
      <w:pPr>
        <w:pStyle w:val="PrrafodeSentencia"/>
        <w:numPr>
          <w:ilvl w:val="0"/>
          <w:numId w:val="0"/>
        </w:numPr>
        <w:rPr>
          <w:lang w:val="en-US"/>
        </w:rPr>
      </w:pPr>
    </w:p>
    <w:p w14:paraId="563D33AD" w14:textId="78E51A73" w:rsidR="003D6661" w:rsidRPr="00104227" w:rsidRDefault="00A00833" w:rsidP="00E4619F">
      <w:pPr>
        <w:pStyle w:val="Numberedparagraphs"/>
        <w:tabs>
          <w:tab w:val="left" w:pos="567"/>
        </w:tabs>
        <w:rPr>
          <w:lang w:val="en-US"/>
        </w:rPr>
      </w:pPr>
      <w:bookmarkStart w:id="238" w:name="_Ref520563923"/>
      <w:r w:rsidRPr="00104227">
        <w:rPr>
          <w:lang w:val="en-US"/>
        </w:rPr>
        <w:t>On</w:t>
      </w:r>
      <w:r w:rsidR="003D6661" w:rsidRPr="00104227">
        <w:rPr>
          <w:lang w:val="en-US"/>
        </w:rPr>
        <w:t xml:space="preserve"> </w:t>
      </w:r>
      <w:r w:rsidRPr="00104227">
        <w:rPr>
          <w:lang w:val="en-US"/>
        </w:rPr>
        <w:t>March 22,</w:t>
      </w:r>
      <w:r w:rsidR="003D6661" w:rsidRPr="00104227">
        <w:rPr>
          <w:lang w:val="en-US"/>
        </w:rPr>
        <w:t xml:space="preserve"> 2013</w:t>
      </w:r>
      <w:r w:rsidRPr="00104227">
        <w:rPr>
          <w:lang w:val="en-US"/>
        </w:rPr>
        <w:t xml:space="preserve">, it was decided to dismiss the </w:t>
      </w:r>
      <w:r w:rsidR="00894B57" w:rsidRPr="00104227">
        <w:rPr>
          <w:lang w:val="en-US"/>
        </w:rPr>
        <w:t>case</w:t>
      </w:r>
      <w:r w:rsidRPr="00104227">
        <w:rPr>
          <w:lang w:val="en-US"/>
        </w:rPr>
        <w:t xml:space="preserve"> </w:t>
      </w:r>
      <w:r w:rsidR="00894B57" w:rsidRPr="00104227">
        <w:rPr>
          <w:lang w:val="en-US"/>
        </w:rPr>
        <w:t>against</w:t>
      </w:r>
      <w:r w:rsidRPr="00104227">
        <w:rPr>
          <w:lang w:val="en-US"/>
        </w:rPr>
        <w:t xml:space="preserve"> the twenty-nine state police agents initially </w:t>
      </w:r>
      <w:r w:rsidR="00894B57" w:rsidRPr="00104227">
        <w:rPr>
          <w:lang w:val="en-US"/>
        </w:rPr>
        <w:t xml:space="preserve">accused </w:t>
      </w:r>
      <w:r w:rsidRPr="00104227">
        <w:rPr>
          <w:lang w:val="en-US"/>
        </w:rPr>
        <w:t>o</w:t>
      </w:r>
      <w:r w:rsidR="00894B57" w:rsidRPr="00104227">
        <w:rPr>
          <w:lang w:val="en-US"/>
        </w:rPr>
        <w:t>f</w:t>
      </w:r>
      <w:r w:rsidRPr="00104227">
        <w:rPr>
          <w:lang w:val="en-US"/>
        </w:rPr>
        <w:t xml:space="preserve"> the offenses of </w:t>
      </w:r>
      <w:r w:rsidR="006A4F86" w:rsidRPr="00104227">
        <w:rPr>
          <w:lang w:val="en-US"/>
        </w:rPr>
        <w:t>abuse of authority</w:t>
      </w:r>
      <w:r w:rsidR="00BF5241" w:rsidRPr="00104227">
        <w:rPr>
          <w:lang w:val="en-US"/>
        </w:rPr>
        <w:t xml:space="preserve"> and </w:t>
      </w:r>
      <w:r w:rsidRPr="00104227">
        <w:rPr>
          <w:lang w:val="en-US"/>
        </w:rPr>
        <w:t>injuries</w:t>
      </w:r>
      <w:r w:rsidR="003D6661" w:rsidRPr="00104227">
        <w:rPr>
          <w:lang w:val="en-US"/>
        </w:rPr>
        <w:t>, a</w:t>
      </w:r>
      <w:r w:rsidRPr="00104227">
        <w:rPr>
          <w:lang w:val="en-US"/>
        </w:rPr>
        <w:t>nd also</w:t>
      </w:r>
      <w:r w:rsidR="00894B57" w:rsidRPr="00104227">
        <w:rPr>
          <w:lang w:val="en-US"/>
        </w:rPr>
        <w:t xml:space="preserve"> the case against</w:t>
      </w:r>
      <w:r w:rsidRPr="00104227">
        <w:rPr>
          <w:lang w:val="en-US"/>
        </w:rPr>
        <w:t xml:space="preserve"> the twenty-six </w:t>
      </w:r>
      <w:r w:rsidR="00894B57" w:rsidRPr="00104227">
        <w:rPr>
          <w:lang w:val="en-US"/>
        </w:rPr>
        <w:t>agents for</w:t>
      </w:r>
      <w:r w:rsidRPr="00104227">
        <w:rPr>
          <w:lang w:val="en-US"/>
        </w:rPr>
        <w:t xml:space="preserve"> whom arrest warrant</w:t>
      </w:r>
      <w:r w:rsidR="00894B57" w:rsidRPr="00104227">
        <w:rPr>
          <w:lang w:val="en-US"/>
        </w:rPr>
        <w:t xml:space="preserve">s </w:t>
      </w:r>
      <w:r w:rsidRPr="00104227">
        <w:rPr>
          <w:lang w:val="en-US"/>
        </w:rPr>
        <w:t xml:space="preserve">for the </w:t>
      </w:r>
      <w:r w:rsidR="00031CC3" w:rsidRPr="00104227">
        <w:rPr>
          <w:lang w:val="en-US"/>
        </w:rPr>
        <w:t>crime of torture</w:t>
      </w:r>
      <w:r w:rsidRPr="00104227">
        <w:rPr>
          <w:lang w:val="en-US"/>
        </w:rPr>
        <w:t xml:space="preserve"> </w:t>
      </w:r>
      <w:r w:rsidR="00894B57" w:rsidRPr="00104227">
        <w:rPr>
          <w:lang w:val="en-US"/>
        </w:rPr>
        <w:t>had</w:t>
      </w:r>
      <w:r w:rsidRPr="00104227">
        <w:rPr>
          <w:lang w:val="en-US"/>
        </w:rPr>
        <w:t xml:space="preserve"> not been </w:t>
      </w:r>
      <w:r w:rsidRPr="00104227">
        <w:rPr>
          <w:lang w:val="en-US"/>
        </w:rPr>
        <w:lastRenderedPageBreak/>
        <w:t>issued.</w:t>
      </w:r>
      <w:r w:rsidR="003D6661" w:rsidRPr="00104227">
        <w:rPr>
          <w:rStyle w:val="Refdenotaalpie"/>
          <w:lang w:val="en-US"/>
        </w:rPr>
        <w:footnoteReference w:id="191"/>
      </w:r>
      <w:r w:rsidR="003D6661" w:rsidRPr="00104227">
        <w:rPr>
          <w:lang w:val="en-US"/>
        </w:rPr>
        <w:t xml:space="preserve"> </w:t>
      </w:r>
      <w:r w:rsidR="00024310" w:rsidRPr="00104227">
        <w:rPr>
          <w:lang w:val="en-US"/>
        </w:rPr>
        <w:t>The Public Prosecution Service</w:t>
      </w:r>
      <w:r w:rsidR="003D6661" w:rsidRPr="00104227">
        <w:rPr>
          <w:lang w:val="en-US"/>
        </w:rPr>
        <w:t xml:space="preserve"> </w:t>
      </w:r>
      <w:r w:rsidRPr="00104227">
        <w:rPr>
          <w:lang w:val="en-US"/>
        </w:rPr>
        <w:t>appealed this decision.</w:t>
      </w:r>
      <w:r w:rsidR="003D6661" w:rsidRPr="00104227">
        <w:rPr>
          <w:rStyle w:val="Refdenotaalpie"/>
          <w:lang w:val="en-US"/>
        </w:rPr>
        <w:footnoteReference w:id="192"/>
      </w:r>
      <w:bookmarkEnd w:id="238"/>
      <w:r w:rsidR="003D6661" w:rsidRPr="00104227">
        <w:rPr>
          <w:lang w:val="en-US"/>
        </w:rPr>
        <w:t xml:space="preserve"> </w:t>
      </w:r>
      <w:r w:rsidRPr="00104227">
        <w:rPr>
          <w:lang w:val="en-US"/>
        </w:rPr>
        <w:t>On July 10,</w:t>
      </w:r>
      <w:r w:rsidR="003D6661" w:rsidRPr="00104227">
        <w:rPr>
          <w:lang w:val="en-US"/>
        </w:rPr>
        <w:t xml:space="preserve"> 2013</w:t>
      </w:r>
      <w:r w:rsidR="002B6383" w:rsidRPr="00104227">
        <w:rPr>
          <w:lang w:val="en-US"/>
        </w:rPr>
        <w:t>,</w:t>
      </w:r>
      <w:r w:rsidR="003D6661" w:rsidRPr="00104227">
        <w:rPr>
          <w:lang w:val="en-US"/>
        </w:rPr>
        <w:t xml:space="preserve"> </w:t>
      </w:r>
      <w:r w:rsidR="00BF5241" w:rsidRPr="00104227">
        <w:rPr>
          <w:lang w:val="en-US"/>
        </w:rPr>
        <w:t xml:space="preserve">the </w:t>
      </w:r>
      <w:r w:rsidRPr="00104227">
        <w:rPr>
          <w:lang w:val="en-US"/>
        </w:rPr>
        <w:t xml:space="preserve">Appeals </w:t>
      </w:r>
      <w:r w:rsidR="00BF5241" w:rsidRPr="00104227">
        <w:rPr>
          <w:lang w:val="en-US"/>
        </w:rPr>
        <w:t>Court</w:t>
      </w:r>
      <w:r w:rsidRPr="00104227">
        <w:rPr>
          <w:lang w:val="en-US"/>
        </w:rPr>
        <w:t xml:space="preserve"> revoked the dismissal with regard to the </w:t>
      </w:r>
      <w:r w:rsidR="00031CC3" w:rsidRPr="00104227">
        <w:rPr>
          <w:lang w:val="en-US"/>
        </w:rPr>
        <w:t>crime of torture</w:t>
      </w:r>
      <w:r w:rsidRPr="00104227">
        <w:rPr>
          <w:lang w:val="en-US"/>
        </w:rPr>
        <w:t xml:space="preserve"> and confirmed it for the offenses of </w:t>
      </w:r>
      <w:r w:rsidR="006A4F86" w:rsidRPr="00104227">
        <w:rPr>
          <w:lang w:val="en-US"/>
        </w:rPr>
        <w:t>abuse of authority</w:t>
      </w:r>
      <w:r w:rsidR="00BF5241" w:rsidRPr="00104227">
        <w:rPr>
          <w:lang w:val="en-US"/>
        </w:rPr>
        <w:t xml:space="preserve"> and </w:t>
      </w:r>
      <w:r w:rsidRPr="00104227">
        <w:rPr>
          <w:lang w:val="en-US"/>
        </w:rPr>
        <w:t>injuries.</w:t>
      </w:r>
      <w:r w:rsidR="003D6661" w:rsidRPr="00104227">
        <w:rPr>
          <w:rStyle w:val="Refdenotaalpie"/>
          <w:lang w:val="en-US"/>
        </w:rPr>
        <w:footnoteReference w:id="193"/>
      </w:r>
      <w:r w:rsidR="003D6661" w:rsidRPr="00104227">
        <w:rPr>
          <w:lang w:val="en-US"/>
        </w:rPr>
        <w:t xml:space="preserve"> </w:t>
      </w:r>
      <w:r w:rsidRPr="00104227">
        <w:rPr>
          <w:lang w:val="en-US"/>
        </w:rPr>
        <w:t>On July 10,</w:t>
      </w:r>
      <w:r w:rsidR="003D6661" w:rsidRPr="00104227">
        <w:rPr>
          <w:lang w:val="en-US"/>
        </w:rPr>
        <w:t xml:space="preserve"> 2014</w:t>
      </w:r>
      <w:r w:rsidRPr="00104227">
        <w:rPr>
          <w:lang w:val="en-US"/>
        </w:rPr>
        <w:t>,</w:t>
      </w:r>
      <w:r w:rsidR="003D6661" w:rsidRPr="00104227">
        <w:rPr>
          <w:lang w:val="en-US"/>
        </w:rPr>
        <w:t xml:space="preserve"> </w:t>
      </w:r>
      <w:r w:rsidR="00024310" w:rsidRPr="00104227">
        <w:rPr>
          <w:lang w:val="en-US"/>
        </w:rPr>
        <w:t>the Public Prosecution Service</w:t>
      </w:r>
      <w:r w:rsidR="003D6661" w:rsidRPr="00104227">
        <w:rPr>
          <w:lang w:val="en-US"/>
        </w:rPr>
        <w:t xml:space="preserve"> </w:t>
      </w:r>
      <w:r w:rsidRPr="00104227">
        <w:rPr>
          <w:lang w:val="en-US"/>
        </w:rPr>
        <w:t>co</w:t>
      </w:r>
      <w:r w:rsidR="00894B57" w:rsidRPr="00104227">
        <w:rPr>
          <w:lang w:val="en-US"/>
        </w:rPr>
        <w:t>rrected</w:t>
      </w:r>
      <w:r w:rsidRPr="00104227">
        <w:rPr>
          <w:lang w:val="en-US"/>
        </w:rPr>
        <w:t xml:space="preserve"> the criminal </w:t>
      </w:r>
      <w:r w:rsidR="00894B57" w:rsidRPr="00104227">
        <w:rPr>
          <w:lang w:val="en-US"/>
        </w:rPr>
        <w:t>case</w:t>
      </w:r>
      <w:r w:rsidRPr="00104227">
        <w:rPr>
          <w:lang w:val="en-US"/>
        </w:rPr>
        <w:t xml:space="preserve"> against the twenty-six polic</w:t>
      </w:r>
      <w:r w:rsidR="00894B57" w:rsidRPr="00104227">
        <w:rPr>
          <w:lang w:val="en-US"/>
        </w:rPr>
        <w:t>e</w:t>
      </w:r>
      <w:r w:rsidRPr="00104227">
        <w:rPr>
          <w:lang w:val="en-US"/>
        </w:rPr>
        <w:t xml:space="preserve"> agents against whom the arrest warrants had not been issued for the </w:t>
      </w:r>
      <w:r w:rsidR="00031CC3" w:rsidRPr="00104227">
        <w:rPr>
          <w:lang w:val="en-US"/>
        </w:rPr>
        <w:t>crime of torture</w:t>
      </w:r>
      <w:r w:rsidRPr="00104227">
        <w:rPr>
          <w:lang w:val="en-US"/>
        </w:rPr>
        <w:t xml:space="preserve"> </w:t>
      </w:r>
      <w:r w:rsidR="00031CC3" w:rsidRPr="00104227">
        <w:rPr>
          <w:lang w:val="en-US"/>
        </w:rPr>
        <w:t xml:space="preserve">perpetrated </w:t>
      </w:r>
      <w:r w:rsidRPr="00104227">
        <w:rPr>
          <w:lang w:val="en-US"/>
        </w:rPr>
        <w:t>against twelve (12) women, ten (10) of whom are part of this case, and requested arrest warrants against them.</w:t>
      </w:r>
      <w:r w:rsidR="003D6661" w:rsidRPr="00104227">
        <w:rPr>
          <w:rStyle w:val="Refdenotaalpie"/>
          <w:lang w:val="en-US"/>
        </w:rPr>
        <w:footnoteReference w:id="194"/>
      </w:r>
      <w:r w:rsidR="003D6661" w:rsidRPr="00104227">
        <w:rPr>
          <w:lang w:val="en-US"/>
        </w:rPr>
        <w:t xml:space="preserve"> </w:t>
      </w:r>
      <w:r w:rsidRPr="00104227">
        <w:rPr>
          <w:lang w:val="en-US"/>
        </w:rPr>
        <w:t>On</w:t>
      </w:r>
      <w:r w:rsidR="003D6661" w:rsidRPr="00104227">
        <w:rPr>
          <w:lang w:val="en-US"/>
        </w:rPr>
        <w:t xml:space="preserve"> </w:t>
      </w:r>
      <w:r w:rsidR="000A3EA4" w:rsidRPr="00104227">
        <w:rPr>
          <w:lang w:val="en-US"/>
        </w:rPr>
        <w:t>September 17,</w:t>
      </w:r>
      <w:r w:rsidR="003D6661" w:rsidRPr="00104227">
        <w:rPr>
          <w:lang w:val="en-US"/>
        </w:rPr>
        <w:t xml:space="preserve"> 2014</w:t>
      </w:r>
      <w:r w:rsidRPr="00104227">
        <w:rPr>
          <w:lang w:val="en-US"/>
        </w:rPr>
        <w:t>, arrest warrants were issued for twenty-six police agents under c</w:t>
      </w:r>
      <w:r w:rsidR="00332721" w:rsidRPr="00104227">
        <w:rPr>
          <w:lang w:val="en-US"/>
        </w:rPr>
        <w:t xml:space="preserve">riminal </w:t>
      </w:r>
      <w:r w:rsidR="0050556D" w:rsidRPr="00104227">
        <w:rPr>
          <w:lang w:val="en-US"/>
        </w:rPr>
        <w:t>case</w:t>
      </w:r>
      <w:r w:rsidR="003D6661" w:rsidRPr="00104227">
        <w:rPr>
          <w:lang w:val="en-US"/>
        </w:rPr>
        <w:t xml:space="preserve"> 55/2013 (</w:t>
      </w:r>
      <w:r w:rsidRPr="00104227">
        <w:rPr>
          <w:lang w:val="en-US"/>
        </w:rPr>
        <w:t>previously</w:t>
      </w:r>
      <w:r w:rsidR="003D6661" w:rsidRPr="00104227">
        <w:rPr>
          <w:lang w:val="en-US"/>
        </w:rPr>
        <w:t xml:space="preserve"> 418/2011), </w:t>
      </w:r>
      <w:r w:rsidRPr="00104227">
        <w:rPr>
          <w:lang w:val="en-US"/>
        </w:rPr>
        <w:t>being heard by</w:t>
      </w:r>
      <w:r w:rsidR="00D04B8B" w:rsidRPr="00104227">
        <w:rPr>
          <w:lang w:val="en-US"/>
        </w:rPr>
        <w:t xml:space="preserve"> the </w:t>
      </w:r>
      <w:r w:rsidR="00D146BF" w:rsidRPr="00104227">
        <w:rPr>
          <w:lang w:val="en-US"/>
        </w:rPr>
        <w:t>First Criminal Trial Court</w:t>
      </w:r>
      <w:r w:rsidR="003D6661" w:rsidRPr="00104227">
        <w:rPr>
          <w:lang w:val="en-US"/>
        </w:rPr>
        <w:t xml:space="preserve"> </w:t>
      </w:r>
      <w:r w:rsidR="004617E1" w:rsidRPr="00104227">
        <w:rPr>
          <w:lang w:val="en-US"/>
        </w:rPr>
        <w:t>of the Toluca Judicial District</w:t>
      </w:r>
      <w:r w:rsidR="003D6661" w:rsidRPr="00104227">
        <w:rPr>
          <w:lang w:val="en-US"/>
        </w:rPr>
        <w:t xml:space="preserve"> (</w:t>
      </w:r>
      <w:r w:rsidR="00BF5241" w:rsidRPr="00104227">
        <w:rPr>
          <w:lang w:val="en-US"/>
        </w:rPr>
        <w:t>hereinafter</w:t>
      </w:r>
      <w:r w:rsidR="002B6383" w:rsidRPr="00104227">
        <w:rPr>
          <w:lang w:val="en-US"/>
        </w:rPr>
        <w:t>,</w:t>
      </w:r>
      <w:r w:rsidR="003D6661" w:rsidRPr="00104227">
        <w:rPr>
          <w:lang w:val="en-US"/>
        </w:rPr>
        <w:t xml:space="preserve"> “</w:t>
      </w:r>
      <w:r w:rsidRPr="00104227">
        <w:rPr>
          <w:lang w:val="en-US"/>
        </w:rPr>
        <w:t>the First Criminal Court</w:t>
      </w:r>
      <w:r w:rsidR="006A4F86" w:rsidRPr="00104227">
        <w:rPr>
          <w:lang w:val="en-US"/>
        </w:rPr>
        <w:t xml:space="preserve"> of Toluca</w:t>
      </w:r>
      <w:r w:rsidR="003D6661" w:rsidRPr="00104227">
        <w:rPr>
          <w:lang w:val="en-US"/>
        </w:rPr>
        <w:t>”)</w:t>
      </w:r>
      <w:r w:rsidR="003D6661" w:rsidRPr="00104227">
        <w:rPr>
          <w:rStyle w:val="Refdenotaalpie"/>
          <w:lang w:val="en-US"/>
        </w:rPr>
        <w:footnoteReference w:id="195"/>
      </w:r>
      <w:r w:rsidR="003D6661" w:rsidRPr="00104227">
        <w:rPr>
          <w:lang w:val="en-US"/>
        </w:rPr>
        <w:t xml:space="preserve">. </w:t>
      </w:r>
    </w:p>
    <w:p w14:paraId="04F44C44" w14:textId="77777777" w:rsidR="003D6661" w:rsidRPr="00104227" w:rsidRDefault="003D6661" w:rsidP="00E4619F">
      <w:pPr>
        <w:tabs>
          <w:tab w:val="left" w:pos="567"/>
        </w:tabs>
        <w:rPr>
          <w:lang w:eastAsia="es-MX"/>
        </w:rPr>
      </w:pPr>
    </w:p>
    <w:p w14:paraId="2B1E8D11" w14:textId="302328A0" w:rsidR="003D6661" w:rsidRPr="00104227" w:rsidRDefault="00D93C40" w:rsidP="00E4619F">
      <w:pPr>
        <w:pStyle w:val="Numberedparagraphs"/>
        <w:tabs>
          <w:tab w:val="left" w:pos="567"/>
        </w:tabs>
        <w:rPr>
          <w:lang w:val="en-US"/>
        </w:rPr>
      </w:pPr>
      <w:r w:rsidRPr="00104227">
        <w:rPr>
          <w:lang w:val="en-US"/>
        </w:rPr>
        <w:t xml:space="preserve">According to the most recent information provided by </w:t>
      </w:r>
      <w:r w:rsidR="00AC3BFC" w:rsidRPr="00104227">
        <w:rPr>
          <w:lang w:val="en-US"/>
        </w:rPr>
        <w:t>the State</w:t>
      </w:r>
      <w:r w:rsidR="003D6661" w:rsidRPr="00104227">
        <w:rPr>
          <w:lang w:val="en-US"/>
        </w:rPr>
        <w:t xml:space="preserve">, </w:t>
      </w:r>
      <w:r w:rsidRPr="00104227">
        <w:rPr>
          <w:lang w:val="en-US"/>
        </w:rPr>
        <w:t xml:space="preserve">in the context </w:t>
      </w:r>
      <w:r w:rsidR="001B14E6" w:rsidRPr="00104227">
        <w:rPr>
          <w:lang w:val="en-US"/>
        </w:rPr>
        <w:t xml:space="preserve">of the </w:t>
      </w:r>
      <w:r w:rsidRPr="00104227">
        <w:rPr>
          <w:lang w:val="en-US"/>
        </w:rPr>
        <w:t>c</w:t>
      </w:r>
      <w:r w:rsidR="00332721" w:rsidRPr="00104227">
        <w:rPr>
          <w:lang w:val="en-US"/>
        </w:rPr>
        <w:t xml:space="preserve">riminal </w:t>
      </w:r>
      <w:r w:rsidRPr="00104227">
        <w:rPr>
          <w:lang w:val="en-US"/>
        </w:rPr>
        <w:t>case sixteen (16) of the arrest warrants have been executed and ten (10) are pending. Also, of the twenty-nine</w:t>
      </w:r>
      <w:r w:rsidR="001B14E6" w:rsidRPr="00104227">
        <w:rPr>
          <w:lang w:val="en-US"/>
        </w:rPr>
        <w:t xml:space="preserve"> individuals</w:t>
      </w:r>
      <w:r w:rsidRPr="00104227">
        <w:rPr>
          <w:lang w:val="en-US"/>
        </w:rPr>
        <w:t xml:space="preserve"> </w:t>
      </w:r>
      <w:r w:rsidR="001B14E6" w:rsidRPr="00104227">
        <w:rPr>
          <w:lang w:val="en-US"/>
        </w:rPr>
        <w:t>charged</w:t>
      </w:r>
      <w:r w:rsidRPr="00104227">
        <w:rPr>
          <w:lang w:val="en-US"/>
        </w:rPr>
        <w:t xml:space="preserve"> in the case, a formal order of preventive detention has been issued </w:t>
      </w:r>
      <w:r w:rsidR="001B14E6" w:rsidRPr="00104227">
        <w:rPr>
          <w:lang w:val="en-US"/>
        </w:rPr>
        <w:t>against</w:t>
      </w:r>
      <w:r w:rsidRPr="00104227">
        <w:rPr>
          <w:lang w:val="en-US"/>
        </w:rPr>
        <w:t xml:space="preserve"> eighteen of them.</w:t>
      </w:r>
      <w:r w:rsidR="003D6661" w:rsidRPr="00104227">
        <w:rPr>
          <w:rStyle w:val="Refdenotaalpie"/>
          <w:lang w:val="en-US"/>
        </w:rPr>
        <w:footnoteReference w:id="196"/>
      </w:r>
      <w:r w:rsidRPr="00104227">
        <w:rPr>
          <w:lang w:val="en-US"/>
        </w:rPr>
        <w:t xml:space="preserve"> Some of the police agents have filed applications for amparo against the arrest warrant or the order of preventive detention. Of these application</w:t>
      </w:r>
      <w:r w:rsidR="001B14E6" w:rsidRPr="00104227">
        <w:rPr>
          <w:lang w:val="en-US"/>
        </w:rPr>
        <w:t>s</w:t>
      </w:r>
      <w:r w:rsidRPr="00104227">
        <w:rPr>
          <w:lang w:val="en-US"/>
        </w:rPr>
        <w:t>, some have been decided unfavorably, denying the amparo, and others are pending a decision.</w:t>
      </w:r>
      <w:r w:rsidR="003D6661" w:rsidRPr="00104227">
        <w:rPr>
          <w:rStyle w:val="Refdenotaalpie"/>
          <w:lang w:val="en-US"/>
        </w:rPr>
        <w:footnoteReference w:id="197"/>
      </w:r>
      <w:r w:rsidRPr="00104227">
        <w:rPr>
          <w:lang w:val="en-US"/>
        </w:rPr>
        <w:t xml:space="preserve"> </w:t>
      </w:r>
      <w:r w:rsidR="001B14E6" w:rsidRPr="00104227">
        <w:rPr>
          <w:lang w:val="en-US"/>
        </w:rPr>
        <w:t>When</w:t>
      </w:r>
      <w:r w:rsidRPr="00104227">
        <w:rPr>
          <w:lang w:val="en-US"/>
        </w:rPr>
        <w:t xml:space="preserve"> deciding these applications for amparo, the courts have determined</w:t>
      </w:r>
      <w:r w:rsidR="001B14E6" w:rsidRPr="00104227">
        <w:rPr>
          <w:lang w:val="en-US"/>
        </w:rPr>
        <w:t>, in exercise of control of conventionality,</w:t>
      </w:r>
      <w:r w:rsidRPr="00104227">
        <w:rPr>
          <w:lang w:val="en-US"/>
        </w:rPr>
        <w:t xml:space="preserve"> that the crime of torture is not subject to a statute of limitations.</w:t>
      </w:r>
      <w:r w:rsidR="003D6661" w:rsidRPr="00104227">
        <w:rPr>
          <w:rStyle w:val="Refdenotaalpie"/>
          <w:lang w:val="en-US"/>
        </w:rPr>
        <w:footnoteReference w:id="198"/>
      </w:r>
      <w:r w:rsidRPr="00104227">
        <w:rPr>
          <w:lang w:val="en-US"/>
        </w:rPr>
        <w:t xml:space="preserve"> Furthermore</w:t>
      </w:r>
      <w:r w:rsidR="003D6661" w:rsidRPr="00104227">
        <w:rPr>
          <w:lang w:val="en-US"/>
        </w:rPr>
        <w:t xml:space="preserve">, </w:t>
      </w:r>
      <w:r w:rsidR="00AC3BFC" w:rsidRPr="00104227">
        <w:rPr>
          <w:lang w:val="en-US"/>
        </w:rPr>
        <w:t>the State</w:t>
      </w:r>
      <w:r w:rsidR="003D6661" w:rsidRPr="00104227">
        <w:rPr>
          <w:lang w:val="en-US"/>
        </w:rPr>
        <w:t xml:space="preserve"> </w:t>
      </w:r>
      <w:r w:rsidRPr="00104227">
        <w:rPr>
          <w:lang w:val="en-US"/>
        </w:rPr>
        <w:t xml:space="preserve">has reported that “the </w:t>
      </w:r>
      <w:r w:rsidR="003D6661" w:rsidRPr="00104227">
        <w:rPr>
          <w:lang w:val="en-US"/>
        </w:rPr>
        <w:t xml:space="preserve">PGJ </w:t>
      </w:r>
      <w:r w:rsidRPr="00104227">
        <w:rPr>
          <w:lang w:val="en-US"/>
        </w:rPr>
        <w:t>asked the dis</w:t>
      </w:r>
      <w:r w:rsidR="001B14E6" w:rsidRPr="00104227">
        <w:rPr>
          <w:lang w:val="en-US"/>
        </w:rPr>
        <w:t>t</w:t>
      </w:r>
      <w:r w:rsidRPr="00104227">
        <w:rPr>
          <w:lang w:val="en-US"/>
        </w:rPr>
        <w:t xml:space="preserve">rict courts and the </w:t>
      </w:r>
      <w:r w:rsidR="004160EE" w:rsidRPr="00104227">
        <w:rPr>
          <w:lang w:val="en-US"/>
        </w:rPr>
        <w:t xml:space="preserve">Council of the </w:t>
      </w:r>
      <w:r w:rsidR="004160EE" w:rsidRPr="00104227">
        <w:rPr>
          <w:lang w:val="en-US"/>
        </w:rPr>
        <w:lastRenderedPageBreak/>
        <w:t>Federal Judiciary</w:t>
      </w:r>
      <w:r w:rsidR="001B14E6" w:rsidRPr="00104227">
        <w:rPr>
          <w:lang w:val="en-US"/>
        </w:rPr>
        <w:t>’s Commission on the Creation of New Organs</w:t>
      </w:r>
      <w:r w:rsidR="003D6661" w:rsidRPr="00104227">
        <w:rPr>
          <w:lang w:val="en-US"/>
        </w:rPr>
        <w:t xml:space="preserve"> </w:t>
      </w:r>
      <w:r w:rsidR="004160EE" w:rsidRPr="00104227">
        <w:rPr>
          <w:lang w:val="en-US"/>
        </w:rPr>
        <w:t>to consolidate the amparos in a federal court of Toluca,” and this was accepted.</w:t>
      </w:r>
      <w:r w:rsidR="003D6661" w:rsidRPr="00104227">
        <w:rPr>
          <w:rStyle w:val="Refdenotaalpie"/>
          <w:lang w:val="en-US"/>
        </w:rPr>
        <w:footnoteReference w:id="199"/>
      </w:r>
      <w:r w:rsidR="003D6661" w:rsidRPr="00104227">
        <w:rPr>
          <w:lang w:val="en-US"/>
        </w:rPr>
        <w:t xml:space="preserve"> </w:t>
      </w:r>
    </w:p>
    <w:p w14:paraId="4E16A023" w14:textId="77777777" w:rsidR="003D6661" w:rsidRPr="00104227" w:rsidRDefault="003D6661" w:rsidP="00E4619F">
      <w:pPr>
        <w:pStyle w:val="PrrafodeSentencia"/>
        <w:numPr>
          <w:ilvl w:val="0"/>
          <w:numId w:val="0"/>
        </w:numPr>
        <w:rPr>
          <w:lang w:val="en-US"/>
        </w:rPr>
      </w:pPr>
    </w:p>
    <w:p w14:paraId="550A4C2F" w14:textId="5A97A446" w:rsidR="003D6661" w:rsidRPr="00104227" w:rsidRDefault="004160EE" w:rsidP="004160EE">
      <w:pPr>
        <w:pStyle w:val="Numberedparagraphs"/>
        <w:tabs>
          <w:tab w:val="left" w:pos="567"/>
        </w:tabs>
        <w:rPr>
          <w:lang w:val="en-US"/>
        </w:rPr>
      </w:pPr>
      <w:r w:rsidRPr="00104227">
        <w:rPr>
          <w:lang w:val="en-US"/>
        </w:rPr>
        <w:t>In August</w:t>
      </w:r>
      <w:r w:rsidR="003D6661" w:rsidRPr="00104227">
        <w:rPr>
          <w:lang w:val="en-US"/>
        </w:rPr>
        <w:t xml:space="preserve"> 2016</w:t>
      </w:r>
      <w:r w:rsidR="00C703CE" w:rsidRPr="00104227">
        <w:rPr>
          <w:lang w:val="en-US"/>
        </w:rPr>
        <w:t>,</w:t>
      </w:r>
      <w:r w:rsidR="003D6661" w:rsidRPr="00104227">
        <w:rPr>
          <w:lang w:val="en-US"/>
        </w:rPr>
        <w:t xml:space="preserve"> </w:t>
      </w:r>
      <w:r w:rsidR="00AC3BFC" w:rsidRPr="00104227">
        <w:rPr>
          <w:lang w:val="en-US"/>
        </w:rPr>
        <w:t>the State</w:t>
      </w:r>
      <w:r w:rsidR="003D6661" w:rsidRPr="00104227">
        <w:rPr>
          <w:lang w:val="en-US"/>
        </w:rPr>
        <w:t xml:space="preserve"> prepar</w:t>
      </w:r>
      <w:r w:rsidRPr="00104227">
        <w:rPr>
          <w:lang w:val="en-US"/>
        </w:rPr>
        <w:t xml:space="preserve">ed a work plan for the investigation of the case under which it was proposed to summon victims who were on board the trucks and police agents who took part in the transfer of the detainees and the onward journey; </w:t>
      </w:r>
      <w:r w:rsidR="005742B2" w:rsidRPr="00104227">
        <w:rPr>
          <w:lang w:val="en-US"/>
        </w:rPr>
        <w:t>to expand</w:t>
      </w:r>
      <w:r w:rsidRPr="00104227">
        <w:rPr>
          <w:lang w:val="en-US"/>
        </w:rPr>
        <w:t xml:space="preserve"> the criminal action against the 28 police agents on behalf of other victims, and </w:t>
      </w:r>
      <w:r w:rsidR="005742B2" w:rsidRPr="00104227">
        <w:rPr>
          <w:lang w:val="en-US"/>
        </w:rPr>
        <w:t xml:space="preserve">to </w:t>
      </w:r>
      <w:r w:rsidRPr="00104227">
        <w:rPr>
          <w:lang w:val="en-US"/>
        </w:rPr>
        <w:t>forward the Merits Report to the PGR, insofar as “it establishes the presumed participation of federal public servants</w:t>
      </w:r>
      <w:r w:rsidR="005742B2" w:rsidRPr="00104227">
        <w:rPr>
          <w:lang w:val="en-US"/>
        </w:rPr>
        <w:t xml:space="preserve"> in the facts</w:t>
      </w:r>
      <w:r w:rsidRPr="00104227">
        <w:rPr>
          <w:lang w:val="en-US"/>
        </w:rPr>
        <w:t>.</w:t>
      </w:r>
      <w:r w:rsidR="003D6661" w:rsidRPr="00104227">
        <w:rPr>
          <w:lang w:val="en-US"/>
        </w:rPr>
        <w:t>”</w:t>
      </w:r>
      <w:r w:rsidR="003D6661" w:rsidRPr="00104227">
        <w:rPr>
          <w:rStyle w:val="Refdenotaalpie"/>
          <w:lang w:val="en-US"/>
        </w:rPr>
        <w:footnoteReference w:id="200"/>
      </w:r>
      <w:r w:rsidR="003D6661" w:rsidRPr="00104227">
        <w:rPr>
          <w:lang w:val="en-US"/>
        </w:rPr>
        <w:t xml:space="preserve"> </w:t>
      </w:r>
    </w:p>
    <w:p w14:paraId="07198F61" w14:textId="77777777" w:rsidR="003D6661" w:rsidRPr="00104227" w:rsidRDefault="003D6661" w:rsidP="00E4619F">
      <w:pPr>
        <w:tabs>
          <w:tab w:val="left" w:pos="567"/>
        </w:tabs>
        <w:rPr>
          <w:lang w:eastAsia="es-MX"/>
        </w:rPr>
      </w:pPr>
    </w:p>
    <w:p w14:paraId="7A9E29B7" w14:textId="2F2132AF" w:rsidR="003D6661" w:rsidRPr="00104227" w:rsidRDefault="003D6661" w:rsidP="00E4619F">
      <w:pPr>
        <w:pStyle w:val="Numberedparagraphs"/>
        <w:tabs>
          <w:tab w:val="left" w:pos="567"/>
        </w:tabs>
        <w:rPr>
          <w:lang w:val="en-US"/>
        </w:rPr>
      </w:pPr>
      <w:r w:rsidRPr="00104227">
        <w:rPr>
          <w:lang w:val="en-US"/>
        </w:rPr>
        <w:t>A</w:t>
      </w:r>
      <w:r w:rsidR="004160EE" w:rsidRPr="00104227">
        <w:rPr>
          <w:lang w:val="en-US"/>
        </w:rPr>
        <w:t xml:space="preserve">lso, according to information provided by </w:t>
      </w:r>
      <w:r w:rsidR="00AC3BFC" w:rsidRPr="00104227">
        <w:rPr>
          <w:lang w:val="en-US"/>
        </w:rPr>
        <w:t>the State</w:t>
      </w:r>
      <w:r w:rsidRPr="00104227">
        <w:rPr>
          <w:lang w:val="en-US"/>
        </w:rPr>
        <w:t xml:space="preserve">, </w:t>
      </w:r>
      <w:r w:rsidR="004160EE" w:rsidRPr="00104227">
        <w:rPr>
          <w:lang w:val="en-US"/>
        </w:rPr>
        <w:t>twenty-four</w:t>
      </w:r>
      <w:r w:rsidRPr="00104227">
        <w:rPr>
          <w:lang w:val="en-US"/>
        </w:rPr>
        <w:t xml:space="preserve"> (24) </w:t>
      </w:r>
      <w:r w:rsidR="004160EE" w:rsidRPr="00104227">
        <w:rPr>
          <w:lang w:val="en-US"/>
        </w:rPr>
        <w:t>officials received administrative sanctions.</w:t>
      </w:r>
      <w:r w:rsidRPr="00104227">
        <w:rPr>
          <w:rStyle w:val="Refdenotaalpie"/>
          <w:lang w:val="en-US"/>
        </w:rPr>
        <w:footnoteReference w:id="201"/>
      </w:r>
    </w:p>
    <w:p w14:paraId="20B35B80" w14:textId="77777777" w:rsidR="003D6661" w:rsidRPr="00104227" w:rsidRDefault="003D6661" w:rsidP="00E4619F">
      <w:pPr>
        <w:tabs>
          <w:tab w:val="left" w:pos="567"/>
        </w:tabs>
      </w:pPr>
    </w:p>
    <w:p w14:paraId="1BCA074F" w14:textId="67A580D3" w:rsidR="003D6661" w:rsidRPr="00104227" w:rsidRDefault="003D6661" w:rsidP="00885693">
      <w:pPr>
        <w:pStyle w:val="Ttulo4"/>
        <w:rPr>
          <w:lang w:val="en-US"/>
        </w:rPr>
      </w:pPr>
      <w:bookmarkStart w:id="239" w:name="_Toc433650891"/>
      <w:bookmarkStart w:id="240" w:name="_Toc433650993"/>
      <w:bookmarkStart w:id="241" w:name="_Toc438128502"/>
      <w:r w:rsidRPr="00104227">
        <w:rPr>
          <w:lang w:val="en-US"/>
        </w:rPr>
        <w:t>C.3.3 C</w:t>
      </w:r>
      <w:r w:rsidR="00EB13E5" w:rsidRPr="00104227">
        <w:rPr>
          <w:lang w:val="en-US"/>
        </w:rPr>
        <w:t>ase</w:t>
      </w:r>
      <w:r w:rsidRPr="00104227">
        <w:rPr>
          <w:lang w:val="en-US"/>
        </w:rPr>
        <w:t xml:space="preserve"> 166/2014</w:t>
      </w:r>
      <w:bookmarkEnd w:id="239"/>
      <w:bookmarkEnd w:id="240"/>
      <w:bookmarkEnd w:id="241"/>
      <w:r w:rsidRPr="00104227">
        <w:rPr>
          <w:lang w:val="en-US"/>
        </w:rPr>
        <w:t xml:space="preserve"> (</w:t>
      </w:r>
      <w:r w:rsidR="00332721" w:rsidRPr="00104227">
        <w:rPr>
          <w:lang w:val="en-US"/>
        </w:rPr>
        <w:t>relating to</w:t>
      </w:r>
      <w:r w:rsidRPr="00104227">
        <w:rPr>
          <w:lang w:val="en-US"/>
        </w:rPr>
        <w:t xml:space="preserve"> </w:t>
      </w:r>
      <w:r w:rsidR="00F12946" w:rsidRPr="00104227">
        <w:rPr>
          <w:lang w:val="en-US"/>
        </w:rPr>
        <w:t>the eleven women</w:t>
      </w:r>
      <w:r w:rsidRPr="00104227">
        <w:rPr>
          <w:lang w:val="en-US"/>
        </w:rPr>
        <w:t xml:space="preserve"> </w:t>
      </w:r>
      <w:r w:rsidR="00953711" w:rsidRPr="00104227">
        <w:rPr>
          <w:lang w:val="en-US"/>
        </w:rPr>
        <w:t>presumed victims</w:t>
      </w:r>
      <w:r w:rsidRPr="00104227">
        <w:rPr>
          <w:lang w:val="en-US"/>
        </w:rPr>
        <w:t xml:space="preserve"> </w:t>
      </w:r>
      <w:r w:rsidR="00EB13E5" w:rsidRPr="00104227">
        <w:rPr>
          <w:lang w:val="en-US"/>
        </w:rPr>
        <w:t>in this case</w:t>
      </w:r>
      <w:r w:rsidRPr="00104227">
        <w:rPr>
          <w:lang w:val="en-US"/>
        </w:rPr>
        <w:t>)</w:t>
      </w:r>
    </w:p>
    <w:p w14:paraId="308711F4" w14:textId="77777777" w:rsidR="003D6661" w:rsidRPr="00104227" w:rsidRDefault="003D6661" w:rsidP="00E4619F">
      <w:pPr>
        <w:tabs>
          <w:tab w:val="left" w:pos="567"/>
        </w:tabs>
      </w:pPr>
    </w:p>
    <w:p w14:paraId="48C89695" w14:textId="2566608D" w:rsidR="003D6661" w:rsidRPr="00104227" w:rsidRDefault="004160EE" w:rsidP="00E4619F">
      <w:pPr>
        <w:pStyle w:val="Numberedparagraphs"/>
        <w:tabs>
          <w:tab w:val="left" w:pos="567"/>
        </w:tabs>
        <w:rPr>
          <w:lang w:val="en-US"/>
        </w:rPr>
      </w:pPr>
      <w:bookmarkStart w:id="242" w:name="_Ref520564910"/>
      <w:r w:rsidRPr="00104227">
        <w:rPr>
          <w:lang w:val="en-US"/>
        </w:rPr>
        <w:t>On</w:t>
      </w:r>
      <w:r w:rsidR="003D6661" w:rsidRPr="00104227">
        <w:rPr>
          <w:lang w:val="en-US"/>
        </w:rPr>
        <w:t xml:space="preserve"> </w:t>
      </w:r>
      <w:r w:rsidR="006A4F86" w:rsidRPr="00104227">
        <w:rPr>
          <w:lang w:val="en-US"/>
        </w:rPr>
        <w:t>September 12,</w:t>
      </w:r>
      <w:r w:rsidR="003D6661" w:rsidRPr="00104227">
        <w:rPr>
          <w:lang w:val="en-US"/>
        </w:rPr>
        <w:t xml:space="preserve"> 2014</w:t>
      </w:r>
      <w:r w:rsidRPr="00104227">
        <w:rPr>
          <w:lang w:val="en-US"/>
        </w:rPr>
        <w:t>,</w:t>
      </w:r>
      <w:r w:rsidR="004432A6" w:rsidRPr="00104227">
        <w:rPr>
          <w:lang w:val="en-US"/>
        </w:rPr>
        <w:t xml:space="preserve"> the PGJEM</w:t>
      </w:r>
      <w:r w:rsidR="003D6661" w:rsidRPr="00104227">
        <w:rPr>
          <w:lang w:val="en-US"/>
        </w:rPr>
        <w:t xml:space="preserve"> </w:t>
      </w:r>
      <w:r w:rsidRPr="00104227">
        <w:rPr>
          <w:lang w:val="en-US"/>
        </w:rPr>
        <w:t>requested</w:t>
      </w:r>
      <w:r w:rsidR="003D6661" w:rsidRPr="00104227">
        <w:rPr>
          <w:lang w:val="en-US"/>
        </w:rPr>
        <w:t xml:space="preserve"> </w:t>
      </w:r>
      <w:r w:rsidRPr="00104227">
        <w:rPr>
          <w:lang w:val="en-US"/>
        </w:rPr>
        <w:t>arrest warrants</w:t>
      </w:r>
      <w:r w:rsidR="003D6661" w:rsidRPr="00104227">
        <w:rPr>
          <w:lang w:val="en-US"/>
        </w:rPr>
        <w:t xml:space="preserve"> </w:t>
      </w:r>
      <w:r w:rsidR="000A14CF" w:rsidRPr="00104227">
        <w:rPr>
          <w:lang w:val="en-US"/>
        </w:rPr>
        <w:t>against</w:t>
      </w:r>
      <w:r w:rsidR="003D6661" w:rsidRPr="00104227">
        <w:rPr>
          <w:lang w:val="en-US"/>
        </w:rPr>
        <w:t xml:space="preserve"> </w:t>
      </w:r>
      <w:r w:rsidRPr="00104227">
        <w:rPr>
          <w:lang w:val="en-US"/>
        </w:rPr>
        <w:t>ten</w:t>
      </w:r>
      <w:r w:rsidR="003D6661" w:rsidRPr="00104227">
        <w:rPr>
          <w:lang w:val="en-US"/>
        </w:rPr>
        <w:t xml:space="preserve"> (10) </w:t>
      </w:r>
      <w:r w:rsidRPr="00104227">
        <w:rPr>
          <w:lang w:val="en-US"/>
        </w:rPr>
        <w:t xml:space="preserve">doctors </w:t>
      </w:r>
      <w:r w:rsidR="005742B2" w:rsidRPr="00104227">
        <w:rPr>
          <w:lang w:val="en-US"/>
        </w:rPr>
        <w:t>from</w:t>
      </w:r>
      <w:r w:rsidR="003D6661" w:rsidRPr="00104227">
        <w:rPr>
          <w:lang w:val="en-US"/>
        </w:rPr>
        <w:t xml:space="preserve"> </w:t>
      </w:r>
      <w:r w:rsidR="00413F2D" w:rsidRPr="00104227">
        <w:rPr>
          <w:lang w:val="en-US"/>
        </w:rPr>
        <w:t>the Prevention and Social Rehabilitation Service</w:t>
      </w:r>
      <w:r w:rsidR="00BF5241" w:rsidRPr="00104227">
        <w:rPr>
          <w:lang w:val="en-US"/>
        </w:rPr>
        <w:t xml:space="preserve"> and </w:t>
      </w:r>
      <w:r w:rsidR="00413F2D" w:rsidRPr="00104227">
        <w:rPr>
          <w:lang w:val="en-US"/>
        </w:rPr>
        <w:t>eleven</w:t>
      </w:r>
      <w:r w:rsidR="003D6661" w:rsidRPr="00104227">
        <w:rPr>
          <w:lang w:val="en-US"/>
        </w:rPr>
        <w:t xml:space="preserve"> (11) </w:t>
      </w:r>
      <w:r w:rsidR="00413F2D" w:rsidRPr="00104227">
        <w:rPr>
          <w:lang w:val="en-US"/>
        </w:rPr>
        <w:t>forensic physicians</w:t>
      </w:r>
      <w:r w:rsidR="003D6661" w:rsidRPr="00104227">
        <w:rPr>
          <w:lang w:val="en-US"/>
        </w:rPr>
        <w:t xml:space="preserve">, </w:t>
      </w:r>
      <w:r w:rsidR="00413F2D" w:rsidRPr="00104227">
        <w:rPr>
          <w:lang w:val="en-US"/>
        </w:rPr>
        <w:t>owing to omission</w:t>
      </w:r>
      <w:r w:rsidR="005742B2" w:rsidRPr="00104227">
        <w:rPr>
          <w:lang w:val="en-US"/>
        </w:rPr>
        <w:t>s</w:t>
      </w:r>
      <w:r w:rsidR="00413F2D" w:rsidRPr="00104227">
        <w:rPr>
          <w:lang w:val="en-US"/>
        </w:rPr>
        <w:t xml:space="preserve"> when confronted by complaints and indications of </w:t>
      </w:r>
      <w:r w:rsidR="00BC5201" w:rsidRPr="00104227">
        <w:rPr>
          <w:lang w:val="en-US"/>
        </w:rPr>
        <w:t>torture</w:t>
      </w:r>
      <w:r w:rsidR="003D6661" w:rsidRPr="00104227">
        <w:rPr>
          <w:lang w:val="en-US"/>
        </w:rPr>
        <w:t>, as</w:t>
      </w:r>
      <w:r w:rsidR="00413F2D" w:rsidRPr="00104227">
        <w:rPr>
          <w:lang w:val="en-US"/>
        </w:rPr>
        <w:t xml:space="preserve"> well as an agent </w:t>
      </w:r>
      <w:r w:rsidR="000B2982" w:rsidRPr="00104227">
        <w:rPr>
          <w:lang w:val="en-US"/>
        </w:rPr>
        <w:t xml:space="preserve">of the </w:t>
      </w:r>
      <w:r w:rsidR="00413F2D" w:rsidRPr="00104227">
        <w:rPr>
          <w:lang w:val="en-US"/>
        </w:rPr>
        <w:t xml:space="preserve">state </w:t>
      </w:r>
      <w:r w:rsidR="00024310" w:rsidRPr="00104227">
        <w:rPr>
          <w:lang w:val="en-US"/>
        </w:rPr>
        <w:t>Public Prosecution Service</w:t>
      </w:r>
      <w:r w:rsidR="003D6661" w:rsidRPr="00104227">
        <w:rPr>
          <w:lang w:val="en-US"/>
        </w:rPr>
        <w:t xml:space="preserve"> </w:t>
      </w:r>
      <w:r w:rsidR="00413F2D" w:rsidRPr="00104227">
        <w:rPr>
          <w:lang w:val="en-US"/>
        </w:rPr>
        <w:t xml:space="preserve">owing to his possible responsibility by omission for the crime of torture </w:t>
      </w:r>
      <w:r w:rsidR="005742B2" w:rsidRPr="00104227">
        <w:rPr>
          <w:lang w:val="en-US"/>
        </w:rPr>
        <w:t>committed against</w:t>
      </w:r>
      <w:r w:rsidR="00F12946" w:rsidRPr="00104227">
        <w:rPr>
          <w:lang w:val="en-US"/>
        </w:rPr>
        <w:t xml:space="preserve"> the eleven women</w:t>
      </w:r>
      <w:r w:rsidR="00BF5241" w:rsidRPr="00104227">
        <w:rPr>
          <w:lang w:val="en-US"/>
        </w:rPr>
        <w:t xml:space="preserve"> and </w:t>
      </w:r>
      <w:r w:rsidR="00413F2D" w:rsidRPr="00104227">
        <w:rPr>
          <w:lang w:val="en-US"/>
        </w:rPr>
        <w:t>two more who are not part of this case.</w:t>
      </w:r>
      <w:r w:rsidR="003D6661" w:rsidRPr="00104227">
        <w:rPr>
          <w:rStyle w:val="Refdenotaalpie"/>
          <w:lang w:val="en-US"/>
        </w:rPr>
        <w:footnoteReference w:id="202"/>
      </w:r>
      <w:bookmarkEnd w:id="242"/>
      <w:r w:rsidR="003D6661" w:rsidRPr="00104227">
        <w:rPr>
          <w:lang w:val="en-US"/>
        </w:rPr>
        <w:t xml:space="preserve"> </w:t>
      </w:r>
      <w:r w:rsidR="00413F2D" w:rsidRPr="00104227">
        <w:rPr>
          <w:lang w:val="en-US"/>
        </w:rPr>
        <w:t>These</w:t>
      </w:r>
      <w:r w:rsidR="003D6661" w:rsidRPr="00104227">
        <w:rPr>
          <w:lang w:val="en-US"/>
        </w:rPr>
        <w:t xml:space="preserve"> </w:t>
      </w:r>
      <w:r w:rsidRPr="00104227">
        <w:rPr>
          <w:lang w:val="en-US"/>
        </w:rPr>
        <w:t>arrest warrants</w:t>
      </w:r>
      <w:r w:rsidR="003D6661" w:rsidRPr="00104227">
        <w:rPr>
          <w:lang w:val="en-US"/>
        </w:rPr>
        <w:t xml:space="preserve"> </w:t>
      </w:r>
      <w:r w:rsidR="00413F2D" w:rsidRPr="00104227">
        <w:rPr>
          <w:lang w:val="en-US"/>
        </w:rPr>
        <w:t>were issued on October</w:t>
      </w:r>
      <w:r w:rsidR="003D6661" w:rsidRPr="00104227">
        <w:rPr>
          <w:lang w:val="en-US"/>
        </w:rPr>
        <w:t xml:space="preserve"> 10</w:t>
      </w:r>
      <w:r w:rsidR="00413F2D" w:rsidRPr="00104227">
        <w:rPr>
          <w:lang w:val="en-US"/>
        </w:rPr>
        <w:t xml:space="preserve">, </w:t>
      </w:r>
      <w:r w:rsidR="003D6661" w:rsidRPr="00104227">
        <w:rPr>
          <w:lang w:val="en-US"/>
        </w:rPr>
        <w:t xml:space="preserve">2014. </w:t>
      </w:r>
    </w:p>
    <w:p w14:paraId="52459CE8" w14:textId="77777777" w:rsidR="003D6661" w:rsidRPr="00104227" w:rsidRDefault="003D6661" w:rsidP="00E4619F">
      <w:pPr>
        <w:tabs>
          <w:tab w:val="left" w:pos="567"/>
        </w:tabs>
      </w:pPr>
    </w:p>
    <w:p w14:paraId="53A154C2" w14:textId="6BB46008" w:rsidR="003D6661" w:rsidRPr="00104227" w:rsidRDefault="00413F2D" w:rsidP="007F5CA5">
      <w:pPr>
        <w:pStyle w:val="Numberedparagraphs"/>
        <w:tabs>
          <w:tab w:val="left" w:pos="567"/>
        </w:tabs>
        <w:rPr>
          <w:lang w:val="en-US"/>
        </w:rPr>
      </w:pPr>
      <w:r w:rsidRPr="00104227">
        <w:rPr>
          <w:lang w:val="en-US"/>
        </w:rPr>
        <w:t xml:space="preserve">According to the most recent information provided by </w:t>
      </w:r>
      <w:r w:rsidR="00AC3BFC" w:rsidRPr="00104227">
        <w:rPr>
          <w:lang w:val="en-US"/>
        </w:rPr>
        <w:t>the State</w:t>
      </w:r>
      <w:r w:rsidR="003D6661" w:rsidRPr="00104227">
        <w:rPr>
          <w:lang w:val="en-US"/>
        </w:rPr>
        <w:t xml:space="preserve">, </w:t>
      </w:r>
      <w:r w:rsidRPr="00104227">
        <w:rPr>
          <w:lang w:val="en-US"/>
        </w:rPr>
        <w:t>at the date</w:t>
      </w:r>
      <w:r w:rsidR="005E29A3" w:rsidRPr="00104227">
        <w:rPr>
          <w:lang w:val="en-US"/>
        </w:rPr>
        <w:t xml:space="preserve"> this judgment</w:t>
      </w:r>
      <w:r w:rsidR="003D6661" w:rsidRPr="00104227">
        <w:rPr>
          <w:lang w:val="en-US"/>
        </w:rPr>
        <w:t xml:space="preserve"> </w:t>
      </w:r>
      <w:r w:rsidRPr="00104227">
        <w:rPr>
          <w:lang w:val="en-US"/>
        </w:rPr>
        <w:t xml:space="preserve">is delivered, it had obtained </w:t>
      </w:r>
      <w:r w:rsidR="004160EE" w:rsidRPr="00104227">
        <w:rPr>
          <w:lang w:val="en-US"/>
        </w:rPr>
        <w:t>twenty-two</w:t>
      </w:r>
      <w:r w:rsidR="003D6661" w:rsidRPr="00104227">
        <w:rPr>
          <w:lang w:val="en-US"/>
        </w:rPr>
        <w:t xml:space="preserve"> (22) </w:t>
      </w:r>
      <w:r w:rsidR="004160EE" w:rsidRPr="00104227">
        <w:rPr>
          <w:lang w:val="en-US"/>
        </w:rPr>
        <w:t>arrest warrants</w:t>
      </w:r>
      <w:r w:rsidR="003D6661" w:rsidRPr="00104227">
        <w:rPr>
          <w:lang w:val="en-US"/>
        </w:rPr>
        <w:t xml:space="preserve">, </w:t>
      </w:r>
      <w:r w:rsidR="004160EE" w:rsidRPr="00104227">
        <w:rPr>
          <w:lang w:val="en-US"/>
        </w:rPr>
        <w:t>ten</w:t>
      </w:r>
      <w:r w:rsidR="003D6661" w:rsidRPr="00104227">
        <w:rPr>
          <w:lang w:val="en-US"/>
        </w:rPr>
        <w:t xml:space="preserve"> (10) </w:t>
      </w:r>
      <w:r w:rsidRPr="00104227">
        <w:rPr>
          <w:lang w:val="en-US"/>
        </w:rPr>
        <w:t>of which had been executed</w:t>
      </w:r>
      <w:r w:rsidR="003D6661" w:rsidRPr="00104227">
        <w:rPr>
          <w:lang w:val="en-US"/>
        </w:rPr>
        <w:t>,</w:t>
      </w:r>
      <w:r w:rsidR="00BF5241" w:rsidRPr="00104227">
        <w:rPr>
          <w:lang w:val="en-US"/>
        </w:rPr>
        <w:t xml:space="preserve"> and</w:t>
      </w:r>
      <w:r w:rsidRPr="00104227">
        <w:rPr>
          <w:lang w:val="en-US"/>
        </w:rPr>
        <w:t xml:space="preserve"> twelve </w:t>
      </w:r>
      <w:r w:rsidR="003D6661" w:rsidRPr="00104227">
        <w:rPr>
          <w:lang w:val="en-US"/>
        </w:rPr>
        <w:t xml:space="preserve">(12) </w:t>
      </w:r>
      <w:r w:rsidRPr="00104227">
        <w:rPr>
          <w:lang w:val="en-US"/>
        </w:rPr>
        <w:t>resulted in voluntary appearances before the court.</w:t>
      </w:r>
      <w:r w:rsidR="003D6661" w:rsidRPr="00104227">
        <w:rPr>
          <w:rStyle w:val="Refdenotaalpie"/>
          <w:lang w:val="en-US"/>
        </w:rPr>
        <w:footnoteReference w:id="203"/>
      </w:r>
      <w:r w:rsidR="003D6661" w:rsidRPr="00104227">
        <w:rPr>
          <w:lang w:val="en-US"/>
        </w:rPr>
        <w:t xml:space="preserve"> </w:t>
      </w:r>
      <w:r w:rsidRPr="00104227">
        <w:rPr>
          <w:lang w:val="en-US"/>
        </w:rPr>
        <w:t>According to</w:t>
      </w:r>
      <w:r w:rsidR="002826A6" w:rsidRPr="00104227">
        <w:rPr>
          <w:lang w:val="en-US"/>
        </w:rPr>
        <w:t xml:space="preserve"> the </w:t>
      </w:r>
      <w:r w:rsidR="00AC3BFC" w:rsidRPr="00104227">
        <w:rPr>
          <w:lang w:val="en-US"/>
        </w:rPr>
        <w:t>State</w:t>
      </w:r>
      <w:r w:rsidR="003D6661" w:rsidRPr="00104227">
        <w:rPr>
          <w:lang w:val="en-US"/>
        </w:rPr>
        <w:t xml:space="preserve">, </w:t>
      </w:r>
      <w:r w:rsidRPr="00104227">
        <w:rPr>
          <w:lang w:val="en-US"/>
        </w:rPr>
        <w:t>of the</w:t>
      </w:r>
      <w:r w:rsidR="003D6661" w:rsidRPr="00104227">
        <w:rPr>
          <w:lang w:val="en-US"/>
        </w:rPr>
        <w:t xml:space="preserve"> </w:t>
      </w:r>
      <w:r w:rsidR="004160EE" w:rsidRPr="00104227">
        <w:rPr>
          <w:lang w:val="en-US"/>
        </w:rPr>
        <w:t>twenty-one</w:t>
      </w:r>
      <w:r w:rsidR="003D6661" w:rsidRPr="00104227">
        <w:rPr>
          <w:lang w:val="en-US"/>
        </w:rPr>
        <w:t xml:space="preserve"> (21) </w:t>
      </w:r>
      <w:r w:rsidRPr="00104227">
        <w:rPr>
          <w:lang w:val="en-US"/>
        </w:rPr>
        <w:t xml:space="preserve">doctors prosecuted, </w:t>
      </w:r>
      <w:r w:rsidR="004160EE" w:rsidRPr="00104227">
        <w:rPr>
          <w:lang w:val="en-US"/>
        </w:rPr>
        <w:t>five</w:t>
      </w:r>
      <w:r w:rsidR="003D6661" w:rsidRPr="00104227">
        <w:rPr>
          <w:lang w:val="en-US"/>
        </w:rPr>
        <w:t xml:space="preserve"> (5) ap</w:t>
      </w:r>
      <w:r w:rsidRPr="00104227">
        <w:rPr>
          <w:lang w:val="en-US"/>
        </w:rPr>
        <w:t>pealed the order of imprisonment, and their appeal is pending a decision</w:t>
      </w:r>
      <w:r w:rsidR="003D6661" w:rsidRPr="00104227">
        <w:rPr>
          <w:lang w:val="en-US"/>
        </w:rPr>
        <w:t xml:space="preserve">. </w:t>
      </w:r>
      <w:r w:rsidRPr="00104227">
        <w:rPr>
          <w:lang w:val="en-US"/>
        </w:rPr>
        <w:t>Another</w:t>
      </w:r>
      <w:r w:rsidR="003D6661" w:rsidRPr="00104227">
        <w:rPr>
          <w:lang w:val="en-US"/>
        </w:rPr>
        <w:t xml:space="preserve"> </w:t>
      </w:r>
      <w:r w:rsidR="004160EE" w:rsidRPr="00104227">
        <w:rPr>
          <w:lang w:val="en-US"/>
        </w:rPr>
        <w:t>five</w:t>
      </w:r>
      <w:r w:rsidR="003D6661" w:rsidRPr="00104227">
        <w:rPr>
          <w:lang w:val="en-US"/>
        </w:rPr>
        <w:t xml:space="preserve"> (5) </w:t>
      </w:r>
      <w:r w:rsidRPr="00104227">
        <w:rPr>
          <w:lang w:val="en-US"/>
        </w:rPr>
        <w:t>applied for amparo</w:t>
      </w:r>
      <w:r w:rsidR="003D6661" w:rsidRPr="00104227">
        <w:rPr>
          <w:lang w:val="en-US"/>
        </w:rPr>
        <w:t xml:space="preserve">, </w:t>
      </w:r>
      <w:r w:rsidR="007F5CA5" w:rsidRPr="00104227">
        <w:rPr>
          <w:lang w:val="en-US"/>
        </w:rPr>
        <w:t xml:space="preserve">and this was granted while the judge of the case determined whether an offense had been committed. In light of this, </w:t>
      </w:r>
      <w:r w:rsidR="00024310" w:rsidRPr="00104227">
        <w:rPr>
          <w:lang w:val="en-US"/>
        </w:rPr>
        <w:t>the Public Prosecution Service</w:t>
      </w:r>
      <w:r w:rsidR="007F5CA5" w:rsidRPr="00104227">
        <w:rPr>
          <w:lang w:val="en-US"/>
        </w:rPr>
        <w:t xml:space="preserve"> filed an application for amparo against the order of preventive detention, which was granted only until a new ruling had been made, but this was also an order for preventive detention; consequently, it filed an appeal for review, which is pending a decision. Also, in compliance with a final decision, the judge of the case issued five release orders owing to </w:t>
      </w:r>
      <w:r w:rsidR="007F5CA5" w:rsidRPr="00104227">
        <w:rPr>
          <w:lang w:val="en-US"/>
        </w:rPr>
        <w:lastRenderedPageBreak/>
        <w:t xml:space="preserve">a lack of evidence to </w:t>
      </w:r>
      <w:r w:rsidR="005742B2" w:rsidRPr="00104227">
        <w:rPr>
          <w:lang w:val="en-US"/>
        </w:rPr>
        <w:t>prosecute, subject to the legal reservations</w:t>
      </w:r>
      <w:r w:rsidR="007F5CA5" w:rsidRPr="00104227">
        <w:rPr>
          <w:lang w:val="en-US"/>
        </w:rPr>
        <w:t xml:space="preserve">. In response, </w:t>
      </w:r>
      <w:r w:rsidR="00024310" w:rsidRPr="00104227">
        <w:rPr>
          <w:lang w:val="en-US"/>
        </w:rPr>
        <w:t>the Public Prosecution Service</w:t>
      </w:r>
      <w:r w:rsidR="003D6661" w:rsidRPr="00104227">
        <w:rPr>
          <w:lang w:val="en-US"/>
        </w:rPr>
        <w:t xml:space="preserve"> </w:t>
      </w:r>
      <w:r w:rsidR="007F5CA5" w:rsidRPr="00104227">
        <w:rPr>
          <w:lang w:val="en-US"/>
        </w:rPr>
        <w:t>filed an appeal which is pending a decision.</w:t>
      </w:r>
      <w:r w:rsidR="003D6661" w:rsidRPr="00104227">
        <w:rPr>
          <w:rStyle w:val="Refdenotaalpie"/>
          <w:lang w:val="en-US"/>
        </w:rPr>
        <w:footnoteReference w:id="204"/>
      </w:r>
      <w:r w:rsidR="003D6661" w:rsidRPr="00104227">
        <w:rPr>
          <w:lang w:val="en-US"/>
        </w:rPr>
        <w:t xml:space="preserve"> </w:t>
      </w:r>
    </w:p>
    <w:p w14:paraId="6F3D8691" w14:textId="77777777" w:rsidR="003D6661" w:rsidRPr="00104227" w:rsidRDefault="003D6661" w:rsidP="00E4619F">
      <w:pPr>
        <w:tabs>
          <w:tab w:val="left" w:pos="567"/>
        </w:tabs>
        <w:rPr>
          <w:lang w:eastAsia="es-MX"/>
        </w:rPr>
      </w:pPr>
    </w:p>
    <w:p w14:paraId="26605EB1" w14:textId="72BEA785" w:rsidR="003D6661" w:rsidRPr="00104227" w:rsidRDefault="003D6661" w:rsidP="00885693">
      <w:pPr>
        <w:pStyle w:val="Ttulo4"/>
        <w:rPr>
          <w:u w:val="none"/>
          <w:lang w:val="en-US"/>
        </w:rPr>
      </w:pPr>
      <w:r w:rsidRPr="00104227">
        <w:rPr>
          <w:lang w:val="en-US"/>
        </w:rPr>
        <w:t xml:space="preserve">C.3.4 </w:t>
      </w:r>
      <w:r w:rsidR="002E30D8" w:rsidRPr="00104227">
        <w:rPr>
          <w:lang w:val="en-US"/>
        </w:rPr>
        <w:t>Criminal case</w:t>
      </w:r>
      <w:r w:rsidRPr="00104227">
        <w:rPr>
          <w:lang w:val="en-US"/>
        </w:rPr>
        <w:t xml:space="preserve"> 105/2016</w:t>
      </w:r>
    </w:p>
    <w:p w14:paraId="5A1D6312" w14:textId="77777777" w:rsidR="003D6661" w:rsidRPr="00104227" w:rsidRDefault="003D6661" w:rsidP="00E4619F">
      <w:pPr>
        <w:tabs>
          <w:tab w:val="left" w:pos="567"/>
        </w:tabs>
      </w:pPr>
    </w:p>
    <w:p w14:paraId="346EA147" w14:textId="0EF15FC7" w:rsidR="003D6661" w:rsidRPr="00104227" w:rsidRDefault="003D6661" w:rsidP="00E4619F">
      <w:pPr>
        <w:pStyle w:val="Numberedparagraphs"/>
        <w:tabs>
          <w:tab w:val="left" w:pos="567"/>
        </w:tabs>
        <w:rPr>
          <w:lang w:val="en-US"/>
        </w:rPr>
      </w:pPr>
      <w:r w:rsidRPr="00104227">
        <w:rPr>
          <w:lang w:val="en-US"/>
        </w:rPr>
        <w:t xml:space="preserve"> </w:t>
      </w:r>
      <w:bookmarkStart w:id="243" w:name="_Ref532971127"/>
      <w:r w:rsidR="007F5CA5" w:rsidRPr="00104227">
        <w:rPr>
          <w:lang w:val="en-US"/>
        </w:rPr>
        <w:t>On July 1,</w:t>
      </w:r>
      <w:r w:rsidRPr="00104227">
        <w:rPr>
          <w:lang w:val="en-US"/>
        </w:rPr>
        <w:t xml:space="preserve"> 2016</w:t>
      </w:r>
      <w:r w:rsidR="007F5CA5" w:rsidRPr="00104227">
        <w:rPr>
          <w:lang w:val="en-US"/>
        </w:rPr>
        <w:t xml:space="preserve">, a criminal action was </w:t>
      </w:r>
      <w:r w:rsidR="005742B2" w:rsidRPr="00104227">
        <w:rPr>
          <w:lang w:val="en-US"/>
        </w:rPr>
        <w:t>filed</w:t>
      </w:r>
      <w:r w:rsidR="007F5CA5" w:rsidRPr="00104227">
        <w:rPr>
          <w:lang w:val="en-US"/>
        </w:rPr>
        <w:t xml:space="preserve"> against the Deputy Director for Southern Region Operations</w:t>
      </w:r>
      <w:r w:rsidRPr="00104227">
        <w:rPr>
          <w:lang w:val="en-US"/>
        </w:rPr>
        <w:t xml:space="preserve"> </w:t>
      </w:r>
      <w:r w:rsidR="00DF0305" w:rsidRPr="00104227">
        <w:rPr>
          <w:lang w:val="en-US"/>
        </w:rPr>
        <w:t>of the state Security Agency</w:t>
      </w:r>
      <w:r w:rsidRPr="00104227">
        <w:rPr>
          <w:lang w:val="en-US"/>
        </w:rPr>
        <w:t xml:space="preserve"> </w:t>
      </w:r>
      <w:r w:rsidR="007F5CA5" w:rsidRPr="00104227">
        <w:rPr>
          <w:lang w:val="en-US"/>
        </w:rPr>
        <w:t xml:space="preserve">for the crime of </w:t>
      </w:r>
      <w:r w:rsidR="00BC5201" w:rsidRPr="00104227">
        <w:rPr>
          <w:lang w:val="en-US"/>
        </w:rPr>
        <w:t>torture</w:t>
      </w:r>
      <w:r w:rsidRPr="00104227">
        <w:rPr>
          <w:lang w:val="en-US"/>
        </w:rPr>
        <w:t xml:space="preserve"> com</w:t>
      </w:r>
      <w:r w:rsidR="007F5CA5" w:rsidRPr="00104227">
        <w:rPr>
          <w:lang w:val="en-US"/>
        </w:rPr>
        <w:t xml:space="preserve">mitted against </w:t>
      </w:r>
      <w:r w:rsidRPr="00104227">
        <w:rPr>
          <w:lang w:val="en-US"/>
        </w:rPr>
        <w:t>Mariana Selvas Gómez, Georgina Edith Rosales Gutiérrez, Suhelen Gabriela Cuevas Jaramillo, Bár</w:t>
      </w:r>
      <w:r w:rsidR="00114817" w:rsidRPr="00104227">
        <w:rPr>
          <w:lang w:val="en-US"/>
        </w:rPr>
        <w:t>bara Italia Méndez Moreno, Claud</w:t>
      </w:r>
      <w:r w:rsidRPr="00104227">
        <w:rPr>
          <w:lang w:val="en-US"/>
        </w:rPr>
        <w:t>ia Hernández García, Norma Aidé Jiménez Osorio</w:t>
      </w:r>
      <w:r w:rsidR="00BF5241" w:rsidRPr="00104227">
        <w:rPr>
          <w:lang w:val="en-US"/>
        </w:rPr>
        <w:t xml:space="preserve"> and </w:t>
      </w:r>
      <w:r w:rsidR="0047539E" w:rsidRPr="00104227">
        <w:rPr>
          <w:lang w:val="en-US"/>
        </w:rPr>
        <w:t>Angélica Patricia Torres</w:t>
      </w:r>
      <w:r w:rsidRPr="00104227">
        <w:rPr>
          <w:lang w:val="en-US"/>
        </w:rPr>
        <w:t xml:space="preserve"> Linares, </w:t>
      </w:r>
      <w:r w:rsidR="007F5CA5" w:rsidRPr="00104227">
        <w:rPr>
          <w:lang w:val="en-US"/>
        </w:rPr>
        <w:t xml:space="preserve">because he was in </w:t>
      </w:r>
      <w:r w:rsidR="000A14CF" w:rsidRPr="00104227">
        <w:rPr>
          <w:lang w:val="en-US"/>
        </w:rPr>
        <w:t>charge</w:t>
      </w:r>
      <w:r w:rsidR="007F5CA5" w:rsidRPr="00104227">
        <w:rPr>
          <w:lang w:val="en-US"/>
        </w:rPr>
        <w:t xml:space="preserve"> of the buses and other vehicles in which they were transferred </w:t>
      </w:r>
      <w:r w:rsidR="00B851FA" w:rsidRPr="00104227">
        <w:rPr>
          <w:lang w:val="en-US"/>
        </w:rPr>
        <w:t>on May 4,</w:t>
      </w:r>
      <w:r w:rsidRPr="00104227">
        <w:rPr>
          <w:lang w:val="en-US"/>
        </w:rPr>
        <w:t xml:space="preserve"> 2006</w:t>
      </w:r>
      <w:r w:rsidR="007F5CA5" w:rsidRPr="00104227">
        <w:rPr>
          <w:lang w:val="en-US"/>
        </w:rPr>
        <w:t>.</w:t>
      </w:r>
      <w:r w:rsidRPr="00104227">
        <w:rPr>
          <w:rStyle w:val="Refdenotaalpie"/>
          <w:lang w:val="en-US"/>
        </w:rPr>
        <w:footnoteReference w:id="205"/>
      </w:r>
      <w:r w:rsidR="00114817" w:rsidRPr="00104227">
        <w:rPr>
          <w:lang w:val="en-US"/>
        </w:rPr>
        <w:t xml:space="preserve"> </w:t>
      </w:r>
      <w:r w:rsidR="007F5CA5" w:rsidRPr="00104227">
        <w:rPr>
          <w:lang w:val="en-US"/>
        </w:rPr>
        <w:t>On July 29,</w:t>
      </w:r>
      <w:r w:rsidR="00114817" w:rsidRPr="00104227">
        <w:rPr>
          <w:lang w:val="en-US"/>
        </w:rPr>
        <w:t xml:space="preserve"> 2016</w:t>
      </w:r>
      <w:r w:rsidR="007F5CA5" w:rsidRPr="00104227">
        <w:rPr>
          <w:lang w:val="en-US"/>
        </w:rPr>
        <w:t xml:space="preserve">, the judge refused to issue the arrest warrant requested by </w:t>
      </w:r>
      <w:r w:rsidR="004432A6" w:rsidRPr="00104227">
        <w:rPr>
          <w:lang w:val="en-US"/>
        </w:rPr>
        <w:t>the PGJEM</w:t>
      </w:r>
      <w:r w:rsidR="005742B2" w:rsidRPr="00104227">
        <w:rPr>
          <w:lang w:val="en-US"/>
        </w:rPr>
        <w:t>;</w:t>
      </w:r>
      <w:r w:rsidR="007F5CA5" w:rsidRPr="00104227">
        <w:rPr>
          <w:lang w:val="en-US"/>
        </w:rPr>
        <w:t xml:space="preserve"> therefore, </w:t>
      </w:r>
      <w:r w:rsidR="004432A6" w:rsidRPr="00104227">
        <w:rPr>
          <w:lang w:val="en-US"/>
        </w:rPr>
        <w:t>the PGJEM</w:t>
      </w:r>
      <w:r w:rsidRPr="00104227">
        <w:rPr>
          <w:lang w:val="en-US"/>
        </w:rPr>
        <w:t xml:space="preserve"> </w:t>
      </w:r>
      <w:r w:rsidR="007F5CA5" w:rsidRPr="00104227">
        <w:rPr>
          <w:lang w:val="en-US"/>
        </w:rPr>
        <w:t>filed a remedy of appeal.</w:t>
      </w:r>
      <w:r w:rsidRPr="00104227">
        <w:rPr>
          <w:rStyle w:val="Refdenotaalpie"/>
          <w:lang w:val="en-US"/>
        </w:rPr>
        <w:footnoteReference w:id="206"/>
      </w:r>
      <w:r w:rsidR="00114817" w:rsidRPr="00104227">
        <w:rPr>
          <w:lang w:val="en-US"/>
        </w:rPr>
        <w:t xml:space="preserve"> </w:t>
      </w:r>
      <w:r w:rsidR="002E30D8" w:rsidRPr="00104227">
        <w:rPr>
          <w:lang w:val="en-US"/>
        </w:rPr>
        <w:t>On</w:t>
      </w:r>
      <w:r w:rsidR="00114817" w:rsidRPr="00104227">
        <w:rPr>
          <w:lang w:val="en-US"/>
        </w:rPr>
        <w:t xml:space="preserve"> </w:t>
      </w:r>
      <w:r w:rsidR="002E30D8" w:rsidRPr="00104227">
        <w:rPr>
          <w:lang w:val="en-US"/>
        </w:rPr>
        <w:t>January 5,</w:t>
      </w:r>
      <w:r w:rsidR="00114817" w:rsidRPr="00104227">
        <w:rPr>
          <w:lang w:val="en-US"/>
        </w:rPr>
        <w:t xml:space="preserve"> 2017</w:t>
      </w:r>
      <w:r w:rsidR="002E30D8" w:rsidRPr="00104227">
        <w:rPr>
          <w:lang w:val="en-US"/>
        </w:rPr>
        <w:t>,</w:t>
      </w:r>
      <w:r w:rsidR="004432A6" w:rsidRPr="00104227">
        <w:rPr>
          <w:lang w:val="en-US"/>
        </w:rPr>
        <w:t xml:space="preserve"> the PGJEM</w:t>
      </w:r>
      <w:r w:rsidR="00114817" w:rsidRPr="00104227">
        <w:rPr>
          <w:lang w:val="en-US"/>
        </w:rPr>
        <w:t xml:space="preserve"> </w:t>
      </w:r>
      <w:r w:rsidR="002E30D8" w:rsidRPr="00104227">
        <w:rPr>
          <w:lang w:val="en-US"/>
        </w:rPr>
        <w:t>provided new evidence and requested an arrest warrant for the accused</w:t>
      </w:r>
      <w:r w:rsidR="00114817" w:rsidRPr="00104227">
        <w:rPr>
          <w:lang w:val="en-US"/>
        </w:rPr>
        <w:t xml:space="preserve">. </w:t>
      </w:r>
      <w:r w:rsidR="002E30D8" w:rsidRPr="00104227">
        <w:rPr>
          <w:lang w:val="en-US"/>
        </w:rPr>
        <w:t>On May 11,</w:t>
      </w:r>
      <w:r w:rsidR="00114817" w:rsidRPr="00104227">
        <w:rPr>
          <w:lang w:val="en-US"/>
        </w:rPr>
        <w:t xml:space="preserve"> 2017</w:t>
      </w:r>
      <w:r w:rsidR="002E30D8" w:rsidRPr="00104227">
        <w:rPr>
          <w:lang w:val="en-US"/>
        </w:rPr>
        <w:t>,</w:t>
      </w:r>
      <w:r w:rsidR="00114817" w:rsidRPr="00104227">
        <w:rPr>
          <w:lang w:val="en-US"/>
        </w:rPr>
        <w:t xml:space="preserve"> el </w:t>
      </w:r>
      <w:r w:rsidR="00BF5241" w:rsidRPr="00104227">
        <w:rPr>
          <w:lang w:val="en-US"/>
        </w:rPr>
        <w:t>Judge</w:t>
      </w:r>
      <w:r w:rsidR="00114817" w:rsidRPr="00104227">
        <w:rPr>
          <w:lang w:val="en-US"/>
        </w:rPr>
        <w:t xml:space="preserve"> </w:t>
      </w:r>
      <w:r w:rsidR="002E30D8" w:rsidRPr="00104227">
        <w:rPr>
          <w:lang w:val="en-US"/>
        </w:rPr>
        <w:t>decided to deny the requested arrest warrant</w:t>
      </w:r>
      <w:r w:rsidR="00114817" w:rsidRPr="00104227">
        <w:rPr>
          <w:lang w:val="en-US"/>
        </w:rPr>
        <w:t xml:space="preserve">. </w:t>
      </w:r>
      <w:r w:rsidR="002E30D8" w:rsidRPr="00104227">
        <w:rPr>
          <w:lang w:val="en-US"/>
        </w:rPr>
        <w:t>The</w:t>
      </w:r>
      <w:r w:rsidR="004432A6" w:rsidRPr="00104227">
        <w:rPr>
          <w:lang w:val="en-US"/>
        </w:rPr>
        <w:t xml:space="preserve"> PGJEM</w:t>
      </w:r>
      <w:r w:rsidR="00114817" w:rsidRPr="00104227">
        <w:rPr>
          <w:lang w:val="en-US"/>
        </w:rPr>
        <w:t xml:space="preserve"> </w:t>
      </w:r>
      <w:r w:rsidR="002E30D8" w:rsidRPr="00104227">
        <w:rPr>
          <w:lang w:val="en-US"/>
        </w:rPr>
        <w:t>filed a remedy of appeal against this decision.</w:t>
      </w:r>
      <w:r w:rsidR="00114817" w:rsidRPr="00104227">
        <w:rPr>
          <w:rStyle w:val="Refdenotaalpie"/>
          <w:lang w:val="en-US"/>
        </w:rPr>
        <w:footnoteReference w:id="207"/>
      </w:r>
      <w:r w:rsidRPr="00104227">
        <w:rPr>
          <w:lang w:val="en-US"/>
        </w:rPr>
        <w:t xml:space="preserve"> </w:t>
      </w:r>
      <w:r w:rsidR="002E30D8" w:rsidRPr="00104227">
        <w:rPr>
          <w:lang w:val="en-US"/>
        </w:rPr>
        <w:t>At the date of this judgment, the Court’s case file does not record whether these appeals have been decided</w:t>
      </w:r>
      <w:r w:rsidR="00B75353" w:rsidRPr="00104227">
        <w:rPr>
          <w:lang w:val="en-US"/>
        </w:rPr>
        <w:t xml:space="preserve">. </w:t>
      </w:r>
      <w:bookmarkEnd w:id="243"/>
    </w:p>
    <w:p w14:paraId="132DDE50" w14:textId="77777777" w:rsidR="003D6661" w:rsidRPr="00104227" w:rsidRDefault="003D6661" w:rsidP="00E4619F">
      <w:pPr>
        <w:tabs>
          <w:tab w:val="left" w:pos="567"/>
        </w:tabs>
      </w:pPr>
    </w:p>
    <w:p w14:paraId="61B65B68" w14:textId="17266026" w:rsidR="003D6661" w:rsidRPr="0080773E" w:rsidRDefault="003D6661" w:rsidP="00885693">
      <w:pPr>
        <w:pStyle w:val="Ttulo4"/>
        <w:rPr>
          <w:lang w:val="es-CR"/>
        </w:rPr>
      </w:pPr>
      <w:r w:rsidRPr="0080773E">
        <w:rPr>
          <w:lang w:val="es-CR"/>
        </w:rPr>
        <w:t xml:space="preserve">C.3.5 </w:t>
      </w:r>
      <w:r w:rsidR="002E30D8" w:rsidRPr="0080773E">
        <w:rPr>
          <w:lang w:val="es-CR"/>
        </w:rPr>
        <w:t>Criminal case</w:t>
      </w:r>
      <w:r w:rsidRPr="0080773E">
        <w:rPr>
          <w:lang w:val="es-CR"/>
        </w:rPr>
        <w:t xml:space="preserve"> 79/2006 (</w:t>
      </w:r>
      <w:r w:rsidR="00332721" w:rsidRPr="0080773E">
        <w:rPr>
          <w:lang w:val="es-CR"/>
        </w:rPr>
        <w:t>relating to</w:t>
      </w:r>
      <w:r w:rsidRPr="0080773E">
        <w:rPr>
          <w:lang w:val="es-CR"/>
        </w:rPr>
        <w:t xml:space="preserve"> Ana María Velasco Rodríguez)</w:t>
      </w:r>
    </w:p>
    <w:p w14:paraId="2BDD9566" w14:textId="77777777" w:rsidR="003D6661" w:rsidRPr="0080773E" w:rsidRDefault="003D6661" w:rsidP="00E4619F">
      <w:pPr>
        <w:tabs>
          <w:tab w:val="left" w:pos="567"/>
        </w:tabs>
        <w:rPr>
          <w:lang w:val="es-CR"/>
        </w:rPr>
      </w:pPr>
    </w:p>
    <w:p w14:paraId="6EB9441E" w14:textId="055A9555" w:rsidR="003D6661" w:rsidRPr="00104227" w:rsidRDefault="002E30D8" w:rsidP="00E4619F">
      <w:pPr>
        <w:pStyle w:val="Numberedparagraphs"/>
        <w:tabs>
          <w:tab w:val="left" w:pos="567"/>
        </w:tabs>
        <w:rPr>
          <w:lang w:val="en-US"/>
        </w:rPr>
      </w:pPr>
      <w:r w:rsidRPr="00104227">
        <w:rPr>
          <w:lang w:val="en-US"/>
        </w:rPr>
        <w:t>On</w:t>
      </w:r>
      <w:r w:rsidR="003D6661" w:rsidRPr="00104227">
        <w:rPr>
          <w:lang w:val="en-US"/>
        </w:rPr>
        <w:t xml:space="preserve"> </w:t>
      </w:r>
      <w:r w:rsidRPr="00104227">
        <w:rPr>
          <w:lang w:val="en-US"/>
        </w:rPr>
        <w:t>August 28,</w:t>
      </w:r>
      <w:r w:rsidR="003D6661" w:rsidRPr="00104227">
        <w:rPr>
          <w:lang w:val="en-US"/>
        </w:rPr>
        <w:t xml:space="preserve"> 2006</w:t>
      </w:r>
      <w:r w:rsidRPr="00104227">
        <w:rPr>
          <w:lang w:val="en-US"/>
        </w:rPr>
        <w:t>,</w:t>
      </w:r>
      <w:r w:rsidR="003D6661" w:rsidRPr="00104227">
        <w:rPr>
          <w:lang w:val="en-US"/>
        </w:rPr>
        <w:t xml:space="preserve"> </w:t>
      </w:r>
      <w:r w:rsidR="00D146BF" w:rsidRPr="00104227">
        <w:rPr>
          <w:lang w:val="en-US"/>
        </w:rPr>
        <w:t>the First Criminal Trial Court</w:t>
      </w:r>
      <w:r w:rsidR="003D6661" w:rsidRPr="00104227">
        <w:rPr>
          <w:lang w:val="en-US"/>
        </w:rPr>
        <w:t xml:space="preserve"> </w:t>
      </w:r>
      <w:r w:rsidRPr="00104227">
        <w:rPr>
          <w:lang w:val="en-US"/>
        </w:rPr>
        <w:t>i</w:t>
      </w:r>
      <w:r w:rsidR="003D6661" w:rsidRPr="00104227">
        <w:rPr>
          <w:lang w:val="en-US"/>
        </w:rPr>
        <w:t xml:space="preserve">n Tenango del Valle, </w:t>
      </w:r>
      <w:r w:rsidR="008C6D02" w:rsidRPr="00104227">
        <w:rPr>
          <w:lang w:val="en-US"/>
        </w:rPr>
        <w:t>state of Mexico</w:t>
      </w:r>
      <w:r w:rsidR="003D6661" w:rsidRPr="00104227">
        <w:rPr>
          <w:lang w:val="en-US"/>
        </w:rPr>
        <w:t xml:space="preserve">, </w:t>
      </w:r>
      <w:r w:rsidRPr="00104227">
        <w:rPr>
          <w:lang w:val="en-US"/>
        </w:rPr>
        <w:t>in the con</w:t>
      </w:r>
      <w:r w:rsidR="00937BBD" w:rsidRPr="00104227">
        <w:rPr>
          <w:lang w:val="en-US"/>
        </w:rPr>
        <w:t>t</w:t>
      </w:r>
      <w:r w:rsidRPr="00104227">
        <w:rPr>
          <w:lang w:val="en-US"/>
        </w:rPr>
        <w:t>ext of</w:t>
      </w:r>
      <w:r w:rsidR="00937BBD" w:rsidRPr="00104227">
        <w:rPr>
          <w:lang w:val="en-US"/>
        </w:rPr>
        <w:t xml:space="preserve"> c</w:t>
      </w:r>
      <w:r w:rsidR="00332721" w:rsidRPr="00104227">
        <w:rPr>
          <w:lang w:val="en-US"/>
        </w:rPr>
        <w:t xml:space="preserve">riminal </w:t>
      </w:r>
      <w:r w:rsidR="00937BBD" w:rsidRPr="00104227">
        <w:rPr>
          <w:lang w:val="en-US"/>
        </w:rPr>
        <w:t>case</w:t>
      </w:r>
      <w:r w:rsidR="003D6661" w:rsidRPr="00104227">
        <w:rPr>
          <w:lang w:val="en-US"/>
        </w:rPr>
        <w:t xml:space="preserve"> 79/2006, </w:t>
      </w:r>
      <w:r w:rsidR="00937BBD" w:rsidRPr="00104227">
        <w:rPr>
          <w:lang w:val="en-US"/>
        </w:rPr>
        <w:t>issued an order for preventive detention against a state police agent for the offense of lewd acts</w:t>
      </w:r>
      <w:r w:rsidR="003D6661" w:rsidRPr="00104227">
        <w:rPr>
          <w:rStyle w:val="Refdenotaalpie"/>
          <w:lang w:val="en-US"/>
        </w:rPr>
        <w:footnoteReference w:id="208"/>
      </w:r>
      <w:r w:rsidR="003D6661" w:rsidRPr="00104227">
        <w:rPr>
          <w:lang w:val="en-US"/>
        </w:rPr>
        <w:t xml:space="preserve"> </w:t>
      </w:r>
      <w:r w:rsidR="00937BBD" w:rsidRPr="00104227">
        <w:rPr>
          <w:lang w:val="en-US"/>
        </w:rPr>
        <w:t xml:space="preserve">against the sexual freedom of </w:t>
      </w:r>
      <w:r w:rsidR="003D6661" w:rsidRPr="00104227">
        <w:rPr>
          <w:lang w:val="en-US"/>
        </w:rPr>
        <w:t>Ana María Velasco Rodríguez</w:t>
      </w:r>
      <w:r w:rsidR="00937BBD" w:rsidRPr="00104227">
        <w:rPr>
          <w:lang w:val="en-US"/>
        </w:rPr>
        <w:t>.</w:t>
      </w:r>
      <w:r w:rsidR="003D6661" w:rsidRPr="00104227">
        <w:rPr>
          <w:rStyle w:val="Refdenotaalpie"/>
          <w:lang w:val="en-US"/>
        </w:rPr>
        <w:footnoteReference w:id="209"/>
      </w:r>
      <w:r w:rsidR="003D6661" w:rsidRPr="00104227">
        <w:rPr>
          <w:lang w:val="en-US"/>
        </w:rPr>
        <w:t xml:space="preserve"> </w:t>
      </w:r>
    </w:p>
    <w:p w14:paraId="54771979" w14:textId="77777777" w:rsidR="003D6661" w:rsidRPr="00104227" w:rsidRDefault="003D6661" w:rsidP="00E4619F">
      <w:pPr>
        <w:tabs>
          <w:tab w:val="left" w:pos="567"/>
        </w:tabs>
      </w:pPr>
    </w:p>
    <w:p w14:paraId="78192A6B" w14:textId="7E803FB7" w:rsidR="003D6661" w:rsidRPr="00104227" w:rsidRDefault="00AA09D5" w:rsidP="00E623CE">
      <w:pPr>
        <w:pStyle w:val="Numberedparagraphs"/>
        <w:tabs>
          <w:tab w:val="left" w:pos="567"/>
        </w:tabs>
        <w:rPr>
          <w:lang w:val="en-US"/>
        </w:rPr>
      </w:pPr>
      <w:bookmarkStart w:id="244" w:name="_Ref528937122"/>
      <w:r w:rsidRPr="00104227">
        <w:rPr>
          <w:lang w:val="en-US"/>
        </w:rPr>
        <w:t xml:space="preserve">On </w:t>
      </w:r>
      <w:r w:rsidR="00AC1DF6" w:rsidRPr="00104227">
        <w:rPr>
          <w:lang w:val="en-US"/>
        </w:rPr>
        <w:t xml:space="preserve">October </w:t>
      </w:r>
      <w:r w:rsidRPr="00104227">
        <w:rPr>
          <w:lang w:val="en-US"/>
        </w:rPr>
        <w:t>2</w:t>
      </w:r>
      <w:r w:rsidR="00AC1DF6" w:rsidRPr="00104227">
        <w:rPr>
          <w:lang w:val="en-US"/>
        </w:rPr>
        <w:t>5,</w:t>
      </w:r>
      <w:r w:rsidR="003D6661" w:rsidRPr="00104227">
        <w:rPr>
          <w:lang w:val="en-US"/>
        </w:rPr>
        <w:t xml:space="preserve"> 2007, </w:t>
      </w:r>
      <w:r w:rsidR="00E162EA" w:rsidRPr="00104227">
        <w:rPr>
          <w:lang w:val="en-US"/>
        </w:rPr>
        <w:t>it was decided to close the</w:t>
      </w:r>
      <w:r w:rsidR="004034E7" w:rsidRPr="00104227">
        <w:rPr>
          <w:lang w:val="en-US"/>
        </w:rPr>
        <w:t xml:space="preserve"> pre-trial proceedings</w:t>
      </w:r>
      <w:r w:rsidR="00E162EA" w:rsidRPr="00104227">
        <w:rPr>
          <w:lang w:val="en-US"/>
        </w:rPr>
        <w:t xml:space="preserve"> </w:t>
      </w:r>
      <w:r w:rsidR="00BF5241" w:rsidRPr="00104227">
        <w:rPr>
          <w:lang w:val="en-US"/>
        </w:rPr>
        <w:t>and</w:t>
      </w:r>
      <w:r w:rsidR="00E162EA" w:rsidRPr="00104227">
        <w:rPr>
          <w:lang w:val="en-US"/>
        </w:rPr>
        <w:t>,</w:t>
      </w:r>
      <w:r w:rsidR="00BF5241" w:rsidRPr="00104227">
        <w:rPr>
          <w:lang w:val="en-US"/>
        </w:rPr>
        <w:t xml:space="preserve"> </w:t>
      </w:r>
      <w:r w:rsidRPr="00104227">
        <w:rPr>
          <w:lang w:val="en-US"/>
        </w:rPr>
        <w:t>on May 2,</w:t>
      </w:r>
      <w:r w:rsidR="003D6661" w:rsidRPr="00104227">
        <w:rPr>
          <w:lang w:val="en-US"/>
        </w:rPr>
        <w:t xml:space="preserve"> 2008</w:t>
      </w:r>
      <w:r w:rsidRPr="00104227">
        <w:rPr>
          <w:lang w:val="en-US"/>
        </w:rPr>
        <w:t>,</w:t>
      </w:r>
      <w:r w:rsidR="003D6661" w:rsidRPr="00104227">
        <w:rPr>
          <w:lang w:val="en-US"/>
        </w:rPr>
        <w:t xml:space="preserve"> </w:t>
      </w:r>
      <w:r w:rsidR="00E162EA" w:rsidRPr="00104227">
        <w:rPr>
          <w:lang w:val="en-US"/>
        </w:rPr>
        <w:t>the judgment</w:t>
      </w:r>
      <w:r w:rsidR="009863B4" w:rsidRPr="00104227">
        <w:rPr>
          <w:lang w:val="en-US"/>
        </w:rPr>
        <w:t xml:space="preserve"> was notified</w:t>
      </w:r>
      <w:r w:rsidR="00E162EA" w:rsidRPr="00104227">
        <w:rPr>
          <w:lang w:val="en-US"/>
        </w:rPr>
        <w:t xml:space="preserve"> convicting the state police agent for his criminal responsibility in the perpetration of the offense of lewd acts against Ana María Velasco Rodríguez, imposing a </w:t>
      </w:r>
      <w:r w:rsidR="00E623CE" w:rsidRPr="00104227">
        <w:rPr>
          <w:lang w:val="en-US"/>
        </w:rPr>
        <w:t>prison sentence of three years, two months and seven days and a fine of 1,877.80 Mexican pesos</w:t>
      </w:r>
      <w:r w:rsidR="003D6661" w:rsidRPr="00104227">
        <w:rPr>
          <w:lang w:val="en-US"/>
        </w:rPr>
        <w:t>.</w:t>
      </w:r>
      <w:r w:rsidR="003D6661" w:rsidRPr="00104227">
        <w:rPr>
          <w:rStyle w:val="Refdenotaalpie"/>
          <w:rFonts w:eastAsiaTheme="minorHAnsi" w:cs="Calibri"/>
          <w:lang w:val="en-US"/>
        </w:rPr>
        <w:footnoteReference w:id="210"/>
      </w:r>
      <w:r w:rsidR="003D6661" w:rsidRPr="00104227">
        <w:rPr>
          <w:lang w:val="en-US"/>
        </w:rPr>
        <w:t xml:space="preserve"> </w:t>
      </w:r>
      <w:r w:rsidR="00E623CE" w:rsidRPr="00104227">
        <w:rPr>
          <w:lang w:val="en-US"/>
        </w:rPr>
        <w:lastRenderedPageBreak/>
        <w:t>However, he filed an appeal and, s</w:t>
      </w:r>
      <w:r w:rsidR="00A84F20" w:rsidRPr="00104227">
        <w:rPr>
          <w:lang w:val="en-US"/>
        </w:rPr>
        <w:t>ubsequently</w:t>
      </w:r>
      <w:r w:rsidR="00E623CE" w:rsidRPr="00104227">
        <w:rPr>
          <w:lang w:val="en-US"/>
        </w:rPr>
        <w:t xml:space="preserve">, filed an application for amparo, under which an order was issued to amend </w:t>
      </w:r>
      <w:r w:rsidR="005E29A3" w:rsidRPr="00104227">
        <w:rPr>
          <w:lang w:val="en-US"/>
        </w:rPr>
        <w:t>the judgment</w:t>
      </w:r>
      <w:r w:rsidR="00E623CE" w:rsidRPr="00104227">
        <w:rPr>
          <w:lang w:val="en-US"/>
        </w:rPr>
        <w:t>,</w:t>
      </w:r>
      <w:r w:rsidR="003D6661" w:rsidRPr="00104227">
        <w:rPr>
          <w:rStyle w:val="Refdenotaalpie"/>
          <w:rFonts w:eastAsiaTheme="minorHAnsi" w:cs="Arial"/>
          <w:lang w:val="en-US"/>
        </w:rPr>
        <w:footnoteReference w:id="211"/>
      </w:r>
      <w:r w:rsidR="00E623CE" w:rsidRPr="00104227">
        <w:rPr>
          <w:lang w:val="en-US"/>
        </w:rPr>
        <w:t xml:space="preserve"> and this resulted in the final judgment being an acquittal, based on the lack of credibility of the identification made by </w:t>
      </w:r>
      <w:r w:rsidR="003D6661" w:rsidRPr="00104227">
        <w:rPr>
          <w:lang w:val="en-US"/>
        </w:rPr>
        <w:t xml:space="preserve">Ana María Ana María Velasco Rodríguez. </w:t>
      </w:r>
      <w:r w:rsidR="00E623CE" w:rsidRPr="00104227">
        <w:rPr>
          <w:lang w:val="en-US"/>
        </w:rPr>
        <w:t>Specifically, th</w:t>
      </w:r>
      <w:r w:rsidR="00134235" w:rsidRPr="00104227">
        <w:rPr>
          <w:lang w:val="en-US"/>
        </w:rPr>
        <w:t>at</w:t>
      </w:r>
      <w:r w:rsidR="00E623CE" w:rsidRPr="00104227">
        <w:rPr>
          <w:lang w:val="en-US"/>
        </w:rPr>
        <w:t xml:space="preserve"> court indicated that</w:t>
      </w:r>
      <w:r w:rsidR="003D6661" w:rsidRPr="00104227">
        <w:rPr>
          <w:lang w:val="en-US"/>
        </w:rPr>
        <w:t xml:space="preserve"> </w:t>
      </w:r>
      <w:r w:rsidR="00E623CE" w:rsidRPr="00104227">
        <w:rPr>
          <w:lang w:val="en-US"/>
        </w:rPr>
        <w:t>the</w:t>
      </w:r>
      <w:r w:rsidR="003D6661" w:rsidRPr="00104227">
        <w:rPr>
          <w:lang w:val="en-US"/>
        </w:rPr>
        <w:t xml:space="preserve"> </w:t>
      </w:r>
      <w:r w:rsidR="004617E1" w:rsidRPr="00104227">
        <w:rPr>
          <w:lang w:val="en-US"/>
        </w:rPr>
        <w:t>statement</w:t>
      </w:r>
      <w:r w:rsidR="00E623CE" w:rsidRPr="00104227">
        <w:rPr>
          <w:lang w:val="en-US"/>
        </w:rPr>
        <w:t xml:space="preserve"> made</w:t>
      </w:r>
      <w:r w:rsidR="004617E1" w:rsidRPr="00104227">
        <w:rPr>
          <w:lang w:val="en-US"/>
        </w:rPr>
        <w:t xml:space="preserve"> by</w:t>
      </w:r>
      <w:r w:rsidR="003D6661" w:rsidRPr="00104227">
        <w:rPr>
          <w:lang w:val="en-US"/>
        </w:rPr>
        <w:t xml:space="preserve"> Ana María Velasco Rodríguez reco</w:t>
      </w:r>
      <w:r w:rsidR="00E623CE" w:rsidRPr="00104227">
        <w:rPr>
          <w:lang w:val="en-US"/>
        </w:rPr>
        <w:t>gnizing her a</w:t>
      </w:r>
      <w:r w:rsidR="00134235" w:rsidRPr="00104227">
        <w:rPr>
          <w:lang w:val="en-US"/>
        </w:rPr>
        <w:t>ssailant</w:t>
      </w:r>
      <w:r w:rsidR="00E623CE" w:rsidRPr="00104227">
        <w:rPr>
          <w:lang w:val="en-US"/>
        </w:rPr>
        <w:t xml:space="preserve"> was: </w:t>
      </w:r>
      <w:bookmarkEnd w:id="244"/>
    </w:p>
    <w:p w14:paraId="787D478C" w14:textId="77777777" w:rsidR="003D6661" w:rsidRPr="00104227" w:rsidRDefault="003D6661" w:rsidP="00E4619F">
      <w:pPr>
        <w:tabs>
          <w:tab w:val="left" w:pos="567"/>
        </w:tabs>
        <w:rPr>
          <w:sz w:val="18"/>
          <w:szCs w:val="18"/>
        </w:rPr>
      </w:pPr>
    </w:p>
    <w:p w14:paraId="792ECFA6" w14:textId="02C0C843" w:rsidR="003D6661" w:rsidRPr="00104227" w:rsidRDefault="009863B4" w:rsidP="001210A8">
      <w:pPr>
        <w:tabs>
          <w:tab w:val="left" w:pos="567"/>
        </w:tabs>
        <w:ind w:left="850" w:right="619"/>
        <w:rPr>
          <w:sz w:val="18"/>
        </w:rPr>
      </w:pPr>
      <w:r w:rsidRPr="00104227">
        <w:rPr>
          <w:sz w:val="18"/>
        </w:rPr>
        <w:t>Inadmissible bec</w:t>
      </w:r>
      <w:r w:rsidR="00134235" w:rsidRPr="00104227">
        <w:rPr>
          <w:sz w:val="18"/>
        </w:rPr>
        <w:t>a</w:t>
      </w:r>
      <w:r w:rsidRPr="00104227">
        <w:rPr>
          <w:sz w:val="18"/>
        </w:rPr>
        <w:t>u</w:t>
      </w:r>
      <w:r w:rsidR="00134235" w:rsidRPr="00104227">
        <w:rPr>
          <w:sz w:val="18"/>
        </w:rPr>
        <w:t>se</w:t>
      </w:r>
      <w:r w:rsidRPr="00104227">
        <w:rPr>
          <w:sz w:val="18"/>
        </w:rPr>
        <w:t xml:space="preserve"> it conflicted with </w:t>
      </w:r>
      <w:r w:rsidR="00134235" w:rsidRPr="00104227">
        <w:rPr>
          <w:sz w:val="18"/>
        </w:rPr>
        <w:t>her initial</w:t>
      </w:r>
      <w:r w:rsidRPr="00104227">
        <w:rPr>
          <w:sz w:val="18"/>
        </w:rPr>
        <w:t xml:space="preserve"> statements […] to which preponderant probative value is accorded because they were made with the </w:t>
      </w:r>
      <w:r w:rsidR="00134235" w:rsidRPr="00104227">
        <w:rPr>
          <w:sz w:val="18"/>
        </w:rPr>
        <w:t>proper</w:t>
      </w:r>
      <w:r w:rsidR="001210A8" w:rsidRPr="00104227">
        <w:rPr>
          <w:sz w:val="18"/>
        </w:rPr>
        <w:t xml:space="preserve"> immediacy and in which the passive subject categorically stated that she was unable to see the face of her </w:t>
      </w:r>
      <w:r w:rsidR="00134235" w:rsidRPr="00104227">
        <w:rPr>
          <w:sz w:val="18"/>
        </w:rPr>
        <w:t>assailant</w:t>
      </w:r>
      <w:r w:rsidR="001210A8" w:rsidRPr="00104227">
        <w:rPr>
          <w:sz w:val="18"/>
        </w:rPr>
        <w:t>s, […] because she could only see the police agents who helped her […] and, subsequently, she affirms that she did see the face of the accused; when she was shown his photograph, she indicate</w:t>
      </w:r>
      <w:r w:rsidR="00134235" w:rsidRPr="00104227">
        <w:rPr>
          <w:sz w:val="18"/>
        </w:rPr>
        <w:t>d</w:t>
      </w:r>
      <w:r w:rsidR="001210A8" w:rsidRPr="00104227">
        <w:rPr>
          <w:sz w:val="18"/>
        </w:rPr>
        <w:t xml:space="preserve"> him </w:t>
      </w:r>
      <w:r w:rsidR="00134235" w:rsidRPr="00104227">
        <w:rPr>
          <w:sz w:val="18"/>
        </w:rPr>
        <w:t>decisively,</w:t>
      </w:r>
      <w:r w:rsidR="001210A8" w:rsidRPr="00104227">
        <w:rPr>
          <w:sz w:val="18"/>
        </w:rPr>
        <w:t xml:space="preserve"> without equivocation</w:t>
      </w:r>
      <w:r w:rsidR="00134235" w:rsidRPr="00104227">
        <w:rPr>
          <w:sz w:val="18"/>
        </w:rPr>
        <w:t>. T</w:t>
      </w:r>
      <w:r w:rsidR="001210A8" w:rsidRPr="00104227">
        <w:rPr>
          <w:sz w:val="18"/>
        </w:rPr>
        <w:t xml:space="preserve">herefore, these </w:t>
      </w:r>
      <w:r w:rsidR="00134235" w:rsidRPr="00104227">
        <w:rPr>
          <w:sz w:val="18"/>
        </w:rPr>
        <w:t>in</w:t>
      </w:r>
      <w:r w:rsidR="001210A8" w:rsidRPr="00104227">
        <w:rPr>
          <w:sz w:val="18"/>
        </w:rPr>
        <w:t>consistencies detract from the convictiv</w:t>
      </w:r>
      <w:r w:rsidR="00134235" w:rsidRPr="00104227">
        <w:rPr>
          <w:sz w:val="18"/>
        </w:rPr>
        <w:t>e</w:t>
      </w:r>
      <w:r w:rsidR="001210A8" w:rsidRPr="00104227">
        <w:rPr>
          <w:sz w:val="18"/>
        </w:rPr>
        <w:t xml:space="preserve"> value of the accusation […] and even though she has persisted in indicating him […] there is no duly </w:t>
      </w:r>
      <w:r w:rsidR="00134235" w:rsidRPr="00104227">
        <w:rPr>
          <w:sz w:val="18"/>
        </w:rPr>
        <w:t>substantiated</w:t>
      </w:r>
      <w:r w:rsidR="001210A8" w:rsidRPr="00104227">
        <w:rPr>
          <w:sz w:val="18"/>
        </w:rPr>
        <w:t xml:space="preserve"> justification for the </w:t>
      </w:r>
      <w:r w:rsidR="00134235" w:rsidRPr="00104227">
        <w:rPr>
          <w:sz w:val="18"/>
        </w:rPr>
        <w:t>change</w:t>
      </w:r>
      <w:r w:rsidR="001210A8" w:rsidRPr="00104227">
        <w:rPr>
          <w:sz w:val="18"/>
        </w:rPr>
        <w:t xml:space="preserve"> she made in her initial version.</w:t>
      </w:r>
      <w:r w:rsidR="003D6661" w:rsidRPr="00104227">
        <w:rPr>
          <w:rStyle w:val="Refdenotaalpie"/>
          <w:rFonts w:cs="Arial"/>
        </w:rPr>
        <w:footnoteReference w:id="212"/>
      </w:r>
    </w:p>
    <w:p w14:paraId="13E11502" w14:textId="77777777" w:rsidR="003D6661" w:rsidRPr="00104227" w:rsidRDefault="003D6661" w:rsidP="00E4619F">
      <w:pPr>
        <w:tabs>
          <w:tab w:val="left" w:pos="567"/>
        </w:tabs>
      </w:pPr>
    </w:p>
    <w:p w14:paraId="3CEFB163" w14:textId="20C923EA" w:rsidR="003D6661" w:rsidRPr="00104227" w:rsidRDefault="003D6661" w:rsidP="00E4619F">
      <w:pPr>
        <w:pStyle w:val="Ttulo3"/>
        <w:tabs>
          <w:tab w:val="left" w:pos="567"/>
        </w:tabs>
        <w:rPr>
          <w:lang w:val="en-US"/>
        </w:rPr>
      </w:pPr>
      <w:bookmarkStart w:id="245" w:name="_Toc433650892"/>
      <w:bookmarkStart w:id="246" w:name="_Toc433650994"/>
      <w:bookmarkStart w:id="247" w:name="_Toc438128503"/>
      <w:bookmarkStart w:id="248" w:name="_Toc527464919"/>
      <w:bookmarkStart w:id="249" w:name="_Toc31290583"/>
      <w:r w:rsidRPr="00104227">
        <w:rPr>
          <w:lang w:val="en-US"/>
        </w:rPr>
        <w:t xml:space="preserve">C.4 </w:t>
      </w:r>
      <w:r w:rsidR="00612B2F" w:rsidRPr="00104227">
        <w:rPr>
          <w:lang w:val="en-US"/>
        </w:rPr>
        <w:t>Preliminary inquiry</w:t>
      </w:r>
      <w:r w:rsidRPr="00104227">
        <w:rPr>
          <w:lang w:val="en-US"/>
        </w:rPr>
        <w:t xml:space="preserve"> </w:t>
      </w:r>
      <w:r w:rsidR="001210A8" w:rsidRPr="00104227">
        <w:rPr>
          <w:lang w:val="en-US"/>
        </w:rPr>
        <w:t>at the federal level before</w:t>
      </w:r>
      <w:r w:rsidR="004617E1" w:rsidRPr="00104227">
        <w:rPr>
          <w:lang w:val="en-US"/>
        </w:rPr>
        <w:t xml:space="preserve"> the</w:t>
      </w:r>
      <w:r w:rsidRPr="00104227">
        <w:rPr>
          <w:lang w:val="en-US"/>
        </w:rPr>
        <w:t xml:space="preserve"> FEVIM</w:t>
      </w:r>
      <w:bookmarkEnd w:id="245"/>
      <w:bookmarkEnd w:id="246"/>
      <w:bookmarkEnd w:id="247"/>
      <w:bookmarkEnd w:id="248"/>
      <w:bookmarkEnd w:id="249"/>
    </w:p>
    <w:p w14:paraId="5274FDA1" w14:textId="77777777" w:rsidR="003D6661" w:rsidRPr="00104227" w:rsidRDefault="003D6661" w:rsidP="00E4619F">
      <w:pPr>
        <w:tabs>
          <w:tab w:val="left" w:pos="567"/>
        </w:tabs>
      </w:pPr>
    </w:p>
    <w:p w14:paraId="6D32DB15" w14:textId="7307E64B" w:rsidR="003D6661" w:rsidRPr="00104227" w:rsidRDefault="001210A8" w:rsidP="00E4619F">
      <w:pPr>
        <w:pStyle w:val="Numberedparagraphs"/>
        <w:tabs>
          <w:tab w:val="left" w:pos="567"/>
        </w:tabs>
        <w:rPr>
          <w:lang w:val="en-US"/>
        </w:rPr>
      </w:pPr>
      <w:r w:rsidRPr="00104227">
        <w:rPr>
          <w:lang w:val="en-US"/>
        </w:rPr>
        <w:t>On</w:t>
      </w:r>
      <w:r w:rsidR="003D6661" w:rsidRPr="00104227">
        <w:rPr>
          <w:lang w:val="en-US"/>
        </w:rPr>
        <w:t xml:space="preserve"> </w:t>
      </w:r>
      <w:r w:rsidRPr="00104227">
        <w:rPr>
          <w:lang w:val="en-US"/>
        </w:rPr>
        <w:t>May 15</w:t>
      </w:r>
      <w:r w:rsidR="006F5741" w:rsidRPr="00104227">
        <w:rPr>
          <w:lang w:val="en-US"/>
        </w:rPr>
        <w:t>,</w:t>
      </w:r>
      <w:r w:rsidR="003D6661" w:rsidRPr="00104227">
        <w:rPr>
          <w:lang w:val="en-US"/>
        </w:rPr>
        <w:t xml:space="preserve"> 2006</w:t>
      </w:r>
      <w:r w:rsidRPr="00104227">
        <w:rPr>
          <w:lang w:val="en-US"/>
        </w:rPr>
        <w:t>,</w:t>
      </w:r>
      <w:r w:rsidR="003D6661" w:rsidRPr="00104227">
        <w:rPr>
          <w:lang w:val="en-US"/>
        </w:rPr>
        <w:t xml:space="preserve"> </w:t>
      </w:r>
      <w:r w:rsidR="00C87135" w:rsidRPr="00104227">
        <w:rPr>
          <w:lang w:val="en-US"/>
        </w:rPr>
        <w:t xml:space="preserve">the Special Prosecutor for </w:t>
      </w:r>
      <w:r w:rsidR="00F75936" w:rsidRPr="00104227">
        <w:rPr>
          <w:lang w:val="en-US"/>
        </w:rPr>
        <w:t>Crimes</w:t>
      </w:r>
      <w:r w:rsidR="00C87135" w:rsidRPr="00104227">
        <w:rPr>
          <w:lang w:val="en-US"/>
        </w:rPr>
        <w:t xml:space="preserve"> </w:t>
      </w:r>
      <w:r w:rsidR="00B47A89" w:rsidRPr="00104227">
        <w:rPr>
          <w:lang w:val="en-US"/>
        </w:rPr>
        <w:t>involving</w:t>
      </w:r>
      <w:r w:rsidR="00C87135" w:rsidRPr="00104227">
        <w:rPr>
          <w:lang w:val="en-US"/>
        </w:rPr>
        <w:t xml:space="preserve"> Acts of Violence against Women </w:t>
      </w:r>
      <w:r w:rsidR="003D6661" w:rsidRPr="00104227">
        <w:rPr>
          <w:lang w:val="en-US"/>
        </w:rPr>
        <w:t>(FEVIM)</w:t>
      </w:r>
      <w:r w:rsidR="003D6661" w:rsidRPr="00104227">
        <w:rPr>
          <w:rStyle w:val="Refdenotaalpie"/>
          <w:lang w:val="en-US"/>
        </w:rPr>
        <w:footnoteReference w:id="213"/>
      </w:r>
      <w:r w:rsidR="00C87135" w:rsidRPr="00104227">
        <w:rPr>
          <w:lang w:val="en-US"/>
        </w:rPr>
        <w:t xml:space="preserve"> opened</w:t>
      </w:r>
      <w:r w:rsidR="00E31E41" w:rsidRPr="00104227">
        <w:rPr>
          <w:lang w:val="en-US"/>
        </w:rPr>
        <w:t xml:space="preserve"> preliminary inquiry</w:t>
      </w:r>
      <w:r w:rsidR="00C87135" w:rsidRPr="00104227">
        <w:rPr>
          <w:lang w:val="en-US"/>
        </w:rPr>
        <w:t xml:space="preserve"> </w:t>
      </w:r>
      <w:r w:rsidR="003D6661" w:rsidRPr="00104227">
        <w:rPr>
          <w:lang w:val="en-US"/>
        </w:rPr>
        <w:t>AP/FEVIM/003/05-2006</w:t>
      </w:r>
      <w:r w:rsidR="00C87135" w:rsidRPr="00104227">
        <w:rPr>
          <w:lang w:val="en-US"/>
        </w:rPr>
        <w:t xml:space="preserve"> at the federal level for the probable </w:t>
      </w:r>
      <w:r w:rsidR="000A14CF" w:rsidRPr="00104227">
        <w:rPr>
          <w:lang w:val="en-US"/>
        </w:rPr>
        <w:t>perpetration</w:t>
      </w:r>
      <w:r w:rsidR="00C87135" w:rsidRPr="00104227">
        <w:rPr>
          <w:lang w:val="en-US"/>
        </w:rPr>
        <w:t xml:space="preserve"> of various offenses against women detainees.</w:t>
      </w:r>
      <w:r w:rsidR="003D6661" w:rsidRPr="00104227">
        <w:rPr>
          <w:rStyle w:val="Refdenotaalpie"/>
          <w:lang w:val="en-US"/>
        </w:rPr>
        <w:footnoteReference w:id="214"/>
      </w:r>
      <w:r w:rsidR="003D6661" w:rsidRPr="00104227">
        <w:rPr>
          <w:lang w:val="en-US"/>
        </w:rPr>
        <w:t xml:space="preserve"> </w:t>
      </w:r>
      <w:r w:rsidR="00A84F20" w:rsidRPr="00104227">
        <w:rPr>
          <w:lang w:val="en-US"/>
        </w:rPr>
        <w:t>Subsequently</w:t>
      </w:r>
      <w:r w:rsidR="003D6661" w:rsidRPr="00104227">
        <w:rPr>
          <w:lang w:val="en-US"/>
        </w:rPr>
        <w:t xml:space="preserve">, </w:t>
      </w:r>
      <w:r w:rsidR="006F5741" w:rsidRPr="00104227">
        <w:rPr>
          <w:lang w:val="en-US"/>
        </w:rPr>
        <w:t>on May 16,</w:t>
      </w:r>
      <w:r w:rsidR="003D6661" w:rsidRPr="00104227">
        <w:rPr>
          <w:lang w:val="en-US"/>
        </w:rPr>
        <w:t xml:space="preserve"> 2006</w:t>
      </w:r>
      <w:r w:rsidR="00C87135" w:rsidRPr="00104227">
        <w:rPr>
          <w:lang w:val="en-US"/>
        </w:rPr>
        <w:t>,</w:t>
      </w:r>
      <w:r w:rsidR="003D6661" w:rsidRPr="00104227">
        <w:rPr>
          <w:lang w:val="en-US"/>
        </w:rPr>
        <w:t xml:space="preserve"> </w:t>
      </w:r>
      <w:r w:rsidR="00C87135" w:rsidRPr="00104227">
        <w:rPr>
          <w:lang w:val="en-US"/>
        </w:rPr>
        <w:t xml:space="preserve">the </w:t>
      </w:r>
      <w:r w:rsidR="005957F8" w:rsidRPr="00104227">
        <w:rPr>
          <w:lang w:val="en-US"/>
        </w:rPr>
        <w:t xml:space="preserve">Center Prodh </w:t>
      </w:r>
      <w:r w:rsidR="00C87135" w:rsidRPr="00104227">
        <w:rPr>
          <w:lang w:val="en-US"/>
        </w:rPr>
        <w:t xml:space="preserve">filed a formal complaint </w:t>
      </w:r>
      <w:r w:rsidR="004617E1" w:rsidRPr="00104227">
        <w:rPr>
          <w:lang w:val="en-US"/>
        </w:rPr>
        <w:t>before the</w:t>
      </w:r>
      <w:r w:rsidR="003D6661" w:rsidRPr="00104227">
        <w:rPr>
          <w:lang w:val="en-US"/>
        </w:rPr>
        <w:t xml:space="preserve"> FEVIM </w:t>
      </w:r>
      <w:r w:rsidR="00C87135" w:rsidRPr="00104227">
        <w:rPr>
          <w:lang w:val="en-US"/>
        </w:rPr>
        <w:t>f</w:t>
      </w:r>
      <w:r w:rsidR="003D6661" w:rsidRPr="00104227">
        <w:rPr>
          <w:lang w:val="en-US"/>
        </w:rPr>
        <w:t xml:space="preserve">or </w:t>
      </w:r>
      <w:r w:rsidR="00C87135" w:rsidRPr="00104227">
        <w:rPr>
          <w:lang w:val="en-US"/>
        </w:rPr>
        <w:t xml:space="preserve">sexual abuse </w:t>
      </w:r>
      <w:r w:rsidR="00BF5241" w:rsidRPr="00104227">
        <w:rPr>
          <w:lang w:val="en-US"/>
        </w:rPr>
        <w:t xml:space="preserve">and </w:t>
      </w:r>
      <w:r w:rsidR="00F12946" w:rsidRPr="00104227">
        <w:rPr>
          <w:lang w:val="en-US"/>
        </w:rPr>
        <w:t>human rights violations</w:t>
      </w:r>
      <w:r w:rsidR="003D6661" w:rsidRPr="00104227">
        <w:rPr>
          <w:lang w:val="en-US"/>
        </w:rPr>
        <w:t xml:space="preserve"> com</w:t>
      </w:r>
      <w:r w:rsidR="00C87135" w:rsidRPr="00104227">
        <w:rPr>
          <w:lang w:val="en-US"/>
        </w:rPr>
        <w:t xml:space="preserve">mitted in the context of the operations </w:t>
      </w:r>
      <w:r w:rsidR="00E31E41" w:rsidRPr="00104227">
        <w:rPr>
          <w:lang w:val="en-US"/>
        </w:rPr>
        <w:t>of May</w:t>
      </w:r>
      <w:r w:rsidR="00DF5F3C" w:rsidRPr="00104227">
        <w:rPr>
          <w:lang w:val="en-US"/>
        </w:rPr>
        <w:t xml:space="preserve"> 3 and 4,</w:t>
      </w:r>
      <w:r w:rsidR="003D6661" w:rsidRPr="00104227">
        <w:rPr>
          <w:lang w:val="en-US"/>
        </w:rPr>
        <w:t xml:space="preserve"> 2006, </w:t>
      </w:r>
      <w:r w:rsidR="00C87135" w:rsidRPr="00104227">
        <w:rPr>
          <w:lang w:val="en-US"/>
        </w:rPr>
        <w:t xml:space="preserve">on behalf of </w:t>
      </w:r>
      <w:r w:rsidR="003D6661" w:rsidRPr="00104227">
        <w:rPr>
          <w:lang w:val="en-US"/>
        </w:rPr>
        <w:t>Claudia Hernández Martínez, Suhelen Gabriela Cuevas Jaramillo, Mariana Selvas Gómez, Yolanda Muñoz Diosdada, Bárbara Italia Méndez Moreno</w:t>
      </w:r>
      <w:r w:rsidR="00BF5241" w:rsidRPr="00104227">
        <w:rPr>
          <w:lang w:val="en-US"/>
        </w:rPr>
        <w:t xml:space="preserve"> and </w:t>
      </w:r>
      <w:r w:rsidR="001517F5" w:rsidRPr="00104227">
        <w:rPr>
          <w:lang w:val="en-US"/>
        </w:rPr>
        <w:t xml:space="preserve">two more women. This complaint was expanded on </w:t>
      </w:r>
      <w:r w:rsidR="00335431" w:rsidRPr="00104227">
        <w:rPr>
          <w:lang w:val="en-US"/>
        </w:rPr>
        <w:t>May 26,</w:t>
      </w:r>
      <w:r w:rsidR="003D6661" w:rsidRPr="00104227">
        <w:rPr>
          <w:lang w:val="en-US"/>
        </w:rPr>
        <w:t xml:space="preserve"> 2006</w:t>
      </w:r>
      <w:r w:rsidR="001517F5" w:rsidRPr="00104227">
        <w:rPr>
          <w:lang w:val="en-US"/>
        </w:rPr>
        <w:t xml:space="preserve">, to include </w:t>
      </w:r>
      <w:r w:rsidR="003D6661" w:rsidRPr="00104227">
        <w:rPr>
          <w:lang w:val="en-US"/>
        </w:rPr>
        <w:t xml:space="preserve">Ana María Velasco </w:t>
      </w:r>
      <w:r w:rsidR="0057768A" w:rsidRPr="00104227">
        <w:rPr>
          <w:lang w:val="en-US"/>
        </w:rPr>
        <w:t>Rodríguez</w:t>
      </w:r>
      <w:r w:rsidR="00BF5241" w:rsidRPr="00104227">
        <w:rPr>
          <w:lang w:val="en-US"/>
        </w:rPr>
        <w:t xml:space="preserve"> and </w:t>
      </w:r>
      <w:r w:rsidR="001517F5" w:rsidRPr="00104227">
        <w:rPr>
          <w:lang w:val="en-US"/>
        </w:rPr>
        <w:t>three women who do not form part of this case.</w:t>
      </w:r>
      <w:r w:rsidR="003D6661" w:rsidRPr="00104227">
        <w:rPr>
          <w:rStyle w:val="Refdenotaalpie"/>
          <w:lang w:val="en-US"/>
        </w:rPr>
        <w:footnoteReference w:id="215"/>
      </w:r>
    </w:p>
    <w:p w14:paraId="530BAD6A" w14:textId="77777777" w:rsidR="003D6661" w:rsidRPr="00104227" w:rsidRDefault="003D6661" w:rsidP="00E4619F">
      <w:pPr>
        <w:tabs>
          <w:tab w:val="left" w:pos="567"/>
        </w:tabs>
      </w:pPr>
    </w:p>
    <w:p w14:paraId="02088DDC" w14:textId="4E61FB4E" w:rsidR="003D6661" w:rsidRPr="00104227" w:rsidRDefault="00852707" w:rsidP="00852707">
      <w:pPr>
        <w:pStyle w:val="Numberedparagraphs"/>
        <w:tabs>
          <w:tab w:val="left" w:pos="567"/>
        </w:tabs>
        <w:rPr>
          <w:lang w:val="en-US"/>
        </w:rPr>
      </w:pPr>
      <w:bookmarkStart w:id="250" w:name="_Ref524540015"/>
      <w:bookmarkStart w:id="251" w:name="_Ref533149581"/>
      <w:r w:rsidRPr="00104227">
        <w:rPr>
          <w:lang w:val="en-US"/>
        </w:rPr>
        <w:lastRenderedPageBreak/>
        <w:t>The FEVIM</w:t>
      </w:r>
      <w:r w:rsidR="003D6661" w:rsidRPr="00104227">
        <w:rPr>
          <w:lang w:val="en-US"/>
        </w:rPr>
        <w:t xml:space="preserve"> </w:t>
      </w:r>
      <w:r w:rsidRPr="00104227">
        <w:rPr>
          <w:lang w:val="en-US"/>
        </w:rPr>
        <w:t>conducted various procedures,</w:t>
      </w:r>
      <w:r w:rsidR="003D6661" w:rsidRPr="00104227">
        <w:rPr>
          <w:rStyle w:val="Refdenotaalpie"/>
          <w:lang w:val="en-US"/>
        </w:rPr>
        <w:footnoteReference w:id="216"/>
      </w:r>
      <w:r w:rsidR="003D6661" w:rsidRPr="00104227">
        <w:rPr>
          <w:lang w:val="en-US"/>
        </w:rPr>
        <w:t xml:space="preserve"> inclu</w:t>
      </w:r>
      <w:r w:rsidRPr="00104227">
        <w:rPr>
          <w:lang w:val="en-US"/>
        </w:rPr>
        <w:t xml:space="preserve">ding receiving the statements and complaints </w:t>
      </w:r>
      <w:r w:rsidR="00F12946" w:rsidRPr="00104227">
        <w:rPr>
          <w:lang w:val="en-US"/>
        </w:rPr>
        <w:t>of the eleven women</w:t>
      </w:r>
      <w:r w:rsidRPr="00104227">
        <w:rPr>
          <w:lang w:val="en-US"/>
        </w:rPr>
        <w:t>.</w:t>
      </w:r>
      <w:r w:rsidR="003D6661" w:rsidRPr="00104227">
        <w:rPr>
          <w:rStyle w:val="Refdenotaalpie"/>
          <w:lang w:val="en-US"/>
        </w:rPr>
        <w:footnoteReference w:id="217"/>
      </w:r>
      <w:r w:rsidR="003D6661" w:rsidRPr="00104227">
        <w:rPr>
          <w:lang w:val="en-US"/>
        </w:rPr>
        <w:t xml:space="preserve"> </w:t>
      </w:r>
      <w:bookmarkStart w:id="252" w:name="_Ref524532244"/>
      <w:bookmarkEnd w:id="250"/>
      <w:r w:rsidRPr="00104227">
        <w:rPr>
          <w:lang w:val="en-US"/>
        </w:rPr>
        <w:t>On</w:t>
      </w:r>
      <w:r w:rsidR="003D6661" w:rsidRPr="00104227">
        <w:rPr>
          <w:lang w:val="en-US"/>
        </w:rPr>
        <w:t xml:space="preserve"> </w:t>
      </w:r>
      <w:r w:rsidRPr="00104227">
        <w:rPr>
          <w:lang w:val="en-US"/>
        </w:rPr>
        <w:t>July 13,</w:t>
      </w:r>
      <w:r w:rsidR="003D6661" w:rsidRPr="00104227">
        <w:rPr>
          <w:b/>
          <w:lang w:val="en-US"/>
        </w:rPr>
        <w:t xml:space="preserve"> </w:t>
      </w:r>
      <w:r w:rsidR="003D6661" w:rsidRPr="00104227">
        <w:rPr>
          <w:lang w:val="en-US"/>
        </w:rPr>
        <w:t>2009</w:t>
      </w:r>
      <w:r w:rsidRPr="00104227">
        <w:rPr>
          <w:lang w:val="en-US"/>
        </w:rPr>
        <w:t>,</w:t>
      </w:r>
      <w:r w:rsidR="003D6661" w:rsidRPr="00104227">
        <w:rPr>
          <w:lang w:val="en-US"/>
        </w:rPr>
        <w:t xml:space="preserve"> </w:t>
      </w:r>
      <w:r w:rsidRPr="00104227">
        <w:rPr>
          <w:lang w:val="en-US"/>
        </w:rPr>
        <w:t>the FEVIM</w:t>
      </w:r>
      <w:r w:rsidR="003D6661" w:rsidRPr="00104227">
        <w:rPr>
          <w:lang w:val="en-US"/>
        </w:rPr>
        <w:t xml:space="preserve"> “</w:t>
      </w:r>
      <w:r w:rsidR="00B47A89" w:rsidRPr="00104227">
        <w:rPr>
          <w:lang w:val="en-US"/>
        </w:rPr>
        <w:t>waived jurisdiction</w:t>
      </w:r>
      <w:r w:rsidRPr="00104227">
        <w:rPr>
          <w:lang w:val="en-US"/>
        </w:rPr>
        <w:t xml:space="preserve"> </w:t>
      </w:r>
      <w:r w:rsidRPr="00104227">
        <w:rPr>
          <w:i/>
          <w:iCs/>
          <w:lang w:val="en-US"/>
        </w:rPr>
        <w:t>ex officio</w:t>
      </w:r>
      <w:r w:rsidRPr="00104227">
        <w:rPr>
          <w:lang w:val="en-US"/>
        </w:rPr>
        <w:t xml:space="preserve">” because </w:t>
      </w:r>
      <w:r w:rsidR="003D6661" w:rsidRPr="00104227">
        <w:rPr>
          <w:lang w:val="en-US"/>
        </w:rPr>
        <w:t>“[</w:t>
      </w:r>
      <w:r w:rsidRPr="00104227">
        <w:rPr>
          <w:lang w:val="en-US"/>
        </w:rPr>
        <w:t>t</w:t>
      </w:r>
      <w:r w:rsidR="003D6661" w:rsidRPr="00104227">
        <w:rPr>
          <w:lang w:val="en-US"/>
        </w:rPr>
        <w:t>]</w:t>
      </w:r>
      <w:r w:rsidRPr="00104227">
        <w:rPr>
          <w:lang w:val="en-US"/>
        </w:rPr>
        <w:t xml:space="preserve">he statements reveal that the public servants who intervened in the acts that probably constituted offenses </w:t>
      </w:r>
      <w:r w:rsidR="003D6661" w:rsidRPr="00104227">
        <w:rPr>
          <w:lang w:val="en-US"/>
        </w:rPr>
        <w:t xml:space="preserve">[…] </w:t>
      </w:r>
      <w:r w:rsidRPr="00104227">
        <w:rPr>
          <w:lang w:val="en-US"/>
        </w:rPr>
        <w:t xml:space="preserve">belong to police forces of the state of </w:t>
      </w:r>
      <w:r w:rsidR="00BF5241" w:rsidRPr="00104227">
        <w:rPr>
          <w:lang w:val="en-US"/>
        </w:rPr>
        <w:t>Mexico</w:t>
      </w:r>
      <w:r w:rsidR="003D6661" w:rsidRPr="00104227">
        <w:rPr>
          <w:lang w:val="en-US"/>
        </w:rPr>
        <w:t>”</w:t>
      </w:r>
      <w:r w:rsidR="00BF5241" w:rsidRPr="00104227">
        <w:rPr>
          <w:lang w:val="en-US"/>
        </w:rPr>
        <w:t xml:space="preserve"> and </w:t>
      </w:r>
      <w:r w:rsidR="003D6661" w:rsidRPr="00104227">
        <w:rPr>
          <w:lang w:val="en-US"/>
        </w:rPr>
        <w:t>“</w:t>
      </w:r>
      <w:r w:rsidRPr="00104227">
        <w:rPr>
          <w:lang w:val="en-US"/>
        </w:rPr>
        <w:t>there is no</w:t>
      </w:r>
      <w:r w:rsidR="00AD2F59" w:rsidRPr="00104227">
        <w:rPr>
          <w:lang w:val="en-US"/>
        </w:rPr>
        <w:t xml:space="preserve"> </w:t>
      </w:r>
      <w:r w:rsidRPr="00104227">
        <w:rPr>
          <w:lang w:val="en-US"/>
        </w:rPr>
        <w:t>evidence of the participation of federal public servants […] in the acts of torture suffered by the victims and that are the acts that this office investigated.</w:t>
      </w:r>
      <w:r w:rsidR="003D6661" w:rsidRPr="00104227">
        <w:rPr>
          <w:lang w:val="en-US"/>
        </w:rPr>
        <w:t>”</w:t>
      </w:r>
      <w:r w:rsidR="003D6661" w:rsidRPr="00104227">
        <w:rPr>
          <w:rStyle w:val="Refdenotaalpie"/>
          <w:lang w:val="en-US"/>
        </w:rPr>
        <w:footnoteReference w:id="218"/>
      </w:r>
      <w:r w:rsidR="003D6661" w:rsidRPr="00104227">
        <w:rPr>
          <w:lang w:val="en-US"/>
        </w:rPr>
        <w:t xml:space="preserve"> </w:t>
      </w:r>
      <w:r w:rsidRPr="00104227">
        <w:rPr>
          <w:lang w:val="en-US"/>
        </w:rPr>
        <w:t xml:space="preserve">Consequently, it considered that the facts </w:t>
      </w:r>
      <w:r w:rsidR="005957F8" w:rsidRPr="00104227">
        <w:rPr>
          <w:lang w:val="en-US"/>
        </w:rPr>
        <w:t>fell</w:t>
      </w:r>
      <w:r w:rsidRPr="00104227">
        <w:rPr>
          <w:lang w:val="en-US"/>
        </w:rPr>
        <w:t xml:space="preserve"> under “</w:t>
      </w:r>
      <w:r w:rsidR="005957F8" w:rsidRPr="00104227">
        <w:rPr>
          <w:lang w:val="en-US"/>
        </w:rPr>
        <w:t xml:space="preserve">common rather than </w:t>
      </w:r>
      <w:r w:rsidRPr="00104227">
        <w:rPr>
          <w:lang w:val="en-US"/>
        </w:rPr>
        <w:t>federal</w:t>
      </w:r>
      <w:r w:rsidR="005957F8" w:rsidRPr="00104227">
        <w:rPr>
          <w:lang w:val="en-US"/>
        </w:rPr>
        <w:t xml:space="preserve"> law</w:t>
      </w:r>
      <w:r w:rsidRPr="00104227">
        <w:rPr>
          <w:lang w:val="en-US"/>
        </w:rPr>
        <w:t xml:space="preserve">” and </w:t>
      </w:r>
      <w:r w:rsidR="005957F8" w:rsidRPr="00104227">
        <w:rPr>
          <w:lang w:val="en-US"/>
        </w:rPr>
        <w:t>thus under</w:t>
      </w:r>
      <w:r w:rsidRPr="00104227">
        <w:rPr>
          <w:lang w:val="en-US"/>
        </w:rPr>
        <w:t xml:space="preserve"> the </w:t>
      </w:r>
      <w:r w:rsidR="00AD2F59" w:rsidRPr="00104227">
        <w:rPr>
          <w:lang w:val="en-US"/>
        </w:rPr>
        <w:t>jurisdiction</w:t>
      </w:r>
      <w:r w:rsidRPr="00104227">
        <w:rPr>
          <w:lang w:val="en-US"/>
        </w:rPr>
        <w:t xml:space="preserve"> of the investigative organs of the state of Mexico where the wrongful acts </w:t>
      </w:r>
      <w:r w:rsidR="005957F8" w:rsidRPr="00104227">
        <w:rPr>
          <w:lang w:val="en-US"/>
        </w:rPr>
        <w:t>had taken</w:t>
      </w:r>
      <w:r w:rsidRPr="00104227">
        <w:rPr>
          <w:lang w:val="en-US"/>
        </w:rPr>
        <w:t xml:space="preserve"> place. Despite this conclusion, in the decision </w:t>
      </w:r>
      <w:r w:rsidR="007F7D35" w:rsidRPr="00104227">
        <w:rPr>
          <w:lang w:val="en-US"/>
        </w:rPr>
        <w:t>waiving</w:t>
      </w:r>
      <w:r w:rsidRPr="00104227">
        <w:rPr>
          <w:lang w:val="en-US"/>
        </w:rPr>
        <w:t xml:space="preserve"> </w:t>
      </w:r>
      <w:r w:rsidR="00AD2F59" w:rsidRPr="00104227">
        <w:rPr>
          <w:lang w:val="en-US"/>
        </w:rPr>
        <w:t>jurisdiction</w:t>
      </w:r>
      <w:r w:rsidRPr="00104227">
        <w:rPr>
          <w:lang w:val="en-US"/>
        </w:rPr>
        <w:t xml:space="preserve">, the FEVIM </w:t>
      </w:r>
      <w:r w:rsidR="007F7D35" w:rsidRPr="00104227">
        <w:rPr>
          <w:lang w:val="en-US"/>
        </w:rPr>
        <w:t>indicated</w:t>
      </w:r>
      <w:r w:rsidRPr="00104227">
        <w:rPr>
          <w:lang w:val="en-US"/>
        </w:rPr>
        <w:t xml:space="preserve"> that it had established th</w:t>
      </w:r>
      <w:r w:rsidR="007F7D35" w:rsidRPr="00104227">
        <w:rPr>
          <w:lang w:val="en-US"/>
        </w:rPr>
        <w:t xml:space="preserve">at </w:t>
      </w:r>
      <w:r w:rsidRPr="00104227">
        <w:rPr>
          <w:lang w:val="en-US"/>
        </w:rPr>
        <w:t xml:space="preserve">the </w:t>
      </w:r>
      <w:r w:rsidRPr="00104227">
        <w:rPr>
          <w:i/>
          <w:iCs/>
          <w:lang w:val="en-US"/>
        </w:rPr>
        <w:t>corpus delicti</w:t>
      </w:r>
      <w:r w:rsidRPr="00104227">
        <w:rPr>
          <w:lang w:val="en-US"/>
        </w:rPr>
        <w:t xml:space="preserve"> of torture and egregious violations of the human rights of the women</w:t>
      </w:r>
      <w:r w:rsidR="007F7D35" w:rsidRPr="00104227">
        <w:rPr>
          <w:lang w:val="en-US"/>
        </w:rPr>
        <w:t xml:space="preserve"> had been proved</w:t>
      </w:r>
      <w:r w:rsidRPr="00104227">
        <w:rPr>
          <w:lang w:val="en-US"/>
        </w:rPr>
        <w:t>, as well as the probable participation of at least 34 members of the state police forces.</w:t>
      </w:r>
      <w:r w:rsidR="003D6661" w:rsidRPr="00104227">
        <w:rPr>
          <w:rStyle w:val="Refdenotaalpie"/>
          <w:rFonts w:eastAsiaTheme="minorHAnsi" w:cs="Arial"/>
          <w:lang w:val="en-US"/>
        </w:rPr>
        <w:footnoteReference w:id="219"/>
      </w:r>
      <w:bookmarkEnd w:id="251"/>
      <w:bookmarkEnd w:id="252"/>
    </w:p>
    <w:p w14:paraId="62543E19" w14:textId="77777777" w:rsidR="003D6661" w:rsidRPr="00104227" w:rsidRDefault="003D6661" w:rsidP="00E4619F">
      <w:pPr>
        <w:tabs>
          <w:tab w:val="left" w:pos="567"/>
        </w:tabs>
        <w:rPr>
          <w:b/>
          <w:color w:val="00B050"/>
        </w:rPr>
      </w:pPr>
    </w:p>
    <w:p w14:paraId="6BCB8B02" w14:textId="77777777" w:rsidR="00FF5F16" w:rsidRPr="00104227" w:rsidRDefault="00FF5F16" w:rsidP="00E4619F">
      <w:pPr>
        <w:pStyle w:val="Ttulo1"/>
        <w:tabs>
          <w:tab w:val="left" w:pos="567"/>
        </w:tabs>
        <w:rPr>
          <w:spacing w:val="-4"/>
        </w:rPr>
      </w:pPr>
      <w:bookmarkStart w:id="253" w:name="_Toc527464920"/>
      <w:bookmarkStart w:id="254" w:name="_Toc31290584"/>
      <w:r w:rsidRPr="00104227">
        <w:rPr>
          <w:spacing w:val="-4"/>
        </w:rPr>
        <w:t>IX</w:t>
      </w:r>
      <w:bookmarkEnd w:id="253"/>
      <w:bookmarkEnd w:id="254"/>
    </w:p>
    <w:p w14:paraId="7AA0BF30" w14:textId="395CA4AA" w:rsidR="00FF5F16" w:rsidRPr="00104227" w:rsidRDefault="00852707" w:rsidP="00E4619F">
      <w:pPr>
        <w:pStyle w:val="Ttulo1"/>
        <w:tabs>
          <w:tab w:val="left" w:pos="567"/>
        </w:tabs>
        <w:rPr>
          <w:spacing w:val="-4"/>
        </w:rPr>
      </w:pPr>
      <w:bookmarkStart w:id="255" w:name="_Toc31290585"/>
      <w:r w:rsidRPr="00104227">
        <w:rPr>
          <w:spacing w:val="-4"/>
        </w:rPr>
        <w:t>MERITS</w:t>
      </w:r>
      <w:bookmarkEnd w:id="255"/>
    </w:p>
    <w:p w14:paraId="6691AEAB" w14:textId="77777777" w:rsidR="00FF5F16" w:rsidRPr="00104227" w:rsidRDefault="00FF5F16" w:rsidP="00E4619F">
      <w:pPr>
        <w:tabs>
          <w:tab w:val="left" w:pos="567"/>
        </w:tabs>
        <w:rPr>
          <w:lang w:eastAsia="es-MX"/>
        </w:rPr>
      </w:pPr>
    </w:p>
    <w:p w14:paraId="05FBDA02" w14:textId="68D6952C" w:rsidR="003F4E48" w:rsidRPr="00104227" w:rsidRDefault="00AD2F59" w:rsidP="00E4619F">
      <w:pPr>
        <w:pStyle w:val="Numberedparagraphs"/>
        <w:tabs>
          <w:tab w:val="left" w:pos="567"/>
        </w:tabs>
        <w:rPr>
          <w:lang w:val="en-US"/>
        </w:rPr>
      </w:pPr>
      <w:r w:rsidRPr="00104227">
        <w:rPr>
          <w:lang w:val="en-US"/>
        </w:rPr>
        <w:t xml:space="preserve">The instant case relates to </w:t>
      </w:r>
      <w:r w:rsidR="00CA43B0" w:rsidRPr="00104227">
        <w:rPr>
          <w:lang w:val="en-US"/>
        </w:rPr>
        <w:t>the international responsibility</w:t>
      </w:r>
      <w:r w:rsidR="002826A6" w:rsidRPr="00104227">
        <w:rPr>
          <w:lang w:val="en-US"/>
        </w:rPr>
        <w:t xml:space="preserve"> of the </w:t>
      </w:r>
      <w:r w:rsidR="00AC3BFC" w:rsidRPr="00104227">
        <w:rPr>
          <w:lang w:val="en-US"/>
        </w:rPr>
        <w:t>Mexican State</w:t>
      </w:r>
      <w:r w:rsidR="003F4E48" w:rsidRPr="00104227">
        <w:rPr>
          <w:lang w:val="en-US"/>
        </w:rPr>
        <w:t xml:space="preserve"> </w:t>
      </w:r>
      <w:r w:rsidR="00CA43B0" w:rsidRPr="00104227">
        <w:rPr>
          <w:lang w:val="en-US"/>
        </w:rPr>
        <w:t>for the conduct of state agents before, during and after a social protest that took place in</w:t>
      </w:r>
      <w:r w:rsidR="003F4E48" w:rsidRPr="00104227">
        <w:rPr>
          <w:lang w:val="en-US"/>
        </w:rPr>
        <w:t xml:space="preserve"> </w:t>
      </w:r>
      <w:r w:rsidR="008C6D02" w:rsidRPr="00104227">
        <w:rPr>
          <w:lang w:val="en-US"/>
        </w:rPr>
        <w:t>the municipalities of</w:t>
      </w:r>
      <w:r w:rsidR="003F4E48" w:rsidRPr="00104227">
        <w:rPr>
          <w:lang w:val="en-US"/>
        </w:rPr>
        <w:t xml:space="preserve"> Texcoco</w:t>
      </w:r>
      <w:r w:rsidR="00BF5241" w:rsidRPr="00104227">
        <w:rPr>
          <w:lang w:val="en-US"/>
        </w:rPr>
        <w:t xml:space="preserve"> and </w:t>
      </w:r>
      <w:r w:rsidR="003F4E48" w:rsidRPr="00104227">
        <w:rPr>
          <w:lang w:val="en-US"/>
        </w:rPr>
        <w:t xml:space="preserve">San Salvador de Atenco </w:t>
      </w:r>
      <w:r w:rsidR="00CA43B0" w:rsidRPr="00104227">
        <w:rPr>
          <w:lang w:val="en-US"/>
        </w:rPr>
        <w:t>in May</w:t>
      </w:r>
      <w:r w:rsidR="003F4E48" w:rsidRPr="00104227">
        <w:rPr>
          <w:lang w:val="en-US"/>
        </w:rPr>
        <w:t xml:space="preserve"> 2006. </w:t>
      </w:r>
      <w:r w:rsidR="00CA43B0" w:rsidRPr="00104227">
        <w:rPr>
          <w:lang w:val="en-US"/>
        </w:rPr>
        <w:t>In p</w:t>
      </w:r>
      <w:r w:rsidR="003F4E48" w:rsidRPr="00104227">
        <w:rPr>
          <w:lang w:val="en-US"/>
        </w:rPr>
        <w:t xml:space="preserve">articular, </w:t>
      </w:r>
      <w:r w:rsidR="00CA43B0" w:rsidRPr="00104227">
        <w:rPr>
          <w:lang w:val="en-US"/>
        </w:rPr>
        <w:t xml:space="preserve">the case refers to the detention and police abuse, including </w:t>
      </w:r>
      <w:r w:rsidR="00814266" w:rsidRPr="00104227">
        <w:rPr>
          <w:lang w:val="en-US"/>
        </w:rPr>
        <w:t xml:space="preserve">sexual </w:t>
      </w:r>
      <w:r w:rsidR="00CA43B0" w:rsidRPr="00104227">
        <w:rPr>
          <w:lang w:val="en-US"/>
        </w:rPr>
        <w:t xml:space="preserve">abuse, of eleven women who were </w:t>
      </w:r>
      <w:r w:rsidR="007F7D35" w:rsidRPr="00104227">
        <w:rPr>
          <w:lang w:val="en-US"/>
        </w:rPr>
        <w:t>arrested</w:t>
      </w:r>
      <w:r w:rsidR="00CA43B0" w:rsidRPr="00104227">
        <w:rPr>
          <w:lang w:val="en-US"/>
        </w:rPr>
        <w:t xml:space="preserve"> in the context of that event, as well as the presumed absence of a proper investigation of the facts.</w:t>
      </w:r>
    </w:p>
    <w:p w14:paraId="39FC51CC" w14:textId="77777777" w:rsidR="003F4E48" w:rsidRPr="00104227" w:rsidRDefault="003F4E48" w:rsidP="00E4619F">
      <w:pPr>
        <w:tabs>
          <w:tab w:val="left" w:pos="567"/>
        </w:tabs>
        <w:rPr>
          <w:lang w:eastAsia="es-MX"/>
        </w:rPr>
      </w:pPr>
    </w:p>
    <w:p w14:paraId="68B972FE" w14:textId="0A78B8A8" w:rsidR="00E8115C" w:rsidRPr="00104227" w:rsidRDefault="00CA43B0" w:rsidP="00CA43B0">
      <w:pPr>
        <w:pStyle w:val="Numberedparagraphs"/>
        <w:tabs>
          <w:tab w:val="left" w:pos="567"/>
        </w:tabs>
        <w:rPr>
          <w:lang w:val="en-US"/>
        </w:rPr>
      </w:pPr>
      <w:r w:rsidRPr="00104227">
        <w:rPr>
          <w:lang w:val="en-US"/>
        </w:rPr>
        <w:t>In this cha</w:t>
      </w:r>
      <w:r w:rsidR="007F7D35" w:rsidRPr="00104227">
        <w:rPr>
          <w:lang w:val="en-US"/>
        </w:rPr>
        <w:t>p</w:t>
      </w:r>
      <w:r w:rsidRPr="00104227">
        <w:rPr>
          <w:lang w:val="en-US"/>
        </w:rPr>
        <w:t xml:space="preserve">ter, the Court will examine the merits of the case, taking into account the State’s partial acknowledgement of responsibility accepted in Chapter V of this judgment. In order to clarify the scope of </w:t>
      </w:r>
      <w:r w:rsidR="000A14CF" w:rsidRPr="00104227">
        <w:rPr>
          <w:lang w:val="en-US"/>
        </w:rPr>
        <w:t>Mexico’s</w:t>
      </w:r>
      <w:r w:rsidRPr="00104227">
        <w:rPr>
          <w:lang w:val="en-US"/>
        </w:rPr>
        <w:t xml:space="preserve"> international responsibility for the facts of this case, the Court will examine the alleged violations as follows:</w:t>
      </w:r>
      <w:r w:rsidR="006A119B" w:rsidRPr="00104227">
        <w:rPr>
          <w:lang w:val="en-US"/>
        </w:rPr>
        <w:t xml:space="preserve"> (1)</w:t>
      </w:r>
      <w:r w:rsidR="00D820BC" w:rsidRPr="00104227">
        <w:rPr>
          <w:lang w:val="en-US"/>
        </w:rPr>
        <w:t xml:space="preserve"> </w:t>
      </w:r>
      <w:r w:rsidR="007F7D35" w:rsidRPr="00104227">
        <w:rPr>
          <w:lang w:val="en-US"/>
        </w:rPr>
        <w:t xml:space="preserve">the </w:t>
      </w:r>
      <w:r w:rsidRPr="00104227">
        <w:rPr>
          <w:lang w:val="en-US"/>
        </w:rPr>
        <w:t>right</w:t>
      </w:r>
      <w:r w:rsidR="007F7D35" w:rsidRPr="00104227">
        <w:rPr>
          <w:lang w:val="en-US"/>
        </w:rPr>
        <w:t>s</w:t>
      </w:r>
      <w:r w:rsidRPr="00104227">
        <w:rPr>
          <w:lang w:val="en-US"/>
        </w:rPr>
        <w:t xml:space="preserve"> to</w:t>
      </w:r>
      <w:r w:rsidR="00D820BC" w:rsidRPr="00104227">
        <w:rPr>
          <w:lang w:val="en-US"/>
        </w:rPr>
        <w:t xml:space="preserve"> </w:t>
      </w:r>
      <w:r w:rsidR="0094395C" w:rsidRPr="00104227">
        <w:rPr>
          <w:lang w:val="en-US"/>
        </w:rPr>
        <w:t>personal integrity</w:t>
      </w:r>
      <w:r w:rsidR="00D820BC" w:rsidRPr="00104227">
        <w:rPr>
          <w:lang w:val="en-US"/>
        </w:rPr>
        <w:t xml:space="preserve">, </w:t>
      </w:r>
      <w:r w:rsidRPr="00104227">
        <w:rPr>
          <w:lang w:val="en-US"/>
        </w:rPr>
        <w:t>dignity</w:t>
      </w:r>
      <w:r w:rsidR="00BF5241" w:rsidRPr="00104227">
        <w:rPr>
          <w:lang w:val="en-US"/>
        </w:rPr>
        <w:t xml:space="preserve"> and </w:t>
      </w:r>
      <w:r w:rsidR="0094395C" w:rsidRPr="00104227">
        <w:rPr>
          <w:lang w:val="en-US"/>
        </w:rPr>
        <w:t>privacy</w:t>
      </w:r>
      <w:r w:rsidR="00BF5241" w:rsidRPr="00104227">
        <w:rPr>
          <w:color w:val="00B050"/>
          <w:lang w:val="en-US"/>
        </w:rPr>
        <w:t xml:space="preserve"> </w:t>
      </w:r>
      <w:r w:rsidR="00BF5241" w:rsidRPr="00104227">
        <w:rPr>
          <w:color w:val="auto"/>
          <w:lang w:val="en-US"/>
        </w:rPr>
        <w:t>and</w:t>
      </w:r>
      <w:r w:rsidR="00BF5241" w:rsidRPr="00104227">
        <w:rPr>
          <w:color w:val="00B050"/>
          <w:lang w:val="en-US"/>
        </w:rPr>
        <w:t xml:space="preserve"> </w:t>
      </w:r>
      <w:r w:rsidRPr="00104227">
        <w:rPr>
          <w:lang w:val="en-US"/>
        </w:rPr>
        <w:t>the prohibition of</w:t>
      </w:r>
      <w:r w:rsidR="00D820BC" w:rsidRPr="00104227">
        <w:rPr>
          <w:lang w:val="en-US"/>
        </w:rPr>
        <w:t xml:space="preserve"> </w:t>
      </w:r>
      <w:r w:rsidR="00BC5201" w:rsidRPr="00104227">
        <w:rPr>
          <w:lang w:val="en-US"/>
        </w:rPr>
        <w:t>torture</w:t>
      </w:r>
      <w:r w:rsidR="00D820BC" w:rsidRPr="00104227">
        <w:rPr>
          <w:lang w:val="en-US"/>
        </w:rPr>
        <w:t xml:space="preserve"> </w:t>
      </w:r>
      <w:r w:rsidR="007F7D35" w:rsidRPr="00104227">
        <w:rPr>
          <w:lang w:val="en-US"/>
        </w:rPr>
        <w:t>in connection with</w:t>
      </w:r>
      <w:r w:rsidR="00D820BC" w:rsidRPr="00104227">
        <w:rPr>
          <w:lang w:val="en-US"/>
        </w:rPr>
        <w:t xml:space="preserve"> </w:t>
      </w:r>
      <w:r w:rsidRPr="00104227">
        <w:rPr>
          <w:lang w:val="en-US"/>
        </w:rPr>
        <w:t>the obligation to respect and guarantee, without discrimination, the rights</w:t>
      </w:r>
      <w:r w:rsidR="00D820BC" w:rsidRPr="00104227">
        <w:rPr>
          <w:lang w:val="en-US"/>
        </w:rPr>
        <w:t xml:space="preserve"> </w:t>
      </w:r>
      <w:r w:rsidR="005E29A3" w:rsidRPr="00104227">
        <w:rPr>
          <w:lang w:val="en-US"/>
        </w:rPr>
        <w:t>recognized in</w:t>
      </w:r>
      <w:r w:rsidR="00D820BC" w:rsidRPr="00104227">
        <w:rPr>
          <w:lang w:val="en-US"/>
        </w:rPr>
        <w:t xml:space="preserve"> </w:t>
      </w:r>
      <w:r w:rsidR="00BF5241" w:rsidRPr="00104227">
        <w:rPr>
          <w:lang w:val="en-US"/>
        </w:rPr>
        <w:t>Articles</w:t>
      </w:r>
      <w:r w:rsidR="00D820BC" w:rsidRPr="00104227">
        <w:rPr>
          <w:lang w:val="en-US"/>
        </w:rPr>
        <w:t xml:space="preserve"> 5</w:t>
      </w:r>
      <w:r w:rsidR="00BF5241" w:rsidRPr="00104227">
        <w:rPr>
          <w:lang w:val="en-US"/>
        </w:rPr>
        <w:t xml:space="preserve"> and </w:t>
      </w:r>
      <w:r w:rsidR="00D820BC" w:rsidRPr="00104227">
        <w:rPr>
          <w:lang w:val="en-US"/>
        </w:rPr>
        <w:t>11</w:t>
      </w:r>
      <w:r w:rsidR="00BF5241" w:rsidRPr="00104227">
        <w:rPr>
          <w:lang w:val="en-US"/>
        </w:rPr>
        <w:t xml:space="preserve"> of the American Convention</w:t>
      </w:r>
      <w:r w:rsidR="00D820BC" w:rsidRPr="00104227">
        <w:rPr>
          <w:lang w:val="en-US"/>
        </w:rPr>
        <w:t xml:space="preserve">, </w:t>
      </w:r>
      <w:r w:rsidR="00C2124F" w:rsidRPr="00104227">
        <w:rPr>
          <w:lang w:val="en-US"/>
        </w:rPr>
        <w:t>in relation to Article 1(1)</w:t>
      </w:r>
      <w:r w:rsidR="00D820BC" w:rsidRPr="00104227">
        <w:rPr>
          <w:lang w:val="en-US"/>
        </w:rPr>
        <w:t xml:space="preserve"> </w:t>
      </w:r>
      <w:r w:rsidRPr="00104227">
        <w:rPr>
          <w:lang w:val="en-US"/>
        </w:rPr>
        <w:t>of this instrument</w:t>
      </w:r>
      <w:r w:rsidR="00071AB2" w:rsidRPr="00104227">
        <w:rPr>
          <w:lang w:val="en-US"/>
        </w:rPr>
        <w:t>, a</w:t>
      </w:r>
      <w:r w:rsidRPr="00104227">
        <w:rPr>
          <w:lang w:val="en-US"/>
        </w:rPr>
        <w:t>s well as</w:t>
      </w:r>
      <w:r w:rsidR="00071AB2" w:rsidRPr="00104227">
        <w:rPr>
          <w:lang w:val="en-US"/>
        </w:rPr>
        <w:t xml:space="preserve"> </w:t>
      </w:r>
      <w:r w:rsidR="00BF5241" w:rsidRPr="00104227">
        <w:rPr>
          <w:lang w:val="en-US"/>
        </w:rPr>
        <w:t>Articles</w:t>
      </w:r>
      <w:r w:rsidR="00D820BC" w:rsidRPr="00104227">
        <w:rPr>
          <w:lang w:val="en-US"/>
        </w:rPr>
        <w:t xml:space="preserve"> </w:t>
      </w:r>
      <w:r w:rsidRPr="00104227">
        <w:rPr>
          <w:lang w:val="en-US"/>
        </w:rPr>
        <w:t>7(a)</w:t>
      </w:r>
      <w:r w:rsidR="00BF5241" w:rsidRPr="00104227">
        <w:rPr>
          <w:lang w:val="en-US"/>
        </w:rPr>
        <w:t xml:space="preserve"> of the Convention</w:t>
      </w:r>
      <w:r w:rsidR="00D820BC" w:rsidRPr="00104227">
        <w:rPr>
          <w:lang w:val="en-US"/>
        </w:rPr>
        <w:t xml:space="preserve"> </w:t>
      </w:r>
      <w:r w:rsidR="0094395C" w:rsidRPr="00104227">
        <w:rPr>
          <w:lang w:val="en-US"/>
        </w:rPr>
        <w:t>of Belém</w:t>
      </w:r>
      <w:r w:rsidR="00D820BC" w:rsidRPr="00104227">
        <w:rPr>
          <w:lang w:val="en-US"/>
        </w:rPr>
        <w:t xml:space="preserve"> do Pará</w:t>
      </w:r>
      <w:r w:rsidR="00BF5241" w:rsidRPr="00104227">
        <w:rPr>
          <w:lang w:val="en-US"/>
        </w:rPr>
        <w:t xml:space="preserve"> and </w:t>
      </w:r>
      <w:r w:rsidR="00D820BC" w:rsidRPr="00104227">
        <w:rPr>
          <w:lang w:val="en-US"/>
        </w:rPr>
        <w:t>1</w:t>
      </w:r>
      <w:r w:rsidR="00BF5241" w:rsidRPr="00104227">
        <w:rPr>
          <w:lang w:val="en-US"/>
        </w:rPr>
        <w:t xml:space="preserve"> and </w:t>
      </w:r>
      <w:r w:rsidR="00D820BC" w:rsidRPr="00104227">
        <w:rPr>
          <w:lang w:val="en-US"/>
        </w:rPr>
        <w:t>6</w:t>
      </w:r>
      <w:r w:rsidR="00BF5241" w:rsidRPr="00104227">
        <w:rPr>
          <w:lang w:val="en-US"/>
        </w:rPr>
        <w:t xml:space="preserve"> of the </w:t>
      </w:r>
      <w:r w:rsidR="007E2382" w:rsidRPr="00104227">
        <w:rPr>
          <w:lang w:val="en-US"/>
        </w:rPr>
        <w:t>Inter-American Convention against Torture</w:t>
      </w:r>
      <w:r w:rsidR="006A119B" w:rsidRPr="00104227">
        <w:rPr>
          <w:lang w:val="en-US"/>
        </w:rPr>
        <w:t xml:space="preserve">; (2) </w:t>
      </w:r>
      <w:r w:rsidRPr="00104227">
        <w:rPr>
          <w:lang w:val="en-US"/>
        </w:rPr>
        <w:t>the right to</w:t>
      </w:r>
      <w:r w:rsidR="00D820BC" w:rsidRPr="00104227">
        <w:rPr>
          <w:lang w:val="en-US"/>
        </w:rPr>
        <w:t xml:space="preserve"> </w:t>
      </w:r>
      <w:r w:rsidR="0094395C" w:rsidRPr="00104227">
        <w:rPr>
          <w:lang w:val="en-US"/>
        </w:rPr>
        <w:t>personal liberty</w:t>
      </w:r>
      <w:r w:rsidR="00BF5241" w:rsidRPr="00104227">
        <w:rPr>
          <w:lang w:val="en-US"/>
        </w:rPr>
        <w:t xml:space="preserve"> and </w:t>
      </w:r>
      <w:r w:rsidRPr="00104227">
        <w:rPr>
          <w:lang w:val="en-US"/>
        </w:rPr>
        <w:t xml:space="preserve">the right </w:t>
      </w:r>
      <w:r w:rsidR="007F7D35" w:rsidRPr="00104227">
        <w:rPr>
          <w:lang w:val="en-US"/>
        </w:rPr>
        <w:t>of</w:t>
      </w:r>
      <w:r w:rsidR="00D820BC" w:rsidRPr="00104227">
        <w:rPr>
          <w:lang w:val="en-US"/>
        </w:rPr>
        <w:t xml:space="preserve"> defens</w:t>
      </w:r>
      <w:r w:rsidR="007F7D35" w:rsidRPr="00104227">
        <w:rPr>
          <w:lang w:val="en-US"/>
        </w:rPr>
        <w:t>e</w:t>
      </w:r>
      <w:r w:rsidR="00D820BC" w:rsidRPr="00104227">
        <w:rPr>
          <w:lang w:val="en-US"/>
        </w:rPr>
        <w:t xml:space="preserve"> </w:t>
      </w:r>
      <w:r w:rsidR="005E29A3" w:rsidRPr="00104227">
        <w:rPr>
          <w:lang w:val="en-US"/>
        </w:rPr>
        <w:t>recognized in</w:t>
      </w:r>
      <w:r w:rsidR="00D820BC" w:rsidRPr="00104227">
        <w:rPr>
          <w:lang w:val="en-US"/>
        </w:rPr>
        <w:t xml:space="preserve"> </w:t>
      </w:r>
      <w:r w:rsidR="00BF5241" w:rsidRPr="00104227">
        <w:rPr>
          <w:lang w:val="en-US"/>
        </w:rPr>
        <w:t>Articles</w:t>
      </w:r>
      <w:r w:rsidR="00D820BC" w:rsidRPr="00104227">
        <w:rPr>
          <w:lang w:val="en-US"/>
        </w:rPr>
        <w:t xml:space="preserve"> 7</w:t>
      </w:r>
      <w:r w:rsidR="00BF5241" w:rsidRPr="00104227">
        <w:rPr>
          <w:lang w:val="en-US"/>
        </w:rPr>
        <w:t xml:space="preserve"> and </w:t>
      </w:r>
      <w:r w:rsidR="00D820BC" w:rsidRPr="00104227">
        <w:rPr>
          <w:lang w:val="en-US"/>
        </w:rPr>
        <w:t>8</w:t>
      </w:r>
      <w:r w:rsidR="00BF5241" w:rsidRPr="00104227">
        <w:rPr>
          <w:lang w:val="en-US"/>
        </w:rPr>
        <w:t xml:space="preserve"> of the American Convention</w:t>
      </w:r>
      <w:r w:rsidR="00D820BC" w:rsidRPr="00104227">
        <w:rPr>
          <w:lang w:val="en-US"/>
        </w:rPr>
        <w:t xml:space="preserve">, </w:t>
      </w:r>
      <w:r w:rsidR="00C2124F" w:rsidRPr="00104227">
        <w:rPr>
          <w:lang w:val="en-US"/>
        </w:rPr>
        <w:t xml:space="preserve">in relation to </w:t>
      </w:r>
      <w:r w:rsidR="00C2124F" w:rsidRPr="00104227">
        <w:rPr>
          <w:lang w:val="en-US"/>
        </w:rPr>
        <w:lastRenderedPageBreak/>
        <w:t>Article 1(1)</w:t>
      </w:r>
      <w:r w:rsidR="00D820BC" w:rsidRPr="00104227">
        <w:rPr>
          <w:lang w:val="en-US"/>
        </w:rPr>
        <w:t xml:space="preserve"> </w:t>
      </w:r>
      <w:r w:rsidRPr="00104227">
        <w:rPr>
          <w:lang w:val="en-US"/>
        </w:rPr>
        <w:t>of this instrument</w:t>
      </w:r>
      <w:r w:rsidR="006A119B" w:rsidRPr="00104227">
        <w:rPr>
          <w:lang w:val="en-US"/>
        </w:rPr>
        <w:t xml:space="preserve">; (3) </w:t>
      </w:r>
      <w:r w:rsidRPr="00104227">
        <w:rPr>
          <w:lang w:val="en-US"/>
        </w:rPr>
        <w:t>the rights to</w:t>
      </w:r>
      <w:r w:rsidR="00D820BC" w:rsidRPr="00104227">
        <w:rPr>
          <w:lang w:val="en-US"/>
        </w:rPr>
        <w:t xml:space="preserve"> </w:t>
      </w:r>
      <w:r w:rsidR="0094395C" w:rsidRPr="00104227">
        <w:rPr>
          <w:lang w:val="en-US"/>
        </w:rPr>
        <w:t>judicial guarantees</w:t>
      </w:r>
      <w:r w:rsidR="00BF5241" w:rsidRPr="00104227">
        <w:rPr>
          <w:lang w:val="en-US"/>
        </w:rPr>
        <w:t xml:space="preserve"> and</w:t>
      </w:r>
      <w:r w:rsidR="00D820BC" w:rsidRPr="00104227">
        <w:rPr>
          <w:lang w:val="en-US"/>
        </w:rPr>
        <w:t xml:space="preserve"> </w:t>
      </w:r>
      <w:r w:rsidR="00E466FA" w:rsidRPr="00104227">
        <w:rPr>
          <w:lang w:val="en-US"/>
        </w:rPr>
        <w:t>judicial protection</w:t>
      </w:r>
      <w:r w:rsidR="00D820BC" w:rsidRPr="00104227">
        <w:rPr>
          <w:lang w:val="en-US"/>
        </w:rPr>
        <w:t xml:space="preserve"> </w:t>
      </w:r>
      <w:r w:rsidR="005E29A3" w:rsidRPr="00104227">
        <w:rPr>
          <w:lang w:val="en-US"/>
        </w:rPr>
        <w:t>recognized in</w:t>
      </w:r>
      <w:r w:rsidR="00D820BC" w:rsidRPr="00104227">
        <w:rPr>
          <w:lang w:val="en-US"/>
        </w:rPr>
        <w:t xml:space="preserve"> </w:t>
      </w:r>
      <w:r w:rsidR="00BF5241" w:rsidRPr="00104227">
        <w:rPr>
          <w:lang w:val="en-US"/>
        </w:rPr>
        <w:t>Articles</w:t>
      </w:r>
      <w:r w:rsidR="00D820BC" w:rsidRPr="00104227">
        <w:rPr>
          <w:lang w:val="en-US"/>
        </w:rPr>
        <w:t xml:space="preserve"> </w:t>
      </w:r>
      <w:r w:rsidR="0094395C" w:rsidRPr="00104227">
        <w:rPr>
          <w:lang w:val="en-US"/>
        </w:rPr>
        <w:t>8(1)</w:t>
      </w:r>
      <w:r w:rsidR="00BF5241" w:rsidRPr="00104227">
        <w:rPr>
          <w:lang w:val="en-US"/>
        </w:rPr>
        <w:t xml:space="preserve"> and </w:t>
      </w:r>
      <w:r w:rsidR="00D820BC" w:rsidRPr="00104227">
        <w:rPr>
          <w:lang w:val="en-US"/>
        </w:rPr>
        <w:t>2</w:t>
      </w:r>
      <w:r w:rsidR="0094395C" w:rsidRPr="00104227">
        <w:rPr>
          <w:lang w:val="en-US"/>
        </w:rPr>
        <w:t>5(1)</w:t>
      </w:r>
      <w:r w:rsidR="00BF5241" w:rsidRPr="00104227">
        <w:rPr>
          <w:lang w:val="en-US"/>
        </w:rPr>
        <w:t xml:space="preserve"> of the Convention</w:t>
      </w:r>
      <w:r w:rsidR="00D820BC" w:rsidRPr="00104227">
        <w:rPr>
          <w:lang w:val="en-US"/>
        </w:rPr>
        <w:t xml:space="preserve">, </w:t>
      </w:r>
      <w:r w:rsidR="00C2124F" w:rsidRPr="00104227">
        <w:rPr>
          <w:lang w:val="en-US"/>
        </w:rPr>
        <w:t>in relation to Article 1(1)</w:t>
      </w:r>
      <w:r w:rsidR="00D820BC" w:rsidRPr="00104227">
        <w:rPr>
          <w:lang w:val="en-US"/>
        </w:rPr>
        <w:t xml:space="preserve"> </w:t>
      </w:r>
      <w:r w:rsidRPr="00104227">
        <w:rPr>
          <w:lang w:val="en-US"/>
        </w:rPr>
        <w:t>of this instrument</w:t>
      </w:r>
      <w:r w:rsidR="00D820BC" w:rsidRPr="00104227">
        <w:rPr>
          <w:lang w:val="en-US"/>
        </w:rPr>
        <w:t xml:space="preserve">, </w:t>
      </w:r>
      <w:r w:rsidRPr="00104227">
        <w:rPr>
          <w:lang w:val="en-US"/>
        </w:rPr>
        <w:t>as well as</w:t>
      </w:r>
      <w:r w:rsidR="00071AB2" w:rsidRPr="00104227">
        <w:rPr>
          <w:lang w:val="en-US"/>
        </w:rPr>
        <w:t xml:space="preserve"> </w:t>
      </w:r>
      <w:r w:rsidR="00BF5241" w:rsidRPr="00104227">
        <w:rPr>
          <w:lang w:val="en-US"/>
        </w:rPr>
        <w:t>Articles</w:t>
      </w:r>
      <w:r w:rsidR="00071AB2" w:rsidRPr="00104227">
        <w:rPr>
          <w:lang w:val="en-US"/>
        </w:rPr>
        <w:t xml:space="preserve"> 1, 6</w:t>
      </w:r>
      <w:r w:rsidR="00BF5241" w:rsidRPr="00104227">
        <w:rPr>
          <w:lang w:val="en-US"/>
        </w:rPr>
        <w:t xml:space="preserve"> and </w:t>
      </w:r>
      <w:r w:rsidR="00071AB2" w:rsidRPr="00104227">
        <w:rPr>
          <w:lang w:val="en-US"/>
        </w:rPr>
        <w:t>8</w:t>
      </w:r>
      <w:r w:rsidR="00BF5241" w:rsidRPr="00104227">
        <w:rPr>
          <w:lang w:val="en-US"/>
        </w:rPr>
        <w:t xml:space="preserve"> of the </w:t>
      </w:r>
      <w:r w:rsidR="007E2382" w:rsidRPr="00104227">
        <w:rPr>
          <w:lang w:val="en-US"/>
        </w:rPr>
        <w:t>Inter-American Convention against Torture</w:t>
      </w:r>
      <w:r w:rsidR="00BF5241" w:rsidRPr="00104227">
        <w:rPr>
          <w:lang w:val="en-US"/>
        </w:rPr>
        <w:t xml:space="preserve"> and Article</w:t>
      </w:r>
      <w:r w:rsidR="00071AB2" w:rsidRPr="00104227">
        <w:rPr>
          <w:lang w:val="en-US"/>
        </w:rPr>
        <w:t xml:space="preserve"> 7</w:t>
      </w:r>
      <w:r w:rsidR="00BF5241" w:rsidRPr="00104227">
        <w:rPr>
          <w:lang w:val="en-US"/>
        </w:rPr>
        <w:t xml:space="preserve"> of the Convention</w:t>
      </w:r>
      <w:r w:rsidR="00071AB2" w:rsidRPr="00104227">
        <w:rPr>
          <w:lang w:val="en-US"/>
        </w:rPr>
        <w:t xml:space="preserve"> </w:t>
      </w:r>
      <w:r w:rsidR="0094395C" w:rsidRPr="00104227">
        <w:rPr>
          <w:lang w:val="en-US"/>
        </w:rPr>
        <w:t>of Belém</w:t>
      </w:r>
      <w:r w:rsidR="00071AB2" w:rsidRPr="00104227">
        <w:rPr>
          <w:lang w:val="en-US"/>
        </w:rPr>
        <w:t xml:space="preserve"> do Pará, </w:t>
      </w:r>
      <w:r w:rsidRPr="00104227">
        <w:rPr>
          <w:lang w:val="en-US"/>
        </w:rPr>
        <w:t>based on the investigations into the facts of</w:t>
      </w:r>
      <w:r w:rsidR="007F7D35" w:rsidRPr="00104227">
        <w:rPr>
          <w:lang w:val="en-US"/>
        </w:rPr>
        <w:t xml:space="preserve"> </w:t>
      </w:r>
      <w:r w:rsidRPr="00104227">
        <w:rPr>
          <w:lang w:val="en-US"/>
        </w:rPr>
        <w:t>this case</w:t>
      </w:r>
      <w:r w:rsidR="00D820BC" w:rsidRPr="00104227">
        <w:rPr>
          <w:lang w:val="en-US"/>
        </w:rPr>
        <w:t>,</w:t>
      </w:r>
      <w:r w:rsidR="00BF5241" w:rsidRPr="00104227">
        <w:rPr>
          <w:lang w:val="en-US"/>
        </w:rPr>
        <w:t xml:space="preserve"> and </w:t>
      </w:r>
      <w:r w:rsidR="006A119B" w:rsidRPr="00104227">
        <w:rPr>
          <w:lang w:val="en-US"/>
        </w:rPr>
        <w:t xml:space="preserve">(4) </w:t>
      </w:r>
      <w:r w:rsidRPr="00104227">
        <w:rPr>
          <w:lang w:val="en-US"/>
        </w:rPr>
        <w:t xml:space="preserve">the right to </w:t>
      </w:r>
      <w:r w:rsidR="0094395C" w:rsidRPr="00104227">
        <w:rPr>
          <w:lang w:val="en-US"/>
        </w:rPr>
        <w:t>personal integrity</w:t>
      </w:r>
      <w:r w:rsidR="007F1912" w:rsidRPr="00104227">
        <w:rPr>
          <w:lang w:val="en-US"/>
        </w:rPr>
        <w:t xml:space="preserve"> of the </w:t>
      </w:r>
      <w:r w:rsidR="0094395C" w:rsidRPr="00104227">
        <w:rPr>
          <w:lang w:val="en-US"/>
        </w:rPr>
        <w:t>next of kin</w:t>
      </w:r>
      <w:r w:rsidR="006A119B" w:rsidRPr="00104227">
        <w:rPr>
          <w:lang w:val="en-US"/>
        </w:rPr>
        <w:t xml:space="preserve"> </w:t>
      </w:r>
      <w:r w:rsidRPr="00104227">
        <w:rPr>
          <w:lang w:val="en-US"/>
        </w:rPr>
        <w:t>established in</w:t>
      </w:r>
      <w:r w:rsidR="006A119B" w:rsidRPr="00104227">
        <w:rPr>
          <w:lang w:val="en-US"/>
        </w:rPr>
        <w:t xml:space="preserve"> </w:t>
      </w:r>
      <w:r w:rsidR="00BF5241" w:rsidRPr="00104227">
        <w:rPr>
          <w:lang w:val="en-US"/>
        </w:rPr>
        <w:t>Article</w:t>
      </w:r>
      <w:r w:rsidR="006A119B" w:rsidRPr="00104227">
        <w:rPr>
          <w:lang w:val="en-US"/>
        </w:rPr>
        <w:t xml:space="preserve"> 5</w:t>
      </w:r>
      <w:r w:rsidR="00BF5241" w:rsidRPr="00104227">
        <w:rPr>
          <w:lang w:val="en-US"/>
        </w:rPr>
        <w:t xml:space="preserve"> of the American Convention</w:t>
      </w:r>
      <w:r w:rsidR="006A119B" w:rsidRPr="00104227">
        <w:rPr>
          <w:lang w:val="en-US"/>
        </w:rPr>
        <w:t>.</w:t>
      </w:r>
      <w:bookmarkStart w:id="256" w:name="_Hlk527408923"/>
    </w:p>
    <w:p w14:paraId="7016ECBE" w14:textId="77777777" w:rsidR="00E8115C" w:rsidRPr="00104227" w:rsidRDefault="00E8115C" w:rsidP="00E4619F">
      <w:pPr>
        <w:tabs>
          <w:tab w:val="left" w:pos="567"/>
        </w:tabs>
        <w:rPr>
          <w:lang w:eastAsia="es-CR"/>
        </w:rPr>
      </w:pPr>
    </w:p>
    <w:p w14:paraId="3A853168" w14:textId="77777777" w:rsidR="00E8115C" w:rsidRPr="00104227" w:rsidRDefault="00E8115C" w:rsidP="00E4619F">
      <w:pPr>
        <w:pStyle w:val="Ttulo1"/>
        <w:tabs>
          <w:tab w:val="left" w:pos="567"/>
        </w:tabs>
        <w:rPr>
          <w:spacing w:val="-4"/>
          <w:szCs w:val="20"/>
        </w:rPr>
      </w:pPr>
      <w:bookmarkStart w:id="257" w:name="_Toc31290586"/>
      <w:r w:rsidRPr="00104227">
        <w:rPr>
          <w:spacing w:val="-4"/>
          <w:szCs w:val="20"/>
        </w:rPr>
        <w:t>IX-1</w:t>
      </w:r>
      <w:bookmarkEnd w:id="257"/>
    </w:p>
    <w:p w14:paraId="22C52A57" w14:textId="03FCE5A2" w:rsidR="00E8115C" w:rsidRPr="00104227" w:rsidRDefault="00CA43B0" w:rsidP="00E4619F">
      <w:pPr>
        <w:pStyle w:val="Ttulo1"/>
        <w:tabs>
          <w:tab w:val="left" w:pos="567"/>
        </w:tabs>
        <w:rPr>
          <w:spacing w:val="-4"/>
          <w:szCs w:val="20"/>
        </w:rPr>
      </w:pPr>
      <w:bookmarkStart w:id="258" w:name="_Toc528937236"/>
      <w:bookmarkStart w:id="259" w:name="_Toc529790130"/>
      <w:bookmarkStart w:id="260" w:name="_Toc531162246"/>
      <w:bookmarkStart w:id="261" w:name="_Toc531172542"/>
      <w:bookmarkStart w:id="262" w:name="_Toc31290587"/>
      <w:r w:rsidRPr="00104227">
        <w:rPr>
          <w:spacing w:val="-4"/>
          <w:szCs w:val="20"/>
        </w:rPr>
        <w:t>RIGHTS TO</w:t>
      </w:r>
      <w:r w:rsidR="00E8115C" w:rsidRPr="00104227">
        <w:rPr>
          <w:spacing w:val="-4"/>
          <w:szCs w:val="20"/>
        </w:rPr>
        <w:t xml:space="preserve"> </w:t>
      </w:r>
      <w:r w:rsidR="0094395C" w:rsidRPr="00104227">
        <w:rPr>
          <w:spacing w:val="-4"/>
          <w:szCs w:val="20"/>
        </w:rPr>
        <w:t>PERSONAL INTEGRITY</w:t>
      </w:r>
      <w:r w:rsidR="00E2287B" w:rsidRPr="00104227">
        <w:rPr>
          <w:spacing w:val="-4"/>
          <w:szCs w:val="20"/>
        </w:rPr>
        <w:t>,</w:t>
      </w:r>
      <w:r w:rsidR="00E8115C" w:rsidRPr="00104227">
        <w:rPr>
          <w:rStyle w:val="Refdenotaalpie"/>
          <w:spacing w:val="-4"/>
        </w:rPr>
        <w:footnoteReference w:id="220"/>
      </w:r>
      <w:r w:rsidR="00E8115C" w:rsidRPr="00104227">
        <w:rPr>
          <w:spacing w:val="-4"/>
          <w:szCs w:val="20"/>
        </w:rPr>
        <w:t xml:space="preserve"> </w:t>
      </w:r>
      <w:r w:rsidR="00E2287B" w:rsidRPr="00104227">
        <w:rPr>
          <w:spacing w:val="-4"/>
          <w:szCs w:val="20"/>
        </w:rPr>
        <w:t>DIGNITY AND</w:t>
      </w:r>
      <w:r w:rsidR="00BF5241" w:rsidRPr="00104227">
        <w:rPr>
          <w:spacing w:val="-4"/>
          <w:szCs w:val="20"/>
        </w:rPr>
        <w:t xml:space="preserve"> </w:t>
      </w:r>
      <w:r w:rsidR="0094395C" w:rsidRPr="00104227">
        <w:rPr>
          <w:spacing w:val="-4"/>
          <w:szCs w:val="20"/>
        </w:rPr>
        <w:t>PRIVACY</w:t>
      </w:r>
      <w:r w:rsidR="00E2287B" w:rsidRPr="00104227">
        <w:rPr>
          <w:spacing w:val="-4"/>
          <w:szCs w:val="20"/>
        </w:rPr>
        <w:t>,</w:t>
      </w:r>
      <w:r w:rsidR="00E8115C" w:rsidRPr="00104227">
        <w:rPr>
          <w:rStyle w:val="Refdenotaalpie"/>
          <w:spacing w:val="-4"/>
        </w:rPr>
        <w:footnoteReference w:id="221"/>
      </w:r>
      <w:r w:rsidR="00E8115C" w:rsidRPr="00104227">
        <w:rPr>
          <w:spacing w:val="-4"/>
          <w:szCs w:val="20"/>
        </w:rPr>
        <w:t xml:space="preserve"> </w:t>
      </w:r>
      <w:r w:rsidR="00E2287B" w:rsidRPr="00104227">
        <w:rPr>
          <w:spacing w:val="-4"/>
          <w:szCs w:val="20"/>
        </w:rPr>
        <w:t>PROHIBITION OF TORTURE AND</w:t>
      </w:r>
      <w:r w:rsidR="00BF5241" w:rsidRPr="00104227">
        <w:rPr>
          <w:spacing w:val="-4"/>
          <w:szCs w:val="20"/>
        </w:rPr>
        <w:t xml:space="preserve"> </w:t>
      </w:r>
      <w:r w:rsidR="00E2287B" w:rsidRPr="00104227">
        <w:rPr>
          <w:spacing w:val="-4"/>
          <w:szCs w:val="20"/>
        </w:rPr>
        <w:t>RIGHT OF ASSEMBLY,</w:t>
      </w:r>
      <w:r w:rsidR="00BC2FAA" w:rsidRPr="00104227">
        <w:rPr>
          <w:rStyle w:val="Refdenotaalpie"/>
          <w:spacing w:val="-4"/>
        </w:rPr>
        <w:footnoteReference w:id="222"/>
      </w:r>
      <w:r w:rsidR="00E8115C" w:rsidRPr="00104227">
        <w:rPr>
          <w:spacing w:val="-4"/>
          <w:szCs w:val="20"/>
        </w:rPr>
        <w:t xml:space="preserve"> </w:t>
      </w:r>
      <w:r w:rsidR="007F7D35" w:rsidRPr="00104227">
        <w:rPr>
          <w:spacing w:val="-4"/>
          <w:szCs w:val="20"/>
        </w:rPr>
        <w:t xml:space="preserve">IN RELATION </w:t>
      </w:r>
      <w:r w:rsidR="00332721" w:rsidRPr="00104227">
        <w:rPr>
          <w:spacing w:val="-4"/>
          <w:szCs w:val="20"/>
        </w:rPr>
        <w:t>TO</w:t>
      </w:r>
      <w:r w:rsidR="00E8115C" w:rsidRPr="00104227">
        <w:rPr>
          <w:spacing w:val="-4"/>
          <w:szCs w:val="20"/>
        </w:rPr>
        <w:t xml:space="preserve"> </w:t>
      </w:r>
      <w:r w:rsidR="00E2287B" w:rsidRPr="00104227">
        <w:rPr>
          <w:spacing w:val="-4"/>
          <w:szCs w:val="20"/>
        </w:rPr>
        <w:t>THE OBLIGATION TO RESPECT AND GUARANTEE THE</w:t>
      </w:r>
      <w:r w:rsidR="007F7D35" w:rsidRPr="00104227">
        <w:rPr>
          <w:spacing w:val="-4"/>
          <w:szCs w:val="20"/>
        </w:rPr>
        <w:t>SE</w:t>
      </w:r>
      <w:r w:rsidR="00E2287B" w:rsidRPr="00104227">
        <w:rPr>
          <w:spacing w:val="-4"/>
          <w:szCs w:val="20"/>
        </w:rPr>
        <w:t xml:space="preserve"> RIGHTS WITHOUT DISCRIMINATION</w:t>
      </w:r>
      <w:r w:rsidR="00E8115C" w:rsidRPr="00104227">
        <w:rPr>
          <w:rStyle w:val="Refdenotaalpie"/>
          <w:spacing w:val="-4"/>
        </w:rPr>
        <w:footnoteReference w:id="223"/>
      </w:r>
      <w:bookmarkEnd w:id="258"/>
      <w:bookmarkEnd w:id="259"/>
      <w:bookmarkEnd w:id="260"/>
      <w:bookmarkEnd w:id="261"/>
      <w:bookmarkEnd w:id="262"/>
    </w:p>
    <w:p w14:paraId="6E68B67E" w14:textId="77777777" w:rsidR="00E8115C" w:rsidRPr="00104227" w:rsidRDefault="00E8115C" w:rsidP="00E4619F">
      <w:pPr>
        <w:tabs>
          <w:tab w:val="left" w:pos="567"/>
        </w:tabs>
        <w:rPr>
          <w:lang w:eastAsia="es-MX"/>
        </w:rPr>
      </w:pPr>
    </w:p>
    <w:p w14:paraId="057117D1" w14:textId="0963B6A3" w:rsidR="00E8115C" w:rsidRPr="00104227" w:rsidRDefault="00E2287B" w:rsidP="00E4619F">
      <w:pPr>
        <w:pStyle w:val="Numberedparagraphs"/>
        <w:tabs>
          <w:tab w:val="left" w:pos="567"/>
        </w:tabs>
        <w:rPr>
          <w:lang w:val="en-US"/>
        </w:rPr>
      </w:pPr>
      <w:r w:rsidRPr="00104227">
        <w:rPr>
          <w:lang w:val="en-US"/>
        </w:rPr>
        <w:t xml:space="preserve">In this chapter, </w:t>
      </w:r>
      <w:r w:rsidR="00BF5241" w:rsidRPr="00104227">
        <w:rPr>
          <w:lang w:val="en-US"/>
        </w:rPr>
        <w:t>the Court</w:t>
      </w:r>
      <w:r w:rsidR="000E7B4C" w:rsidRPr="00104227">
        <w:rPr>
          <w:lang w:val="en-US"/>
        </w:rPr>
        <w:t xml:space="preserve"> </w:t>
      </w:r>
      <w:r w:rsidRPr="00104227">
        <w:rPr>
          <w:lang w:val="en-US"/>
        </w:rPr>
        <w:t xml:space="preserve">will </w:t>
      </w:r>
      <w:r w:rsidR="000E7B4C" w:rsidRPr="00104227">
        <w:rPr>
          <w:lang w:val="en-US"/>
        </w:rPr>
        <w:t>examin</w:t>
      </w:r>
      <w:r w:rsidRPr="00104227">
        <w:rPr>
          <w:lang w:val="en-US"/>
        </w:rPr>
        <w:t>e the arguments concerning the excessive use of force, the violations of</w:t>
      </w:r>
      <w:r w:rsidR="000E7B4C" w:rsidRPr="00104227">
        <w:rPr>
          <w:lang w:val="en-US"/>
        </w:rPr>
        <w:t xml:space="preserve"> </w:t>
      </w:r>
      <w:r w:rsidR="0094395C" w:rsidRPr="00104227">
        <w:rPr>
          <w:lang w:val="en-US"/>
        </w:rPr>
        <w:t>personal integrity</w:t>
      </w:r>
      <w:r w:rsidR="00BF5241" w:rsidRPr="00104227">
        <w:rPr>
          <w:lang w:val="en-US"/>
        </w:rPr>
        <w:t xml:space="preserve"> and </w:t>
      </w:r>
      <w:r w:rsidRPr="00104227">
        <w:rPr>
          <w:lang w:val="en-US"/>
        </w:rPr>
        <w:t>privacy</w:t>
      </w:r>
      <w:r w:rsidR="000E7B4C" w:rsidRPr="00104227">
        <w:rPr>
          <w:lang w:val="en-US"/>
        </w:rPr>
        <w:t>, inclu</w:t>
      </w:r>
      <w:r w:rsidRPr="00104227">
        <w:rPr>
          <w:lang w:val="en-US"/>
        </w:rPr>
        <w:t>ding</w:t>
      </w:r>
      <w:r w:rsidR="000E7B4C" w:rsidRPr="00104227">
        <w:rPr>
          <w:lang w:val="en-US"/>
        </w:rPr>
        <w:t xml:space="preserve"> </w:t>
      </w:r>
      <w:r w:rsidR="00814266" w:rsidRPr="00104227">
        <w:rPr>
          <w:lang w:val="en-US"/>
        </w:rPr>
        <w:t xml:space="preserve">sexual </w:t>
      </w:r>
      <w:r w:rsidRPr="00104227">
        <w:rPr>
          <w:lang w:val="en-US"/>
        </w:rPr>
        <w:t>abus</w:t>
      </w:r>
      <w:r w:rsidR="00814266" w:rsidRPr="00104227">
        <w:rPr>
          <w:lang w:val="en-US"/>
        </w:rPr>
        <w:t>e</w:t>
      </w:r>
      <w:r w:rsidR="000E7B4C" w:rsidRPr="00104227">
        <w:rPr>
          <w:lang w:val="en-US"/>
        </w:rPr>
        <w:t>, as</w:t>
      </w:r>
      <w:r w:rsidRPr="00104227">
        <w:rPr>
          <w:lang w:val="en-US"/>
        </w:rPr>
        <w:t xml:space="preserve"> well as</w:t>
      </w:r>
      <w:r w:rsidR="000E7B4C" w:rsidRPr="00104227">
        <w:rPr>
          <w:lang w:val="en-US"/>
        </w:rPr>
        <w:t xml:space="preserve"> </w:t>
      </w:r>
      <w:r w:rsidR="00CA43B0" w:rsidRPr="00104227">
        <w:rPr>
          <w:lang w:val="en-US"/>
        </w:rPr>
        <w:t>the prohibition of</w:t>
      </w:r>
      <w:r w:rsidR="000E7B4C" w:rsidRPr="00104227">
        <w:rPr>
          <w:lang w:val="en-US"/>
        </w:rPr>
        <w:t xml:space="preserve"> </w:t>
      </w:r>
      <w:r w:rsidR="00BC5201" w:rsidRPr="00104227">
        <w:rPr>
          <w:lang w:val="en-US"/>
        </w:rPr>
        <w:t>torture</w:t>
      </w:r>
      <w:r w:rsidR="00BF5241" w:rsidRPr="00104227">
        <w:rPr>
          <w:lang w:val="en-US"/>
        </w:rPr>
        <w:t xml:space="preserve"> and </w:t>
      </w:r>
      <w:r w:rsidR="000E7B4C" w:rsidRPr="00104227">
        <w:rPr>
          <w:lang w:val="en-US"/>
        </w:rPr>
        <w:t>ot</w:t>
      </w:r>
      <w:r w:rsidRPr="00104227">
        <w:rPr>
          <w:lang w:val="en-US"/>
        </w:rPr>
        <w:t xml:space="preserve">her cruel, inhuman and degrading treatment, </w:t>
      </w:r>
      <w:r w:rsidR="00BF5241" w:rsidRPr="00104227">
        <w:rPr>
          <w:lang w:val="en-US"/>
        </w:rPr>
        <w:t xml:space="preserve">and </w:t>
      </w:r>
      <w:r w:rsidR="00CA43B0" w:rsidRPr="00104227">
        <w:rPr>
          <w:lang w:val="en-US"/>
        </w:rPr>
        <w:t>the prohibition of</w:t>
      </w:r>
      <w:r w:rsidR="000E7B4C" w:rsidRPr="00104227">
        <w:rPr>
          <w:lang w:val="en-US"/>
        </w:rPr>
        <w:t xml:space="preserve"> </w:t>
      </w:r>
      <w:r w:rsidRPr="00104227">
        <w:rPr>
          <w:lang w:val="en-US"/>
        </w:rPr>
        <w:t xml:space="preserve">gender-based </w:t>
      </w:r>
      <w:r w:rsidR="00814266" w:rsidRPr="00104227">
        <w:rPr>
          <w:lang w:val="en-US"/>
        </w:rPr>
        <w:t>discrimination</w:t>
      </w:r>
      <w:r w:rsidR="000E7B4C" w:rsidRPr="00104227">
        <w:rPr>
          <w:lang w:val="en-US"/>
        </w:rPr>
        <w:t xml:space="preserve">. </w:t>
      </w:r>
    </w:p>
    <w:p w14:paraId="1696ACB6" w14:textId="428E32D7" w:rsidR="00E8115C" w:rsidRPr="00104227" w:rsidRDefault="00E8115C" w:rsidP="00E4619F">
      <w:pPr>
        <w:tabs>
          <w:tab w:val="left" w:pos="567"/>
        </w:tabs>
        <w:rPr>
          <w:lang w:eastAsia="es-MX"/>
        </w:rPr>
      </w:pPr>
    </w:p>
    <w:p w14:paraId="2667E8BF" w14:textId="0B1BF7C0" w:rsidR="00E8115C" w:rsidRPr="00104227" w:rsidRDefault="00736460" w:rsidP="00E4619F">
      <w:pPr>
        <w:pStyle w:val="Ttulo2"/>
        <w:numPr>
          <w:ilvl w:val="0"/>
          <w:numId w:val="86"/>
        </w:numPr>
        <w:tabs>
          <w:tab w:val="left" w:pos="3960"/>
        </w:tabs>
        <w:ind w:left="1080" w:hanging="360"/>
        <w:rPr>
          <w:szCs w:val="20"/>
          <w:lang w:val="en-US"/>
        </w:rPr>
      </w:pPr>
      <w:bookmarkStart w:id="263" w:name="_Toc31290588"/>
      <w:r w:rsidRPr="00104227">
        <w:rPr>
          <w:lang w:val="en-US"/>
        </w:rPr>
        <w:t>Arguments of the parties</w:t>
      </w:r>
      <w:r w:rsidR="00BF5241" w:rsidRPr="00104227">
        <w:rPr>
          <w:szCs w:val="20"/>
          <w:lang w:val="en-US"/>
        </w:rPr>
        <w:t xml:space="preserve"> and of the Commission</w:t>
      </w:r>
      <w:bookmarkEnd w:id="263"/>
    </w:p>
    <w:p w14:paraId="644132E0" w14:textId="77777777" w:rsidR="00E8115C" w:rsidRPr="00104227" w:rsidRDefault="00E8115C" w:rsidP="00E4619F">
      <w:pPr>
        <w:tabs>
          <w:tab w:val="left" w:pos="567"/>
        </w:tabs>
        <w:rPr>
          <w:lang w:eastAsia="es-MX"/>
        </w:rPr>
      </w:pPr>
    </w:p>
    <w:p w14:paraId="7ED72480" w14:textId="4C15260C" w:rsidR="00E8115C" w:rsidRPr="00104227" w:rsidRDefault="00BF5241" w:rsidP="00E4619F">
      <w:pPr>
        <w:pStyle w:val="Numberedparagraphs"/>
        <w:tabs>
          <w:tab w:val="left" w:pos="567"/>
        </w:tabs>
        <w:rPr>
          <w:lang w:val="en-US"/>
        </w:rPr>
      </w:pPr>
      <w:r w:rsidRPr="00104227">
        <w:rPr>
          <w:lang w:val="en-US"/>
        </w:rPr>
        <w:t xml:space="preserve">The </w:t>
      </w:r>
      <w:r w:rsidRPr="00104227">
        <w:rPr>
          <w:b/>
          <w:bCs/>
          <w:i/>
          <w:iCs/>
          <w:lang w:val="en-US"/>
        </w:rPr>
        <w:t>Commission</w:t>
      </w:r>
      <w:r w:rsidR="000E7B4C" w:rsidRPr="00104227">
        <w:rPr>
          <w:lang w:val="en-US"/>
        </w:rPr>
        <w:t xml:space="preserve"> indic</w:t>
      </w:r>
      <w:r w:rsidR="00E2287B" w:rsidRPr="00104227">
        <w:rPr>
          <w:lang w:val="en-US"/>
        </w:rPr>
        <w:t xml:space="preserve">ated that, based on the consistent and reiterated statements made by the women and their medical records on entry into the </w:t>
      </w:r>
      <w:r w:rsidR="000E7B4C" w:rsidRPr="00104227">
        <w:rPr>
          <w:lang w:val="en-US"/>
        </w:rPr>
        <w:t>CEPRESO,</w:t>
      </w:r>
      <w:r w:rsidR="00E2287B" w:rsidRPr="00104227">
        <w:rPr>
          <w:lang w:val="en-US"/>
        </w:rPr>
        <w:t xml:space="preserve"> they were victims of physical injuries inflicted by police agents and “were threatened, in some cases</w:t>
      </w:r>
      <w:r w:rsidR="009502DF" w:rsidRPr="00104227">
        <w:rPr>
          <w:lang w:val="en-US"/>
        </w:rPr>
        <w:t>,</w:t>
      </w:r>
      <w:r w:rsidR="00E2287B" w:rsidRPr="00104227">
        <w:rPr>
          <w:lang w:val="en-US"/>
        </w:rPr>
        <w:t xml:space="preserve"> with rape, death or disappearance.” Regarding the forms of sexual violence, it stated that the women had reported  </w:t>
      </w:r>
      <w:r w:rsidR="000E7B4C" w:rsidRPr="00104227">
        <w:rPr>
          <w:lang w:val="en-US"/>
        </w:rPr>
        <w:t xml:space="preserve"> “</w:t>
      </w:r>
      <w:r w:rsidR="000777FE" w:rsidRPr="00104227">
        <w:rPr>
          <w:lang w:val="en-US"/>
        </w:rPr>
        <w:t>indecent touching</w:t>
      </w:r>
      <w:r w:rsidR="000E7B4C" w:rsidRPr="00104227">
        <w:rPr>
          <w:lang w:val="en-US"/>
        </w:rPr>
        <w:t xml:space="preserve"> </w:t>
      </w:r>
      <w:r w:rsidR="00E2287B" w:rsidRPr="00104227">
        <w:rPr>
          <w:lang w:val="en-US"/>
        </w:rPr>
        <w:t xml:space="preserve">on buttocks, breasts and vagina, blows </w:t>
      </w:r>
      <w:r w:rsidRPr="00104227">
        <w:rPr>
          <w:lang w:val="en-US"/>
        </w:rPr>
        <w:t xml:space="preserve">and </w:t>
      </w:r>
      <w:r w:rsidR="000777FE" w:rsidRPr="00104227">
        <w:rPr>
          <w:lang w:val="en-US"/>
        </w:rPr>
        <w:t>pinching</w:t>
      </w:r>
      <w:r w:rsidR="000E7B4C" w:rsidRPr="00104227">
        <w:rPr>
          <w:lang w:val="en-US"/>
        </w:rPr>
        <w:t xml:space="preserve"> </w:t>
      </w:r>
      <w:r w:rsidR="00E2287B" w:rsidRPr="00104227">
        <w:rPr>
          <w:lang w:val="en-US"/>
        </w:rPr>
        <w:t>on the same parts of the body, groping, biting and</w:t>
      </w:r>
      <w:r w:rsidRPr="00104227">
        <w:rPr>
          <w:lang w:val="en-US"/>
        </w:rPr>
        <w:t xml:space="preserve"> </w:t>
      </w:r>
      <w:r w:rsidR="000777FE" w:rsidRPr="00104227">
        <w:rPr>
          <w:lang w:val="en-US"/>
        </w:rPr>
        <w:t>pinching</w:t>
      </w:r>
      <w:r w:rsidR="00E2287B" w:rsidRPr="00104227">
        <w:rPr>
          <w:lang w:val="en-US"/>
        </w:rPr>
        <w:t xml:space="preserve"> their nipples, tearing their underwear off violently, forced nudity, and threats of rape.” It also indicated that the police performed several </w:t>
      </w:r>
      <w:r w:rsidR="009502DF" w:rsidRPr="00104227">
        <w:rPr>
          <w:lang w:val="en-US"/>
        </w:rPr>
        <w:t>types</w:t>
      </w:r>
      <w:r w:rsidR="00E2287B" w:rsidRPr="00104227">
        <w:rPr>
          <w:lang w:val="en-US"/>
        </w:rPr>
        <w:t xml:space="preserve"> of sexual abuse, such as </w:t>
      </w:r>
      <w:r w:rsidR="000E7B4C" w:rsidRPr="00104227">
        <w:rPr>
          <w:lang w:val="en-US"/>
        </w:rPr>
        <w:t>“penetra</w:t>
      </w:r>
      <w:r w:rsidR="00E2287B" w:rsidRPr="00104227">
        <w:rPr>
          <w:lang w:val="en-US"/>
        </w:rPr>
        <w:t>tion of the vagina  and the anus with fingers and objects</w:t>
      </w:r>
      <w:r w:rsidR="000E7B4C" w:rsidRPr="00104227">
        <w:rPr>
          <w:lang w:val="en-US"/>
        </w:rPr>
        <w:t xml:space="preserve">, </w:t>
      </w:r>
      <w:r w:rsidR="00E2287B" w:rsidRPr="00104227">
        <w:rPr>
          <w:lang w:val="en-US"/>
        </w:rPr>
        <w:t>and also forcing them to perform oral sex,” in a</w:t>
      </w:r>
      <w:r w:rsidR="000E7B4C" w:rsidRPr="00104227">
        <w:rPr>
          <w:lang w:val="en-US"/>
        </w:rPr>
        <w:t xml:space="preserve"> </w:t>
      </w:r>
      <w:r w:rsidR="00B851FA" w:rsidRPr="00104227">
        <w:rPr>
          <w:lang w:val="en-US"/>
        </w:rPr>
        <w:t>context</w:t>
      </w:r>
      <w:r w:rsidR="000E7B4C" w:rsidRPr="00104227">
        <w:rPr>
          <w:lang w:val="en-US"/>
        </w:rPr>
        <w:t xml:space="preserve"> </w:t>
      </w:r>
      <w:r w:rsidR="00E2287B" w:rsidRPr="00104227">
        <w:rPr>
          <w:lang w:val="en-US"/>
        </w:rPr>
        <w:t>of</w:t>
      </w:r>
      <w:r w:rsidR="000E7B4C" w:rsidRPr="00104227">
        <w:rPr>
          <w:lang w:val="en-US"/>
        </w:rPr>
        <w:t xml:space="preserve"> “insults, </w:t>
      </w:r>
      <w:r w:rsidR="00E2287B" w:rsidRPr="00104227">
        <w:rPr>
          <w:lang w:val="en-US"/>
        </w:rPr>
        <w:t xml:space="preserve">denigrating and </w:t>
      </w:r>
      <w:r w:rsidR="000A14CF" w:rsidRPr="00104227">
        <w:rPr>
          <w:lang w:val="en-US"/>
        </w:rPr>
        <w:t>humiliating</w:t>
      </w:r>
      <w:r w:rsidR="00E2287B" w:rsidRPr="00104227">
        <w:rPr>
          <w:lang w:val="en-US"/>
        </w:rPr>
        <w:t xml:space="preserve"> expressions, the con</w:t>
      </w:r>
      <w:r w:rsidR="009502DF" w:rsidRPr="00104227">
        <w:rPr>
          <w:lang w:val="en-US"/>
        </w:rPr>
        <w:t>t</w:t>
      </w:r>
      <w:r w:rsidR="00E2287B" w:rsidRPr="00104227">
        <w:rPr>
          <w:lang w:val="en-US"/>
        </w:rPr>
        <w:t>ent of which reflects the special ferocity of the police agents based on the victims’ condition as women.” It considered proved that serious acts of physical and mental violence, including diverse forms of rape, had been executed by state agents against</w:t>
      </w:r>
      <w:r w:rsidR="00F12946" w:rsidRPr="00104227">
        <w:rPr>
          <w:lang w:val="en-US"/>
        </w:rPr>
        <w:t xml:space="preserve"> the eleven women</w:t>
      </w:r>
      <w:r w:rsidR="000E7B4C" w:rsidRPr="00104227">
        <w:rPr>
          <w:lang w:val="en-US"/>
        </w:rPr>
        <w:t>,</w:t>
      </w:r>
      <w:r w:rsidRPr="00104227">
        <w:rPr>
          <w:lang w:val="en-US"/>
        </w:rPr>
        <w:t xml:space="preserve"> and </w:t>
      </w:r>
      <w:r w:rsidR="00E2287B" w:rsidRPr="00104227">
        <w:rPr>
          <w:lang w:val="en-US"/>
        </w:rPr>
        <w:t xml:space="preserve">rape in the case of seven of them, during the detention, </w:t>
      </w:r>
      <w:r w:rsidR="008C6D02" w:rsidRPr="00104227">
        <w:rPr>
          <w:lang w:val="en-US"/>
        </w:rPr>
        <w:t>the transfers</w:t>
      </w:r>
      <w:r w:rsidRPr="00104227">
        <w:rPr>
          <w:lang w:val="en-US"/>
        </w:rPr>
        <w:t xml:space="preserve"> and </w:t>
      </w:r>
      <w:r w:rsidR="00E2287B" w:rsidRPr="00104227">
        <w:rPr>
          <w:lang w:val="en-US"/>
        </w:rPr>
        <w:t>t</w:t>
      </w:r>
      <w:r w:rsidR="00051BEF" w:rsidRPr="00104227">
        <w:rPr>
          <w:lang w:val="en-US"/>
        </w:rPr>
        <w:t>he arrival at</w:t>
      </w:r>
      <w:r w:rsidR="000E7B4C" w:rsidRPr="00104227">
        <w:rPr>
          <w:lang w:val="en-US"/>
        </w:rPr>
        <w:t xml:space="preserve"> CEPRESO. </w:t>
      </w:r>
    </w:p>
    <w:p w14:paraId="0BE2DA6B" w14:textId="77777777" w:rsidR="00E8115C" w:rsidRPr="00104227" w:rsidRDefault="00E8115C" w:rsidP="00E4619F">
      <w:pPr>
        <w:pStyle w:val="PrrafodeSentencia"/>
        <w:numPr>
          <w:ilvl w:val="0"/>
          <w:numId w:val="0"/>
        </w:numPr>
        <w:rPr>
          <w:lang w:val="en-US"/>
        </w:rPr>
      </w:pPr>
    </w:p>
    <w:p w14:paraId="6CA7FDBA" w14:textId="51A06306" w:rsidR="00E2287B" w:rsidRPr="00104227" w:rsidRDefault="00BF5241" w:rsidP="00E4619F">
      <w:pPr>
        <w:pStyle w:val="Numberedparagraphs"/>
        <w:tabs>
          <w:tab w:val="left" w:pos="567"/>
        </w:tabs>
        <w:rPr>
          <w:b/>
          <w:lang w:val="en-US"/>
        </w:rPr>
      </w:pPr>
      <w:r w:rsidRPr="00104227">
        <w:rPr>
          <w:lang w:val="en-US"/>
        </w:rPr>
        <w:t>The Commission</w:t>
      </w:r>
      <w:r w:rsidR="000E7B4C" w:rsidRPr="00104227">
        <w:rPr>
          <w:lang w:val="en-US"/>
        </w:rPr>
        <w:t xml:space="preserve"> conclu</w:t>
      </w:r>
      <w:r w:rsidR="00E2287B" w:rsidRPr="00104227">
        <w:rPr>
          <w:lang w:val="en-US"/>
        </w:rPr>
        <w:t xml:space="preserve">ded that the different acts of physical, psychological and sexual violence constituted </w:t>
      </w:r>
      <w:r w:rsidR="00BC5201" w:rsidRPr="00104227">
        <w:rPr>
          <w:lang w:val="en-US"/>
        </w:rPr>
        <w:t>torture</w:t>
      </w:r>
      <w:r w:rsidR="000E7B4C" w:rsidRPr="00104227">
        <w:rPr>
          <w:lang w:val="en-US"/>
        </w:rPr>
        <w:t xml:space="preserve">, </w:t>
      </w:r>
      <w:r w:rsidR="00E2287B" w:rsidRPr="00104227">
        <w:rPr>
          <w:lang w:val="en-US"/>
        </w:rPr>
        <w:t xml:space="preserve">because the elements that constitute torture are met in this case, namely: (i) the acts were carried out intentionally and deliberately by agents of the state; (ii) in the case of the women who were raped, the severity of the effects is considered to be inherent; </w:t>
      </w:r>
      <w:r w:rsidR="00E2287B" w:rsidRPr="00104227">
        <w:rPr>
          <w:lang w:val="en-US"/>
        </w:rPr>
        <w:lastRenderedPageBreak/>
        <w:t>(iii) in the case of those who did not state that they had been victims of rape, the intensity of the physical or mental suffering was evident, because they were all beaten severely and subjected to other forms of sexual violence, and (iv) the violence was committed in order to debase, humiliate and punish the women for supposedly taking part in the protests suppressed by the operations.</w:t>
      </w:r>
    </w:p>
    <w:bookmarkEnd w:id="256"/>
    <w:p w14:paraId="604C2DA7" w14:textId="77777777" w:rsidR="00633C8A" w:rsidRPr="00104227" w:rsidRDefault="00633C8A" w:rsidP="00E4619F">
      <w:pPr>
        <w:tabs>
          <w:tab w:val="left" w:pos="567"/>
        </w:tabs>
        <w:rPr>
          <w:lang w:eastAsia="es-MX"/>
        </w:rPr>
      </w:pPr>
    </w:p>
    <w:p w14:paraId="050826D4" w14:textId="30368858" w:rsidR="00E2287B" w:rsidRPr="00104227" w:rsidRDefault="002826A6" w:rsidP="00E4619F">
      <w:pPr>
        <w:pStyle w:val="Numberedparagraphs"/>
        <w:tabs>
          <w:tab w:val="left" w:pos="567"/>
        </w:tabs>
        <w:rPr>
          <w:rFonts w:cs="Arial"/>
          <w:b/>
          <w:lang w:val="en-US"/>
        </w:rPr>
      </w:pPr>
      <w:r w:rsidRPr="00104227">
        <w:rPr>
          <w:rFonts w:cs="Arial"/>
          <w:lang w:val="en-US"/>
        </w:rPr>
        <w:t xml:space="preserve">The </w:t>
      </w:r>
      <w:r w:rsidRPr="00104227">
        <w:rPr>
          <w:rFonts w:cs="Arial"/>
          <w:b/>
          <w:bCs/>
          <w:i/>
          <w:iCs/>
          <w:lang w:val="en-US"/>
        </w:rPr>
        <w:t>representatives</w:t>
      </w:r>
      <w:r w:rsidR="00633C8A" w:rsidRPr="00104227">
        <w:rPr>
          <w:rFonts w:cs="Arial"/>
          <w:b/>
          <w:bCs/>
          <w:i/>
          <w:iCs/>
          <w:lang w:val="en-US"/>
        </w:rPr>
        <w:t xml:space="preserve"> </w:t>
      </w:r>
      <w:r w:rsidR="00E2287B" w:rsidRPr="00104227">
        <w:rPr>
          <w:rFonts w:cs="Arial"/>
          <w:lang w:val="en-US"/>
        </w:rPr>
        <w:t>argued that</w:t>
      </w:r>
      <w:r w:rsidR="00633C8A" w:rsidRPr="00104227">
        <w:rPr>
          <w:lang w:val="en-US"/>
        </w:rPr>
        <w:t xml:space="preserve">: (1) </w:t>
      </w:r>
      <w:r w:rsidR="00E2287B" w:rsidRPr="00104227">
        <w:rPr>
          <w:lang w:val="en-US"/>
        </w:rPr>
        <w:t xml:space="preserve">the violence suffered by </w:t>
      </w:r>
      <w:r w:rsidR="00F12946" w:rsidRPr="00104227">
        <w:rPr>
          <w:lang w:val="en-US"/>
        </w:rPr>
        <w:t>the eleven women</w:t>
      </w:r>
      <w:r w:rsidR="00633C8A" w:rsidRPr="00104227">
        <w:rPr>
          <w:lang w:val="en-US"/>
        </w:rPr>
        <w:t xml:space="preserve"> constit</w:t>
      </w:r>
      <w:r w:rsidR="00E2287B" w:rsidRPr="00104227">
        <w:rPr>
          <w:lang w:val="en-US"/>
        </w:rPr>
        <w:t>uted</w:t>
      </w:r>
      <w:r w:rsidR="00633C8A" w:rsidRPr="00104227">
        <w:rPr>
          <w:lang w:val="en-US"/>
        </w:rPr>
        <w:t xml:space="preserve"> </w:t>
      </w:r>
      <w:r w:rsidR="00F12946" w:rsidRPr="00104227">
        <w:rPr>
          <w:lang w:val="en-US"/>
        </w:rPr>
        <w:t>violence against women</w:t>
      </w:r>
      <w:r w:rsidR="00633C8A" w:rsidRPr="00104227">
        <w:rPr>
          <w:lang w:val="en-US"/>
        </w:rPr>
        <w:t xml:space="preserve"> </w:t>
      </w:r>
      <w:r w:rsidR="00E2287B" w:rsidRPr="00104227">
        <w:rPr>
          <w:lang w:val="en-US"/>
        </w:rPr>
        <w:t xml:space="preserve">and, therefore, was discriminatory in nature; (2) the 11 women underwent physical, psychological and sexual torture and, subsequently, did not receive adequate medical and psychological care when they arrived at the prison and </w:t>
      </w:r>
      <w:r w:rsidR="009502DF" w:rsidRPr="00104227">
        <w:rPr>
          <w:lang w:val="en-US"/>
        </w:rPr>
        <w:t>during</w:t>
      </w:r>
      <w:r w:rsidR="00E2287B" w:rsidRPr="00104227">
        <w:rPr>
          <w:lang w:val="en-US"/>
        </w:rPr>
        <w:t xml:space="preserve"> the following days; rather, to the contrary, they suffered renewed acts of physical and psychological violence at the hands of medical professionals; (3) the women suffered another violation of their integrity owing to the absence of </w:t>
      </w:r>
      <w:r w:rsidR="00BF6775" w:rsidRPr="00104227">
        <w:rPr>
          <w:lang w:val="en-US"/>
        </w:rPr>
        <w:t>even a minimally adequate response from the State, conserving key evidence, taking statements, and opening investigations into eviden</w:t>
      </w:r>
      <w:r w:rsidR="009502DF" w:rsidRPr="00104227">
        <w:rPr>
          <w:lang w:val="en-US"/>
        </w:rPr>
        <w:t>t</w:t>
      </w:r>
      <w:r w:rsidR="00BF6775" w:rsidRPr="00104227">
        <w:rPr>
          <w:lang w:val="en-US"/>
        </w:rPr>
        <w:t xml:space="preserve"> </w:t>
      </w:r>
      <w:r w:rsidR="009502DF" w:rsidRPr="00104227">
        <w:rPr>
          <w:lang w:val="en-US"/>
        </w:rPr>
        <w:t>signs</w:t>
      </w:r>
      <w:r w:rsidR="00BF6775" w:rsidRPr="00104227">
        <w:rPr>
          <w:lang w:val="en-US"/>
        </w:rPr>
        <w:t xml:space="preserve"> (and complaints) of torture when the victims reached the prison, and (4) the State violated the honor and dignity of the 11 women because: (i) the sexual torture of which they were victims sought to </w:t>
      </w:r>
      <w:r w:rsidR="000A14CF" w:rsidRPr="00104227">
        <w:rPr>
          <w:lang w:val="en-US"/>
        </w:rPr>
        <w:t>humiliate</w:t>
      </w:r>
      <w:r w:rsidR="00BF6775" w:rsidRPr="00104227">
        <w:rPr>
          <w:lang w:val="en-US"/>
        </w:rPr>
        <w:t xml:space="preserve"> them and treat them in a denigrating manner, which entailed a serious act against the free exercise of the sexual intimacy and autonomy of the eleven women, and (ii) they were re-victimized by being exposed in the media </w:t>
      </w:r>
      <w:r w:rsidR="009502DF" w:rsidRPr="00104227">
        <w:rPr>
          <w:lang w:val="en-US"/>
        </w:rPr>
        <w:t>by</w:t>
      </w:r>
      <w:r w:rsidR="00BF6775" w:rsidRPr="00104227">
        <w:rPr>
          <w:lang w:val="en-US"/>
        </w:rPr>
        <w:t xml:space="preserve"> declarations</w:t>
      </w:r>
      <w:r w:rsidR="009502DF" w:rsidRPr="00104227">
        <w:rPr>
          <w:lang w:val="en-US"/>
        </w:rPr>
        <w:t xml:space="preserve"> that stigmatized them</w:t>
      </w:r>
      <w:r w:rsidR="00BF6775" w:rsidRPr="00104227">
        <w:rPr>
          <w:lang w:val="en-US"/>
        </w:rPr>
        <w:t>. The victims in this case experienced a multiplicity of the said acts repeatedly, sequentially and/or simultaneously. Thus, the</w:t>
      </w:r>
      <w:r w:rsidR="009502DF" w:rsidRPr="00104227">
        <w:rPr>
          <w:lang w:val="en-US"/>
        </w:rPr>
        <w:t xml:space="preserve"> representatives</w:t>
      </w:r>
      <w:r w:rsidR="00BF6775" w:rsidRPr="00104227">
        <w:rPr>
          <w:lang w:val="en-US"/>
        </w:rPr>
        <w:t xml:space="preserve"> asked the Court to make </w:t>
      </w:r>
      <w:r w:rsidR="009502DF" w:rsidRPr="00104227">
        <w:rPr>
          <w:lang w:val="en-US"/>
        </w:rPr>
        <w:t>a</w:t>
      </w:r>
      <w:r w:rsidR="00BF6775" w:rsidRPr="00104227">
        <w:rPr>
          <w:lang w:val="en-US"/>
        </w:rPr>
        <w:t xml:space="preserve"> legal analysis of the violation of the integrity of the eleven women assessing all the acts of violence described (physical, psychological and sexual).</w:t>
      </w:r>
    </w:p>
    <w:p w14:paraId="07BFCD23" w14:textId="77777777" w:rsidR="00633C8A" w:rsidRPr="00104227" w:rsidRDefault="00633C8A" w:rsidP="00E4619F">
      <w:pPr>
        <w:tabs>
          <w:tab w:val="left" w:pos="567"/>
        </w:tabs>
        <w:rPr>
          <w:lang w:eastAsia="es-MX"/>
        </w:rPr>
      </w:pPr>
      <w:bookmarkStart w:id="264" w:name="_Ref528593781"/>
    </w:p>
    <w:p w14:paraId="642D7155" w14:textId="14D0FE66" w:rsidR="00633C8A" w:rsidRPr="00104227" w:rsidRDefault="00BF6775" w:rsidP="00E4619F">
      <w:pPr>
        <w:pStyle w:val="Numberedparagraphs"/>
        <w:tabs>
          <w:tab w:val="left" w:pos="567"/>
        </w:tabs>
        <w:rPr>
          <w:lang w:val="en-US"/>
        </w:rPr>
      </w:pPr>
      <w:bookmarkStart w:id="265" w:name="_Ref533148317"/>
      <w:r w:rsidRPr="00104227">
        <w:rPr>
          <w:rStyle w:val="annotationref"/>
          <w:lang w:val="en-US"/>
        </w:rPr>
        <w:t>In their</w:t>
      </w:r>
      <w:r w:rsidR="00633C8A" w:rsidRPr="00104227">
        <w:rPr>
          <w:rStyle w:val="annotationref"/>
          <w:lang w:val="en-US"/>
        </w:rPr>
        <w:t xml:space="preserve"> </w:t>
      </w:r>
      <w:r w:rsidRPr="00104227">
        <w:rPr>
          <w:rStyle w:val="annotationref"/>
          <w:lang w:val="en-US"/>
        </w:rPr>
        <w:t>final written arguments,</w:t>
      </w:r>
      <w:r w:rsidR="00633C8A" w:rsidRPr="00104227">
        <w:rPr>
          <w:rStyle w:val="Refdenotaalpie"/>
          <w:lang w:val="en-US"/>
        </w:rPr>
        <w:footnoteReference w:id="224"/>
      </w:r>
      <w:r w:rsidR="00633C8A" w:rsidRPr="00104227">
        <w:rPr>
          <w:rStyle w:val="annotationref"/>
          <w:lang w:val="en-US"/>
        </w:rPr>
        <w:t xml:space="preserve"> </w:t>
      </w:r>
      <w:r w:rsidR="002826A6" w:rsidRPr="00104227">
        <w:rPr>
          <w:rStyle w:val="annotationref"/>
          <w:lang w:val="en-US"/>
        </w:rPr>
        <w:t>the representatives</w:t>
      </w:r>
      <w:r w:rsidR="00633C8A" w:rsidRPr="00104227">
        <w:rPr>
          <w:rStyle w:val="annotationref"/>
          <w:lang w:val="en-US"/>
        </w:rPr>
        <w:t xml:space="preserve"> </w:t>
      </w:r>
      <w:r w:rsidRPr="00104227">
        <w:rPr>
          <w:rStyle w:val="annotationref"/>
          <w:lang w:val="en-US"/>
        </w:rPr>
        <w:t>added that</w:t>
      </w:r>
      <w:r w:rsidR="00633C8A" w:rsidRPr="00104227">
        <w:rPr>
          <w:lang w:val="en-US"/>
        </w:rPr>
        <w:t xml:space="preserve"> </w:t>
      </w:r>
      <w:r w:rsidR="00AC3BFC" w:rsidRPr="00104227">
        <w:rPr>
          <w:lang w:val="en-US"/>
        </w:rPr>
        <w:t>the State</w:t>
      </w:r>
      <w:r w:rsidR="00633C8A" w:rsidRPr="00104227">
        <w:rPr>
          <w:lang w:val="en-US"/>
        </w:rPr>
        <w:t xml:space="preserve"> </w:t>
      </w:r>
      <w:r w:rsidRPr="00104227">
        <w:rPr>
          <w:lang w:val="en-US"/>
        </w:rPr>
        <w:t>had also</w:t>
      </w:r>
      <w:r w:rsidR="00633C8A" w:rsidRPr="00104227">
        <w:rPr>
          <w:lang w:val="en-US"/>
        </w:rPr>
        <w:t xml:space="preserve"> viola</w:t>
      </w:r>
      <w:r w:rsidRPr="00104227">
        <w:rPr>
          <w:lang w:val="en-US"/>
        </w:rPr>
        <w:t>ted</w:t>
      </w:r>
      <w:r w:rsidR="00633C8A" w:rsidRPr="00104227">
        <w:rPr>
          <w:lang w:val="en-US"/>
        </w:rPr>
        <w:t xml:space="preserve"> </w:t>
      </w:r>
      <w:r w:rsidR="00CA43B0" w:rsidRPr="00104227">
        <w:rPr>
          <w:lang w:val="en-US"/>
        </w:rPr>
        <w:t>the right to</w:t>
      </w:r>
      <w:r w:rsidR="00633C8A" w:rsidRPr="00104227">
        <w:rPr>
          <w:lang w:val="en-US"/>
        </w:rPr>
        <w:t xml:space="preserve"> </w:t>
      </w:r>
      <w:r w:rsidRPr="00104227">
        <w:rPr>
          <w:lang w:val="en-US"/>
        </w:rPr>
        <w:t xml:space="preserve">public </w:t>
      </w:r>
      <w:r w:rsidR="009502DF" w:rsidRPr="00104227">
        <w:rPr>
          <w:lang w:val="en-US"/>
        </w:rPr>
        <w:t>protest</w:t>
      </w:r>
      <w:r w:rsidR="00633C8A" w:rsidRPr="00104227">
        <w:rPr>
          <w:lang w:val="en-US"/>
        </w:rPr>
        <w:t xml:space="preserve"> </w:t>
      </w:r>
      <w:r w:rsidR="00F12946" w:rsidRPr="00104227">
        <w:rPr>
          <w:lang w:val="en-US"/>
        </w:rPr>
        <w:t>of the eleven women</w:t>
      </w:r>
      <w:r w:rsidR="00633C8A" w:rsidRPr="00104227">
        <w:rPr>
          <w:lang w:val="en-US"/>
        </w:rPr>
        <w:t xml:space="preserve">, </w:t>
      </w:r>
      <w:r w:rsidRPr="00104227">
        <w:rPr>
          <w:lang w:val="en-US"/>
        </w:rPr>
        <w:t>recognized in</w:t>
      </w:r>
      <w:r w:rsidR="00633C8A" w:rsidRPr="00104227">
        <w:rPr>
          <w:lang w:val="en-US"/>
        </w:rPr>
        <w:t xml:space="preserve"> </w:t>
      </w:r>
      <w:r w:rsidR="00BF5241" w:rsidRPr="00104227">
        <w:rPr>
          <w:lang w:val="en-US"/>
        </w:rPr>
        <w:t>Articles</w:t>
      </w:r>
      <w:r w:rsidR="00633C8A" w:rsidRPr="00104227">
        <w:rPr>
          <w:lang w:val="en-US"/>
        </w:rPr>
        <w:t xml:space="preserve"> 13</w:t>
      </w:r>
      <w:r w:rsidR="00BF5241" w:rsidRPr="00104227">
        <w:rPr>
          <w:lang w:val="en-US"/>
        </w:rPr>
        <w:t xml:space="preserve"> and </w:t>
      </w:r>
      <w:r w:rsidR="00633C8A" w:rsidRPr="00104227">
        <w:rPr>
          <w:lang w:val="en-US"/>
        </w:rPr>
        <w:t>15</w:t>
      </w:r>
      <w:r w:rsidR="00BF5241" w:rsidRPr="00104227">
        <w:rPr>
          <w:lang w:val="en-US"/>
        </w:rPr>
        <w:t xml:space="preserve"> of the Convention</w:t>
      </w:r>
      <w:r w:rsidR="00633C8A" w:rsidRPr="00104227">
        <w:rPr>
          <w:lang w:val="en-US"/>
        </w:rPr>
        <w:t>,</w:t>
      </w:r>
      <w:r w:rsidRPr="00104227">
        <w:rPr>
          <w:lang w:val="en-US"/>
        </w:rPr>
        <w:t xml:space="preserve"> regardless of their role in the demonstration. They indicated that the said right was violated by the mere fact </w:t>
      </w:r>
      <w:r w:rsidR="001D01CC" w:rsidRPr="00104227">
        <w:rPr>
          <w:lang w:val="en-US"/>
        </w:rPr>
        <w:t>that the women were</w:t>
      </w:r>
      <w:r w:rsidRPr="00104227">
        <w:rPr>
          <w:lang w:val="en-US"/>
        </w:rPr>
        <w:t xml:space="preserve"> in a space in which that right was being exercised </w:t>
      </w:r>
      <w:r w:rsidR="001D01CC" w:rsidRPr="00104227">
        <w:rPr>
          <w:lang w:val="en-US"/>
        </w:rPr>
        <w:t>and</w:t>
      </w:r>
      <w:r w:rsidRPr="00104227">
        <w:rPr>
          <w:lang w:val="en-US"/>
        </w:rPr>
        <w:t xml:space="preserve">, for the State, </w:t>
      </w:r>
      <w:r w:rsidR="001D01CC" w:rsidRPr="00104227">
        <w:rPr>
          <w:lang w:val="en-US"/>
        </w:rPr>
        <w:t xml:space="preserve">this </w:t>
      </w:r>
      <w:r w:rsidRPr="00104227">
        <w:rPr>
          <w:lang w:val="en-US"/>
        </w:rPr>
        <w:t>was sufficient justification to subject them to extreme violence</w:t>
      </w:r>
      <w:r w:rsidR="00633C8A" w:rsidRPr="00104227">
        <w:rPr>
          <w:lang w:val="en-US"/>
        </w:rPr>
        <w:t>.</w:t>
      </w:r>
      <w:bookmarkEnd w:id="264"/>
      <w:bookmarkEnd w:id="265"/>
    </w:p>
    <w:p w14:paraId="3E61BDDE" w14:textId="77777777" w:rsidR="00633C8A" w:rsidRPr="00104227" w:rsidRDefault="00633C8A" w:rsidP="00E4619F">
      <w:pPr>
        <w:tabs>
          <w:tab w:val="left" w:pos="567"/>
        </w:tabs>
        <w:rPr>
          <w:lang w:eastAsia="es-MX"/>
        </w:rPr>
      </w:pPr>
    </w:p>
    <w:p w14:paraId="46BDCE61" w14:textId="2CA35449" w:rsidR="00633C8A" w:rsidRPr="00104227" w:rsidRDefault="00BF6775" w:rsidP="00E4619F">
      <w:pPr>
        <w:pStyle w:val="Numberedparagraphs"/>
        <w:tabs>
          <w:tab w:val="left" w:pos="567"/>
        </w:tabs>
        <w:rPr>
          <w:lang w:val="en-US"/>
        </w:rPr>
      </w:pPr>
      <w:r w:rsidRPr="00104227">
        <w:rPr>
          <w:lang w:val="en-US"/>
        </w:rPr>
        <w:t xml:space="preserve">Lastly, </w:t>
      </w:r>
      <w:r w:rsidR="002826A6" w:rsidRPr="00104227">
        <w:rPr>
          <w:lang w:val="en-US"/>
        </w:rPr>
        <w:t>the representatives</w:t>
      </w:r>
      <w:r w:rsidR="00633C8A" w:rsidRPr="00104227">
        <w:rPr>
          <w:lang w:val="en-US"/>
        </w:rPr>
        <w:t xml:space="preserve"> a</w:t>
      </w:r>
      <w:r w:rsidRPr="00104227">
        <w:rPr>
          <w:lang w:val="en-US"/>
        </w:rPr>
        <w:t>rgued that the State</w:t>
      </w:r>
      <w:r w:rsidR="001D01CC" w:rsidRPr="00104227">
        <w:rPr>
          <w:lang w:val="en-US"/>
        </w:rPr>
        <w:t>’s</w:t>
      </w:r>
      <w:r w:rsidRPr="00104227">
        <w:rPr>
          <w:lang w:val="en-US"/>
        </w:rPr>
        <w:t xml:space="preserve"> legal framework facili</w:t>
      </w:r>
      <w:r w:rsidR="001D01CC" w:rsidRPr="00104227">
        <w:rPr>
          <w:lang w:val="en-US"/>
        </w:rPr>
        <w:t>t</w:t>
      </w:r>
      <w:r w:rsidRPr="00104227">
        <w:rPr>
          <w:lang w:val="en-US"/>
        </w:rPr>
        <w:t>ate</w:t>
      </w:r>
      <w:r w:rsidR="001D01CC" w:rsidRPr="00104227">
        <w:rPr>
          <w:lang w:val="en-US"/>
        </w:rPr>
        <w:t>d</w:t>
      </w:r>
      <w:r w:rsidRPr="00104227">
        <w:rPr>
          <w:lang w:val="en-US"/>
        </w:rPr>
        <w:t xml:space="preserve"> </w:t>
      </w:r>
      <w:r w:rsidR="001D01CC" w:rsidRPr="00104227">
        <w:rPr>
          <w:lang w:val="en-US"/>
        </w:rPr>
        <w:t xml:space="preserve">the </w:t>
      </w:r>
      <w:r w:rsidRPr="00104227">
        <w:rPr>
          <w:lang w:val="en-US"/>
        </w:rPr>
        <w:t>excessive use of force and the violation of human rights in contexts of social protest. They underlined that</w:t>
      </w:r>
      <w:r w:rsidR="00633C8A" w:rsidRPr="00104227">
        <w:rPr>
          <w:lang w:val="en-US"/>
        </w:rPr>
        <w:t xml:space="preserve"> </w:t>
      </w:r>
      <w:r w:rsidR="00BF5241" w:rsidRPr="00104227">
        <w:rPr>
          <w:lang w:val="en-US"/>
        </w:rPr>
        <w:t>Mexico</w:t>
      </w:r>
      <w:r w:rsidR="00633C8A" w:rsidRPr="00104227">
        <w:rPr>
          <w:lang w:val="en-US"/>
        </w:rPr>
        <w:t xml:space="preserve"> </w:t>
      </w:r>
      <w:r w:rsidRPr="00104227">
        <w:rPr>
          <w:lang w:val="en-US"/>
        </w:rPr>
        <w:t>ha</w:t>
      </w:r>
      <w:r w:rsidR="001D01CC" w:rsidRPr="00104227">
        <w:rPr>
          <w:lang w:val="en-US"/>
        </w:rPr>
        <w:t>d</w:t>
      </w:r>
      <w:r w:rsidRPr="00104227">
        <w:rPr>
          <w:lang w:val="en-US"/>
        </w:rPr>
        <w:t xml:space="preserve"> not adopted</w:t>
      </w:r>
      <w:r w:rsidR="00633C8A" w:rsidRPr="00104227">
        <w:rPr>
          <w:lang w:val="en-US"/>
        </w:rPr>
        <w:t xml:space="preserve"> “</w:t>
      </w:r>
      <w:r w:rsidRPr="00104227">
        <w:rPr>
          <w:lang w:val="en-US"/>
        </w:rPr>
        <w:t>the legislative, institutional or any other kind of measures to</w:t>
      </w:r>
      <w:r w:rsidR="001D01CC" w:rsidRPr="00104227">
        <w:rPr>
          <w:lang w:val="en-US"/>
        </w:rPr>
        <w:t xml:space="preserve"> </w:t>
      </w:r>
      <w:r w:rsidRPr="00104227">
        <w:rPr>
          <w:lang w:val="en-US"/>
        </w:rPr>
        <w:t xml:space="preserve">ensure that </w:t>
      </w:r>
      <w:r w:rsidR="00B665DF" w:rsidRPr="00104227">
        <w:rPr>
          <w:lang w:val="en-US"/>
        </w:rPr>
        <w:t>law enforcement personnel</w:t>
      </w:r>
      <w:r w:rsidRPr="00104227">
        <w:rPr>
          <w:lang w:val="en-US"/>
        </w:rPr>
        <w:t xml:space="preserve"> respect the human rights of the population in s</w:t>
      </w:r>
      <w:r w:rsidR="001D01CC" w:rsidRPr="00104227">
        <w:rPr>
          <w:lang w:val="en-US"/>
        </w:rPr>
        <w:t>ituations</w:t>
      </w:r>
      <w:r w:rsidRPr="00104227">
        <w:rPr>
          <w:lang w:val="en-US"/>
        </w:rPr>
        <w:t xml:space="preserve"> of social protest; to limit </w:t>
      </w:r>
      <w:r w:rsidR="00BC5201" w:rsidRPr="00104227">
        <w:rPr>
          <w:lang w:val="en-US"/>
        </w:rPr>
        <w:t>the use of force</w:t>
      </w:r>
      <w:r w:rsidR="00633C8A" w:rsidRPr="00104227">
        <w:rPr>
          <w:lang w:val="en-US"/>
        </w:rPr>
        <w:t xml:space="preserve"> </w:t>
      </w:r>
      <w:r w:rsidRPr="00104227">
        <w:rPr>
          <w:lang w:val="en-US"/>
        </w:rPr>
        <w:t>in accordance with international law, or to guarantee the documentation or investigation of police operations in keeping with the said international framework.</w:t>
      </w:r>
      <w:r w:rsidR="00E20ABF" w:rsidRPr="00104227">
        <w:rPr>
          <w:lang w:val="en-US"/>
        </w:rPr>
        <w:t>”</w:t>
      </w:r>
    </w:p>
    <w:p w14:paraId="7AA34C2E" w14:textId="77777777" w:rsidR="00633C8A" w:rsidRPr="00104227" w:rsidRDefault="00633C8A" w:rsidP="00E4619F">
      <w:pPr>
        <w:tabs>
          <w:tab w:val="left" w:pos="567"/>
        </w:tabs>
        <w:rPr>
          <w:lang w:eastAsia="es-MX"/>
        </w:rPr>
      </w:pPr>
    </w:p>
    <w:p w14:paraId="790592EE" w14:textId="47AC8B85" w:rsidR="001D100F" w:rsidRPr="00104227" w:rsidRDefault="00AC3BFC" w:rsidP="00E4619F">
      <w:pPr>
        <w:pStyle w:val="Numberedparagraphs"/>
        <w:tabs>
          <w:tab w:val="left" w:pos="567"/>
        </w:tabs>
        <w:rPr>
          <w:lang w:val="en-US"/>
        </w:rPr>
      </w:pPr>
      <w:r w:rsidRPr="00104227">
        <w:rPr>
          <w:lang w:val="en-US"/>
        </w:rPr>
        <w:t xml:space="preserve">The </w:t>
      </w:r>
      <w:r w:rsidRPr="00104227">
        <w:rPr>
          <w:b/>
          <w:bCs/>
          <w:i/>
          <w:iCs/>
          <w:lang w:val="en-US"/>
        </w:rPr>
        <w:t>State</w:t>
      </w:r>
      <w:r w:rsidR="00633C8A" w:rsidRPr="00104227">
        <w:rPr>
          <w:lang w:val="en-US"/>
        </w:rPr>
        <w:t xml:space="preserve"> </w:t>
      </w:r>
      <w:r w:rsidR="001D100F" w:rsidRPr="00104227">
        <w:rPr>
          <w:lang w:val="en-US"/>
        </w:rPr>
        <w:t>acknowledged its responsibility for</w:t>
      </w:r>
      <w:r w:rsidR="00633C8A" w:rsidRPr="00104227">
        <w:rPr>
          <w:lang w:val="en-US"/>
        </w:rPr>
        <w:t xml:space="preserve"> </w:t>
      </w:r>
      <w:r w:rsidR="001D01CC" w:rsidRPr="00104227">
        <w:rPr>
          <w:lang w:val="en-US"/>
        </w:rPr>
        <w:t xml:space="preserve">violating </w:t>
      </w:r>
      <w:r w:rsidR="00E466FA" w:rsidRPr="00104227">
        <w:rPr>
          <w:lang w:val="en-US"/>
        </w:rPr>
        <w:t>the right</w:t>
      </w:r>
      <w:r w:rsidR="001D01CC" w:rsidRPr="00104227">
        <w:rPr>
          <w:lang w:val="en-US"/>
        </w:rPr>
        <w:t>s</w:t>
      </w:r>
      <w:r w:rsidR="00E466FA" w:rsidRPr="00104227">
        <w:rPr>
          <w:lang w:val="en-US"/>
        </w:rPr>
        <w:t xml:space="preserve"> to</w:t>
      </w:r>
      <w:r w:rsidR="00633C8A" w:rsidRPr="00104227">
        <w:rPr>
          <w:lang w:val="en-US"/>
        </w:rPr>
        <w:t xml:space="preserve"> </w:t>
      </w:r>
      <w:r w:rsidR="0094395C" w:rsidRPr="00104227">
        <w:rPr>
          <w:lang w:val="en-US"/>
        </w:rPr>
        <w:t>personal integrity</w:t>
      </w:r>
      <w:r w:rsidR="00BF5241" w:rsidRPr="00104227">
        <w:rPr>
          <w:lang w:val="en-US"/>
        </w:rPr>
        <w:t xml:space="preserve"> and </w:t>
      </w:r>
      <w:r w:rsidR="001D01CC" w:rsidRPr="00104227">
        <w:rPr>
          <w:lang w:val="en-US"/>
        </w:rPr>
        <w:t xml:space="preserve">to </w:t>
      </w:r>
      <w:r w:rsidR="0094395C" w:rsidRPr="00104227">
        <w:rPr>
          <w:lang w:val="en-US"/>
        </w:rPr>
        <w:t>privacy</w:t>
      </w:r>
      <w:r w:rsidR="00633C8A" w:rsidRPr="00104227">
        <w:rPr>
          <w:lang w:val="en-US"/>
        </w:rPr>
        <w:t xml:space="preserve">, </w:t>
      </w:r>
      <w:r w:rsidR="001D100F" w:rsidRPr="00104227">
        <w:rPr>
          <w:lang w:val="en-US"/>
        </w:rPr>
        <w:t>the right not to be tortured, and the right to live a life free of violence</w:t>
      </w:r>
      <w:r w:rsidR="001D01CC" w:rsidRPr="00104227">
        <w:rPr>
          <w:lang w:val="en-US"/>
        </w:rPr>
        <w:t xml:space="preserve"> of the women</w:t>
      </w:r>
      <w:r w:rsidR="001D100F" w:rsidRPr="00104227">
        <w:rPr>
          <w:lang w:val="en-US"/>
        </w:rPr>
        <w:t xml:space="preserve">, owing to the physical, psychological and sexual </w:t>
      </w:r>
      <w:r w:rsidR="00F63786" w:rsidRPr="00104227">
        <w:rPr>
          <w:lang w:val="en-US"/>
        </w:rPr>
        <w:t>abuse</w:t>
      </w:r>
      <w:r w:rsidR="00633C8A" w:rsidRPr="00104227">
        <w:rPr>
          <w:lang w:val="en-US"/>
        </w:rPr>
        <w:t>, inclu</w:t>
      </w:r>
      <w:r w:rsidR="001D100F" w:rsidRPr="00104227">
        <w:rPr>
          <w:lang w:val="en-US"/>
        </w:rPr>
        <w:t xml:space="preserve">ding acts of sexual torture, as well as </w:t>
      </w:r>
      <w:r w:rsidR="001D01CC" w:rsidRPr="00104227">
        <w:rPr>
          <w:lang w:val="en-US"/>
        </w:rPr>
        <w:t xml:space="preserve">the </w:t>
      </w:r>
      <w:r w:rsidR="001D100F" w:rsidRPr="00104227">
        <w:rPr>
          <w:lang w:val="en-US"/>
        </w:rPr>
        <w:t>debasing treatment and</w:t>
      </w:r>
      <w:r w:rsidR="001D01CC" w:rsidRPr="00104227">
        <w:rPr>
          <w:lang w:val="en-US"/>
        </w:rPr>
        <w:t xml:space="preserve"> the</w:t>
      </w:r>
      <w:r w:rsidR="001D100F" w:rsidRPr="00104227">
        <w:rPr>
          <w:lang w:val="en-US"/>
        </w:rPr>
        <w:t xml:space="preserve"> interference in their private life, the lack of adequate medical </w:t>
      </w:r>
      <w:r w:rsidR="001D01CC" w:rsidRPr="00104227">
        <w:rPr>
          <w:lang w:val="en-US"/>
        </w:rPr>
        <w:t>treatment</w:t>
      </w:r>
      <w:r w:rsidR="001D100F" w:rsidRPr="00104227">
        <w:rPr>
          <w:lang w:val="en-US"/>
        </w:rPr>
        <w:t>, and the effects on their health. In this regard and, based on the determinations made by the SCJN, it recalled that “</w:t>
      </w:r>
      <w:r w:rsidR="00F97BC6" w:rsidRPr="00104227">
        <w:rPr>
          <w:lang w:val="en-US"/>
        </w:rPr>
        <w:t xml:space="preserve">senior </w:t>
      </w:r>
      <w:r w:rsidR="001D100F" w:rsidRPr="00104227">
        <w:rPr>
          <w:lang w:val="en-US"/>
        </w:rPr>
        <w:t xml:space="preserve">police </w:t>
      </w:r>
      <w:r w:rsidR="00F97BC6" w:rsidRPr="00104227">
        <w:rPr>
          <w:lang w:val="en-US"/>
        </w:rPr>
        <w:t xml:space="preserve">officers and agents mistreated the </w:t>
      </w:r>
      <w:r w:rsidR="001D01CC" w:rsidRPr="00104227">
        <w:rPr>
          <w:lang w:val="en-US"/>
        </w:rPr>
        <w:t>detainees physically and morally</w:t>
      </w:r>
      <w:r w:rsidR="00F97BC6" w:rsidRPr="00104227">
        <w:rPr>
          <w:lang w:val="en-US"/>
        </w:rPr>
        <w:t>, thus failing to comply with the principles that should regulate the use of force</w:t>
      </w:r>
      <w:r w:rsidR="001D01CC" w:rsidRPr="00104227">
        <w:rPr>
          <w:lang w:val="en-US"/>
        </w:rPr>
        <w:t>; however,</w:t>
      </w:r>
      <w:r w:rsidR="00F97BC6" w:rsidRPr="00104227">
        <w:rPr>
          <w:lang w:val="en-US"/>
        </w:rPr>
        <w:t xml:space="preserve"> these serious violations of individual guarantees and human rights were not due to a </w:t>
      </w:r>
      <w:r w:rsidR="00F97BC6" w:rsidRPr="00104227">
        <w:rPr>
          <w:lang w:val="en-US"/>
        </w:rPr>
        <w:lastRenderedPageBreak/>
        <w:t xml:space="preserve">state strategy, and were not the result of unlawful orders by senior authorities to </w:t>
      </w:r>
      <w:r w:rsidR="001D01CC" w:rsidRPr="00104227">
        <w:rPr>
          <w:lang w:val="en-US"/>
        </w:rPr>
        <w:t>plan</w:t>
      </w:r>
      <w:r w:rsidR="00F97BC6" w:rsidRPr="00104227">
        <w:rPr>
          <w:lang w:val="en-US"/>
        </w:rPr>
        <w:t xml:space="preserve"> the abuse or plot actions against the protesters.”</w:t>
      </w:r>
    </w:p>
    <w:p w14:paraId="732F9BC5" w14:textId="500CFC7E" w:rsidR="00633C8A" w:rsidRPr="00104227" w:rsidRDefault="00633C8A" w:rsidP="00E4619F">
      <w:pPr>
        <w:pStyle w:val="PrrafodeSentencia"/>
        <w:numPr>
          <w:ilvl w:val="0"/>
          <w:numId w:val="0"/>
        </w:numPr>
        <w:rPr>
          <w:lang w:val="en-US"/>
        </w:rPr>
      </w:pPr>
    </w:p>
    <w:p w14:paraId="0340C9E4" w14:textId="5E215355" w:rsidR="003E1808" w:rsidRPr="00104227" w:rsidRDefault="00BF5241" w:rsidP="003E1808">
      <w:pPr>
        <w:pStyle w:val="Numberedparagraphs"/>
        <w:tabs>
          <w:tab w:val="left" w:pos="567"/>
        </w:tabs>
        <w:rPr>
          <w:lang w:val="en-US"/>
        </w:rPr>
      </w:pPr>
      <w:r w:rsidRPr="00104227">
        <w:rPr>
          <w:lang w:val="en-US"/>
        </w:rPr>
        <w:t>Mexico</w:t>
      </w:r>
      <w:r w:rsidR="00633C8A" w:rsidRPr="00104227">
        <w:rPr>
          <w:lang w:val="en-US"/>
        </w:rPr>
        <w:t xml:space="preserve"> </w:t>
      </w:r>
      <w:r w:rsidR="003E1808" w:rsidRPr="00104227">
        <w:rPr>
          <w:lang w:val="en-US"/>
        </w:rPr>
        <w:t xml:space="preserve">stressed that, despite the foregoing, “at no time was a direct order given by the </w:t>
      </w:r>
      <w:r w:rsidR="001D01CC" w:rsidRPr="00104227">
        <w:rPr>
          <w:lang w:val="en-US"/>
        </w:rPr>
        <w:t>commanders</w:t>
      </w:r>
      <w:r w:rsidR="003E1808" w:rsidRPr="00104227">
        <w:rPr>
          <w:lang w:val="en-US"/>
        </w:rPr>
        <w:t xml:space="preserve"> in charge of the operation, who are </w:t>
      </w:r>
      <w:r w:rsidR="00663D45" w:rsidRPr="00104227">
        <w:rPr>
          <w:lang w:val="en-US"/>
        </w:rPr>
        <w:t>hierarchical</w:t>
      </w:r>
      <w:r w:rsidR="003E1808" w:rsidRPr="00104227">
        <w:rPr>
          <w:lang w:val="en-US"/>
        </w:rPr>
        <w:t xml:space="preserve"> superiors of the Mexican State, to attack the protesters or to carry out acts of sexual violence.” In addition, the State emphasized that “the deployment of force on May 3 and 4, 2006, was legitimate and in keeping with the law (as were the orders issued by the senior </w:t>
      </w:r>
      <w:r w:rsidR="00663D45" w:rsidRPr="00104227">
        <w:rPr>
          <w:lang w:val="en-US"/>
        </w:rPr>
        <w:t>commanders</w:t>
      </w:r>
      <w:r w:rsidR="003E1808" w:rsidRPr="00104227">
        <w:rPr>
          <w:lang w:val="en-US"/>
        </w:rPr>
        <w:t xml:space="preserve">),” because it constituted a necessary reaction to the levels of violence reached by the </w:t>
      </w:r>
      <w:r w:rsidR="00663D45" w:rsidRPr="00104227">
        <w:rPr>
          <w:lang w:val="en-US"/>
        </w:rPr>
        <w:t>protest</w:t>
      </w:r>
      <w:r w:rsidR="003E1808" w:rsidRPr="00104227">
        <w:rPr>
          <w:lang w:val="en-US"/>
        </w:rPr>
        <w:t xml:space="preserve">. It argued that “the human rights violations committed in this case did not arise from an illegitimate instruction on the use of force, but were committed </w:t>
      </w:r>
      <w:r w:rsidR="00663D45" w:rsidRPr="00104227">
        <w:rPr>
          <w:lang w:val="en-US"/>
        </w:rPr>
        <w:t>disregarding</w:t>
      </w:r>
      <w:r w:rsidR="003E1808" w:rsidRPr="00104227">
        <w:rPr>
          <w:lang w:val="en-US"/>
        </w:rPr>
        <w:t xml:space="preserve"> the lawful way in which the police should conduct themselves, as actions </w:t>
      </w:r>
      <w:r w:rsidR="003E1808" w:rsidRPr="00104227">
        <w:rPr>
          <w:i/>
          <w:lang w:val="en-US"/>
        </w:rPr>
        <w:t>ultra vires</w:t>
      </w:r>
      <w:r w:rsidR="003E1808" w:rsidRPr="00104227">
        <w:rPr>
          <w:lang w:val="en-US"/>
        </w:rPr>
        <w:t xml:space="preserve"> of state agents, which</w:t>
      </w:r>
      <w:r w:rsidR="00663D45" w:rsidRPr="00104227">
        <w:rPr>
          <w:lang w:val="en-US"/>
        </w:rPr>
        <w:t xml:space="preserve"> the State, </w:t>
      </w:r>
      <w:r w:rsidR="003E1808" w:rsidRPr="00104227">
        <w:rPr>
          <w:lang w:val="en-US"/>
        </w:rPr>
        <w:t xml:space="preserve">nonetheless, recognizes give rise to its international responsibility.” The State also acknowledged its international responsibility with regard to the “violation of its obligation to adopt domestic legal provisions […] owing to the absence of a domestic legal framework on the use of force and torture at the time of the events.” </w:t>
      </w:r>
    </w:p>
    <w:p w14:paraId="0089E504" w14:textId="77777777" w:rsidR="00633C8A" w:rsidRPr="00104227" w:rsidRDefault="00633C8A" w:rsidP="00E4619F">
      <w:pPr>
        <w:tabs>
          <w:tab w:val="left" w:pos="567"/>
        </w:tabs>
        <w:rPr>
          <w:lang w:eastAsia="es-MX"/>
        </w:rPr>
      </w:pPr>
    </w:p>
    <w:p w14:paraId="452371DE" w14:textId="737770D0" w:rsidR="00633C8A" w:rsidRPr="00104227" w:rsidRDefault="006E13F0" w:rsidP="00E4619F">
      <w:pPr>
        <w:pStyle w:val="Ttulo2"/>
        <w:ind w:left="1080" w:hanging="360"/>
        <w:rPr>
          <w:lang w:val="en-US"/>
        </w:rPr>
      </w:pPr>
      <w:bookmarkStart w:id="266" w:name="_Toc31290589"/>
      <w:r w:rsidRPr="00104227">
        <w:rPr>
          <w:lang w:val="en-US"/>
        </w:rPr>
        <w:t>Considerations</w:t>
      </w:r>
      <w:r w:rsidR="00BF5241" w:rsidRPr="00104227">
        <w:rPr>
          <w:lang w:val="en-US"/>
        </w:rPr>
        <w:t xml:space="preserve"> of the Court</w:t>
      </w:r>
      <w:bookmarkEnd w:id="266"/>
    </w:p>
    <w:p w14:paraId="7BD419F4" w14:textId="77777777" w:rsidR="00633C8A" w:rsidRPr="00104227" w:rsidRDefault="00633C8A" w:rsidP="00E4619F">
      <w:pPr>
        <w:tabs>
          <w:tab w:val="left" w:pos="567"/>
        </w:tabs>
        <w:rPr>
          <w:lang w:eastAsia="es-MX"/>
        </w:rPr>
      </w:pPr>
    </w:p>
    <w:p w14:paraId="12F495D0" w14:textId="138BFA2B" w:rsidR="00633C8A" w:rsidRPr="00104227" w:rsidRDefault="003E1808" w:rsidP="00E4619F">
      <w:pPr>
        <w:pStyle w:val="Numberedparagraphs"/>
        <w:tabs>
          <w:tab w:val="left" w:pos="567"/>
        </w:tabs>
        <w:rPr>
          <w:lang w:val="en-US"/>
        </w:rPr>
      </w:pPr>
      <w:r w:rsidRPr="00104227">
        <w:rPr>
          <w:lang w:val="en-US"/>
        </w:rPr>
        <w:t>In this case</w:t>
      </w:r>
      <w:r w:rsidR="00633C8A" w:rsidRPr="00104227">
        <w:rPr>
          <w:lang w:val="en-US"/>
        </w:rPr>
        <w:t xml:space="preserve">, </w:t>
      </w:r>
      <w:r w:rsidR="00BF5241" w:rsidRPr="00104227">
        <w:rPr>
          <w:lang w:val="en-US"/>
        </w:rPr>
        <w:t>the Court</w:t>
      </w:r>
      <w:r w:rsidR="00633C8A" w:rsidRPr="00104227">
        <w:rPr>
          <w:lang w:val="en-US"/>
        </w:rPr>
        <w:t xml:space="preserve"> </w:t>
      </w:r>
      <w:r w:rsidRPr="00104227">
        <w:rPr>
          <w:lang w:val="en-US"/>
        </w:rPr>
        <w:t>will examine:</w:t>
      </w:r>
      <w:r w:rsidR="00633C8A" w:rsidRPr="00104227">
        <w:rPr>
          <w:lang w:val="en-US"/>
        </w:rPr>
        <w:t xml:space="preserve"> (i) </w:t>
      </w:r>
      <w:r w:rsidR="00BC5201" w:rsidRPr="00104227">
        <w:rPr>
          <w:lang w:val="en-US"/>
        </w:rPr>
        <w:t>the use of force</w:t>
      </w:r>
      <w:r w:rsidR="00633C8A" w:rsidRPr="00104227">
        <w:rPr>
          <w:lang w:val="en-US"/>
        </w:rPr>
        <w:t xml:space="preserve"> </w:t>
      </w:r>
      <w:r w:rsidRPr="00104227">
        <w:rPr>
          <w:lang w:val="en-US"/>
        </w:rPr>
        <w:t>by Stat</w:t>
      </w:r>
      <w:r w:rsidR="00A23F38" w:rsidRPr="00104227">
        <w:rPr>
          <w:lang w:val="en-US"/>
        </w:rPr>
        <w:t>e</w:t>
      </w:r>
      <w:r w:rsidRPr="00104227">
        <w:rPr>
          <w:lang w:val="en-US"/>
        </w:rPr>
        <w:t xml:space="preserve"> </w:t>
      </w:r>
      <w:r w:rsidR="00B665DF" w:rsidRPr="00104227">
        <w:rPr>
          <w:lang w:val="en-US"/>
        </w:rPr>
        <w:t>law enforcement agents</w:t>
      </w:r>
      <w:r w:rsidRPr="00104227">
        <w:rPr>
          <w:lang w:val="en-US"/>
        </w:rPr>
        <w:t xml:space="preserve"> and the violation of the right of assembly; (ii) </w:t>
      </w:r>
      <w:r w:rsidR="00814266" w:rsidRPr="00104227">
        <w:rPr>
          <w:lang w:val="en-US"/>
        </w:rPr>
        <w:t>sexual violence</w:t>
      </w:r>
      <w:r w:rsidR="00BF5241" w:rsidRPr="00104227">
        <w:rPr>
          <w:lang w:val="en-US"/>
        </w:rPr>
        <w:t xml:space="preserve"> and </w:t>
      </w:r>
      <w:r w:rsidRPr="00104227">
        <w:rPr>
          <w:lang w:val="en-US"/>
        </w:rPr>
        <w:t>rape committed against</w:t>
      </w:r>
      <w:r w:rsidR="00633C8A" w:rsidRPr="00104227">
        <w:rPr>
          <w:lang w:val="en-US"/>
        </w:rPr>
        <w:t xml:space="preserve"> </w:t>
      </w:r>
      <w:r w:rsidR="00F12946" w:rsidRPr="00104227">
        <w:rPr>
          <w:lang w:val="en-US"/>
        </w:rPr>
        <w:t>the eleven women</w:t>
      </w:r>
      <w:r w:rsidR="00BF5241" w:rsidRPr="00104227">
        <w:rPr>
          <w:lang w:val="en-US"/>
        </w:rPr>
        <w:t xml:space="preserve"> and </w:t>
      </w:r>
      <w:r w:rsidRPr="00104227">
        <w:rPr>
          <w:lang w:val="en-US"/>
        </w:rPr>
        <w:t xml:space="preserve">its classification as torture in this case: </w:t>
      </w:r>
      <w:r w:rsidR="00633C8A" w:rsidRPr="00104227">
        <w:rPr>
          <w:lang w:val="en-US"/>
        </w:rPr>
        <w:t xml:space="preserve">(iii) </w:t>
      </w:r>
      <w:r w:rsidRPr="00104227">
        <w:rPr>
          <w:lang w:val="en-US"/>
        </w:rPr>
        <w:t>the use of</w:t>
      </w:r>
      <w:r w:rsidR="00633C8A" w:rsidRPr="00104227">
        <w:rPr>
          <w:lang w:val="en-US"/>
        </w:rPr>
        <w:t xml:space="preserve"> </w:t>
      </w:r>
      <w:r w:rsidR="00814266" w:rsidRPr="00104227">
        <w:rPr>
          <w:lang w:val="en-US"/>
        </w:rPr>
        <w:t>sexual violence</w:t>
      </w:r>
      <w:r w:rsidR="00633C8A" w:rsidRPr="00104227">
        <w:rPr>
          <w:lang w:val="en-US"/>
        </w:rPr>
        <w:t xml:space="preserve"> </w:t>
      </w:r>
      <w:r w:rsidRPr="00104227">
        <w:rPr>
          <w:lang w:val="en-US"/>
        </w:rPr>
        <w:t xml:space="preserve">as a weapon </w:t>
      </w:r>
      <w:r w:rsidR="00A23F38" w:rsidRPr="00104227">
        <w:rPr>
          <w:lang w:val="en-US"/>
        </w:rPr>
        <w:t xml:space="preserve">to control public order; </w:t>
      </w:r>
      <w:r w:rsidR="00633C8A" w:rsidRPr="00104227">
        <w:rPr>
          <w:lang w:val="en-US"/>
        </w:rPr>
        <w:t xml:space="preserve">(iv) </w:t>
      </w:r>
      <w:r w:rsidR="00A23F38" w:rsidRPr="00104227">
        <w:rPr>
          <w:lang w:val="en-US"/>
        </w:rPr>
        <w:t>the use of stereotypes in th</w:t>
      </w:r>
      <w:r w:rsidR="00633C8A" w:rsidRPr="00104227">
        <w:rPr>
          <w:lang w:val="en-US"/>
        </w:rPr>
        <w:t>e</w:t>
      </w:r>
      <w:r w:rsidR="00A23F38" w:rsidRPr="00104227">
        <w:rPr>
          <w:lang w:val="en-US"/>
        </w:rPr>
        <w:t xml:space="preserve"> repression, and</w:t>
      </w:r>
      <w:r w:rsidR="00663D45" w:rsidRPr="00104227">
        <w:rPr>
          <w:lang w:val="en-US"/>
        </w:rPr>
        <w:t xml:space="preserve"> the</w:t>
      </w:r>
      <w:r w:rsidR="00A23F38" w:rsidRPr="00104227">
        <w:rPr>
          <w:lang w:val="en-US"/>
        </w:rPr>
        <w:t xml:space="preserve"> response to the complaints of abuse by the victims;</w:t>
      </w:r>
      <w:r w:rsidR="00633C8A" w:rsidRPr="00104227">
        <w:rPr>
          <w:lang w:val="en-US"/>
        </w:rPr>
        <w:t xml:space="preserve">; (v) </w:t>
      </w:r>
      <w:r w:rsidR="00A23F38" w:rsidRPr="00104227">
        <w:rPr>
          <w:lang w:val="en-US"/>
        </w:rPr>
        <w:t>the medical abuse experienced by the victims, and</w:t>
      </w:r>
      <w:r w:rsidR="00BF5241" w:rsidRPr="00104227">
        <w:rPr>
          <w:lang w:val="en-US"/>
        </w:rPr>
        <w:t xml:space="preserve"> </w:t>
      </w:r>
      <w:r w:rsidR="00633C8A" w:rsidRPr="00104227">
        <w:rPr>
          <w:lang w:val="en-US"/>
        </w:rPr>
        <w:t xml:space="preserve">(vi) </w:t>
      </w:r>
      <w:r w:rsidR="00A23F38" w:rsidRPr="00104227">
        <w:rPr>
          <w:lang w:val="en-US"/>
        </w:rPr>
        <w:t>the gender-based discrimination</w:t>
      </w:r>
      <w:r w:rsidR="00633C8A" w:rsidRPr="00104227">
        <w:rPr>
          <w:lang w:val="en-US"/>
        </w:rPr>
        <w:t xml:space="preserve"> </w:t>
      </w:r>
      <w:r w:rsidR="00A23F38" w:rsidRPr="00104227">
        <w:rPr>
          <w:lang w:val="en-US"/>
        </w:rPr>
        <w:t>that occurred in this case.</w:t>
      </w:r>
      <w:r w:rsidR="00633C8A" w:rsidRPr="00104227">
        <w:rPr>
          <w:lang w:val="en-US"/>
        </w:rPr>
        <w:t xml:space="preserve"> </w:t>
      </w:r>
    </w:p>
    <w:p w14:paraId="4C23FCE4" w14:textId="77777777" w:rsidR="00633C8A" w:rsidRPr="00104227" w:rsidRDefault="00633C8A" w:rsidP="00E4619F">
      <w:pPr>
        <w:tabs>
          <w:tab w:val="left" w:pos="567"/>
        </w:tabs>
        <w:rPr>
          <w:lang w:eastAsia="es-MX"/>
        </w:rPr>
      </w:pPr>
    </w:p>
    <w:p w14:paraId="1BA996BD" w14:textId="1DBB514C" w:rsidR="00633C8A" w:rsidRPr="00104227" w:rsidRDefault="00633C8A" w:rsidP="00E4619F">
      <w:pPr>
        <w:pStyle w:val="Ttulo3"/>
        <w:tabs>
          <w:tab w:val="left" w:pos="567"/>
        </w:tabs>
        <w:rPr>
          <w:lang w:val="en-US"/>
        </w:rPr>
      </w:pPr>
      <w:bookmarkStart w:id="267" w:name="_Toc31290590"/>
      <w:r w:rsidRPr="00104227">
        <w:rPr>
          <w:lang w:val="en-US"/>
        </w:rPr>
        <w:t xml:space="preserve">B.1 </w:t>
      </w:r>
      <w:r w:rsidR="00A23F38" w:rsidRPr="00104227">
        <w:rPr>
          <w:lang w:val="en-US"/>
        </w:rPr>
        <w:t>Use of force and right of assembly</w:t>
      </w:r>
      <w:bookmarkEnd w:id="267"/>
      <w:r w:rsidRPr="00104227">
        <w:rPr>
          <w:lang w:val="en-US"/>
        </w:rPr>
        <w:t xml:space="preserve"> </w:t>
      </w:r>
    </w:p>
    <w:p w14:paraId="54089751" w14:textId="77777777" w:rsidR="00633C8A" w:rsidRPr="00104227" w:rsidRDefault="00633C8A" w:rsidP="00E4619F">
      <w:pPr>
        <w:tabs>
          <w:tab w:val="left" w:pos="567"/>
        </w:tabs>
        <w:rPr>
          <w:lang w:eastAsia="es-MX"/>
        </w:rPr>
      </w:pPr>
    </w:p>
    <w:p w14:paraId="6BBF311B" w14:textId="4DEE3171" w:rsidR="00BC2FAA" w:rsidRPr="00104227" w:rsidRDefault="00BC2FAA" w:rsidP="00885693">
      <w:pPr>
        <w:pStyle w:val="Ttulo4"/>
        <w:rPr>
          <w:lang w:val="en-US"/>
        </w:rPr>
      </w:pPr>
      <w:r w:rsidRPr="00104227">
        <w:rPr>
          <w:lang w:val="en-US"/>
        </w:rPr>
        <w:t xml:space="preserve">B.1.1 </w:t>
      </w:r>
      <w:r w:rsidR="00A23F38" w:rsidRPr="00104227">
        <w:rPr>
          <w:lang w:val="en-US"/>
        </w:rPr>
        <w:t>Use of force</w:t>
      </w:r>
    </w:p>
    <w:p w14:paraId="24C4E1C6" w14:textId="77777777" w:rsidR="00BC2FAA" w:rsidRPr="00104227" w:rsidRDefault="00BC2FAA" w:rsidP="00E4619F">
      <w:pPr>
        <w:tabs>
          <w:tab w:val="left" w:pos="567"/>
        </w:tabs>
        <w:rPr>
          <w:lang w:eastAsia="es-MX"/>
        </w:rPr>
      </w:pPr>
    </w:p>
    <w:p w14:paraId="68A1E347" w14:textId="66396AEA" w:rsidR="00633C8A" w:rsidRPr="00104227" w:rsidRDefault="00BF5241" w:rsidP="00E4619F">
      <w:pPr>
        <w:pStyle w:val="Numberedparagraphs"/>
        <w:tabs>
          <w:tab w:val="left" w:pos="567"/>
        </w:tabs>
        <w:rPr>
          <w:lang w:val="en-US"/>
        </w:rPr>
      </w:pPr>
      <w:bookmarkStart w:id="268" w:name="_Ref532986995"/>
      <w:r w:rsidRPr="00104227">
        <w:rPr>
          <w:lang w:val="en-US"/>
        </w:rPr>
        <w:t>The Court</w:t>
      </w:r>
      <w:r w:rsidR="00633C8A" w:rsidRPr="00104227">
        <w:rPr>
          <w:spacing w:val="36"/>
          <w:lang w:val="en-US"/>
        </w:rPr>
        <w:t xml:space="preserve"> </w:t>
      </w:r>
      <w:r w:rsidR="00633C8A" w:rsidRPr="00104227">
        <w:rPr>
          <w:spacing w:val="1"/>
          <w:lang w:val="en-US"/>
        </w:rPr>
        <w:t>h</w:t>
      </w:r>
      <w:r w:rsidR="00633C8A" w:rsidRPr="00104227">
        <w:rPr>
          <w:lang w:val="en-US"/>
        </w:rPr>
        <w:t>a</w:t>
      </w:r>
      <w:r w:rsidR="00A23F38" w:rsidRPr="00104227">
        <w:rPr>
          <w:lang w:val="en-US"/>
        </w:rPr>
        <w:t>s recognized that St</w:t>
      </w:r>
      <w:r w:rsidR="00663D45" w:rsidRPr="00104227">
        <w:rPr>
          <w:lang w:val="en-US"/>
        </w:rPr>
        <w:t>a</w:t>
      </w:r>
      <w:r w:rsidR="00A23F38" w:rsidRPr="00104227">
        <w:rPr>
          <w:lang w:val="en-US"/>
        </w:rPr>
        <w:t>te</w:t>
      </w:r>
      <w:r w:rsidR="00663D45" w:rsidRPr="00104227">
        <w:rPr>
          <w:lang w:val="en-US"/>
        </w:rPr>
        <w:t>s</w:t>
      </w:r>
      <w:r w:rsidR="00A23F38" w:rsidRPr="00104227">
        <w:rPr>
          <w:lang w:val="en-US"/>
        </w:rPr>
        <w:t xml:space="preserve"> have the obligation to ensure security and to maintain public order within their territory and, therefore, have the right to use force legitimately to re-establish this if necessary.</w:t>
      </w:r>
      <w:r w:rsidR="00633C8A" w:rsidRPr="00104227">
        <w:rPr>
          <w:rStyle w:val="Refdenotaalpie"/>
          <w:spacing w:val="-1"/>
          <w:lang w:val="en-US"/>
        </w:rPr>
        <w:footnoteReference w:id="225"/>
      </w:r>
      <w:r w:rsidR="00A23F38" w:rsidRPr="00104227">
        <w:rPr>
          <w:lang w:val="en-US"/>
        </w:rPr>
        <w:t xml:space="preserve"> Even though </w:t>
      </w:r>
      <w:r w:rsidR="00663D45" w:rsidRPr="00104227">
        <w:rPr>
          <w:lang w:val="en-US"/>
        </w:rPr>
        <w:t>S</w:t>
      </w:r>
      <w:r w:rsidR="00A23F38" w:rsidRPr="00104227">
        <w:rPr>
          <w:lang w:val="en-US"/>
        </w:rPr>
        <w:t>tate agents may resort to the use of force and, in some circumstances, even lethal force, the State’s power to achieve its purposes are not unlimited, regardless of the gravity of certain actions and of the guilt of the authors.</w:t>
      </w:r>
      <w:r w:rsidR="00633C8A" w:rsidRPr="00104227">
        <w:rPr>
          <w:vertAlign w:val="superscript"/>
          <w:lang w:val="en-US"/>
        </w:rPr>
        <w:footnoteReference w:id="226"/>
      </w:r>
      <w:bookmarkEnd w:id="268"/>
    </w:p>
    <w:p w14:paraId="2599075E" w14:textId="77777777" w:rsidR="00633C8A" w:rsidRPr="00104227" w:rsidRDefault="00633C8A" w:rsidP="00E4619F">
      <w:pPr>
        <w:tabs>
          <w:tab w:val="left" w:pos="567"/>
        </w:tabs>
        <w:rPr>
          <w:lang w:eastAsia="es-MX"/>
        </w:rPr>
      </w:pPr>
    </w:p>
    <w:p w14:paraId="7ABC5C30" w14:textId="6628D2BE" w:rsidR="00633C8A" w:rsidRPr="00104227" w:rsidRDefault="00BF5241" w:rsidP="00E4619F">
      <w:pPr>
        <w:pStyle w:val="Numberedparagraphs"/>
        <w:tabs>
          <w:tab w:val="left" w:pos="567"/>
        </w:tabs>
        <w:rPr>
          <w:rFonts w:eastAsia="Times New Roman"/>
          <w:sz w:val="19"/>
          <w:szCs w:val="19"/>
          <w:lang w:val="en-US"/>
        </w:rPr>
      </w:pPr>
      <w:r w:rsidRPr="00104227">
        <w:rPr>
          <w:rFonts w:cs="Verdana"/>
          <w:lang w:val="en-US"/>
        </w:rPr>
        <w:t>The Court</w:t>
      </w:r>
      <w:r w:rsidR="00633C8A" w:rsidRPr="00104227">
        <w:rPr>
          <w:rFonts w:cs="Verdana"/>
          <w:lang w:val="en-US"/>
        </w:rPr>
        <w:t xml:space="preserve"> </w:t>
      </w:r>
      <w:r w:rsidR="00633C8A" w:rsidRPr="00104227">
        <w:rPr>
          <w:lang w:val="en-US"/>
        </w:rPr>
        <w:t>ha</w:t>
      </w:r>
      <w:r w:rsidR="003E47B7" w:rsidRPr="00104227">
        <w:rPr>
          <w:lang w:val="en-US"/>
        </w:rPr>
        <w:t>s had recourse to different in</w:t>
      </w:r>
      <w:r w:rsidR="00663D45" w:rsidRPr="00104227">
        <w:rPr>
          <w:lang w:val="en-US"/>
        </w:rPr>
        <w:t>t</w:t>
      </w:r>
      <w:r w:rsidR="003E47B7" w:rsidRPr="00104227">
        <w:rPr>
          <w:lang w:val="en-US"/>
        </w:rPr>
        <w:t xml:space="preserve">ernational instruments on this matter and, in particular, to the </w:t>
      </w:r>
      <w:r w:rsidR="009E1B00" w:rsidRPr="00104227">
        <w:rPr>
          <w:lang w:val="en-US"/>
        </w:rPr>
        <w:t>Basic Principles on the Use of Force</w:t>
      </w:r>
      <w:r w:rsidRPr="00104227">
        <w:rPr>
          <w:lang w:val="en-US"/>
        </w:rPr>
        <w:t xml:space="preserve"> </w:t>
      </w:r>
      <w:r w:rsidR="003E47B7" w:rsidRPr="00104227">
        <w:rPr>
          <w:lang w:val="en-US"/>
        </w:rPr>
        <w:t>and Firearms by Law Enforcement Officials</w:t>
      </w:r>
      <w:r w:rsidR="00633C8A" w:rsidRPr="00104227">
        <w:rPr>
          <w:vertAlign w:val="superscript"/>
          <w:lang w:val="en-US"/>
        </w:rPr>
        <w:footnoteReference w:id="227"/>
      </w:r>
      <w:r w:rsidRPr="00104227">
        <w:rPr>
          <w:lang w:val="en-US"/>
        </w:rPr>
        <w:t xml:space="preserve"> and </w:t>
      </w:r>
      <w:r w:rsidR="003E47B7" w:rsidRPr="00104227">
        <w:rPr>
          <w:lang w:val="en-US"/>
        </w:rPr>
        <w:t>the Code of Conduct for Law Enforcement Officials,</w:t>
      </w:r>
      <w:r w:rsidR="00633C8A" w:rsidRPr="00104227">
        <w:rPr>
          <w:vertAlign w:val="superscript"/>
          <w:lang w:val="en-US"/>
        </w:rPr>
        <w:footnoteReference w:id="228"/>
      </w:r>
      <w:r w:rsidR="003E47B7" w:rsidRPr="00104227">
        <w:rPr>
          <w:lang w:val="en-US"/>
        </w:rPr>
        <w:t xml:space="preserve"> to provide content to the </w:t>
      </w:r>
      <w:r w:rsidR="003E47B7" w:rsidRPr="00104227">
        <w:rPr>
          <w:lang w:val="en-US"/>
        </w:rPr>
        <w:lastRenderedPageBreak/>
        <w:t>obligations relat</w:t>
      </w:r>
      <w:r w:rsidR="00663D45" w:rsidRPr="00104227">
        <w:rPr>
          <w:lang w:val="en-US"/>
        </w:rPr>
        <w:t>ing</w:t>
      </w:r>
      <w:r w:rsidR="003E47B7" w:rsidRPr="00104227">
        <w:rPr>
          <w:lang w:val="en-US"/>
        </w:rPr>
        <w:t xml:space="preserve"> to the u</w:t>
      </w:r>
      <w:r w:rsidR="00A23F38" w:rsidRPr="00104227">
        <w:rPr>
          <w:lang w:val="en-US"/>
        </w:rPr>
        <w:t>se of force</w:t>
      </w:r>
      <w:r w:rsidR="00633C8A" w:rsidRPr="00104227">
        <w:rPr>
          <w:lang w:val="en-US"/>
        </w:rPr>
        <w:t xml:space="preserve"> </w:t>
      </w:r>
      <w:r w:rsidR="003E47B7" w:rsidRPr="00104227">
        <w:rPr>
          <w:lang w:val="en-US"/>
        </w:rPr>
        <w:t>by</w:t>
      </w:r>
      <w:r w:rsidR="002826A6" w:rsidRPr="00104227">
        <w:rPr>
          <w:lang w:val="en-US"/>
        </w:rPr>
        <w:t xml:space="preserve"> the </w:t>
      </w:r>
      <w:r w:rsidR="00AC3BFC" w:rsidRPr="00104227">
        <w:rPr>
          <w:lang w:val="en-US"/>
        </w:rPr>
        <w:t>State</w:t>
      </w:r>
      <w:r w:rsidR="003E47B7" w:rsidRPr="00104227">
        <w:rPr>
          <w:lang w:val="en-US"/>
        </w:rPr>
        <w:t>.</w:t>
      </w:r>
      <w:r w:rsidR="00633C8A" w:rsidRPr="00104227">
        <w:rPr>
          <w:vertAlign w:val="superscript"/>
          <w:lang w:val="en-US"/>
        </w:rPr>
        <w:footnoteReference w:id="229"/>
      </w:r>
      <w:r w:rsidR="003E47B7" w:rsidRPr="00104227">
        <w:rPr>
          <w:lang w:val="en-US"/>
        </w:rPr>
        <w:t xml:space="preserve"> The Basic Principles on the Use of Force</w:t>
      </w:r>
      <w:r w:rsidR="00633C8A" w:rsidRPr="00104227">
        <w:rPr>
          <w:rFonts w:cs="Times"/>
          <w:lang w:val="en-US"/>
        </w:rPr>
        <w:t xml:space="preserve"> </w:t>
      </w:r>
      <w:r w:rsidR="00000FFC" w:rsidRPr="00104227">
        <w:rPr>
          <w:rFonts w:cs="Times"/>
          <w:lang w:val="en-US"/>
        </w:rPr>
        <w:t xml:space="preserve">establish that </w:t>
      </w:r>
      <w:r w:rsidR="00633C8A" w:rsidRPr="00104227">
        <w:rPr>
          <w:lang w:val="en-US"/>
        </w:rPr>
        <w:t>“</w:t>
      </w:r>
      <w:r w:rsidR="003E47B7" w:rsidRPr="00104227">
        <w:rPr>
          <w:lang w:val="en-US"/>
        </w:rPr>
        <w:t>[i]n the dispersal of assemblies that are unlawful but non-violent, law enforcement officials shall avoid the use of force or, where that is not practicable, shall restrict such force to the minimum extent necessary,</w:t>
      </w:r>
      <w:r w:rsidR="00633C8A" w:rsidRPr="00104227">
        <w:rPr>
          <w:lang w:val="en-US"/>
        </w:rPr>
        <w:t xml:space="preserve">” </w:t>
      </w:r>
      <w:r w:rsidR="003E47B7" w:rsidRPr="00104227">
        <w:rPr>
          <w:lang w:val="en-US"/>
        </w:rPr>
        <w:t>while</w:t>
      </w:r>
      <w:r w:rsidR="00633C8A" w:rsidRPr="00104227">
        <w:rPr>
          <w:lang w:val="en-US"/>
        </w:rPr>
        <w:t xml:space="preserve"> “[</w:t>
      </w:r>
      <w:r w:rsidR="003E47B7" w:rsidRPr="00104227">
        <w:rPr>
          <w:lang w:val="en-US"/>
        </w:rPr>
        <w:t>i</w:t>
      </w:r>
      <w:r w:rsidR="00633C8A" w:rsidRPr="00104227">
        <w:rPr>
          <w:lang w:val="en-US"/>
        </w:rPr>
        <w:t>]</w:t>
      </w:r>
      <w:r w:rsidR="003E47B7" w:rsidRPr="00104227">
        <w:rPr>
          <w:lang w:val="en-US"/>
        </w:rPr>
        <w:t>n the dispersal of violent assemblies, law enforcement officials may use firearms only when less dangerous means are not practicable and only to the minimum extent necessary. Law enforcement officials shall not use firearms in such cases, except under the conditions stipulated in principle 9.</w:t>
      </w:r>
      <w:r w:rsidR="00633C8A" w:rsidRPr="00104227">
        <w:rPr>
          <w:lang w:val="en-US"/>
        </w:rPr>
        <w:t>”</w:t>
      </w:r>
      <w:r w:rsidR="00633C8A" w:rsidRPr="00104227">
        <w:rPr>
          <w:vertAlign w:val="superscript"/>
          <w:lang w:val="en-US"/>
        </w:rPr>
        <w:footnoteReference w:id="230"/>
      </w:r>
      <w:r w:rsidR="00633C8A" w:rsidRPr="00104227">
        <w:rPr>
          <w:lang w:val="en-US"/>
        </w:rPr>
        <w:t xml:space="preserve"> </w:t>
      </w:r>
      <w:r w:rsidR="00000FFC" w:rsidRPr="00104227">
        <w:rPr>
          <w:lang w:val="en-US"/>
        </w:rPr>
        <w:t xml:space="preserve">Thus, the international standards and the case law of this Court have established that </w:t>
      </w:r>
      <w:r w:rsidR="00633C8A" w:rsidRPr="00104227">
        <w:rPr>
          <w:lang w:val="en-US"/>
        </w:rPr>
        <w:t>“</w:t>
      </w:r>
      <w:r w:rsidR="00000FFC" w:rsidRPr="00104227">
        <w:rPr>
          <w:lang w:val="en-US"/>
        </w:rPr>
        <w:t>State agents shall make a distinction between individuals who, by their actions, present an imminent threat of death or serious injury and those persons who do not present this threat, and use force only against the former.</w:t>
      </w:r>
      <w:r w:rsidR="00633C8A" w:rsidRPr="00104227">
        <w:rPr>
          <w:lang w:val="en-US"/>
        </w:rPr>
        <w:t>”</w:t>
      </w:r>
      <w:r w:rsidR="00633C8A" w:rsidRPr="00104227">
        <w:rPr>
          <w:vertAlign w:val="superscript"/>
          <w:lang w:val="en-US"/>
        </w:rPr>
        <w:footnoteReference w:id="231"/>
      </w:r>
    </w:p>
    <w:p w14:paraId="2729A2BD" w14:textId="77777777" w:rsidR="00633C8A" w:rsidRPr="00104227" w:rsidRDefault="00633C8A" w:rsidP="00E4619F">
      <w:pPr>
        <w:tabs>
          <w:tab w:val="left" w:pos="567"/>
        </w:tabs>
        <w:rPr>
          <w:lang w:eastAsia="es-MX"/>
        </w:rPr>
      </w:pPr>
    </w:p>
    <w:p w14:paraId="0354E589" w14:textId="7FA02461" w:rsidR="00633C8A" w:rsidRPr="00104227" w:rsidRDefault="00BF5241" w:rsidP="00000FFC">
      <w:pPr>
        <w:pStyle w:val="Numberedparagraphs"/>
        <w:tabs>
          <w:tab w:val="left" w:pos="567"/>
        </w:tabs>
        <w:rPr>
          <w:lang w:val="en-US"/>
        </w:rPr>
      </w:pPr>
      <w:r w:rsidRPr="00104227">
        <w:rPr>
          <w:lang w:val="en-US"/>
        </w:rPr>
        <w:t>This Court</w:t>
      </w:r>
      <w:r w:rsidR="00633C8A" w:rsidRPr="00104227">
        <w:rPr>
          <w:lang w:val="en-US"/>
        </w:rPr>
        <w:t xml:space="preserve"> rec</w:t>
      </w:r>
      <w:r w:rsidR="00000FFC" w:rsidRPr="00104227">
        <w:rPr>
          <w:lang w:val="en-US"/>
        </w:rPr>
        <w:t xml:space="preserve">alls that </w:t>
      </w:r>
      <w:r w:rsidR="00BC5201" w:rsidRPr="00104227">
        <w:rPr>
          <w:lang w:val="en-US"/>
        </w:rPr>
        <w:t>the use of force</w:t>
      </w:r>
      <w:r w:rsidR="00633C8A" w:rsidRPr="00104227">
        <w:rPr>
          <w:lang w:val="en-US"/>
        </w:rPr>
        <w:t xml:space="preserve"> </w:t>
      </w:r>
      <w:r w:rsidR="00000FFC" w:rsidRPr="00104227">
        <w:rPr>
          <w:lang w:val="en-US"/>
        </w:rPr>
        <w:t xml:space="preserve">entails specific obligations for the States: (i) to regulate adequately its application, with a clear and effective legal framework; (ii) to train and educate its </w:t>
      </w:r>
      <w:r w:rsidR="00B665DF" w:rsidRPr="00104227">
        <w:rPr>
          <w:lang w:val="en-US"/>
        </w:rPr>
        <w:t>law enforcement personnel</w:t>
      </w:r>
      <w:r w:rsidR="00000FFC" w:rsidRPr="00104227">
        <w:rPr>
          <w:lang w:val="en-US"/>
        </w:rPr>
        <w:t xml:space="preserve"> on the principles and standards for the protection of human rights, the limits and conditions to which any use of force must be subjected, and (iii) to establish adequate mechanisms to control and verify the legitimacy </w:t>
      </w:r>
      <w:r w:rsidR="008F27D0" w:rsidRPr="00104227">
        <w:rPr>
          <w:lang w:val="en-US"/>
        </w:rPr>
        <w:t xml:space="preserve">of the </w:t>
      </w:r>
      <w:r w:rsidR="00BC5201" w:rsidRPr="00104227">
        <w:rPr>
          <w:lang w:val="en-US"/>
        </w:rPr>
        <w:t>use of force</w:t>
      </w:r>
      <w:r w:rsidR="00000FFC" w:rsidRPr="00104227">
        <w:rPr>
          <w:lang w:val="en-US"/>
        </w:rPr>
        <w:t>.</w:t>
      </w:r>
      <w:r w:rsidR="00633C8A" w:rsidRPr="00104227">
        <w:rPr>
          <w:rStyle w:val="Refdenotaalpie"/>
          <w:lang w:val="en-US"/>
        </w:rPr>
        <w:footnoteReference w:id="232"/>
      </w:r>
      <w:r w:rsidR="00633C8A" w:rsidRPr="00104227">
        <w:rPr>
          <w:lang w:val="en-US"/>
        </w:rPr>
        <w:t xml:space="preserve"> </w:t>
      </w:r>
    </w:p>
    <w:p w14:paraId="6AF66713" w14:textId="77777777" w:rsidR="00633C8A" w:rsidRPr="00104227" w:rsidRDefault="00633C8A" w:rsidP="00E4619F">
      <w:pPr>
        <w:tabs>
          <w:tab w:val="left" w:pos="567"/>
        </w:tabs>
        <w:rPr>
          <w:lang w:eastAsia="es-MX"/>
        </w:rPr>
      </w:pPr>
    </w:p>
    <w:p w14:paraId="044099E4" w14:textId="40CA26C3" w:rsidR="00633C8A" w:rsidRPr="00104227" w:rsidRDefault="00000FFC" w:rsidP="00E4619F">
      <w:pPr>
        <w:pStyle w:val="Numberedparagraphs"/>
        <w:tabs>
          <w:tab w:val="left" w:pos="567"/>
        </w:tabs>
        <w:rPr>
          <w:lang w:val="en-US" w:eastAsia="es-MX"/>
        </w:rPr>
      </w:pPr>
      <w:r w:rsidRPr="00104227">
        <w:rPr>
          <w:rFonts w:cs="Times"/>
          <w:lang w:val="en-US"/>
        </w:rPr>
        <w:t>Based on the foregoing</w:t>
      </w:r>
      <w:r w:rsidR="00633C8A" w:rsidRPr="00104227">
        <w:rPr>
          <w:rFonts w:cs="Times"/>
          <w:lang w:val="en-US"/>
        </w:rPr>
        <w:t xml:space="preserve">, </w:t>
      </w:r>
      <w:r w:rsidR="00BF5241" w:rsidRPr="00104227">
        <w:rPr>
          <w:lang w:val="en-US"/>
        </w:rPr>
        <w:t>the Court</w:t>
      </w:r>
      <w:r w:rsidR="00633C8A" w:rsidRPr="00104227">
        <w:rPr>
          <w:lang w:val="en-US"/>
        </w:rPr>
        <w:t xml:space="preserve"> ha</w:t>
      </w:r>
      <w:r w:rsidRPr="00104227">
        <w:rPr>
          <w:lang w:val="en-US"/>
        </w:rPr>
        <w:t>s esta</w:t>
      </w:r>
      <w:r w:rsidR="00663D45" w:rsidRPr="00104227">
        <w:rPr>
          <w:lang w:val="en-US"/>
        </w:rPr>
        <w:t>b</w:t>
      </w:r>
      <w:r w:rsidRPr="00104227">
        <w:rPr>
          <w:lang w:val="en-US"/>
        </w:rPr>
        <w:t>lished that</w:t>
      </w:r>
      <w:r w:rsidR="005374BC" w:rsidRPr="00104227">
        <w:rPr>
          <w:lang w:val="en-US"/>
        </w:rPr>
        <w:t xml:space="preserve">, </w:t>
      </w:r>
      <w:r w:rsidRPr="00104227">
        <w:rPr>
          <w:lang w:val="en-US"/>
        </w:rPr>
        <w:t>if the use of force is essential</w:t>
      </w:r>
      <w:r w:rsidR="005374BC" w:rsidRPr="00104227">
        <w:rPr>
          <w:lang w:val="en-US"/>
        </w:rPr>
        <w:t xml:space="preserve">, </w:t>
      </w:r>
      <w:r w:rsidR="00E062B3" w:rsidRPr="00104227">
        <w:rPr>
          <w:lang w:val="en-US"/>
        </w:rPr>
        <w:t>it is necessary to satisfy the principles of legality, absolute necessity and proportionality, as follows:</w:t>
      </w:r>
      <w:r w:rsidR="00633C8A" w:rsidRPr="00104227">
        <w:rPr>
          <w:bCs/>
          <w:vertAlign w:val="superscript"/>
          <w:lang w:val="en-US"/>
        </w:rPr>
        <w:footnoteReference w:id="233"/>
      </w:r>
      <w:bookmarkStart w:id="269" w:name="_Ref528920691"/>
    </w:p>
    <w:p w14:paraId="3D5C6B23" w14:textId="77777777" w:rsidR="00633C8A" w:rsidRPr="00104227" w:rsidRDefault="00633C8A" w:rsidP="00E4619F">
      <w:pPr>
        <w:tabs>
          <w:tab w:val="left" w:pos="567"/>
        </w:tabs>
        <w:autoSpaceDE w:val="0"/>
        <w:autoSpaceDN w:val="0"/>
        <w:adjustRightInd w:val="0"/>
        <w:rPr>
          <w:szCs w:val="20"/>
        </w:rPr>
      </w:pPr>
    </w:p>
    <w:p w14:paraId="1D86F71B" w14:textId="722F2351" w:rsidR="00633C8A" w:rsidRPr="00104227" w:rsidRDefault="00633C8A" w:rsidP="00E4619F">
      <w:pPr>
        <w:tabs>
          <w:tab w:val="left" w:pos="567"/>
          <w:tab w:val="left" w:pos="720"/>
        </w:tabs>
        <w:spacing w:after="120"/>
        <w:ind w:left="720"/>
        <w:rPr>
          <w:rFonts w:cs="TimesNewRoman"/>
          <w:sz w:val="18"/>
          <w:szCs w:val="18"/>
        </w:rPr>
      </w:pPr>
      <w:r w:rsidRPr="00104227">
        <w:rPr>
          <w:rFonts w:eastAsia="Batang"/>
          <w:i/>
          <w:sz w:val="18"/>
          <w:szCs w:val="18"/>
          <w:lang w:eastAsia="es-MX"/>
        </w:rPr>
        <w:t>Legali</w:t>
      </w:r>
      <w:r w:rsidR="00F27D61" w:rsidRPr="00104227">
        <w:rPr>
          <w:rFonts w:eastAsia="Batang"/>
          <w:i/>
          <w:sz w:val="18"/>
          <w:szCs w:val="18"/>
          <w:lang w:eastAsia="es-MX"/>
        </w:rPr>
        <w:t>ty</w:t>
      </w:r>
      <w:r w:rsidRPr="00104227">
        <w:rPr>
          <w:rFonts w:eastAsia="Batang"/>
          <w:sz w:val="18"/>
          <w:szCs w:val="18"/>
          <w:lang w:eastAsia="es-MX"/>
        </w:rPr>
        <w:t xml:space="preserve">: </w:t>
      </w:r>
      <w:r w:rsidR="00BC5201" w:rsidRPr="00104227">
        <w:rPr>
          <w:rFonts w:eastAsia="Batang"/>
          <w:sz w:val="18"/>
          <w:szCs w:val="18"/>
          <w:lang w:eastAsia="es-MX"/>
        </w:rPr>
        <w:t>the use of force</w:t>
      </w:r>
      <w:r w:rsidRPr="00104227">
        <w:rPr>
          <w:rFonts w:eastAsia="Batang"/>
          <w:sz w:val="18"/>
          <w:szCs w:val="18"/>
          <w:lang w:eastAsia="es-MX"/>
        </w:rPr>
        <w:t xml:space="preserve"> </w:t>
      </w:r>
      <w:r w:rsidR="00E062B3" w:rsidRPr="00104227">
        <w:rPr>
          <w:rFonts w:eastAsia="Batang"/>
          <w:sz w:val="18"/>
          <w:szCs w:val="18"/>
          <w:lang w:eastAsia="es-MX"/>
        </w:rPr>
        <w:t>must be addressed at achieving a legitimate objective, and a regulatory framework must exist that establishes the</w:t>
      </w:r>
      <w:r w:rsidRPr="00104227">
        <w:rPr>
          <w:rFonts w:eastAsia="Batang"/>
          <w:sz w:val="18"/>
          <w:szCs w:val="18"/>
          <w:lang w:eastAsia="es-MX"/>
        </w:rPr>
        <w:t xml:space="preserve"> </w:t>
      </w:r>
      <w:r w:rsidR="00F27D61" w:rsidRPr="00104227">
        <w:rPr>
          <w:rFonts w:eastAsia="Batang"/>
          <w:sz w:val="18"/>
          <w:szCs w:val="18"/>
          <w:lang w:eastAsia="es-MX"/>
        </w:rPr>
        <w:t>guidelines</w:t>
      </w:r>
      <w:r w:rsidR="00E062B3" w:rsidRPr="00104227">
        <w:rPr>
          <w:rFonts w:eastAsia="Batang"/>
          <w:sz w:val="18"/>
          <w:szCs w:val="18"/>
          <w:lang w:eastAsia="es-MX"/>
        </w:rPr>
        <w:t xml:space="preserve"> for this situation.</w:t>
      </w:r>
      <w:r w:rsidRPr="00104227">
        <w:rPr>
          <w:rFonts w:eastAsia="Batang"/>
          <w:sz w:val="18"/>
          <w:szCs w:val="18"/>
          <w:vertAlign w:val="superscript"/>
          <w:lang w:eastAsia="es-MX"/>
        </w:rPr>
        <w:footnoteReference w:id="234"/>
      </w:r>
    </w:p>
    <w:p w14:paraId="5DC29508" w14:textId="53F0C06A" w:rsidR="00633C8A" w:rsidRPr="00104227" w:rsidRDefault="00633C8A" w:rsidP="00E4619F">
      <w:pPr>
        <w:tabs>
          <w:tab w:val="left" w:pos="567"/>
          <w:tab w:val="left" w:pos="720"/>
        </w:tabs>
        <w:spacing w:after="120"/>
        <w:ind w:left="720"/>
        <w:rPr>
          <w:rFonts w:eastAsia="Batang"/>
          <w:sz w:val="18"/>
          <w:szCs w:val="18"/>
          <w:lang w:eastAsia="es-MX"/>
        </w:rPr>
      </w:pPr>
      <w:r w:rsidRPr="00104227">
        <w:rPr>
          <w:rFonts w:eastAsia="Batang"/>
          <w:i/>
          <w:sz w:val="18"/>
          <w:szCs w:val="18"/>
          <w:lang w:eastAsia="es-MX"/>
        </w:rPr>
        <w:t>Absolut</w:t>
      </w:r>
      <w:r w:rsidR="00E062B3" w:rsidRPr="00104227">
        <w:rPr>
          <w:rFonts w:eastAsia="Batang"/>
          <w:i/>
          <w:sz w:val="18"/>
          <w:szCs w:val="18"/>
          <w:lang w:eastAsia="es-MX"/>
        </w:rPr>
        <w:t>e</w:t>
      </w:r>
      <w:r w:rsidRPr="00104227">
        <w:rPr>
          <w:rFonts w:eastAsia="Batang"/>
          <w:i/>
          <w:sz w:val="18"/>
          <w:szCs w:val="18"/>
          <w:lang w:eastAsia="es-MX"/>
        </w:rPr>
        <w:t xml:space="preserve"> nece</w:t>
      </w:r>
      <w:r w:rsidR="00E062B3" w:rsidRPr="00104227">
        <w:rPr>
          <w:rFonts w:eastAsia="Batang"/>
          <w:i/>
          <w:sz w:val="18"/>
          <w:szCs w:val="18"/>
          <w:lang w:eastAsia="es-MX"/>
        </w:rPr>
        <w:t>ssity</w:t>
      </w:r>
      <w:r w:rsidRPr="00104227">
        <w:rPr>
          <w:rFonts w:eastAsia="Batang"/>
          <w:sz w:val="18"/>
          <w:szCs w:val="18"/>
          <w:lang w:eastAsia="es-MX"/>
        </w:rPr>
        <w:t xml:space="preserve">: </w:t>
      </w:r>
      <w:r w:rsidR="00BC5201" w:rsidRPr="00104227">
        <w:rPr>
          <w:rFonts w:eastAsia="Batang"/>
          <w:sz w:val="18"/>
          <w:szCs w:val="18"/>
          <w:lang w:eastAsia="es-MX"/>
        </w:rPr>
        <w:t>the use of force</w:t>
      </w:r>
      <w:r w:rsidRPr="00104227">
        <w:rPr>
          <w:rFonts w:eastAsia="Batang"/>
          <w:sz w:val="18"/>
          <w:szCs w:val="18"/>
          <w:lang w:eastAsia="es-MX"/>
        </w:rPr>
        <w:t xml:space="preserve"> </w:t>
      </w:r>
      <w:r w:rsidR="00840E40" w:rsidRPr="00104227">
        <w:rPr>
          <w:rFonts w:eastAsia="Batang"/>
          <w:sz w:val="18"/>
          <w:szCs w:val="18"/>
          <w:lang w:eastAsia="es-MX"/>
        </w:rPr>
        <w:t>must be limited to the inexistence or non-availability of other means to protect the life and integrity of the individual or situation that it is intended to protect, depending on the circumstances of the case.</w:t>
      </w:r>
      <w:r w:rsidRPr="00104227">
        <w:rPr>
          <w:rFonts w:eastAsia="Batang"/>
          <w:sz w:val="18"/>
          <w:szCs w:val="18"/>
          <w:vertAlign w:val="superscript"/>
          <w:lang w:eastAsia="es-MX"/>
        </w:rPr>
        <w:footnoteReference w:id="235"/>
      </w:r>
    </w:p>
    <w:p w14:paraId="0CDC4607" w14:textId="47EACD99" w:rsidR="00633C8A" w:rsidRPr="00104227" w:rsidRDefault="00F27D61" w:rsidP="00E4619F">
      <w:pPr>
        <w:tabs>
          <w:tab w:val="left" w:pos="567"/>
          <w:tab w:val="left" w:pos="720"/>
        </w:tabs>
        <w:ind w:left="720"/>
        <w:rPr>
          <w:rFonts w:eastAsia="Batang"/>
          <w:sz w:val="18"/>
          <w:szCs w:val="18"/>
          <w:lang w:eastAsia="es-MX"/>
        </w:rPr>
      </w:pPr>
      <w:r w:rsidRPr="00104227">
        <w:rPr>
          <w:rFonts w:eastAsia="Batang"/>
          <w:i/>
          <w:sz w:val="18"/>
          <w:szCs w:val="18"/>
          <w:lang w:eastAsia="es-MX"/>
        </w:rPr>
        <w:t>Proportionality</w:t>
      </w:r>
      <w:r w:rsidR="00633C8A" w:rsidRPr="00104227">
        <w:rPr>
          <w:rFonts w:eastAsia="Batang"/>
          <w:sz w:val="18"/>
          <w:szCs w:val="18"/>
          <w:lang w:eastAsia="es-MX"/>
        </w:rPr>
        <w:t xml:space="preserve">: </w:t>
      </w:r>
      <w:r w:rsidR="00840E40" w:rsidRPr="00104227">
        <w:rPr>
          <w:rFonts w:eastAsia="Batang"/>
          <w:sz w:val="18"/>
          <w:szCs w:val="18"/>
          <w:lang w:eastAsia="es-MX"/>
        </w:rPr>
        <w:t>the means and method used should be proportionate to the resistance offered and the danger that exists.</w:t>
      </w:r>
      <w:r w:rsidR="00633C8A" w:rsidRPr="00104227">
        <w:rPr>
          <w:rFonts w:eastAsia="Batang"/>
          <w:sz w:val="18"/>
          <w:szCs w:val="18"/>
          <w:vertAlign w:val="superscript"/>
          <w:lang w:eastAsia="es-MX"/>
        </w:rPr>
        <w:footnoteReference w:id="236"/>
      </w:r>
      <w:r w:rsidR="00840E40" w:rsidRPr="00104227">
        <w:rPr>
          <w:rFonts w:eastAsia="Batang"/>
          <w:sz w:val="18"/>
          <w:szCs w:val="18"/>
          <w:lang w:eastAsia="es-MX"/>
        </w:rPr>
        <w:t xml:space="preserve"> Thus, agents must</w:t>
      </w:r>
      <w:r w:rsidR="005374BC" w:rsidRPr="00104227">
        <w:rPr>
          <w:rFonts w:eastAsia="Batang"/>
          <w:sz w:val="18"/>
          <w:szCs w:val="18"/>
          <w:lang w:eastAsia="es-MX"/>
        </w:rPr>
        <w:t xml:space="preserve"> apply</w:t>
      </w:r>
      <w:r w:rsidR="00840E40" w:rsidRPr="00104227">
        <w:rPr>
          <w:rFonts w:eastAsia="Batang"/>
          <w:sz w:val="18"/>
          <w:szCs w:val="18"/>
          <w:lang w:eastAsia="es-MX"/>
        </w:rPr>
        <w:t xml:space="preserve"> a standard of differentiated and progressive use </w:t>
      </w:r>
      <w:r w:rsidR="00840E40" w:rsidRPr="00104227">
        <w:rPr>
          <w:rFonts w:eastAsia="Batang"/>
          <w:sz w:val="18"/>
          <w:szCs w:val="18"/>
          <w:lang w:eastAsia="es-MX"/>
        </w:rPr>
        <w:lastRenderedPageBreak/>
        <w:t xml:space="preserve">of force, </w:t>
      </w:r>
      <w:r w:rsidR="005374BC" w:rsidRPr="00104227">
        <w:rPr>
          <w:rFonts w:eastAsia="Batang"/>
          <w:sz w:val="18"/>
          <w:szCs w:val="18"/>
          <w:lang w:eastAsia="es-MX"/>
        </w:rPr>
        <w:t>based on the</w:t>
      </w:r>
      <w:r w:rsidR="00840E40" w:rsidRPr="00104227">
        <w:rPr>
          <w:rFonts w:eastAsia="Batang"/>
          <w:sz w:val="18"/>
          <w:szCs w:val="18"/>
          <w:lang w:eastAsia="es-MX"/>
        </w:rPr>
        <w:t xml:space="preserve"> degree of coope</w:t>
      </w:r>
      <w:r w:rsidR="005374BC" w:rsidRPr="00104227">
        <w:rPr>
          <w:rFonts w:eastAsia="Batang"/>
          <w:sz w:val="18"/>
          <w:szCs w:val="18"/>
          <w:lang w:eastAsia="es-MX"/>
        </w:rPr>
        <w:t>r</w:t>
      </w:r>
      <w:r w:rsidR="00840E40" w:rsidRPr="00104227">
        <w:rPr>
          <w:rFonts w:eastAsia="Batang"/>
          <w:sz w:val="18"/>
          <w:szCs w:val="18"/>
          <w:lang w:eastAsia="es-MX"/>
        </w:rPr>
        <w:t xml:space="preserve">ation, </w:t>
      </w:r>
      <w:r w:rsidRPr="00104227">
        <w:rPr>
          <w:rFonts w:eastAsia="Batang"/>
          <w:sz w:val="18"/>
          <w:szCs w:val="18"/>
          <w:lang w:eastAsia="es-MX"/>
        </w:rPr>
        <w:t>resistance</w:t>
      </w:r>
      <w:r w:rsidR="00840E40" w:rsidRPr="00104227">
        <w:rPr>
          <w:rFonts w:eastAsia="Batang"/>
          <w:sz w:val="18"/>
          <w:szCs w:val="18"/>
          <w:lang w:eastAsia="es-MX"/>
        </w:rPr>
        <w:t xml:space="preserve"> or aggression by the subject to be restrained and, consequently, use tactics of negotiation, control or use of forces, as appropriate.</w:t>
      </w:r>
      <w:r w:rsidR="00633C8A" w:rsidRPr="00104227">
        <w:rPr>
          <w:rFonts w:eastAsia="Batang"/>
          <w:sz w:val="18"/>
          <w:szCs w:val="18"/>
          <w:vertAlign w:val="superscript"/>
          <w:lang w:eastAsia="es-MX"/>
        </w:rPr>
        <w:footnoteReference w:id="237"/>
      </w:r>
    </w:p>
    <w:p w14:paraId="79772027" w14:textId="766C43FF" w:rsidR="00633C8A" w:rsidRPr="00104227" w:rsidRDefault="00633C8A" w:rsidP="00E4619F">
      <w:pPr>
        <w:tabs>
          <w:tab w:val="left" w:pos="567"/>
        </w:tabs>
        <w:rPr>
          <w:lang w:eastAsia="es-MX"/>
        </w:rPr>
      </w:pPr>
    </w:p>
    <w:p w14:paraId="6A197F69" w14:textId="1B995F31" w:rsidR="00633C8A" w:rsidRPr="00104227" w:rsidRDefault="00840E40" w:rsidP="00E4619F">
      <w:pPr>
        <w:pStyle w:val="Numberedparagraphs"/>
        <w:tabs>
          <w:tab w:val="left" w:pos="567"/>
        </w:tabs>
        <w:rPr>
          <w:lang w:val="en-US"/>
        </w:rPr>
      </w:pPr>
      <w:r w:rsidRPr="00104227">
        <w:rPr>
          <w:lang w:val="en-US"/>
        </w:rPr>
        <w:t xml:space="preserve">An assessment of the conventionality </w:t>
      </w:r>
      <w:r w:rsidR="008F27D0" w:rsidRPr="00104227">
        <w:rPr>
          <w:lang w:val="en-US"/>
        </w:rPr>
        <w:t xml:space="preserve">of the </w:t>
      </w:r>
      <w:r w:rsidR="00BC5201" w:rsidRPr="00104227">
        <w:rPr>
          <w:lang w:val="en-US"/>
        </w:rPr>
        <w:t>use of force</w:t>
      </w:r>
      <w:r w:rsidR="00633C8A" w:rsidRPr="00104227">
        <w:rPr>
          <w:lang w:val="en-US"/>
        </w:rPr>
        <w:t xml:space="preserve"> </w:t>
      </w:r>
      <w:r w:rsidRPr="00104227">
        <w:rPr>
          <w:lang w:val="en-US"/>
        </w:rPr>
        <w:t xml:space="preserve">should be made in every circumstance and </w:t>
      </w:r>
      <w:r w:rsidR="005374BC" w:rsidRPr="00104227">
        <w:rPr>
          <w:lang w:val="en-US"/>
        </w:rPr>
        <w:t xml:space="preserve">in </w:t>
      </w:r>
      <w:r w:rsidRPr="00104227">
        <w:rPr>
          <w:lang w:val="en-US"/>
        </w:rPr>
        <w:t>the context of the e</w:t>
      </w:r>
      <w:r w:rsidR="008B19B1" w:rsidRPr="00104227">
        <w:rPr>
          <w:lang w:val="en-US"/>
        </w:rPr>
        <w:t>vents,</w:t>
      </w:r>
      <w:r w:rsidR="00633C8A" w:rsidRPr="00104227">
        <w:rPr>
          <w:vertAlign w:val="superscript"/>
          <w:lang w:val="en-US"/>
        </w:rPr>
        <w:footnoteReference w:id="238"/>
      </w:r>
      <w:r w:rsidR="008B19B1" w:rsidRPr="00104227">
        <w:rPr>
          <w:lang w:val="en-US"/>
        </w:rPr>
        <w:t xml:space="preserve"> taking the above criteria into account</w:t>
      </w:r>
      <w:bookmarkEnd w:id="269"/>
      <w:r w:rsidR="008B19B1" w:rsidRPr="00104227">
        <w:rPr>
          <w:lang w:val="en-US"/>
        </w:rPr>
        <w:t>.</w:t>
      </w:r>
    </w:p>
    <w:p w14:paraId="3CC748B2" w14:textId="77777777" w:rsidR="00402EE7" w:rsidRPr="00104227" w:rsidRDefault="00402EE7" w:rsidP="00E4619F">
      <w:pPr>
        <w:tabs>
          <w:tab w:val="left" w:pos="567"/>
        </w:tabs>
      </w:pPr>
    </w:p>
    <w:p w14:paraId="7C302D16" w14:textId="32E087D8" w:rsidR="00402EE7" w:rsidRPr="00104227" w:rsidRDefault="000254FE" w:rsidP="00E4619F">
      <w:pPr>
        <w:pStyle w:val="Numberedparagraphs"/>
        <w:tabs>
          <w:tab w:val="left" w:pos="567"/>
        </w:tabs>
        <w:rPr>
          <w:lang w:val="en-US"/>
        </w:rPr>
      </w:pPr>
      <w:r w:rsidRPr="00104227">
        <w:rPr>
          <w:lang w:val="en-US"/>
        </w:rPr>
        <w:t xml:space="preserve"> </w:t>
      </w:r>
      <w:r w:rsidR="008B19B1" w:rsidRPr="00104227">
        <w:rPr>
          <w:lang w:val="en-US"/>
        </w:rPr>
        <w:t xml:space="preserve">In light of the conditions required for </w:t>
      </w:r>
      <w:r w:rsidR="00BC5201" w:rsidRPr="00104227">
        <w:rPr>
          <w:lang w:val="en-US"/>
        </w:rPr>
        <w:t>the use of force</w:t>
      </w:r>
      <w:r w:rsidR="00402EE7" w:rsidRPr="00104227">
        <w:rPr>
          <w:lang w:val="en-US"/>
        </w:rPr>
        <w:t xml:space="preserve"> </w:t>
      </w:r>
      <w:r w:rsidR="008B19B1" w:rsidRPr="00104227">
        <w:rPr>
          <w:lang w:val="en-US"/>
        </w:rPr>
        <w:t>by</w:t>
      </w:r>
      <w:r w:rsidR="002826A6" w:rsidRPr="00104227">
        <w:rPr>
          <w:lang w:val="en-US"/>
        </w:rPr>
        <w:t xml:space="preserve"> the </w:t>
      </w:r>
      <w:r w:rsidR="00AC3BFC" w:rsidRPr="00104227">
        <w:rPr>
          <w:lang w:val="en-US"/>
        </w:rPr>
        <w:t>State</w:t>
      </w:r>
      <w:r w:rsidR="00402EE7" w:rsidRPr="00104227">
        <w:rPr>
          <w:lang w:val="en-US"/>
        </w:rPr>
        <w:t xml:space="preserve">, </w:t>
      </w:r>
      <w:r w:rsidR="00BF5241" w:rsidRPr="00104227">
        <w:rPr>
          <w:lang w:val="en-US"/>
        </w:rPr>
        <w:t>the Court</w:t>
      </w:r>
      <w:r w:rsidR="00402EE7" w:rsidRPr="00104227">
        <w:rPr>
          <w:lang w:val="en-US"/>
        </w:rPr>
        <w:t xml:space="preserve"> </w:t>
      </w:r>
      <w:r w:rsidR="008B19B1" w:rsidRPr="00104227">
        <w:rPr>
          <w:lang w:val="en-US"/>
        </w:rPr>
        <w:t>will no</w:t>
      </w:r>
      <w:r w:rsidR="005374BC" w:rsidRPr="00104227">
        <w:rPr>
          <w:lang w:val="en-US"/>
        </w:rPr>
        <w:t>w</w:t>
      </w:r>
      <w:r w:rsidR="008B19B1" w:rsidRPr="00104227">
        <w:rPr>
          <w:lang w:val="en-US"/>
        </w:rPr>
        <w:t xml:space="preserve"> analyze </w:t>
      </w:r>
      <w:r w:rsidR="00BC5201" w:rsidRPr="00104227">
        <w:rPr>
          <w:lang w:val="en-US"/>
        </w:rPr>
        <w:t>the use of force</w:t>
      </w:r>
      <w:r w:rsidR="00402EE7" w:rsidRPr="00104227">
        <w:rPr>
          <w:lang w:val="en-US"/>
        </w:rPr>
        <w:t xml:space="preserve"> </w:t>
      </w:r>
      <w:r w:rsidR="008B19B1" w:rsidRPr="00104227">
        <w:rPr>
          <w:lang w:val="en-US"/>
        </w:rPr>
        <w:t xml:space="preserve">that took place on </w:t>
      </w:r>
      <w:r w:rsidR="00DF5F3C" w:rsidRPr="00104227">
        <w:rPr>
          <w:lang w:val="en-US"/>
        </w:rPr>
        <w:t>May 3 and 4,</w:t>
      </w:r>
      <w:r w:rsidR="00402EE7" w:rsidRPr="00104227">
        <w:rPr>
          <w:lang w:val="en-US"/>
        </w:rPr>
        <w:t xml:space="preserve"> </w:t>
      </w:r>
      <w:r w:rsidR="008C6D02" w:rsidRPr="00104227">
        <w:rPr>
          <w:lang w:val="en-US"/>
        </w:rPr>
        <w:t>2006, in</w:t>
      </w:r>
      <w:r w:rsidR="00402EE7" w:rsidRPr="00104227">
        <w:rPr>
          <w:lang w:val="en-US"/>
        </w:rPr>
        <w:t xml:space="preserve"> Texcoco</w:t>
      </w:r>
      <w:r w:rsidR="00BF5241" w:rsidRPr="00104227">
        <w:rPr>
          <w:lang w:val="en-US"/>
        </w:rPr>
        <w:t xml:space="preserve"> and </w:t>
      </w:r>
      <w:r w:rsidR="00402EE7" w:rsidRPr="00104227">
        <w:rPr>
          <w:lang w:val="en-US"/>
        </w:rPr>
        <w:t xml:space="preserve">San Salvador de Atenco. </w:t>
      </w:r>
    </w:p>
    <w:p w14:paraId="436C8F48" w14:textId="77777777" w:rsidR="00402EE7" w:rsidRPr="00104227" w:rsidRDefault="00402EE7" w:rsidP="00E4619F">
      <w:pPr>
        <w:pStyle w:val="Numberedparagraphs"/>
        <w:numPr>
          <w:ilvl w:val="0"/>
          <w:numId w:val="0"/>
        </w:numPr>
        <w:tabs>
          <w:tab w:val="left" w:pos="567"/>
        </w:tabs>
        <w:rPr>
          <w:lang w:val="en-US"/>
        </w:rPr>
      </w:pPr>
    </w:p>
    <w:p w14:paraId="083B3933" w14:textId="3839D7AE" w:rsidR="00402EE7" w:rsidRPr="00104227" w:rsidRDefault="008B19B1" w:rsidP="00D83A38">
      <w:pPr>
        <w:pStyle w:val="Numberedparagraphs"/>
        <w:tabs>
          <w:tab w:val="left" w:pos="567"/>
        </w:tabs>
        <w:rPr>
          <w:lang w:val="en-US"/>
        </w:rPr>
      </w:pPr>
      <w:bookmarkStart w:id="270" w:name="_Ref533149520"/>
      <w:r w:rsidRPr="00104227">
        <w:rPr>
          <w:lang w:val="en-US"/>
        </w:rPr>
        <w:t xml:space="preserve">In the instant case, even though the </w:t>
      </w:r>
      <w:r w:rsidR="003F10B2" w:rsidRPr="00104227">
        <w:rPr>
          <w:lang w:val="en-US"/>
        </w:rPr>
        <w:t xml:space="preserve">State </w:t>
      </w:r>
      <w:r w:rsidRPr="00104227">
        <w:rPr>
          <w:lang w:val="en-US"/>
        </w:rPr>
        <w:t xml:space="preserve">acknowledged the violations committed against </w:t>
      </w:r>
      <w:r w:rsidR="00F12946" w:rsidRPr="00104227">
        <w:rPr>
          <w:lang w:val="en-US"/>
        </w:rPr>
        <w:t>the eleven women</w:t>
      </w:r>
      <w:r w:rsidR="00402EE7" w:rsidRPr="00104227">
        <w:rPr>
          <w:lang w:val="en-US"/>
        </w:rPr>
        <w:t xml:space="preserve"> </w:t>
      </w:r>
      <w:r w:rsidRPr="00104227">
        <w:rPr>
          <w:lang w:val="en-US"/>
        </w:rPr>
        <w:t xml:space="preserve">owing to the excessive </w:t>
      </w:r>
      <w:r w:rsidR="00BC5201" w:rsidRPr="00104227">
        <w:rPr>
          <w:lang w:val="en-US"/>
        </w:rPr>
        <w:t>use of force</w:t>
      </w:r>
      <w:r w:rsidR="00402EE7" w:rsidRPr="00104227">
        <w:rPr>
          <w:lang w:val="en-US"/>
        </w:rPr>
        <w:t xml:space="preserve">, </w:t>
      </w:r>
      <w:r w:rsidRPr="00104227">
        <w:rPr>
          <w:lang w:val="en-US"/>
        </w:rPr>
        <w:t xml:space="preserve">it repeatedly underscored the </w:t>
      </w:r>
      <w:r w:rsidR="005374BC" w:rsidRPr="00104227">
        <w:rPr>
          <w:lang w:val="en-US"/>
        </w:rPr>
        <w:t>SCJN’s finding</w:t>
      </w:r>
      <w:r w:rsidRPr="00104227">
        <w:rPr>
          <w:lang w:val="en-US"/>
        </w:rPr>
        <w:t xml:space="preserve"> that </w:t>
      </w:r>
      <w:r w:rsidR="00BC5201" w:rsidRPr="00104227">
        <w:rPr>
          <w:lang w:val="en-US"/>
        </w:rPr>
        <w:t>the use of force</w:t>
      </w:r>
      <w:r w:rsidRPr="00104227">
        <w:rPr>
          <w:lang w:val="en-US"/>
        </w:rPr>
        <w:t xml:space="preserve"> was legitimate and that there was no evidence that express instructions had been given “to injure or abuse the protesters</w:t>
      </w:r>
      <w:r w:rsidR="00402EE7" w:rsidRPr="00104227">
        <w:rPr>
          <w:lang w:val="en-US"/>
        </w:rPr>
        <w:t>”</w:t>
      </w:r>
      <w:r w:rsidR="005374BC" w:rsidRPr="00104227">
        <w:rPr>
          <w:lang w:val="en-US"/>
        </w:rPr>
        <w:t>;</w:t>
      </w:r>
      <w:r w:rsidR="00D82DB8" w:rsidRPr="00104227">
        <w:rPr>
          <w:rStyle w:val="Refdenotaalpie"/>
          <w:lang w:val="en-US"/>
        </w:rPr>
        <w:footnoteReference w:id="239"/>
      </w:r>
      <w:r w:rsidRPr="00104227">
        <w:rPr>
          <w:lang w:val="en-US"/>
        </w:rPr>
        <w:t xml:space="preserve"> rather</w:t>
      </w:r>
      <w:r w:rsidR="005374BC" w:rsidRPr="00104227">
        <w:rPr>
          <w:lang w:val="en-US"/>
        </w:rPr>
        <w:t>,</w:t>
      </w:r>
      <w:r w:rsidRPr="00104227">
        <w:rPr>
          <w:lang w:val="en-US"/>
        </w:rPr>
        <w:t xml:space="preserve"> the assaults</w:t>
      </w:r>
      <w:r w:rsidR="00402EE7" w:rsidRPr="00104227">
        <w:rPr>
          <w:lang w:val="en-US"/>
        </w:rPr>
        <w:t xml:space="preserve"> </w:t>
      </w:r>
      <w:r w:rsidR="00BF5241" w:rsidRPr="00104227">
        <w:rPr>
          <w:lang w:val="en-US"/>
        </w:rPr>
        <w:t xml:space="preserve">and </w:t>
      </w:r>
      <w:r w:rsidR="00F12946" w:rsidRPr="00104227">
        <w:rPr>
          <w:lang w:val="en-US"/>
        </w:rPr>
        <w:t>human rights violations</w:t>
      </w:r>
      <w:r w:rsidR="00402EE7" w:rsidRPr="00104227">
        <w:rPr>
          <w:lang w:val="en-US"/>
        </w:rPr>
        <w:t xml:space="preserve"> </w:t>
      </w:r>
      <w:r w:rsidRPr="00104227">
        <w:rPr>
          <w:lang w:val="en-US"/>
        </w:rPr>
        <w:t>were the result of actions</w:t>
      </w:r>
      <w:r w:rsidR="00402EE7" w:rsidRPr="00104227">
        <w:rPr>
          <w:lang w:val="en-US"/>
        </w:rPr>
        <w:t xml:space="preserve"> </w:t>
      </w:r>
      <w:r w:rsidR="00402EE7" w:rsidRPr="00104227">
        <w:rPr>
          <w:i/>
          <w:lang w:val="en-US"/>
        </w:rPr>
        <w:t>ultra vires</w:t>
      </w:r>
      <w:r w:rsidR="00294ACE" w:rsidRPr="00104227">
        <w:rPr>
          <w:rStyle w:val="Refdenotaalpie"/>
          <w:lang w:val="en-US"/>
        </w:rPr>
        <w:footnoteReference w:id="240"/>
      </w:r>
      <w:r w:rsidR="00402EE7" w:rsidRPr="00104227">
        <w:rPr>
          <w:lang w:val="en-US"/>
        </w:rPr>
        <w:t xml:space="preserve"> </w:t>
      </w:r>
      <w:r w:rsidRPr="00104227">
        <w:rPr>
          <w:lang w:val="en-US"/>
        </w:rPr>
        <w:t xml:space="preserve">of some state officials who failed to comply with their duty </w:t>
      </w:r>
      <w:r w:rsidR="00402EE7" w:rsidRPr="00104227">
        <w:rPr>
          <w:lang w:val="en-US"/>
        </w:rPr>
        <w:t>(</w:t>
      </w:r>
      <w:r w:rsidR="00402EE7" w:rsidRPr="00104227">
        <w:rPr>
          <w:i/>
          <w:lang w:val="en-US"/>
        </w:rPr>
        <w:t>supra</w:t>
      </w:r>
      <w:r w:rsidR="00402EE7" w:rsidRPr="00104227">
        <w:rPr>
          <w:lang w:val="en-US"/>
        </w:rPr>
        <w:t xml:space="preserve"> </w:t>
      </w:r>
      <w:r w:rsidR="00BF5241" w:rsidRPr="00104227">
        <w:rPr>
          <w:lang w:val="en-US"/>
        </w:rPr>
        <w:t>paras.</w:t>
      </w:r>
      <w:r w:rsidR="00402EE7" w:rsidRPr="00104227">
        <w:rPr>
          <w:lang w:val="en-US"/>
        </w:rPr>
        <w:t xml:space="preserve"> </w:t>
      </w:r>
      <w:r w:rsidR="000C010D" w:rsidRPr="00104227">
        <w:rPr>
          <w:lang w:val="en-US"/>
        </w:rPr>
        <w:fldChar w:fldCharType="begin"/>
      </w:r>
      <w:r w:rsidR="000C010D" w:rsidRPr="00104227">
        <w:rPr>
          <w:lang w:val="en-US"/>
        </w:rPr>
        <w:instrText xml:space="preserve"> REF _Ref533148172 \r \h </w:instrText>
      </w:r>
      <w:r w:rsidR="00284EAE" w:rsidRPr="00104227">
        <w:rPr>
          <w:lang w:val="en-US"/>
        </w:rPr>
        <w:instrText xml:space="preserve"> \* MERGEFORMAT </w:instrText>
      </w:r>
      <w:r w:rsidR="000C010D" w:rsidRPr="00104227">
        <w:rPr>
          <w:lang w:val="en-US"/>
        </w:rPr>
      </w:r>
      <w:r w:rsidR="000C010D" w:rsidRPr="00104227">
        <w:rPr>
          <w:lang w:val="en-US"/>
        </w:rPr>
        <w:fldChar w:fldCharType="separate"/>
      </w:r>
      <w:r w:rsidR="004276BD">
        <w:rPr>
          <w:lang w:val="en-US"/>
        </w:rPr>
        <w:t>124</w:t>
      </w:r>
      <w:r w:rsidR="000C010D" w:rsidRPr="00104227">
        <w:rPr>
          <w:lang w:val="en-US"/>
        </w:rPr>
        <w:fldChar w:fldCharType="end"/>
      </w:r>
      <w:r w:rsidR="00BF5241" w:rsidRPr="00104227">
        <w:rPr>
          <w:lang w:val="en-US"/>
        </w:rPr>
        <w:t xml:space="preserve"> and </w:t>
      </w:r>
      <w:r w:rsidR="000C010D" w:rsidRPr="00104227">
        <w:rPr>
          <w:lang w:val="en-US"/>
        </w:rPr>
        <w:fldChar w:fldCharType="begin"/>
      </w:r>
      <w:r w:rsidR="000C010D" w:rsidRPr="00104227">
        <w:rPr>
          <w:lang w:val="en-US"/>
        </w:rPr>
        <w:instrText xml:space="preserve"> REF _Ref532838856 \r \h </w:instrText>
      </w:r>
      <w:r w:rsidR="00284EAE" w:rsidRPr="00104227">
        <w:rPr>
          <w:lang w:val="en-US"/>
        </w:rPr>
        <w:instrText xml:space="preserve"> \* MERGEFORMAT </w:instrText>
      </w:r>
      <w:r w:rsidR="000C010D" w:rsidRPr="00104227">
        <w:rPr>
          <w:lang w:val="en-US"/>
        </w:rPr>
      </w:r>
      <w:r w:rsidR="000C010D" w:rsidRPr="00104227">
        <w:rPr>
          <w:lang w:val="en-US"/>
        </w:rPr>
        <w:fldChar w:fldCharType="separate"/>
      </w:r>
      <w:r w:rsidR="004276BD">
        <w:rPr>
          <w:lang w:val="en-US"/>
        </w:rPr>
        <w:t>125</w:t>
      </w:r>
      <w:r w:rsidR="000C010D" w:rsidRPr="00104227">
        <w:rPr>
          <w:lang w:val="en-US"/>
        </w:rPr>
        <w:fldChar w:fldCharType="end"/>
      </w:r>
      <w:r w:rsidR="00402EE7" w:rsidRPr="00104227">
        <w:rPr>
          <w:lang w:val="en-US"/>
        </w:rPr>
        <w:t xml:space="preserve">). </w:t>
      </w:r>
      <w:r w:rsidRPr="00104227">
        <w:rPr>
          <w:lang w:val="en-US"/>
        </w:rPr>
        <w:t xml:space="preserve">In this regard, the Court </w:t>
      </w:r>
      <w:r w:rsidR="005374BC" w:rsidRPr="00104227">
        <w:rPr>
          <w:lang w:val="en-US"/>
        </w:rPr>
        <w:t>considers</w:t>
      </w:r>
      <w:r w:rsidRPr="00104227">
        <w:rPr>
          <w:lang w:val="en-US"/>
        </w:rPr>
        <w:t xml:space="preserve"> that the </w:t>
      </w:r>
      <w:r w:rsidR="003F10B2" w:rsidRPr="00104227">
        <w:rPr>
          <w:lang w:val="en-US"/>
        </w:rPr>
        <w:t xml:space="preserve">State </w:t>
      </w:r>
      <w:r w:rsidRPr="00104227">
        <w:rPr>
          <w:lang w:val="en-US"/>
        </w:rPr>
        <w:t>is making a partial and selective reading of the SCJN j</w:t>
      </w:r>
      <w:r w:rsidR="00BF5241" w:rsidRPr="00104227">
        <w:rPr>
          <w:lang w:val="en-US"/>
        </w:rPr>
        <w:t>udgmen</w:t>
      </w:r>
      <w:r w:rsidRPr="00104227">
        <w:rPr>
          <w:lang w:val="en-US"/>
        </w:rPr>
        <w:t>t, w</w:t>
      </w:r>
      <w:r w:rsidR="005374BC" w:rsidRPr="00104227">
        <w:rPr>
          <w:lang w:val="en-US"/>
        </w:rPr>
        <w:t>h</w:t>
      </w:r>
      <w:r w:rsidRPr="00104227">
        <w:rPr>
          <w:lang w:val="en-US"/>
        </w:rPr>
        <w:t>ich concluded with</w:t>
      </w:r>
      <w:r w:rsidR="005374BC" w:rsidRPr="00104227">
        <w:rPr>
          <w:lang w:val="en-US"/>
        </w:rPr>
        <w:t xml:space="preserve"> </w:t>
      </w:r>
      <w:r w:rsidRPr="00104227">
        <w:rPr>
          <w:lang w:val="en-US"/>
        </w:rPr>
        <w:t>regard to the legitimacy</w:t>
      </w:r>
      <w:r w:rsidR="008F27D0" w:rsidRPr="00104227">
        <w:rPr>
          <w:lang w:val="en-US"/>
        </w:rPr>
        <w:t xml:space="preserve"> of the </w:t>
      </w:r>
      <w:r w:rsidR="00BC5201" w:rsidRPr="00104227">
        <w:rPr>
          <w:lang w:val="en-US"/>
        </w:rPr>
        <w:t>use of force</w:t>
      </w:r>
      <w:r w:rsidR="00402EE7" w:rsidRPr="00104227">
        <w:rPr>
          <w:lang w:val="en-US"/>
        </w:rPr>
        <w:t xml:space="preserve"> </w:t>
      </w:r>
      <w:r w:rsidRPr="00104227">
        <w:rPr>
          <w:lang w:val="en-US"/>
        </w:rPr>
        <w:t>that</w:t>
      </w:r>
      <w:r w:rsidR="00402EE7" w:rsidRPr="00104227">
        <w:rPr>
          <w:lang w:val="en-US"/>
        </w:rPr>
        <w:t xml:space="preserve">: (i) </w:t>
      </w:r>
      <w:r w:rsidR="008C6D02" w:rsidRPr="00104227">
        <w:rPr>
          <w:lang w:val="en-US"/>
        </w:rPr>
        <w:t>the operation</w:t>
      </w:r>
      <w:r w:rsidR="00402EE7" w:rsidRPr="00104227">
        <w:rPr>
          <w:lang w:val="en-US"/>
        </w:rPr>
        <w:t xml:space="preserve"> </w:t>
      </w:r>
      <w:r w:rsidR="005374BC" w:rsidRPr="00104227">
        <w:rPr>
          <w:lang w:val="en-US"/>
        </w:rPr>
        <w:t>on</w:t>
      </w:r>
      <w:r w:rsidRPr="00104227">
        <w:rPr>
          <w:lang w:val="en-US"/>
        </w:rPr>
        <w:t xml:space="preserve"> the morning of</w:t>
      </w:r>
      <w:r w:rsidR="00B851FA" w:rsidRPr="00104227">
        <w:rPr>
          <w:lang w:val="en-US"/>
        </w:rPr>
        <w:t xml:space="preserve"> May 3,</w:t>
      </w:r>
      <w:r w:rsidR="00402EE7" w:rsidRPr="00104227">
        <w:rPr>
          <w:lang w:val="en-US"/>
        </w:rPr>
        <w:t xml:space="preserve"> 2006, </w:t>
      </w:r>
      <w:r w:rsidRPr="00104227">
        <w:rPr>
          <w:lang w:val="en-US"/>
        </w:rPr>
        <w:t>to try and prevent the flower</w:t>
      </w:r>
      <w:r w:rsidR="005374BC" w:rsidRPr="00104227">
        <w:rPr>
          <w:lang w:val="en-US"/>
        </w:rPr>
        <w:t xml:space="preserve"> </w:t>
      </w:r>
      <w:r w:rsidRPr="00104227">
        <w:rPr>
          <w:lang w:val="en-US"/>
        </w:rPr>
        <w:t>sellers from setting up in the market was neither legitimate nor justified,</w:t>
      </w:r>
      <w:r w:rsidR="00402EE7" w:rsidRPr="00104227">
        <w:rPr>
          <w:rStyle w:val="Refdenotaalpie"/>
          <w:lang w:val="en-US"/>
        </w:rPr>
        <w:footnoteReference w:id="241"/>
      </w:r>
      <w:r w:rsidR="00BF5241" w:rsidRPr="00104227">
        <w:rPr>
          <w:lang w:val="en-US"/>
        </w:rPr>
        <w:t xml:space="preserve"> and </w:t>
      </w:r>
      <w:r w:rsidR="00402EE7" w:rsidRPr="00104227">
        <w:rPr>
          <w:lang w:val="en-US"/>
        </w:rPr>
        <w:t xml:space="preserve">(ii) </w:t>
      </w:r>
      <w:r w:rsidRPr="00104227">
        <w:rPr>
          <w:lang w:val="en-US"/>
        </w:rPr>
        <w:t xml:space="preserve">that, although </w:t>
      </w:r>
      <w:r w:rsidR="008C6D02" w:rsidRPr="00104227">
        <w:rPr>
          <w:lang w:val="en-US"/>
        </w:rPr>
        <w:t>the operation</w:t>
      </w:r>
      <w:r w:rsidR="00402EE7" w:rsidRPr="00104227">
        <w:rPr>
          <w:lang w:val="en-US"/>
        </w:rPr>
        <w:t xml:space="preserve"> </w:t>
      </w:r>
      <w:r w:rsidR="00B851FA" w:rsidRPr="00104227">
        <w:rPr>
          <w:lang w:val="en-US"/>
        </w:rPr>
        <w:t>of May 4,</w:t>
      </w:r>
      <w:r w:rsidR="00402EE7" w:rsidRPr="00104227">
        <w:rPr>
          <w:lang w:val="en-US"/>
        </w:rPr>
        <w:t xml:space="preserve"> 2006, </w:t>
      </w:r>
      <w:r w:rsidRPr="00104227">
        <w:rPr>
          <w:lang w:val="en-US"/>
        </w:rPr>
        <w:t>initially had a legitimate purpose, “the objectives of the different interventions by the police forces gradually changed, as the events progressed</w:t>
      </w:r>
      <w:r w:rsidR="00401015" w:rsidRPr="00104227">
        <w:rPr>
          <w:lang w:val="en-US"/>
        </w:rPr>
        <w:t>,”</w:t>
      </w:r>
      <w:r w:rsidR="00BF5241" w:rsidRPr="00104227">
        <w:rPr>
          <w:rFonts w:eastAsia="Times New Roman"/>
          <w:lang w:val="en-US"/>
        </w:rPr>
        <w:t xml:space="preserve"> and </w:t>
      </w:r>
      <w:r w:rsidR="00402EE7" w:rsidRPr="00104227">
        <w:rPr>
          <w:rFonts w:eastAsia="Times New Roman"/>
          <w:lang w:val="en-US"/>
        </w:rPr>
        <w:t>“</w:t>
      </w:r>
      <w:r w:rsidR="00D83A38" w:rsidRPr="00104227">
        <w:rPr>
          <w:rFonts w:eastAsia="Times New Roman"/>
          <w:lang w:val="en-US"/>
        </w:rPr>
        <w:t xml:space="preserve">in implementing them, </w:t>
      </w:r>
      <w:r w:rsidR="005374BC" w:rsidRPr="00104227">
        <w:rPr>
          <w:rFonts w:eastAsia="Times New Roman"/>
          <w:lang w:val="en-US"/>
        </w:rPr>
        <w:t>events</w:t>
      </w:r>
      <w:r w:rsidR="00D83A38" w:rsidRPr="00104227">
        <w:rPr>
          <w:rFonts w:eastAsia="Times New Roman"/>
          <w:lang w:val="en-US"/>
        </w:rPr>
        <w:t xml:space="preserve"> began to take on a tone and form that spiraled out of their control.</w:t>
      </w:r>
      <w:r w:rsidR="00402EE7" w:rsidRPr="00104227">
        <w:rPr>
          <w:rFonts w:eastAsia="Times New Roman"/>
          <w:lang w:val="en-US"/>
        </w:rPr>
        <w:t>”</w:t>
      </w:r>
      <w:r w:rsidR="00402EE7" w:rsidRPr="00104227">
        <w:rPr>
          <w:rStyle w:val="Refdenotaalpie"/>
          <w:lang w:val="en-US"/>
        </w:rPr>
        <w:footnoteReference w:id="242"/>
      </w:r>
      <w:r w:rsidR="00D83A38" w:rsidRPr="00104227">
        <w:rPr>
          <w:rFonts w:eastAsia="Times New Roman"/>
          <w:lang w:val="en-US"/>
        </w:rPr>
        <w:t xml:space="preserve"> In this regard, it underlined, </w:t>
      </w:r>
      <w:r w:rsidR="008855FB" w:rsidRPr="00104227">
        <w:rPr>
          <w:rFonts w:eastAsia="Times New Roman"/>
          <w:i/>
          <w:iCs/>
          <w:lang w:val="en-US"/>
        </w:rPr>
        <w:t>inter alia</w:t>
      </w:r>
      <w:r w:rsidR="00D83A38" w:rsidRPr="00104227">
        <w:rPr>
          <w:rFonts w:eastAsia="Times New Roman"/>
          <w:i/>
          <w:iCs/>
          <w:lang w:val="en-US"/>
        </w:rPr>
        <w:t>,</w:t>
      </w:r>
      <w:r w:rsidR="00D83A38" w:rsidRPr="00104227">
        <w:rPr>
          <w:rFonts w:eastAsia="Times New Roman"/>
          <w:lang w:val="en-US"/>
        </w:rPr>
        <w:t xml:space="preserve"> that: (i) an indeterminate number of police agents who took part in the operation of May 4, 2006, worked under physical and emotional conditions that</w:t>
      </w:r>
      <w:r w:rsidR="008855FB" w:rsidRPr="00104227">
        <w:rPr>
          <w:rFonts w:eastAsia="Times New Roman"/>
          <w:lang w:val="en-US"/>
        </w:rPr>
        <w:t xml:space="preserve"> may have influenced their conduct</w:t>
      </w:r>
      <w:r w:rsidR="00D83A38" w:rsidRPr="00104227">
        <w:rPr>
          <w:rFonts w:eastAsia="Times New Roman"/>
          <w:lang w:val="en-US"/>
        </w:rPr>
        <w:t xml:space="preserve"> to some extent</w:t>
      </w:r>
      <w:r w:rsidR="008855FB" w:rsidRPr="00104227">
        <w:rPr>
          <w:rFonts w:eastAsia="Times New Roman"/>
          <w:lang w:val="en-US"/>
        </w:rPr>
        <w:t xml:space="preserve"> </w:t>
      </w:r>
      <w:r w:rsidR="00D83A38" w:rsidRPr="00104227">
        <w:rPr>
          <w:rFonts w:eastAsia="Times New Roman"/>
          <w:lang w:val="en-US"/>
        </w:rPr>
        <w:t xml:space="preserve">because they had </w:t>
      </w:r>
      <w:r w:rsidR="00D83A38" w:rsidRPr="00104227">
        <w:rPr>
          <w:rFonts w:eastAsia="Times New Roman"/>
          <w:lang w:val="en-US"/>
        </w:rPr>
        <w:lastRenderedPageBreak/>
        <w:t>participated in the previous day’s operation,</w:t>
      </w:r>
      <w:bookmarkStart w:id="271" w:name="_Ref532969617"/>
      <w:r w:rsidR="00402EE7" w:rsidRPr="00104227">
        <w:rPr>
          <w:rStyle w:val="Refdenotaalpie"/>
          <w:lang w:val="en-US"/>
        </w:rPr>
        <w:footnoteReference w:id="243"/>
      </w:r>
      <w:bookmarkEnd w:id="271"/>
      <w:r w:rsidR="00402EE7" w:rsidRPr="00104227">
        <w:rPr>
          <w:rFonts w:eastAsia="Times New Roman"/>
          <w:lang w:val="en-US"/>
        </w:rPr>
        <w:t xml:space="preserve"> </w:t>
      </w:r>
      <w:r w:rsidR="00D83A38" w:rsidRPr="00104227">
        <w:rPr>
          <w:rFonts w:eastAsia="Times New Roman"/>
          <w:lang w:val="en-US"/>
        </w:rPr>
        <w:t>and also that</w:t>
      </w:r>
      <w:r w:rsidR="00402EE7" w:rsidRPr="00104227">
        <w:rPr>
          <w:rFonts w:eastAsia="Times New Roman"/>
          <w:lang w:val="en-US"/>
        </w:rPr>
        <w:t xml:space="preserve"> (ii) </w:t>
      </w:r>
      <w:r w:rsidR="00D83A38" w:rsidRPr="00104227">
        <w:rPr>
          <w:rFonts w:eastAsia="Times New Roman"/>
          <w:lang w:val="en-US"/>
        </w:rPr>
        <w:t>the facts reveal a “lack of professionalism, owing to the deficient training and skills of the police.</w:t>
      </w:r>
      <w:r w:rsidR="00402EE7" w:rsidRPr="00104227">
        <w:rPr>
          <w:rFonts w:eastAsia="Times New Roman"/>
          <w:lang w:val="en-US"/>
        </w:rPr>
        <w:t>”</w:t>
      </w:r>
      <w:bookmarkStart w:id="272" w:name="_Ref532969627"/>
      <w:r w:rsidR="00402EE7" w:rsidRPr="00104227">
        <w:rPr>
          <w:rStyle w:val="Refdenotaalpie"/>
          <w:lang w:val="en-US"/>
        </w:rPr>
        <w:footnoteReference w:id="244"/>
      </w:r>
      <w:bookmarkEnd w:id="272"/>
      <w:r w:rsidR="00402EE7" w:rsidRPr="00104227">
        <w:rPr>
          <w:rFonts w:eastAsia="Times New Roman"/>
          <w:lang w:val="en-US"/>
        </w:rPr>
        <w:t xml:space="preserve"> </w:t>
      </w:r>
      <w:r w:rsidR="00D83A38" w:rsidRPr="00104227">
        <w:rPr>
          <w:rFonts w:eastAsia="Times New Roman"/>
          <w:lang w:val="en-US"/>
        </w:rPr>
        <w:t>According to</w:t>
      </w:r>
      <w:r w:rsidR="00402EE7" w:rsidRPr="00104227">
        <w:rPr>
          <w:rFonts w:eastAsia="Times New Roman"/>
          <w:lang w:val="en-US"/>
        </w:rPr>
        <w:t xml:space="preserve"> </w:t>
      </w:r>
      <w:r w:rsidR="008F27D0" w:rsidRPr="00104227">
        <w:rPr>
          <w:rFonts w:eastAsia="Times New Roman"/>
          <w:lang w:val="en-US"/>
        </w:rPr>
        <w:t>the SCJN</w:t>
      </w:r>
      <w:r w:rsidR="00402EE7" w:rsidRPr="00104227">
        <w:rPr>
          <w:rFonts w:eastAsia="Times New Roman"/>
          <w:lang w:val="en-US"/>
        </w:rPr>
        <w:t>, “[</w:t>
      </w:r>
      <w:r w:rsidR="00D83A38" w:rsidRPr="00104227">
        <w:rPr>
          <w:rFonts w:eastAsia="Times New Roman"/>
          <w:lang w:val="en-US"/>
        </w:rPr>
        <w:t>t</w:t>
      </w:r>
      <w:r w:rsidR="00402EE7" w:rsidRPr="00104227">
        <w:rPr>
          <w:rFonts w:eastAsia="Times New Roman"/>
          <w:lang w:val="en-US"/>
        </w:rPr>
        <w:t>]</w:t>
      </w:r>
      <w:r w:rsidR="00D83A38" w:rsidRPr="00104227">
        <w:rPr>
          <w:rFonts w:eastAsia="Times New Roman"/>
          <w:lang w:val="en-US"/>
        </w:rPr>
        <w:t>he investigation reveals unprofessional police agent</w:t>
      </w:r>
      <w:r w:rsidR="0036156A" w:rsidRPr="00104227">
        <w:rPr>
          <w:rFonts w:eastAsia="Times New Roman"/>
          <w:lang w:val="en-US"/>
        </w:rPr>
        <w:t>s</w:t>
      </w:r>
      <w:r w:rsidR="00D83A38" w:rsidRPr="00104227">
        <w:rPr>
          <w:rFonts w:eastAsia="Times New Roman"/>
          <w:lang w:val="en-US"/>
        </w:rPr>
        <w:t xml:space="preserve"> who, added to other factors present, </w:t>
      </w:r>
      <w:r w:rsidR="008855FB" w:rsidRPr="00104227">
        <w:rPr>
          <w:rFonts w:eastAsia="Times New Roman"/>
          <w:lang w:val="en-US"/>
        </w:rPr>
        <w:t>behaved violently</w:t>
      </w:r>
      <w:r w:rsidR="00D83A38" w:rsidRPr="00104227">
        <w:rPr>
          <w:rFonts w:eastAsia="Times New Roman"/>
          <w:lang w:val="en-US"/>
        </w:rPr>
        <w:t xml:space="preserve">, and superior officers who </w:t>
      </w:r>
      <w:r w:rsidR="008855FB" w:rsidRPr="00104227">
        <w:rPr>
          <w:rFonts w:eastAsia="Times New Roman"/>
          <w:lang w:val="en-US"/>
        </w:rPr>
        <w:t>failed to</w:t>
      </w:r>
      <w:r w:rsidR="00D83A38" w:rsidRPr="00104227">
        <w:rPr>
          <w:rFonts w:eastAsia="Times New Roman"/>
          <w:lang w:val="en-US"/>
        </w:rPr>
        <w:t xml:space="preserve"> take measures to prevent this, or </w:t>
      </w:r>
      <w:r w:rsidR="008855FB" w:rsidRPr="00104227">
        <w:rPr>
          <w:rFonts w:eastAsia="Times New Roman"/>
          <w:lang w:val="en-US"/>
        </w:rPr>
        <w:t xml:space="preserve">to </w:t>
      </w:r>
      <w:r w:rsidR="00D83A38" w:rsidRPr="00104227">
        <w:rPr>
          <w:rFonts w:eastAsia="Times New Roman"/>
          <w:lang w:val="en-US"/>
        </w:rPr>
        <w:t>ensure that the violence ceased once it erupted.</w:t>
      </w:r>
      <w:r w:rsidR="00402EE7" w:rsidRPr="00104227">
        <w:rPr>
          <w:rFonts w:eastAsia="Times New Roman"/>
          <w:lang w:val="en-US"/>
        </w:rPr>
        <w:t>”</w:t>
      </w:r>
      <w:bookmarkStart w:id="273" w:name="_Ref532969830"/>
      <w:r w:rsidR="00402EE7" w:rsidRPr="00104227">
        <w:rPr>
          <w:rStyle w:val="Refdenotaalpie"/>
          <w:lang w:val="en-US"/>
        </w:rPr>
        <w:footnoteReference w:id="245"/>
      </w:r>
      <w:bookmarkEnd w:id="270"/>
      <w:bookmarkEnd w:id="273"/>
    </w:p>
    <w:p w14:paraId="630DFC98" w14:textId="77777777" w:rsidR="00402EE7" w:rsidRPr="00104227" w:rsidRDefault="00402EE7" w:rsidP="00E4619F">
      <w:pPr>
        <w:tabs>
          <w:tab w:val="left" w:pos="567"/>
        </w:tabs>
      </w:pPr>
    </w:p>
    <w:p w14:paraId="2AA02D5C" w14:textId="08C4F325" w:rsidR="00402EE7" w:rsidRPr="00104227" w:rsidRDefault="00757353" w:rsidP="00757353">
      <w:pPr>
        <w:pStyle w:val="Numberedparagraphs"/>
        <w:tabs>
          <w:tab w:val="left" w:pos="567"/>
        </w:tabs>
        <w:rPr>
          <w:rFonts w:eastAsia="Times New Roman"/>
          <w:sz w:val="18"/>
          <w:szCs w:val="18"/>
          <w:lang w:val="en-US"/>
        </w:rPr>
      </w:pPr>
      <w:bookmarkStart w:id="274" w:name="_Ref532970496"/>
      <w:r w:rsidRPr="00104227">
        <w:rPr>
          <w:lang w:val="en-US"/>
        </w:rPr>
        <w:t xml:space="preserve">As </w:t>
      </w:r>
      <w:r w:rsidR="0036156A" w:rsidRPr="00104227">
        <w:rPr>
          <w:lang w:val="en-US"/>
        </w:rPr>
        <w:t xml:space="preserve">revealed by </w:t>
      </w:r>
      <w:r w:rsidRPr="00104227">
        <w:rPr>
          <w:lang w:val="en-US"/>
        </w:rPr>
        <w:t>this and other evidence</w:t>
      </w:r>
      <w:r w:rsidR="00402EE7" w:rsidRPr="00104227">
        <w:rPr>
          <w:lang w:val="en-US"/>
        </w:rPr>
        <w:t xml:space="preserve">, </w:t>
      </w:r>
      <w:r w:rsidR="00BF5241" w:rsidRPr="00104227">
        <w:rPr>
          <w:lang w:val="en-US"/>
        </w:rPr>
        <w:t>the Court</w:t>
      </w:r>
      <w:r w:rsidR="00402EE7" w:rsidRPr="00104227">
        <w:rPr>
          <w:lang w:val="en-US"/>
        </w:rPr>
        <w:t xml:space="preserve"> </w:t>
      </w:r>
      <w:r w:rsidRPr="00104227">
        <w:rPr>
          <w:lang w:val="en-US"/>
        </w:rPr>
        <w:t>notes that</w:t>
      </w:r>
      <w:r w:rsidR="00402EE7" w:rsidRPr="00104227">
        <w:rPr>
          <w:lang w:val="en-US"/>
        </w:rPr>
        <w:t>, contrar</w:t>
      </w:r>
      <w:r w:rsidRPr="00104227">
        <w:rPr>
          <w:lang w:val="en-US"/>
        </w:rPr>
        <w:t xml:space="preserve">y to the </w:t>
      </w:r>
      <w:r w:rsidR="0036156A" w:rsidRPr="00104227">
        <w:rPr>
          <w:lang w:val="en-US"/>
        </w:rPr>
        <w:t xml:space="preserve">State’s </w:t>
      </w:r>
      <w:r w:rsidRPr="00104227">
        <w:rPr>
          <w:lang w:val="en-US"/>
        </w:rPr>
        <w:t>arguments</w:t>
      </w:r>
      <w:r w:rsidR="00402EE7" w:rsidRPr="00104227">
        <w:rPr>
          <w:lang w:val="en-US"/>
        </w:rPr>
        <w:t xml:space="preserve">, </w:t>
      </w:r>
      <w:r w:rsidRPr="00104227">
        <w:rPr>
          <w:lang w:val="en-US"/>
        </w:rPr>
        <w:t xml:space="preserve">its responsibility </w:t>
      </w:r>
      <w:r w:rsidR="0036156A" w:rsidRPr="00104227">
        <w:rPr>
          <w:lang w:val="en-US"/>
        </w:rPr>
        <w:t>is not derived merely</w:t>
      </w:r>
      <w:r w:rsidRPr="00104227">
        <w:rPr>
          <w:lang w:val="en-US"/>
        </w:rPr>
        <w:t xml:space="preserve"> from </w:t>
      </w:r>
      <w:r w:rsidR="0036156A" w:rsidRPr="00104227">
        <w:rPr>
          <w:lang w:val="en-US"/>
        </w:rPr>
        <w:t>a few</w:t>
      </w:r>
      <w:r w:rsidRPr="00104227">
        <w:rPr>
          <w:lang w:val="en-US"/>
        </w:rPr>
        <w:t xml:space="preserve"> acts of state agents who exceeded the scope of their authority. In this case, the State’s responsibility for the excessive use of force also arises from the failure of the authorities to prevent the violations: (i) by failing to regulate the use of force by its </w:t>
      </w:r>
      <w:r w:rsidR="00B665DF" w:rsidRPr="00104227">
        <w:rPr>
          <w:lang w:val="en-US"/>
        </w:rPr>
        <w:t>law enforcement personnel</w:t>
      </w:r>
      <w:r w:rsidR="0036156A" w:rsidRPr="00104227">
        <w:rPr>
          <w:lang w:val="en-US"/>
        </w:rPr>
        <w:t xml:space="preserve"> adequately</w:t>
      </w:r>
      <w:r w:rsidRPr="00104227">
        <w:rPr>
          <w:lang w:val="en-US"/>
        </w:rPr>
        <w:t>;</w:t>
      </w:r>
      <w:r w:rsidR="00402EE7" w:rsidRPr="00104227">
        <w:rPr>
          <w:rStyle w:val="Refdenotaalpie"/>
          <w:lang w:val="en-US"/>
        </w:rPr>
        <w:footnoteReference w:id="246"/>
      </w:r>
      <w:r w:rsidR="003E73BA" w:rsidRPr="00104227">
        <w:rPr>
          <w:lang w:val="en-US"/>
        </w:rPr>
        <w:t xml:space="preserve"> </w:t>
      </w:r>
      <w:r w:rsidR="00402EE7" w:rsidRPr="00104227">
        <w:rPr>
          <w:lang w:val="en-US"/>
        </w:rPr>
        <w:t xml:space="preserve">(ii) </w:t>
      </w:r>
      <w:r w:rsidRPr="00104227">
        <w:rPr>
          <w:lang w:val="en-US"/>
        </w:rPr>
        <w:t xml:space="preserve">by not providing adequate training for the different police forces attached to </w:t>
      </w:r>
      <w:r w:rsidR="0036156A" w:rsidRPr="00104227">
        <w:rPr>
          <w:lang w:val="en-US"/>
        </w:rPr>
        <w:t>one</w:t>
      </w:r>
      <w:r w:rsidRPr="00104227">
        <w:rPr>
          <w:lang w:val="en-US"/>
        </w:rPr>
        <w:t xml:space="preserve"> of the three </w:t>
      </w:r>
      <w:r w:rsidR="0036156A" w:rsidRPr="00104227">
        <w:rPr>
          <w:lang w:val="en-US"/>
        </w:rPr>
        <w:t>levels</w:t>
      </w:r>
      <w:r w:rsidRPr="00104227">
        <w:rPr>
          <w:lang w:val="en-US"/>
        </w:rPr>
        <w:t xml:space="preserve"> of government – municipal, state and federal – </w:t>
      </w:r>
      <w:r w:rsidR="0036156A" w:rsidRPr="00104227">
        <w:rPr>
          <w:lang w:val="en-US"/>
        </w:rPr>
        <w:t xml:space="preserve">to enable them to execute their task </w:t>
      </w:r>
      <w:r w:rsidRPr="00104227">
        <w:rPr>
          <w:lang w:val="en-US"/>
        </w:rPr>
        <w:t xml:space="preserve">of maintaining public order with due professionalism and respect for the human rights of the civilians with whom they came into contact </w:t>
      </w:r>
      <w:r w:rsidR="0036156A" w:rsidRPr="00104227">
        <w:rPr>
          <w:lang w:val="en-US"/>
        </w:rPr>
        <w:t>in this context</w:t>
      </w:r>
      <w:r w:rsidRPr="00104227">
        <w:rPr>
          <w:lang w:val="en-US"/>
        </w:rPr>
        <w:t>;</w:t>
      </w:r>
      <w:r w:rsidR="00402EE7" w:rsidRPr="00104227">
        <w:rPr>
          <w:rStyle w:val="Refdenotaalpie"/>
          <w:lang w:val="en-US"/>
        </w:rPr>
        <w:footnoteReference w:id="247"/>
      </w:r>
      <w:r w:rsidR="00402EE7" w:rsidRPr="00104227">
        <w:rPr>
          <w:lang w:val="en-US"/>
        </w:rPr>
        <w:t xml:space="preserve"> (iii) </w:t>
      </w:r>
      <w:r w:rsidR="0036156A" w:rsidRPr="00104227">
        <w:rPr>
          <w:lang w:val="en-US"/>
        </w:rPr>
        <w:t>by</w:t>
      </w:r>
      <w:r w:rsidRPr="00104227">
        <w:rPr>
          <w:lang w:val="en-US"/>
        </w:rPr>
        <w:t xml:space="preserve"> </w:t>
      </w:r>
      <w:r w:rsidR="0036156A" w:rsidRPr="00104227">
        <w:rPr>
          <w:lang w:val="en-US"/>
        </w:rPr>
        <w:t>planning</w:t>
      </w:r>
      <w:r w:rsidR="00402EE7" w:rsidRPr="00104227">
        <w:rPr>
          <w:lang w:val="en-US"/>
        </w:rPr>
        <w:t xml:space="preserve"> </w:t>
      </w:r>
      <w:r w:rsidR="008C6D02" w:rsidRPr="00104227">
        <w:rPr>
          <w:lang w:val="en-US"/>
        </w:rPr>
        <w:t>the operation</w:t>
      </w:r>
      <w:r w:rsidR="00402EE7" w:rsidRPr="00104227">
        <w:rPr>
          <w:lang w:val="en-US"/>
        </w:rPr>
        <w:t xml:space="preserve"> </w:t>
      </w:r>
      <w:r w:rsidRPr="00104227">
        <w:rPr>
          <w:lang w:val="en-US"/>
        </w:rPr>
        <w:t>of</w:t>
      </w:r>
      <w:r w:rsidR="00402EE7" w:rsidRPr="00104227">
        <w:rPr>
          <w:lang w:val="en-US"/>
        </w:rPr>
        <w:t xml:space="preserve"> </w:t>
      </w:r>
      <w:r w:rsidR="00385E98" w:rsidRPr="00104227">
        <w:rPr>
          <w:lang w:val="en-US"/>
        </w:rPr>
        <w:t>May 4</w:t>
      </w:r>
      <w:r w:rsidR="00402EE7" w:rsidRPr="00104227">
        <w:rPr>
          <w:lang w:val="en-US"/>
        </w:rPr>
        <w:t xml:space="preserve"> </w:t>
      </w:r>
      <w:r w:rsidRPr="00104227">
        <w:rPr>
          <w:lang w:val="en-US"/>
        </w:rPr>
        <w:t>with the participation of</w:t>
      </w:r>
      <w:r w:rsidR="0036156A" w:rsidRPr="00104227">
        <w:rPr>
          <w:lang w:val="en-US"/>
        </w:rPr>
        <w:t xml:space="preserve"> </w:t>
      </w:r>
      <w:r w:rsidRPr="00104227">
        <w:rPr>
          <w:lang w:val="en-US"/>
        </w:rPr>
        <w:t xml:space="preserve">agents who could not be objective and without </w:t>
      </w:r>
      <w:r w:rsidR="0036156A" w:rsidRPr="00104227">
        <w:rPr>
          <w:lang w:val="en-US"/>
        </w:rPr>
        <w:t>giving</w:t>
      </w:r>
      <w:r w:rsidRPr="00104227">
        <w:rPr>
          <w:lang w:val="en-US"/>
        </w:rPr>
        <w:t xml:space="preserve"> express and unequivocal instructions regarding the obligation to respect the human rights of protesters, pass</w:t>
      </w:r>
      <w:r w:rsidR="0036156A" w:rsidRPr="00104227">
        <w:rPr>
          <w:lang w:val="en-US"/>
        </w:rPr>
        <w:t>ers-</w:t>
      </w:r>
      <w:r w:rsidRPr="00104227">
        <w:rPr>
          <w:lang w:val="en-US"/>
        </w:rPr>
        <w:t>by and onlookers</w:t>
      </w:r>
      <w:bookmarkStart w:id="277" w:name="_Ref532970934"/>
      <w:r w:rsidRPr="00104227">
        <w:rPr>
          <w:lang w:val="en-US"/>
        </w:rPr>
        <w:t>;</w:t>
      </w:r>
      <w:r w:rsidR="00402EE7" w:rsidRPr="00104227">
        <w:rPr>
          <w:rStyle w:val="Refdenotaalpie"/>
          <w:lang w:val="en-US"/>
        </w:rPr>
        <w:footnoteReference w:id="248"/>
      </w:r>
      <w:bookmarkEnd w:id="277"/>
      <w:r w:rsidR="00402EE7" w:rsidRPr="00104227">
        <w:rPr>
          <w:lang w:val="en-US"/>
        </w:rPr>
        <w:t xml:space="preserve"> (iv) dur</w:t>
      </w:r>
      <w:r w:rsidRPr="00104227">
        <w:rPr>
          <w:lang w:val="en-US"/>
        </w:rPr>
        <w:t xml:space="preserve">ing the operations, by not halting or taking action to address the abuses that were being committed, in order to supervise and monitor the situation </w:t>
      </w:r>
      <w:r w:rsidR="00BF5241" w:rsidRPr="00104227">
        <w:rPr>
          <w:lang w:val="en-US"/>
        </w:rPr>
        <w:t xml:space="preserve">and </w:t>
      </w:r>
      <w:r w:rsidR="00BC5201" w:rsidRPr="00104227">
        <w:rPr>
          <w:lang w:val="en-US"/>
        </w:rPr>
        <w:t>the use of force</w:t>
      </w:r>
      <w:bookmarkStart w:id="278" w:name="_Ref532970936"/>
      <w:r w:rsidRPr="00104227">
        <w:rPr>
          <w:lang w:val="en-US"/>
        </w:rPr>
        <w:t>;</w:t>
      </w:r>
      <w:r w:rsidR="00402EE7" w:rsidRPr="00104227">
        <w:rPr>
          <w:rStyle w:val="Refdenotaalpie"/>
          <w:lang w:val="en-US"/>
        </w:rPr>
        <w:footnoteReference w:id="249"/>
      </w:r>
      <w:bookmarkEnd w:id="278"/>
      <w:r w:rsidR="00402EE7" w:rsidRPr="00104227">
        <w:rPr>
          <w:lang w:val="en-US"/>
        </w:rPr>
        <w:t xml:space="preserve"> (v) </w:t>
      </w:r>
      <w:r w:rsidRPr="00104227">
        <w:rPr>
          <w:lang w:val="en-US"/>
        </w:rPr>
        <w:t xml:space="preserve">owing to the absence of </w:t>
      </w:r>
      <w:r w:rsidR="0036156A" w:rsidRPr="00104227">
        <w:rPr>
          <w:lang w:val="en-US"/>
        </w:rPr>
        <w:t xml:space="preserve">mechanisms to </w:t>
      </w:r>
      <w:r w:rsidRPr="00104227">
        <w:rPr>
          <w:lang w:val="en-US"/>
        </w:rPr>
        <w:t xml:space="preserve">control and </w:t>
      </w:r>
      <w:r w:rsidR="0036156A" w:rsidRPr="00104227">
        <w:rPr>
          <w:lang w:val="en-US"/>
        </w:rPr>
        <w:t>verify</w:t>
      </w:r>
      <w:r w:rsidRPr="00104227">
        <w:rPr>
          <w:lang w:val="en-US"/>
        </w:rPr>
        <w:t xml:space="preserve"> the legitimacy </w:t>
      </w:r>
      <w:r w:rsidR="008F27D0" w:rsidRPr="00104227">
        <w:rPr>
          <w:lang w:val="en-US"/>
        </w:rPr>
        <w:t xml:space="preserve">of the </w:t>
      </w:r>
      <w:r w:rsidR="00BC5201" w:rsidRPr="00104227">
        <w:rPr>
          <w:lang w:val="en-US"/>
        </w:rPr>
        <w:t>use of force</w:t>
      </w:r>
      <w:r w:rsidR="00402EE7" w:rsidRPr="00104227">
        <w:rPr>
          <w:lang w:val="en-US"/>
        </w:rPr>
        <w:t xml:space="preserve"> </w:t>
      </w:r>
      <w:r w:rsidRPr="00104227">
        <w:rPr>
          <w:lang w:val="en-US"/>
        </w:rPr>
        <w:t xml:space="preserve">after the facts </w:t>
      </w:r>
      <w:r w:rsidRPr="00104227">
        <w:rPr>
          <w:lang w:val="en-US"/>
        </w:rPr>
        <w:lastRenderedPageBreak/>
        <w:t>occurred.</w:t>
      </w:r>
      <w:bookmarkStart w:id="279" w:name="_Ref532971669"/>
      <w:r w:rsidR="00402EE7" w:rsidRPr="00104227">
        <w:rPr>
          <w:rStyle w:val="Refdenotaalpie"/>
          <w:lang w:val="en-US"/>
        </w:rPr>
        <w:footnoteReference w:id="250"/>
      </w:r>
      <w:bookmarkEnd w:id="279"/>
      <w:r w:rsidRPr="00104227">
        <w:rPr>
          <w:lang w:val="en-US"/>
        </w:rPr>
        <w:t xml:space="preserve"> Regarding the latter, it should be </w:t>
      </w:r>
      <w:r w:rsidR="0036156A" w:rsidRPr="00104227">
        <w:rPr>
          <w:lang w:val="en-US"/>
        </w:rPr>
        <w:t>emphasized</w:t>
      </w:r>
      <w:r w:rsidRPr="00104227">
        <w:rPr>
          <w:lang w:val="en-US"/>
        </w:rPr>
        <w:t xml:space="preserve"> that the police abuse was shown on the </w:t>
      </w:r>
      <w:r w:rsidR="00F27D61" w:rsidRPr="00104227">
        <w:rPr>
          <w:lang w:val="en-US"/>
        </w:rPr>
        <w:t>television</w:t>
      </w:r>
      <w:r w:rsidRPr="00104227">
        <w:rPr>
          <w:lang w:val="en-US"/>
        </w:rPr>
        <w:t xml:space="preserve"> which was broadcasting live at the time of the facts and, furthermore, according to the security agencies themselves, at least during </w:t>
      </w:r>
      <w:r w:rsidR="008C6D02" w:rsidRPr="00104227">
        <w:rPr>
          <w:lang w:val="en-US"/>
        </w:rPr>
        <w:t>the operation</w:t>
      </w:r>
      <w:r w:rsidR="00402EE7" w:rsidRPr="00104227">
        <w:rPr>
          <w:lang w:val="en-US"/>
        </w:rPr>
        <w:t xml:space="preserve"> </w:t>
      </w:r>
      <w:r w:rsidR="00B851FA" w:rsidRPr="00104227">
        <w:rPr>
          <w:lang w:val="en-US"/>
        </w:rPr>
        <w:t>of May 4,</w:t>
      </w:r>
      <w:r w:rsidR="00402EE7" w:rsidRPr="00104227">
        <w:rPr>
          <w:lang w:val="en-US"/>
        </w:rPr>
        <w:t xml:space="preserve"> 2006</w:t>
      </w:r>
      <w:r w:rsidRPr="00104227">
        <w:rPr>
          <w:lang w:val="en-US"/>
        </w:rPr>
        <w:t>, they were being supervised by land and air.</w:t>
      </w:r>
      <w:r w:rsidR="00402EE7" w:rsidRPr="00104227">
        <w:rPr>
          <w:rStyle w:val="Refdenotaalpie"/>
          <w:lang w:val="en-US"/>
        </w:rPr>
        <w:footnoteReference w:id="251"/>
      </w:r>
      <w:bookmarkEnd w:id="274"/>
      <w:r w:rsidR="00402EE7" w:rsidRPr="00104227">
        <w:rPr>
          <w:lang w:val="en-US"/>
        </w:rPr>
        <w:t xml:space="preserve"> </w:t>
      </w:r>
    </w:p>
    <w:p w14:paraId="1D1AA2E9" w14:textId="77777777" w:rsidR="00402EE7" w:rsidRPr="00104227" w:rsidRDefault="00402EE7" w:rsidP="00E4619F">
      <w:pPr>
        <w:tabs>
          <w:tab w:val="left" w:pos="567"/>
        </w:tabs>
      </w:pPr>
    </w:p>
    <w:p w14:paraId="1FBFDDEF" w14:textId="6FB0A310" w:rsidR="00402EE7" w:rsidRPr="00104227" w:rsidRDefault="00757353" w:rsidP="00757353">
      <w:pPr>
        <w:pStyle w:val="Numberedparagraphs"/>
        <w:tabs>
          <w:tab w:val="left" w:pos="567"/>
        </w:tabs>
        <w:rPr>
          <w:lang w:val="en-US"/>
        </w:rPr>
      </w:pPr>
      <w:r w:rsidRPr="00104227">
        <w:rPr>
          <w:lang w:val="en-US"/>
        </w:rPr>
        <w:t>Even though States enjoy a certain margin of discretion when evaluating the danger to public order for the purpose of ordering the use of force, this discretionality is not unlimited or uncondition</w:t>
      </w:r>
      <w:r w:rsidR="001C7CDD" w:rsidRPr="00104227">
        <w:rPr>
          <w:lang w:val="en-US"/>
        </w:rPr>
        <w:t>al</w:t>
      </w:r>
      <w:r w:rsidRPr="00104227">
        <w:rPr>
          <w:lang w:val="en-US"/>
        </w:rPr>
        <w:t xml:space="preserve">, particularly in the case of assemblies, protests or demonstrations protected by </w:t>
      </w:r>
      <w:r w:rsidR="00BF5241" w:rsidRPr="00104227">
        <w:rPr>
          <w:lang w:val="en-US"/>
        </w:rPr>
        <w:t>Article</w:t>
      </w:r>
      <w:r w:rsidR="00402EE7" w:rsidRPr="00104227">
        <w:rPr>
          <w:lang w:val="en-US"/>
        </w:rPr>
        <w:t xml:space="preserve"> 15</w:t>
      </w:r>
      <w:r w:rsidR="00BF5241" w:rsidRPr="00104227">
        <w:rPr>
          <w:lang w:val="en-US"/>
        </w:rPr>
        <w:t xml:space="preserve"> of the Convention</w:t>
      </w:r>
      <w:r w:rsidRPr="00104227">
        <w:rPr>
          <w:lang w:val="en-US"/>
        </w:rPr>
        <w:t>.</w:t>
      </w:r>
      <w:r w:rsidR="00402EE7" w:rsidRPr="00104227">
        <w:rPr>
          <w:rStyle w:val="Refdenotaalpie"/>
          <w:lang w:val="en-US"/>
        </w:rPr>
        <w:footnoteReference w:id="252"/>
      </w:r>
      <w:r w:rsidR="00402EE7" w:rsidRPr="00104227">
        <w:rPr>
          <w:lang w:val="en-US"/>
        </w:rPr>
        <w:t xml:space="preserve"> </w:t>
      </w:r>
      <w:r w:rsidR="00B31F82" w:rsidRPr="00104227">
        <w:rPr>
          <w:lang w:val="en-US"/>
        </w:rPr>
        <w:t>It is incumbent on the State to prove that it adopted the measures that were strictly necessary and proportionate to control the perceived danger to public order or to human rights, without unnecessarily restricting or violating</w:t>
      </w:r>
      <w:r w:rsidR="00402EE7" w:rsidRPr="00104227">
        <w:rPr>
          <w:lang w:val="en-US"/>
        </w:rPr>
        <w:t xml:space="preserve"> </w:t>
      </w:r>
      <w:r w:rsidR="00CA43B0" w:rsidRPr="00104227">
        <w:rPr>
          <w:lang w:val="en-US"/>
        </w:rPr>
        <w:t>the right to</w:t>
      </w:r>
      <w:r w:rsidR="00B31F82" w:rsidRPr="00104227">
        <w:rPr>
          <w:lang w:val="en-US"/>
        </w:rPr>
        <w:t xml:space="preserve"> peaceful assembly of others.</w:t>
      </w:r>
      <w:r w:rsidR="00402EE7" w:rsidRPr="00104227">
        <w:rPr>
          <w:rStyle w:val="Refdenotaalpie"/>
          <w:lang w:val="en-US"/>
        </w:rPr>
        <w:footnoteReference w:id="253"/>
      </w:r>
      <w:r w:rsidR="00B31F82" w:rsidRPr="00104227">
        <w:rPr>
          <w:lang w:val="en-US"/>
        </w:rPr>
        <w:t xml:space="preserve"> In this regard, the Court has already indicated that public safety cannot be based on a </w:t>
      </w:r>
      <w:r w:rsidR="001C7CDD" w:rsidRPr="00104227">
        <w:rPr>
          <w:lang w:val="en-US"/>
        </w:rPr>
        <w:t>standard for the</w:t>
      </w:r>
      <w:r w:rsidR="00402EE7" w:rsidRPr="00104227">
        <w:rPr>
          <w:lang w:val="en-US"/>
        </w:rPr>
        <w:t xml:space="preserve"> </w:t>
      </w:r>
      <w:r w:rsidR="00B31F82" w:rsidRPr="00104227">
        <w:rPr>
          <w:lang w:val="en-US"/>
        </w:rPr>
        <w:t>u</w:t>
      </w:r>
      <w:r w:rsidR="00A23F38" w:rsidRPr="00104227">
        <w:rPr>
          <w:lang w:val="en-US"/>
        </w:rPr>
        <w:t>se of force</w:t>
      </w:r>
      <w:r w:rsidR="00D3296E" w:rsidRPr="00104227">
        <w:rPr>
          <w:lang w:val="en-US"/>
        </w:rPr>
        <w:t xml:space="preserve"> </w:t>
      </w:r>
      <w:r w:rsidR="00B31F82" w:rsidRPr="00104227">
        <w:rPr>
          <w:lang w:val="en-US"/>
        </w:rPr>
        <w:t>that treats the civilian population as the enemy, but should consist in the protection and control of civilians.</w:t>
      </w:r>
      <w:r w:rsidR="001E036B" w:rsidRPr="00104227">
        <w:rPr>
          <w:rStyle w:val="Refdenotaalpie"/>
          <w:lang w:val="en-US"/>
        </w:rPr>
        <w:footnoteReference w:id="254"/>
      </w:r>
    </w:p>
    <w:p w14:paraId="1EB1D253" w14:textId="77777777" w:rsidR="00402EE7" w:rsidRPr="00104227" w:rsidRDefault="00402EE7" w:rsidP="00E4619F">
      <w:pPr>
        <w:tabs>
          <w:tab w:val="left" w:pos="567"/>
        </w:tabs>
        <w:rPr>
          <w:lang w:eastAsia="es-MX"/>
        </w:rPr>
      </w:pPr>
    </w:p>
    <w:p w14:paraId="3DE14E01" w14:textId="47C91C73" w:rsidR="00402EE7" w:rsidRPr="00104227" w:rsidRDefault="00402EE7" w:rsidP="00E4619F">
      <w:pPr>
        <w:pStyle w:val="Numberedparagraphs"/>
        <w:tabs>
          <w:tab w:val="left" w:pos="567"/>
        </w:tabs>
        <w:rPr>
          <w:lang w:val="en-US"/>
        </w:rPr>
      </w:pPr>
      <w:bookmarkStart w:id="280" w:name="_Ref532916613"/>
      <w:r w:rsidRPr="00104227">
        <w:rPr>
          <w:lang w:val="en-US"/>
        </w:rPr>
        <w:t>Contrar</w:t>
      </w:r>
      <w:r w:rsidR="00B73C7C" w:rsidRPr="00104227">
        <w:rPr>
          <w:lang w:val="en-US"/>
        </w:rPr>
        <w:t>y to the foregoing, in this case, the actions of</w:t>
      </w:r>
      <w:r w:rsidR="001C7CDD" w:rsidRPr="00104227">
        <w:rPr>
          <w:lang w:val="en-US"/>
        </w:rPr>
        <w:t xml:space="preserve"> the</w:t>
      </w:r>
      <w:r w:rsidR="00B73C7C" w:rsidRPr="00104227">
        <w:rPr>
          <w:lang w:val="en-US"/>
        </w:rPr>
        <w:t xml:space="preserve"> </w:t>
      </w:r>
      <w:r w:rsidR="001C7CDD" w:rsidRPr="00104227">
        <w:rPr>
          <w:lang w:val="en-US"/>
        </w:rPr>
        <w:t xml:space="preserve">law enforcement </w:t>
      </w:r>
      <w:r w:rsidR="00B73C7C" w:rsidRPr="00104227">
        <w:rPr>
          <w:lang w:val="en-US"/>
        </w:rPr>
        <w:t xml:space="preserve">authorities were characterized by </w:t>
      </w:r>
      <w:r w:rsidR="00BC5201" w:rsidRPr="00104227">
        <w:rPr>
          <w:lang w:val="en-US"/>
        </w:rPr>
        <w:t>the</w:t>
      </w:r>
      <w:r w:rsidR="00B73C7C" w:rsidRPr="00104227">
        <w:rPr>
          <w:lang w:val="en-US"/>
        </w:rPr>
        <w:t xml:space="preserve"> indiscriminate and excessive</w:t>
      </w:r>
      <w:r w:rsidR="00BC5201" w:rsidRPr="00104227">
        <w:rPr>
          <w:lang w:val="en-US"/>
        </w:rPr>
        <w:t xml:space="preserve"> use of force</w:t>
      </w:r>
      <w:r w:rsidR="00B73C7C" w:rsidRPr="00104227">
        <w:rPr>
          <w:lang w:val="en-US"/>
        </w:rPr>
        <w:t xml:space="preserve"> against anyone they assumed to be a protester</w:t>
      </w:r>
      <w:r w:rsidRPr="00104227">
        <w:rPr>
          <w:lang w:val="en-US"/>
        </w:rPr>
        <w:t xml:space="preserve">. </w:t>
      </w:r>
      <w:r w:rsidR="00B73C7C" w:rsidRPr="00104227">
        <w:rPr>
          <w:lang w:val="en-US"/>
        </w:rPr>
        <w:t xml:space="preserve">In this regard, both </w:t>
      </w:r>
      <w:r w:rsidR="0065009A" w:rsidRPr="00104227">
        <w:rPr>
          <w:lang w:val="en-US"/>
        </w:rPr>
        <w:t>the CNDH</w:t>
      </w:r>
      <w:r w:rsidRPr="00104227">
        <w:rPr>
          <w:lang w:val="en-US"/>
        </w:rPr>
        <w:t xml:space="preserve"> </w:t>
      </w:r>
      <w:r w:rsidR="00B73C7C" w:rsidRPr="00104227">
        <w:rPr>
          <w:lang w:val="en-US"/>
        </w:rPr>
        <w:t>and</w:t>
      </w:r>
      <w:r w:rsidRPr="00104227">
        <w:rPr>
          <w:lang w:val="en-US"/>
        </w:rPr>
        <w:t xml:space="preserve"> </w:t>
      </w:r>
      <w:r w:rsidR="008F27D0" w:rsidRPr="00104227">
        <w:rPr>
          <w:lang w:val="en-US"/>
        </w:rPr>
        <w:t>the SCJN</w:t>
      </w:r>
      <w:r w:rsidRPr="00104227">
        <w:rPr>
          <w:lang w:val="en-US"/>
        </w:rPr>
        <w:t xml:space="preserve"> conclu</w:t>
      </w:r>
      <w:r w:rsidR="00B73C7C" w:rsidRPr="00104227">
        <w:rPr>
          <w:lang w:val="en-US"/>
        </w:rPr>
        <w:t xml:space="preserve">ded that the police agents </w:t>
      </w:r>
      <w:r w:rsidR="008F3C38" w:rsidRPr="00104227">
        <w:rPr>
          <w:lang w:val="en-US"/>
        </w:rPr>
        <w:t>applied indiscriminate use of force</w:t>
      </w:r>
      <w:r w:rsidRPr="00104227">
        <w:rPr>
          <w:lang w:val="en-US"/>
        </w:rPr>
        <w:t xml:space="preserve">, </w:t>
      </w:r>
      <w:r w:rsidR="008F3C38" w:rsidRPr="00104227">
        <w:rPr>
          <w:lang w:val="en-US"/>
        </w:rPr>
        <w:t>without taking into account whether the people they were beating and detaining had taken part in wrongful acts or even in the protest itself.</w:t>
      </w:r>
      <w:r w:rsidRPr="00104227">
        <w:rPr>
          <w:rStyle w:val="Refdenotaalpie"/>
          <w:lang w:val="en-US"/>
        </w:rPr>
        <w:footnoteReference w:id="255"/>
      </w:r>
      <w:r w:rsidRPr="00104227">
        <w:rPr>
          <w:lang w:val="en-US"/>
        </w:rPr>
        <w:t xml:space="preserve"> </w:t>
      </w:r>
      <w:r w:rsidR="008F3C38" w:rsidRPr="00104227">
        <w:rPr>
          <w:lang w:val="en-US"/>
        </w:rPr>
        <w:t>As indicated by expert witness</w:t>
      </w:r>
      <w:r w:rsidRPr="00104227">
        <w:rPr>
          <w:lang w:val="en-US"/>
        </w:rPr>
        <w:t xml:space="preserve"> Maina Kiai, </w:t>
      </w:r>
      <w:r w:rsidR="008F3C38" w:rsidRPr="00104227">
        <w:rPr>
          <w:lang w:val="en-US"/>
        </w:rPr>
        <w:t xml:space="preserve">former United Nations Special Rapporteur </w:t>
      </w:r>
      <w:r w:rsidR="008F3C38" w:rsidRPr="00104227">
        <w:rPr>
          <w:rStyle w:val="st"/>
          <w:lang w:val="en-US"/>
        </w:rPr>
        <w:t xml:space="preserve">on the rights to </w:t>
      </w:r>
      <w:r w:rsidR="008F3C38" w:rsidRPr="00104227">
        <w:rPr>
          <w:rStyle w:val="nfasis"/>
          <w:i w:val="0"/>
          <w:iCs w:val="0"/>
          <w:lang w:val="en-US"/>
        </w:rPr>
        <w:t>freedom</w:t>
      </w:r>
      <w:r w:rsidR="008F3C38" w:rsidRPr="00104227">
        <w:rPr>
          <w:rStyle w:val="st"/>
          <w:i/>
          <w:iCs/>
          <w:lang w:val="en-US"/>
        </w:rPr>
        <w:t xml:space="preserve"> </w:t>
      </w:r>
      <w:r w:rsidR="008F3C38" w:rsidRPr="00104227">
        <w:rPr>
          <w:rStyle w:val="st"/>
          <w:lang w:val="en-US"/>
        </w:rPr>
        <w:t>of peaceful</w:t>
      </w:r>
      <w:r w:rsidR="008F3C38" w:rsidRPr="00104227">
        <w:rPr>
          <w:rStyle w:val="st"/>
          <w:i/>
          <w:iCs/>
          <w:lang w:val="en-US"/>
        </w:rPr>
        <w:t xml:space="preserve"> </w:t>
      </w:r>
      <w:r w:rsidR="008F3C38" w:rsidRPr="00104227">
        <w:rPr>
          <w:rStyle w:val="nfasis"/>
          <w:i w:val="0"/>
          <w:iCs w:val="0"/>
          <w:lang w:val="en-US"/>
        </w:rPr>
        <w:t>assembly</w:t>
      </w:r>
      <w:r w:rsidR="008F3C38" w:rsidRPr="00104227">
        <w:rPr>
          <w:rStyle w:val="st"/>
          <w:i/>
          <w:iCs/>
          <w:lang w:val="en-US"/>
        </w:rPr>
        <w:t xml:space="preserve"> </w:t>
      </w:r>
      <w:r w:rsidR="008F3C38" w:rsidRPr="00104227">
        <w:rPr>
          <w:rStyle w:val="st"/>
          <w:lang w:val="en-US"/>
        </w:rPr>
        <w:t>and of association</w:t>
      </w:r>
      <w:r w:rsidRPr="00104227">
        <w:rPr>
          <w:lang w:val="en-US"/>
        </w:rPr>
        <w:t>, “</w:t>
      </w:r>
      <w:r w:rsidR="008F3C38" w:rsidRPr="00104227">
        <w:rPr>
          <w:lang w:val="en-US"/>
        </w:rPr>
        <w:t xml:space="preserve">the violations committed against the victims clearly </w:t>
      </w:r>
      <w:r w:rsidR="001C7CDD" w:rsidRPr="00104227">
        <w:rPr>
          <w:lang w:val="en-US"/>
        </w:rPr>
        <w:t>occurred</w:t>
      </w:r>
      <w:r w:rsidR="008F3C38" w:rsidRPr="00104227">
        <w:rPr>
          <w:lang w:val="en-US"/>
        </w:rPr>
        <w:t xml:space="preserve"> owing to the chaos created by the way in which the police handled the protest.</w:t>
      </w:r>
      <w:r w:rsidRPr="00104227">
        <w:rPr>
          <w:lang w:val="en-US"/>
        </w:rPr>
        <w:t>”</w:t>
      </w:r>
      <w:r w:rsidRPr="00104227">
        <w:rPr>
          <w:rStyle w:val="Refdenotaalpie"/>
          <w:lang w:val="en-US"/>
        </w:rPr>
        <w:footnoteReference w:id="256"/>
      </w:r>
      <w:r w:rsidRPr="00104227">
        <w:rPr>
          <w:lang w:val="en-US"/>
        </w:rPr>
        <w:t>.</w:t>
      </w:r>
      <w:bookmarkEnd w:id="280"/>
    </w:p>
    <w:p w14:paraId="43262C50" w14:textId="77777777" w:rsidR="00467E4A" w:rsidRPr="00104227" w:rsidRDefault="00467E4A" w:rsidP="00E4619F">
      <w:pPr>
        <w:tabs>
          <w:tab w:val="left" w:pos="567"/>
        </w:tabs>
      </w:pPr>
    </w:p>
    <w:p w14:paraId="44E1BB90" w14:textId="11E7DD6F" w:rsidR="000254FE" w:rsidRPr="00104227" w:rsidRDefault="008F3C38" w:rsidP="00E4619F">
      <w:pPr>
        <w:pStyle w:val="Numberedparagraphs"/>
        <w:tabs>
          <w:tab w:val="left" w:pos="567"/>
        </w:tabs>
        <w:rPr>
          <w:lang w:val="en-US"/>
        </w:rPr>
      </w:pPr>
      <w:bookmarkStart w:id="281" w:name="_Ref532916544"/>
      <w:r w:rsidRPr="00104227">
        <w:rPr>
          <w:lang w:val="en-US"/>
        </w:rPr>
        <w:lastRenderedPageBreak/>
        <w:t xml:space="preserve">Specifically in relation to the eleven </w:t>
      </w:r>
      <w:r w:rsidR="00EF03E5" w:rsidRPr="00104227">
        <w:rPr>
          <w:lang w:val="en-US"/>
        </w:rPr>
        <w:t>victims in this case</w:t>
      </w:r>
      <w:r w:rsidR="00402EE7" w:rsidRPr="00104227">
        <w:rPr>
          <w:lang w:val="en-US"/>
        </w:rPr>
        <w:t xml:space="preserve">, </w:t>
      </w:r>
      <w:r w:rsidRPr="00104227">
        <w:rPr>
          <w:lang w:val="en-US"/>
        </w:rPr>
        <w:t>no information or evidence has been provided that any of them w</w:t>
      </w:r>
      <w:r w:rsidR="00097098" w:rsidRPr="00104227">
        <w:rPr>
          <w:lang w:val="en-US"/>
        </w:rPr>
        <w:t>ere</w:t>
      </w:r>
      <w:r w:rsidRPr="00104227">
        <w:rPr>
          <w:lang w:val="en-US"/>
        </w:rPr>
        <w:t xml:space="preserve"> c</w:t>
      </w:r>
      <w:r w:rsidR="00097098" w:rsidRPr="00104227">
        <w:rPr>
          <w:lang w:val="en-US"/>
        </w:rPr>
        <w:t>ommitting</w:t>
      </w:r>
      <w:r w:rsidRPr="00104227">
        <w:rPr>
          <w:lang w:val="en-US"/>
        </w:rPr>
        <w:t xml:space="preserve"> violent acts, resisting authority in any way</w:t>
      </w:r>
      <w:r w:rsidR="00097098" w:rsidRPr="00104227">
        <w:rPr>
          <w:lang w:val="en-US"/>
        </w:rPr>
        <w:t>,</w:t>
      </w:r>
      <w:r w:rsidRPr="00104227">
        <w:rPr>
          <w:lang w:val="en-US"/>
        </w:rPr>
        <w:t xml:space="preserve"> or </w:t>
      </w:r>
      <w:r w:rsidR="00097098" w:rsidRPr="00104227">
        <w:rPr>
          <w:lang w:val="en-US"/>
        </w:rPr>
        <w:t>carrying weapons</w:t>
      </w:r>
      <w:r w:rsidRPr="00104227">
        <w:rPr>
          <w:lang w:val="en-US"/>
        </w:rPr>
        <w:t xml:space="preserve">. To the contrary, the information provided reveals that </w:t>
      </w:r>
      <w:r w:rsidR="00F12946" w:rsidRPr="00104227">
        <w:rPr>
          <w:lang w:val="en-US"/>
        </w:rPr>
        <w:t>the eleven women</w:t>
      </w:r>
      <w:r w:rsidR="00402EE7" w:rsidRPr="00104227">
        <w:rPr>
          <w:lang w:val="en-US"/>
        </w:rPr>
        <w:t xml:space="preserve"> </w:t>
      </w:r>
      <w:r w:rsidRPr="00104227">
        <w:rPr>
          <w:lang w:val="en-US"/>
        </w:rPr>
        <w:t xml:space="preserve">were behaving peacefully or </w:t>
      </w:r>
      <w:r w:rsidR="00097098" w:rsidRPr="00104227">
        <w:rPr>
          <w:lang w:val="en-US"/>
        </w:rPr>
        <w:t>protecting themselves</w:t>
      </w:r>
      <w:r w:rsidRPr="00104227">
        <w:rPr>
          <w:lang w:val="en-US"/>
        </w:rPr>
        <w:t xml:space="preserve"> when they were detained </w:t>
      </w:r>
      <w:r w:rsidR="00402EE7" w:rsidRPr="00104227">
        <w:rPr>
          <w:lang w:val="en-US"/>
        </w:rPr>
        <w:t>(</w:t>
      </w:r>
      <w:r w:rsidR="00402EE7" w:rsidRPr="00104227">
        <w:rPr>
          <w:i/>
          <w:lang w:val="en-US"/>
        </w:rPr>
        <w:t>infra</w:t>
      </w:r>
      <w:r w:rsidR="00543E3A" w:rsidRPr="00104227">
        <w:rPr>
          <w:lang w:val="en-US"/>
        </w:rPr>
        <w:t xml:space="preserve"> </w:t>
      </w:r>
      <w:r w:rsidR="00BF5241" w:rsidRPr="00104227">
        <w:rPr>
          <w:lang w:val="en-US"/>
        </w:rPr>
        <w:t>paras.</w:t>
      </w:r>
      <w:r w:rsidR="00543E3A" w:rsidRPr="00104227">
        <w:rPr>
          <w:lang w:val="en-US"/>
        </w:rPr>
        <w:t xml:space="preserve"> </w:t>
      </w:r>
      <w:r w:rsidR="00FC005F" w:rsidRPr="00104227">
        <w:rPr>
          <w:lang w:val="en-US"/>
        </w:rPr>
        <w:fldChar w:fldCharType="begin"/>
      </w:r>
      <w:r w:rsidR="00FC005F" w:rsidRPr="00104227">
        <w:rPr>
          <w:lang w:val="en-US"/>
        </w:rPr>
        <w:instrText xml:space="preserve"> REF _Ref532894427 \r \h </w:instrText>
      </w:r>
      <w:r w:rsidR="00284EAE" w:rsidRPr="00104227">
        <w:rPr>
          <w:lang w:val="en-US"/>
        </w:rPr>
        <w:instrText xml:space="preserve"> \* MERGEFORMAT </w:instrText>
      </w:r>
      <w:r w:rsidR="00FC005F" w:rsidRPr="00104227">
        <w:rPr>
          <w:lang w:val="en-US"/>
        </w:rPr>
      </w:r>
      <w:r w:rsidR="00FC005F" w:rsidRPr="00104227">
        <w:rPr>
          <w:lang w:val="en-US"/>
        </w:rPr>
        <w:fldChar w:fldCharType="separate"/>
      </w:r>
      <w:r w:rsidR="004276BD">
        <w:rPr>
          <w:lang w:val="en-US"/>
        </w:rPr>
        <w:t>172</w:t>
      </w:r>
      <w:r w:rsidR="00FC005F" w:rsidRPr="00104227">
        <w:rPr>
          <w:lang w:val="en-US"/>
        </w:rPr>
        <w:fldChar w:fldCharType="end"/>
      </w:r>
      <w:r w:rsidR="00BF5241" w:rsidRPr="00104227">
        <w:rPr>
          <w:lang w:val="en-US"/>
        </w:rPr>
        <w:t xml:space="preserve"> and </w:t>
      </w:r>
      <w:r w:rsidR="00543E3A" w:rsidRPr="00104227">
        <w:rPr>
          <w:lang w:val="en-US"/>
        </w:rPr>
        <w:fldChar w:fldCharType="begin"/>
      </w:r>
      <w:r w:rsidR="00543E3A" w:rsidRPr="00104227">
        <w:rPr>
          <w:lang w:val="en-US"/>
        </w:rPr>
        <w:instrText xml:space="preserve"> REF _Ref528939229 \r \h </w:instrText>
      </w:r>
      <w:r w:rsidR="00284EAE" w:rsidRPr="00104227">
        <w:rPr>
          <w:lang w:val="en-US"/>
        </w:rPr>
        <w:instrText xml:space="preserve"> \* MERGEFORMAT </w:instrText>
      </w:r>
      <w:r w:rsidR="00543E3A" w:rsidRPr="00104227">
        <w:rPr>
          <w:lang w:val="en-US"/>
        </w:rPr>
      </w:r>
      <w:r w:rsidR="00543E3A" w:rsidRPr="00104227">
        <w:rPr>
          <w:lang w:val="en-US"/>
        </w:rPr>
        <w:fldChar w:fldCharType="separate"/>
      </w:r>
      <w:r w:rsidR="004276BD">
        <w:rPr>
          <w:lang w:val="en-US"/>
        </w:rPr>
        <w:t>236</w:t>
      </w:r>
      <w:r w:rsidR="00543E3A" w:rsidRPr="00104227">
        <w:rPr>
          <w:lang w:val="en-US"/>
        </w:rPr>
        <w:fldChar w:fldCharType="end"/>
      </w:r>
      <w:r w:rsidR="00402EE7" w:rsidRPr="00104227">
        <w:rPr>
          <w:lang w:val="en-US"/>
        </w:rPr>
        <w:t xml:space="preserve">). </w:t>
      </w:r>
      <w:r w:rsidRPr="00104227">
        <w:rPr>
          <w:lang w:val="en-US"/>
        </w:rPr>
        <w:t xml:space="preserve">According to uncontested facts, </w:t>
      </w:r>
      <w:r w:rsidR="00F12946" w:rsidRPr="00104227">
        <w:rPr>
          <w:lang w:val="en-US"/>
        </w:rPr>
        <w:t>the eleven women</w:t>
      </w:r>
      <w:r w:rsidR="00402EE7" w:rsidRPr="00104227">
        <w:rPr>
          <w:lang w:val="en-US"/>
        </w:rPr>
        <w:t xml:space="preserve"> v</w:t>
      </w:r>
      <w:r w:rsidRPr="00104227">
        <w:rPr>
          <w:lang w:val="en-US"/>
        </w:rPr>
        <w:t>ictims</w:t>
      </w:r>
      <w:r w:rsidR="008F27D0" w:rsidRPr="00104227">
        <w:rPr>
          <w:lang w:val="en-US"/>
        </w:rPr>
        <w:t xml:space="preserve"> of the</w:t>
      </w:r>
      <w:r w:rsidR="00097098" w:rsidRPr="00104227">
        <w:rPr>
          <w:lang w:val="en-US"/>
        </w:rPr>
        <w:t xml:space="preserve"> State’s</w:t>
      </w:r>
      <w:r w:rsidR="008F27D0" w:rsidRPr="00104227">
        <w:rPr>
          <w:lang w:val="en-US"/>
        </w:rPr>
        <w:t xml:space="preserve"> </w:t>
      </w:r>
      <w:r w:rsidR="00BC5201" w:rsidRPr="00104227">
        <w:rPr>
          <w:lang w:val="en-US"/>
        </w:rPr>
        <w:t>use of force</w:t>
      </w:r>
      <w:r w:rsidR="00402EE7" w:rsidRPr="00104227">
        <w:rPr>
          <w:lang w:val="en-US"/>
        </w:rPr>
        <w:t xml:space="preserve"> </w:t>
      </w:r>
      <w:r w:rsidRPr="00104227">
        <w:rPr>
          <w:lang w:val="en-US"/>
        </w:rPr>
        <w:t xml:space="preserve">in this case were not </w:t>
      </w:r>
      <w:r w:rsidR="00156E02" w:rsidRPr="00104227">
        <w:rPr>
          <w:lang w:val="en-US"/>
        </w:rPr>
        <w:t xml:space="preserve">behaving in any way that </w:t>
      </w:r>
      <w:r w:rsidR="00097098" w:rsidRPr="00104227">
        <w:rPr>
          <w:lang w:val="en-US"/>
        </w:rPr>
        <w:t>required</w:t>
      </w:r>
      <w:r w:rsidR="00156E02" w:rsidRPr="00104227">
        <w:rPr>
          <w:lang w:val="en-US"/>
        </w:rPr>
        <w:t xml:space="preserve"> the use of force against them</w:t>
      </w:r>
      <w:r w:rsidR="00402EE7" w:rsidRPr="00104227">
        <w:rPr>
          <w:lang w:val="en-US"/>
        </w:rPr>
        <w:t>.</w:t>
      </w:r>
      <w:bookmarkEnd w:id="281"/>
      <w:r w:rsidR="00402EE7" w:rsidRPr="00104227">
        <w:rPr>
          <w:lang w:val="en-US"/>
        </w:rPr>
        <w:t xml:space="preserve"> </w:t>
      </w:r>
    </w:p>
    <w:p w14:paraId="5580542A" w14:textId="77777777" w:rsidR="000254FE" w:rsidRPr="00104227" w:rsidRDefault="000254FE" w:rsidP="00E4619F">
      <w:pPr>
        <w:tabs>
          <w:tab w:val="left" w:pos="567"/>
        </w:tabs>
      </w:pPr>
    </w:p>
    <w:p w14:paraId="6BF0620F" w14:textId="5D84CB3F" w:rsidR="00402EE7" w:rsidRPr="00104227" w:rsidRDefault="00156E02" w:rsidP="00E4619F">
      <w:pPr>
        <w:pStyle w:val="Numberedparagraphs"/>
        <w:tabs>
          <w:tab w:val="left" w:pos="567"/>
        </w:tabs>
        <w:rPr>
          <w:lang w:val="en-US"/>
        </w:rPr>
      </w:pPr>
      <w:bookmarkStart w:id="282" w:name="_Ref532987023"/>
      <w:r w:rsidRPr="00104227">
        <w:rPr>
          <w:lang w:val="en-US"/>
        </w:rPr>
        <w:t>Therefore, in this case, it is cl</w:t>
      </w:r>
      <w:r w:rsidR="00097098" w:rsidRPr="00104227">
        <w:rPr>
          <w:lang w:val="en-US"/>
        </w:rPr>
        <w:t>e</w:t>
      </w:r>
      <w:r w:rsidRPr="00104227">
        <w:rPr>
          <w:lang w:val="en-US"/>
        </w:rPr>
        <w:t>ar that</w:t>
      </w:r>
      <w:r w:rsidR="00402EE7" w:rsidRPr="00104227">
        <w:rPr>
          <w:lang w:val="en-US"/>
        </w:rPr>
        <w:t xml:space="preserve"> </w:t>
      </w:r>
      <w:r w:rsidR="00BC5201" w:rsidRPr="00104227">
        <w:rPr>
          <w:lang w:val="en-US"/>
        </w:rPr>
        <w:t>the use of force</w:t>
      </w:r>
      <w:r w:rsidRPr="00104227">
        <w:rPr>
          <w:lang w:val="en-US"/>
        </w:rPr>
        <w:t xml:space="preserve"> by the police authorities was not legitimate or necessary; </w:t>
      </w:r>
      <w:r w:rsidR="00097098" w:rsidRPr="00104227">
        <w:rPr>
          <w:lang w:val="en-US"/>
        </w:rPr>
        <w:t>moreover</w:t>
      </w:r>
      <w:r w:rsidRPr="00104227">
        <w:rPr>
          <w:lang w:val="en-US"/>
        </w:rPr>
        <w:t>, it was also excessive and unacceptable owing to the characteristics described below regarding the discriminatory and sexual nature of the abuse suffered. The Court concludes that the</w:t>
      </w:r>
      <w:r w:rsidR="00097098" w:rsidRPr="00104227">
        <w:rPr>
          <w:lang w:val="en-US"/>
        </w:rPr>
        <w:t xml:space="preserve"> State’s</w:t>
      </w:r>
      <w:r w:rsidRPr="00104227">
        <w:rPr>
          <w:lang w:val="en-US"/>
        </w:rPr>
        <w:t xml:space="preserve"> indiscriminate use of force in this case, resulting from the absence of adequate regulation, a lack of training of the agents, an ineff</w:t>
      </w:r>
      <w:r w:rsidR="00097098" w:rsidRPr="00104227">
        <w:rPr>
          <w:lang w:val="en-US"/>
        </w:rPr>
        <w:t>ective</w:t>
      </w:r>
      <w:r w:rsidRPr="00104227">
        <w:rPr>
          <w:lang w:val="en-US"/>
        </w:rPr>
        <w:t xml:space="preserve"> supervision and monitoring of the operation, and an erroneous belief that the violence of some people justified the use of force against </w:t>
      </w:r>
      <w:r w:rsidR="00097098" w:rsidRPr="00104227">
        <w:rPr>
          <w:lang w:val="en-US"/>
        </w:rPr>
        <w:t>everyone</w:t>
      </w:r>
      <w:r w:rsidRPr="00104227">
        <w:rPr>
          <w:lang w:val="en-US"/>
        </w:rPr>
        <w:t xml:space="preserve">, entailed violations of </w:t>
      </w:r>
      <w:r w:rsidR="00BF5241" w:rsidRPr="00104227">
        <w:rPr>
          <w:lang w:val="en-US"/>
        </w:rPr>
        <w:t>Articles</w:t>
      </w:r>
      <w:r w:rsidR="00402EE7" w:rsidRPr="00104227">
        <w:rPr>
          <w:lang w:val="en-US"/>
        </w:rPr>
        <w:t xml:space="preserve"> 5</w:t>
      </w:r>
      <w:r w:rsidR="00BF5241" w:rsidRPr="00104227">
        <w:rPr>
          <w:lang w:val="en-US"/>
        </w:rPr>
        <w:t xml:space="preserve"> and </w:t>
      </w:r>
      <w:r w:rsidR="00402EE7" w:rsidRPr="00104227">
        <w:rPr>
          <w:lang w:val="en-US"/>
        </w:rPr>
        <w:t>11</w:t>
      </w:r>
      <w:r w:rsidR="00BF5241" w:rsidRPr="00104227">
        <w:rPr>
          <w:lang w:val="en-US"/>
        </w:rPr>
        <w:t xml:space="preserve"> of the Convention</w:t>
      </w:r>
      <w:r w:rsidR="00402EE7" w:rsidRPr="00104227">
        <w:rPr>
          <w:lang w:val="en-US"/>
        </w:rPr>
        <w:t xml:space="preserve">, </w:t>
      </w:r>
      <w:r w:rsidR="00C2124F" w:rsidRPr="00104227">
        <w:rPr>
          <w:lang w:val="en-US"/>
        </w:rPr>
        <w:t>in relation to Articles 1(1)</w:t>
      </w:r>
      <w:r w:rsidR="00BF5241" w:rsidRPr="00104227">
        <w:rPr>
          <w:lang w:val="en-US"/>
        </w:rPr>
        <w:t xml:space="preserve"> and </w:t>
      </w:r>
      <w:r w:rsidR="00402EE7" w:rsidRPr="00104227">
        <w:rPr>
          <w:lang w:val="en-US"/>
        </w:rPr>
        <w:t xml:space="preserve">2 </w:t>
      </w:r>
      <w:r w:rsidR="00CA43B0" w:rsidRPr="00104227">
        <w:rPr>
          <w:lang w:val="en-US"/>
        </w:rPr>
        <w:t>of this instrument</w:t>
      </w:r>
      <w:r w:rsidR="00402EE7" w:rsidRPr="00104227">
        <w:rPr>
          <w:lang w:val="en-US"/>
        </w:rPr>
        <w:t xml:space="preserve">, </w:t>
      </w:r>
      <w:r w:rsidR="00C2124F" w:rsidRPr="00104227">
        <w:rPr>
          <w:lang w:val="en-US"/>
        </w:rPr>
        <w:t>to the detriment of</w:t>
      </w:r>
      <w:r w:rsidR="00402EE7" w:rsidRPr="00104227">
        <w:rPr>
          <w:lang w:val="en-US"/>
        </w:rPr>
        <w:t xml:space="preserve"> </w:t>
      </w:r>
      <w:r w:rsidR="00F12946" w:rsidRPr="00104227">
        <w:rPr>
          <w:lang w:val="en-US"/>
        </w:rPr>
        <w:t>the eleven women</w:t>
      </w:r>
      <w:r w:rsidR="00402EE7" w:rsidRPr="00104227">
        <w:rPr>
          <w:lang w:val="en-US"/>
        </w:rPr>
        <w:t xml:space="preserve"> </w:t>
      </w:r>
      <w:r w:rsidRPr="00104227">
        <w:rPr>
          <w:lang w:val="en-US"/>
        </w:rPr>
        <w:t>in this case</w:t>
      </w:r>
      <w:r w:rsidR="00402EE7" w:rsidRPr="00104227">
        <w:rPr>
          <w:lang w:val="en-US"/>
        </w:rPr>
        <w:t>.</w:t>
      </w:r>
      <w:bookmarkEnd w:id="282"/>
    </w:p>
    <w:p w14:paraId="6F39DA19" w14:textId="77777777" w:rsidR="00633C8A" w:rsidRPr="00104227" w:rsidRDefault="00633C8A" w:rsidP="00E4619F">
      <w:pPr>
        <w:tabs>
          <w:tab w:val="left" w:pos="567"/>
        </w:tabs>
        <w:rPr>
          <w:lang w:eastAsia="es-MX"/>
        </w:rPr>
      </w:pPr>
    </w:p>
    <w:p w14:paraId="258A4440" w14:textId="5788537A" w:rsidR="00BC2FAA" w:rsidRPr="00104227" w:rsidRDefault="00BC2FAA" w:rsidP="00885693">
      <w:pPr>
        <w:pStyle w:val="Ttulo4"/>
        <w:rPr>
          <w:lang w:val="en-US"/>
        </w:rPr>
      </w:pPr>
      <w:r w:rsidRPr="00104227">
        <w:rPr>
          <w:lang w:val="en-US"/>
        </w:rPr>
        <w:t>B.1.</w:t>
      </w:r>
      <w:r w:rsidR="00885693" w:rsidRPr="00104227">
        <w:rPr>
          <w:lang w:val="en-US"/>
        </w:rPr>
        <w:t>2</w:t>
      </w:r>
      <w:r w:rsidRPr="00104227">
        <w:rPr>
          <w:lang w:val="en-US"/>
        </w:rPr>
        <w:t xml:space="preserve"> </w:t>
      </w:r>
      <w:r w:rsidR="00A23F38" w:rsidRPr="00104227">
        <w:rPr>
          <w:lang w:val="en-US"/>
        </w:rPr>
        <w:t>Right of assembly</w:t>
      </w:r>
    </w:p>
    <w:p w14:paraId="3C94ED76" w14:textId="77777777" w:rsidR="00BC2FAA" w:rsidRPr="00104227" w:rsidRDefault="00BC2FAA" w:rsidP="00E4619F">
      <w:pPr>
        <w:tabs>
          <w:tab w:val="left" w:pos="567"/>
        </w:tabs>
        <w:rPr>
          <w:lang w:eastAsia="es-MX"/>
        </w:rPr>
      </w:pPr>
    </w:p>
    <w:p w14:paraId="1970F40F" w14:textId="656A8C1B" w:rsidR="00633C8A" w:rsidRPr="00104227" w:rsidRDefault="00CA43B0" w:rsidP="00E4619F">
      <w:pPr>
        <w:pStyle w:val="Numberedparagraphs"/>
        <w:tabs>
          <w:tab w:val="left" w:pos="567"/>
        </w:tabs>
        <w:rPr>
          <w:lang w:val="en-US"/>
        </w:rPr>
      </w:pPr>
      <w:bookmarkStart w:id="283" w:name="_Ref532987040"/>
      <w:r w:rsidRPr="00104227">
        <w:rPr>
          <w:lang w:val="en-US"/>
        </w:rPr>
        <w:t>The right to</w:t>
      </w:r>
      <w:r w:rsidR="00633C8A" w:rsidRPr="00104227">
        <w:rPr>
          <w:lang w:val="en-US"/>
        </w:rPr>
        <w:t xml:space="preserve"> protest o</w:t>
      </w:r>
      <w:r w:rsidR="002076A7" w:rsidRPr="00104227">
        <w:rPr>
          <w:lang w:val="en-US"/>
        </w:rPr>
        <w:t xml:space="preserve">r </w:t>
      </w:r>
      <w:r w:rsidR="00097098" w:rsidRPr="00104227">
        <w:rPr>
          <w:lang w:val="en-US"/>
        </w:rPr>
        <w:t xml:space="preserve">to </w:t>
      </w:r>
      <w:r w:rsidR="00F27D61" w:rsidRPr="00104227">
        <w:rPr>
          <w:lang w:val="en-US"/>
        </w:rPr>
        <w:t>demonstrate</w:t>
      </w:r>
      <w:r w:rsidR="002076A7" w:rsidRPr="00104227">
        <w:rPr>
          <w:lang w:val="en-US"/>
        </w:rPr>
        <w:t xml:space="preserve"> discontent</w:t>
      </w:r>
      <w:r w:rsidR="00633C8A" w:rsidRPr="00104227">
        <w:rPr>
          <w:lang w:val="en-US"/>
        </w:rPr>
        <w:t xml:space="preserve"> </w:t>
      </w:r>
      <w:r w:rsidR="002076A7" w:rsidRPr="00104227">
        <w:rPr>
          <w:lang w:val="en-US"/>
        </w:rPr>
        <w:t xml:space="preserve">with a State action or decision is protected by the </w:t>
      </w:r>
      <w:r w:rsidR="00A23F38" w:rsidRPr="00104227">
        <w:rPr>
          <w:lang w:val="en-US"/>
        </w:rPr>
        <w:t>right of assembly</w:t>
      </w:r>
      <w:r w:rsidR="00633C8A" w:rsidRPr="00104227">
        <w:rPr>
          <w:lang w:val="en-US"/>
        </w:rPr>
        <w:t xml:space="preserve"> </w:t>
      </w:r>
      <w:r w:rsidR="002076A7" w:rsidRPr="00104227">
        <w:rPr>
          <w:lang w:val="en-US"/>
        </w:rPr>
        <w:t>recognized in</w:t>
      </w:r>
      <w:r w:rsidR="00633C8A" w:rsidRPr="00104227">
        <w:rPr>
          <w:lang w:val="en-US"/>
        </w:rPr>
        <w:t xml:space="preserve"> </w:t>
      </w:r>
      <w:r w:rsidR="00BF5241" w:rsidRPr="00104227">
        <w:rPr>
          <w:lang w:val="en-US"/>
        </w:rPr>
        <w:t>Article</w:t>
      </w:r>
      <w:r w:rsidR="00633C8A" w:rsidRPr="00104227">
        <w:rPr>
          <w:lang w:val="en-US"/>
        </w:rPr>
        <w:t xml:space="preserve"> 15</w:t>
      </w:r>
      <w:r w:rsidR="00BF5241" w:rsidRPr="00104227">
        <w:rPr>
          <w:lang w:val="en-US"/>
        </w:rPr>
        <w:t xml:space="preserve"> of the American Convention</w:t>
      </w:r>
      <w:r w:rsidR="00633C8A" w:rsidRPr="00104227">
        <w:rPr>
          <w:lang w:val="en-US"/>
        </w:rPr>
        <w:t xml:space="preserve">. </w:t>
      </w:r>
      <w:r w:rsidR="002076A7" w:rsidRPr="00104227">
        <w:rPr>
          <w:lang w:val="en-US"/>
        </w:rPr>
        <w:t xml:space="preserve">Even though neither </w:t>
      </w:r>
      <w:r w:rsidR="00BF5241" w:rsidRPr="00104227">
        <w:rPr>
          <w:lang w:val="en-US"/>
        </w:rPr>
        <w:t>the Commission</w:t>
      </w:r>
      <w:r w:rsidR="00633C8A" w:rsidRPr="00104227">
        <w:rPr>
          <w:lang w:val="en-US"/>
        </w:rPr>
        <w:t xml:space="preserve"> n</w:t>
      </w:r>
      <w:r w:rsidR="002076A7" w:rsidRPr="00104227">
        <w:rPr>
          <w:lang w:val="en-US"/>
        </w:rPr>
        <w:t xml:space="preserve">or </w:t>
      </w:r>
      <w:r w:rsidR="002826A6" w:rsidRPr="00104227">
        <w:rPr>
          <w:lang w:val="en-US"/>
        </w:rPr>
        <w:t>the representatives</w:t>
      </w:r>
      <w:r w:rsidR="00633C8A" w:rsidRPr="00104227">
        <w:rPr>
          <w:lang w:val="en-US"/>
        </w:rPr>
        <w:t xml:space="preserve"> al</w:t>
      </w:r>
      <w:r w:rsidR="002076A7" w:rsidRPr="00104227">
        <w:rPr>
          <w:lang w:val="en-US"/>
        </w:rPr>
        <w:t xml:space="preserve">leged the violation of this right at the opportune moment, this Court considers that, in application of the </w:t>
      </w:r>
      <w:r w:rsidR="00633C8A" w:rsidRPr="00104227">
        <w:rPr>
          <w:i/>
          <w:lang w:val="en-US"/>
        </w:rPr>
        <w:t>iura novit curia</w:t>
      </w:r>
      <w:r w:rsidR="00633C8A" w:rsidRPr="00104227">
        <w:rPr>
          <w:lang w:val="en-US"/>
        </w:rPr>
        <w:t xml:space="preserve"> </w:t>
      </w:r>
      <w:r w:rsidR="002076A7" w:rsidRPr="00104227">
        <w:rPr>
          <w:lang w:val="en-US"/>
        </w:rPr>
        <w:t xml:space="preserve">principle, in this case it is also appropriate to analyze </w:t>
      </w:r>
      <w:r w:rsidR="00BC5201" w:rsidRPr="00104227">
        <w:rPr>
          <w:lang w:val="en-US"/>
        </w:rPr>
        <w:t>the use of force</w:t>
      </w:r>
      <w:r w:rsidR="002076A7" w:rsidRPr="00104227">
        <w:rPr>
          <w:lang w:val="en-US"/>
        </w:rPr>
        <w:t xml:space="preserve"> in light of the </w:t>
      </w:r>
      <w:r w:rsidRPr="00104227">
        <w:rPr>
          <w:lang w:val="en-US"/>
        </w:rPr>
        <w:t xml:space="preserve">right </w:t>
      </w:r>
      <w:r w:rsidR="002076A7" w:rsidRPr="00104227">
        <w:rPr>
          <w:lang w:val="en-US"/>
        </w:rPr>
        <w:t>of assembly</w:t>
      </w:r>
      <w:r w:rsidR="00633C8A" w:rsidRPr="00104227">
        <w:rPr>
          <w:lang w:val="en-US"/>
        </w:rPr>
        <w:t xml:space="preserve">. </w:t>
      </w:r>
      <w:r w:rsidR="002076A7" w:rsidRPr="00104227">
        <w:rPr>
          <w:lang w:val="en-US"/>
        </w:rPr>
        <w:t xml:space="preserve">Under </w:t>
      </w:r>
      <w:r w:rsidR="00BF5241" w:rsidRPr="00104227">
        <w:rPr>
          <w:lang w:val="en-US"/>
        </w:rPr>
        <w:t>Article</w:t>
      </w:r>
      <w:r w:rsidR="00633C8A" w:rsidRPr="00104227">
        <w:rPr>
          <w:lang w:val="en-US"/>
        </w:rPr>
        <w:t xml:space="preserve"> 15</w:t>
      </w:r>
      <w:r w:rsidR="00BF5241" w:rsidRPr="00104227">
        <w:rPr>
          <w:lang w:val="en-US"/>
        </w:rPr>
        <w:t xml:space="preserve"> of the American Convention</w:t>
      </w:r>
      <w:r w:rsidR="00633C8A" w:rsidRPr="00104227">
        <w:rPr>
          <w:lang w:val="en-US"/>
        </w:rPr>
        <w:t xml:space="preserve"> “</w:t>
      </w:r>
      <w:r w:rsidR="002076A7" w:rsidRPr="00104227">
        <w:rPr>
          <w:spacing w:val="-3"/>
          <w:lang w:val="en-US"/>
        </w:rPr>
        <w:t xml:space="preserve">[t]he right of peaceful assembly, without arms, is recognized” and this </w:t>
      </w:r>
      <w:r w:rsidR="000A2877" w:rsidRPr="00104227">
        <w:rPr>
          <w:spacing w:val="-3"/>
          <w:lang w:val="en-US"/>
        </w:rPr>
        <w:t>refers to</w:t>
      </w:r>
      <w:r w:rsidR="002076A7" w:rsidRPr="00104227">
        <w:rPr>
          <w:spacing w:val="-3"/>
          <w:lang w:val="en-US"/>
        </w:rPr>
        <w:t xml:space="preserve"> both private </w:t>
      </w:r>
      <w:r w:rsidR="000A2877" w:rsidRPr="00104227">
        <w:rPr>
          <w:spacing w:val="-3"/>
          <w:lang w:val="en-US"/>
        </w:rPr>
        <w:t>assemblies</w:t>
      </w:r>
      <w:r w:rsidR="002076A7" w:rsidRPr="00104227">
        <w:rPr>
          <w:spacing w:val="-3"/>
          <w:lang w:val="en-US"/>
        </w:rPr>
        <w:t xml:space="preserve"> and assemblies in public spaces, </w:t>
      </w:r>
      <w:r w:rsidR="000A2877" w:rsidRPr="00104227">
        <w:rPr>
          <w:lang w:val="en-US"/>
        </w:rPr>
        <w:t xml:space="preserve">whether they are held in one place or </w:t>
      </w:r>
      <w:r w:rsidR="00097098" w:rsidRPr="00104227">
        <w:rPr>
          <w:lang w:val="en-US"/>
        </w:rPr>
        <w:t>include</w:t>
      </w:r>
      <w:r w:rsidR="000A2877" w:rsidRPr="00104227">
        <w:rPr>
          <w:lang w:val="en-US"/>
        </w:rPr>
        <w:t xml:space="preserve"> marches</w:t>
      </w:r>
      <w:r w:rsidR="002076A7" w:rsidRPr="00104227">
        <w:rPr>
          <w:spacing w:val="-3"/>
          <w:lang w:val="en-US"/>
        </w:rPr>
        <w:t>.</w:t>
      </w:r>
      <w:r w:rsidR="00633C8A" w:rsidRPr="00104227">
        <w:rPr>
          <w:rStyle w:val="Refdenotaalpie"/>
          <w:rFonts w:cs="Arial"/>
          <w:color w:val="000000" w:themeColor="text1"/>
          <w:lang w:val="en-US"/>
        </w:rPr>
        <w:footnoteReference w:id="257"/>
      </w:r>
      <w:r w:rsidR="002076A7" w:rsidRPr="00104227">
        <w:rPr>
          <w:lang w:val="en-US"/>
        </w:rPr>
        <w:t xml:space="preserve"> The possibility of demonstrating publicly and peacefully is one of the most </w:t>
      </w:r>
      <w:r w:rsidR="00F27D61" w:rsidRPr="00104227">
        <w:rPr>
          <w:lang w:val="en-US"/>
        </w:rPr>
        <w:t>accessible</w:t>
      </w:r>
      <w:r w:rsidR="002076A7" w:rsidRPr="00104227">
        <w:rPr>
          <w:lang w:val="en-US"/>
        </w:rPr>
        <w:t xml:space="preserve"> ways of exercising the right to freedom of expression, through which the protection of other rights can be demanded.</w:t>
      </w:r>
      <w:r w:rsidR="00633C8A" w:rsidRPr="00104227">
        <w:rPr>
          <w:rStyle w:val="Refdenotaalpie"/>
          <w:rFonts w:cs="Arial"/>
          <w:color w:val="000000" w:themeColor="text1"/>
          <w:lang w:val="en-US"/>
        </w:rPr>
        <w:footnoteReference w:id="258"/>
      </w:r>
      <w:r w:rsidR="002076A7" w:rsidRPr="00104227">
        <w:rPr>
          <w:lang w:val="en-US"/>
        </w:rPr>
        <w:t xml:space="preserve"> Therefore, the</w:t>
      </w:r>
      <w:r w:rsidR="00633C8A" w:rsidRPr="00104227">
        <w:rPr>
          <w:lang w:val="en-US"/>
        </w:rPr>
        <w:t xml:space="preserve"> </w:t>
      </w:r>
      <w:r w:rsidR="00A23F38" w:rsidRPr="00104227">
        <w:rPr>
          <w:lang w:val="en-US"/>
        </w:rPr>
        <w:t>right of assembly</w:t>
      </w:r>
      <w:r w:rsidR="00633C8A" w:rsidRPr="00104227">
        <w:rPr>
          <w:lang w:val="en-US"/>
        </w:rPr>
        <w:t xml:space="preserve"> </w:t>
      </w:r>
      <w:r w:rsidR="002076A7" w:rsidRPr="00104227">
        <w:rPr>
          <w:lang w:val="en-US"/>
        </w:rPr>
        <w:t>is a fundamental right in a democratic society and should not be interpreted restrictively.</w:t>
      </w:r>
      <w:r w:rsidR="00633C8A" w:rsidRPr="00104227">
        <w:rPr>
          <w:rStyle w:val="Refdenotaalpie"/>
          <w:rFonts w:cs="Arial"/>
          <w:color w:val="000000" w:themeColor="text1"/>
          <w:lang w:val="en-US"/>
        </w:rPr>
        <w:footnoteReference w:id="259"/>
      </w:r>
      <w:bookmarkStart w:id="284" w:name="_Ref431585550"/>
      <w:bookmarkEnd w:id="283"/>
    </w:p>
    <w:p w14:paraId="1D4FAA69" w14:textId="77777777" w:rsidR="00633C8A" w:rsidRPr="00104227" w:rsidRDefault="00633C8A" w:rsidP="00E4619F">
      <w:pPr>
        <w:tabs>
          <w:tab w:val="left" w:pos="567"/>
        </w:tabs>
      </w:pPr>
    </w:p>
    <w:p w14:paraId="14493226" w14:textId="0F8D5881" w:rsidR="00633C8A" w:rsidRPr="00104227" w:rsidRDefault="002076A7" w:rsidP="006A75F0">
      <w:pPr>
        <w:pStyle w:val="Numberedparagraphs"/>
        <w:tabs>
          <w:tab w:val="left" w:pos="567"/>
        </w:tabs>
        <w:rPr>
          <w:rFonts w:eastAsia="Times New Roman" w:cs="Courier New"/>
          <w:color w:val="212121"/>
          <w:lang w:val="en-US"/>
        </w:rPr>
      </w:pPr>
      <w:bookmarkStart w:id="285" w:name="_Ref532894427"/>
      <w:r w:rsidRPr="00104227">
        <w:rPr>
          <w:lang w:val="en-US"/>
        </w:rPr>
        <w:t xml:space="preserve">In the instant case, </w:t>
      </w:r>
      <w:r w:rsidR="00BC5201" w:rsidRPr="00104227">
        <w:rPr>
          <w:lang w:val="en-US"/>
        </w:rPr>
        <w:t>the use of force</w:t>
      </w:r>
      <w:r w:rsidR="006E0EE1" w:rsidRPr="00104227">
        <w:rPr>
          <w:lang w:val="en-US"/>
        </w:rPr>
        <w:t xml:space="preserve"> </w:t>
      </w:r>
      <w:r w:rsidRPr="00104227">
        <w:rPr>
          <w:lang w:val="en-US"/>
        </w:rPr>
        <w:t>referred to above occur</w:t>
      </w:r>
      <w:r w:rsidR="00097098" w:rsidRPr="00104227">
        <w:rPr>
          <w:lang w:val="en-US"/>
        </w:rPr>
        <w:t>r</w:t>
      </w:r>
      <w:r w:rsidRPr="00104227">
        <w:rPr>
          <w:lang w:val="en-US"/>
        </w:rPr>
        <w:t xml:space="preserve">ed in the context of </w:t>
      </w:r>
      <w:r w:rsidR="00D37750" w:rsidRPr="00104227">
        <w:rPr>
          <w:lang w:val="en-US"/>
        </w:rPr>
        <w:t>demonstrations or protests initiated because some flower</w:t>
      </w:r>
      <w:r w:rsidR="00097098" w:rsidRPr="00104227">
        <w:rPr>
          <w:lang w:val="en-US"/>
        </w:rPr>
        <w:t xml:space="preserve"> sellers</w:t>
      </w:r>
      <w:r w:rsidR="00D37750" w:rsidRPr="00104227">
        <w:rPr>
          <w:lang w:val="en-US"/>
        </w:rPr>
        <w:t xml:space="preserve"> were unhappy with their relocation, and also the demands of the FPDT (</w:t>
      </w:r>
      <w:r w:rsidR="00D37750" w:rsidRPr="00104227">
        <w:rPr>
          <w:i/>
          <w:lang w:val="en-US"/>
        </w:rPr>
        <w:t>supra</w:t>
      </w:r>
      <w:r w:rsidR="00D37750" w:rsidRPr="00104227">
        <w:rPr>
          <w:lang w:val="en-US"/>
        </w:rPr>
        <w:t xml:space="preserve"> paras. </w:t>
      </w:r>
      <w:r w:rsidR="00D37750" w:rsidRPr="00104227">
        <w:rPr>
          <w:lang w:val="en-US"/>
        </w:rPr>
        <w:fldChar w:fldCharType="begin"/>
      </w:r>
      <w:r w:rsidR="00D37750" w:rsidRPr="00104227">
        <w:rPr>
          <w:lang w:val="en-US"/>
        </w:rPr>
        <w:instrText xml:space="preserve"> REF _Ref532894359 \r \h  \* MERGEFORMAT </w:instrText>
      </w:r>
      <w:r w:rsidR="00D37750" w:rsidRPr="00104227">
        <w:rPr>
          <w:lang w:val="en-US"/>
        </w:rPr>
      </w:r>
      <w:r w:rsidR="00D37750" w:rsidRPr="00104227">
        <w:rPr>
          <w:lang w:val="en-US"/>
        </w:rPr>
        <w:fldChar w:fldCharType="separate"/>
      </w:r>
      <w:r w:rsidR="004276BD">
        <w:rPr>
          <w:lang w:val="en-US"/>
        </w:rPr>
        <w:t>56</w:t>
      </w:r>
      <w:r w:rsidR="00D37750" w:rsidRPr="00104227">
        <w:rPr>
          <w:lang w:val="en-US"/>
        </w:rPr>
        <w:fldChar w:fldCharType="end"/>
      </w:r>
      <w:r w:rsidR="00D37750" w:rsidRPr="00104227">
        <w:rPr>
          <w:lang w:val="en-US"/>
        </w:rPr>
        <w:t xml:space="preserve"> and ff.). Most of the victims in this case formed part of the protest, to the extent that they had </w:t>
      </w:r>
      <w:r w:rsidR="000A2877" w:rsidRPr="00104227">
        <w:rPr>
          <w:lang w:val="en-US"/>
        </w:rPr>
        <w:t>travelled</w:t>
      </w:r>
      <w:r w:rsidR="00D37750" w:rsidRPr="00104227">
        <w:rPr>
          <w:lang w:val="en-US"/>
        </w:rPr>
        <w:t xml:space="preserve"> intentionally to Texcoco or San Salvador de Atenco to take part in it, either to cover the events as reporters, which was the ca</w:t>
      </w:r>
      <w:r w:rsidR="000A2877" w:rsidRPr="00104227">
        <w:rPr>
          <w:lang w:val="en-US"/>
        </w:rPr>
        <w:t>s</w:t>
      </w:r>
      <w:r w:rsidR="00D37750" w:rsidRPr="00104227">
        <w:rPr>
          <w:lang w:val="en-US"/>
        </w:rPr>
        <w:t>e of</w:t>
      </w:r>
      <w:r w:rsidR="00D37750" w:rsidRPr="00104227">
        <w:rPr>
          <w:rFonts w:eastAsia="Times New Roman" w:cs="Courier New"/>
          <w:color w:val="212121"/>
          <w:lang w:val="en-US"/>
        </w:rPr>
        <w:t xml:space="preserve"> </w:t>
      </w:r>
      <w:r w:rsidR="00F27D61" w:rsidRPr="00104227">
        <w:rPr>
          <w:lang w:val="en-US"/>
        </w:rPr>
        <w:t>Norma</w:t>
      </w:r>
      <w:r w:rsidR="00633C8A" w:rsidRPr="00104227">
        <w:rPr>
          <w:lang w:val="en-US"/>
        </w:rPr>
        <w:t xml:space="preserve"> Aidé Jiménez Osorio</w:t>
      </w:r>
      <w:r w:rsidR="00BF5241" w:rsidRPr="00104227">
        <w:rPr>
          <w:lang w:val="en-US"/>
        </w:rPr>
        <w:t xml:space="preserve"> and </w:t>
      </w:r>
      <w:r w:rsidR="00633C8A" w:rsidRPr="00104227">
        <w:rPr>
          <w:lang w:val="en-US"/>
        </w:rPr>
        <w:t xml:space="preserve">Suhelen Gabriela </w:t>
      </w:r>
      <w:r w:rsidR="004B2949" w:rsidRPr="00104227">
        <w:rPr>
          <w:lang w:val="en-US"/>
        </w:rPr>
        <w:t>Cuevas Jaramillo</w:t>
      </w:r>
      <w:r w:rsidR="00633C8A" w:rsidRPr="00104227">
        <w:rPr>
          <w:lang w:val="en-US"/>
        </w:rPr>
        <w:t xml:space="preserve">; </w:t>
      </w:r>
      <w:r w:rsidR="00D37750" w:rsidRPr="00104227">
        <w:rPr>
          <w:lang w:val="en-US"/>
        </w:rPr>
        <w:t xml:space="preserve">to document the events as part of their studies, which </w:t>
      </w:r>
      <w:r w:rsidR="00097098" w:rsidRPr="00104227">
        <w:rPr>
          <w:lang w:val="en-US"/>
        </w:rPr>
        <w:t>was</w:t>
      </w:r>
      <w:r w:rsidR="00D37750" w:rsidRPr="00104227">
        <w:rPr>
          <w:lang w:val="en-US"/>
        </w:rPr>
        <w:t xml:space="preserve"> the case of</w:t>
      </w:r>
      <w:r w:rsidR="00633C8A" w:rsidRPr="00104227">
        <w:rPr>
          <w:lang w:val="en-US"/>
        </w:rPr>
        <w:t xml:space="preserve"> Bárbara Italia Méndez Moreno, </w:t>
      </w:r>
      <w:r w:rsidR="0047539E" w:rsidRPr="00104227">
        <w:rPr>
          <w:lang w:val="en-US"/>
        </w:rPr>
        <w:t xml:space="preserve">Angélica </w:t>
      </w:r>
      <w:r w:rsidR="0047539E" w:rsidRPr="00104227">
        <w:rPr>
          <w:lang w:val="en-US"/>
        </w:rPr>
        <w:lastRenderedPageBreak/>
        <w:t>Patricia Torres</w:t>
      </w:r>
      <w:r w:rsidR="00633C8A" w:rsidRPr="00104227">
        <w:rPr>
          <w:lang w:val="en-US"/>
        </w:rPr>
        <w:t xml:space="preserve"> Linares</w:t>
      </w:r>
      <w:r w:rsidR="00BF5241" w:rsidRPr="00104227">
        <w:rPr>
          <w:lang w:val="en-US"/>
        </w:rPr>
        <w:t xml:space="preserve"> and </w:t>
      </w:r>
      <w:r w:rsidR="00633C8A" w:rsidRPr="00104227">
        <w:rPr>
          <w:lang w:val="en-US"/>
        </w:rPr>
        <w:t>Claudia Hernández Martínez, o</w:t>
      </w:r>
      <w:r w:rsidR="00D37750" w:rsidRPr="00104227">
        <w:rPr>
          <w:lang w:val="en-US"/>
        </w:rPr>
        <w:t xml:space="preserve">r to </w:t>
      </w:r>
      <w:r w:rsidR="000A2877" w:rsidRPr="00104227">
        <w:rPr>
          <w:lang w:val="en-US"/>
        </w:rPr>
        <w:t>assist demonstrators who were</w:t>
      </w:r>
      <w:r w:rsidR="00D37750" w:rsidRPr="00104227">
        <w:rPr>
          <w:lang w:val="en-US"/>
        </w:rPr>
        <w:t xml:space="preserve"> injured as </w:t>
      </w:r>
      <w:r w:rsidR="00097098" w:rsidRPr="00104227">
        <w:rPr>
          <w:lang w:val="en-US"/>
        </w:rPr>
        <w:t>in</w:t>
      </w:r>
      <w:r w:rsidR="00D37750" w:rsidRPr="00104227">
        <w:rPr>
          <w:lang w:val="en-US"/>
        </w:rPr>
        <w:t xml:space="preserve"> the case of </w:t>
      </w:r>
      <w:r w:rsidR="00633C8A" w:rsidRPr="00104227">
        <w:rPr>
          <w:lang w:val="en-US"/>
        </w:rPr>
        <w:t>Mariana Selvas Gómez</w:t>
      </w:r>
      <w:r w:rsidR="00BF5241" w:rsidRPr="00104227">
        <w:rPr>
          <w:lang w:val="en-US"/>
        </w:rPr>
        <w:t xml:space="preserve"> and </w:t>
      </w:r>
      <w:r w:rsidR="00633C8A" w:rsidRPr="00104227">
        <w:rPr>
          <w:lang w:val="en-US"/>
        </w:rPr>
        <w:t xml:space="preserve">Georgina Edith </w:t>
      </w:r>
      <w:r w:rsidR="00DA23B8" w:rsidRPr="00104227">
        <w:rPr>
          <w:lang w:val="en-US"/>
        </w:rPr>
        <w:t>Rosales</w:t>
      </w:r>
      <w:r w:rsidR="00633C8A" w:rsidRPr="00104227">
        <w:rPr>
          <w:lang w:val="en-US"/>
        </w:rPr>
        <w:t xml:space="preserve"> (</w:t>
      </w:r>
      <w:r w:rsidR="00633C8A" w:rsidRPr="00104227">
        <w:rPr>
          <w:i/>
          <w:lang w:val="en-US"/>
        </w:rPr>
        <w:t>supra</w:t>
      </w:r>
      <w:r w:rsidR="00FC005F" w:rsidRPr="00104227">
        <w:rPr>
          <w:lang w:val="en-US"/>
        </w:rPr>
        <w:t xml:space="preserve"> </w:t>
      </w:r>
      <w:r w:rsidR="00BF5241" w:rsidRPr="00104227">
        <w:rPr>
          <w:lang w:val="en-US"/>
        </w:rPr>
        <w:t>paras.</w:t>
      </w:r>
      <w:r w:rsidR="00FC005F" w:rsidRPr="00104227">
        <w:rPr>
          <w:lang w:val="en-US"/>
        </w:rPr>
        <w:t xml:space="preserve"> </w:t>
      </w:r>
      <w:r w:rsidR="004B2949" w:rsidRPr="00104227">
        <w:rPr>
          <w:lang w:val="en-US"/>
        </w:rPr>
        <w:fldChar w:fldCharType="begin"/>
      </w:r>
      <w:r w:rsidR="004B2949" w:rsidRPr="00104227">
        <w:rPr>
          <w:lang w:val="en-US"/>
        </w:rPr>
        <w:instrText xml:space="preserve"> REF _Ref532935559 \r \h </w:instrText>
      </w:r>
      <w:r w:rsidR="00284EAE" w:rsidRPr="00104227">
        <w:rPr>
          <w:lang w:val="en-US"/>
        </w:rPr>
        <w:instrText xml:space="preserve"> \* MERGEFORMAT </w:instrText>
      </w:r>
      <w:r w:rsidR="004B2949" w:rsidRPr="00104227">
        <w:rPr>
          <w:lang w:val="en-US"/>
        </w:rPr>
      </w:r>
      <w:r w:rsidR="004B2949" w:rsidRPr="00104227">
        <w:rPr>
          <w:lang w:val="en-US"/>
        </w:rPr>
        <w:fldChar w:fldCharType="separate"/>
      </w:r>
      <w:r w:rsidR="004276BD">
        <w:rPr>
          <w:lang w:val="en-US"/>
        </w:rPr>
        <w:t>75</w:t>
      </w:r>
      <w:r w:rsidR="004B2949" w:rsidRPr="00104227">
        <w:rPr>
          <w:lang w:val="en-US"/>
        </w:rPr>
        <w:fldChar w:fldCharType="end"/>
      </w:r>
      <w:r w:rsidR="00BF5241" w:rsidRPr="00104227">
        <w:rPr>
          <w:lang w:val="en-US"/>
        </w:rPr>
        <w:t xml:space="preserve"> and </w:t>
      </w:r>
      <w:r w:rsidR="00D37750" w:rsidRPr="00104227">
        <w:rPr>
          <w:lang w:val="en-US"/>
        </w:rPr>
        <w:t>ff</w:t>
      </w:r>
      <w:r w:rsidR="004B2949" w:rsidRPr="00104227">
        <w:rPr>
          <w:lang w:val="en-US"/>
        </w:rPr>
        <w:t>.</w:t>
      </w:r>
      <w:r w:rsidR="00633C8A" w:rsidRPr="00104227">
        <w:rPr>
          <w:lang w:val="en-US"/>
        </w:rPr>
        <w:t xml:space="preserve">). </w:t>
      </w:r>
      <w:r w:rsidR="00BF5241" w:rsidRPr="00104227">
        <w:rPr>
          <w:lang w:val="en-US"/>
        </w:rPr>
        <w:t>The Court</w:t>
      </w:r>
      <w:r w:rsidR="00633C8A" w:rsidRPr="00104227">
        <w:rPr>
          <w:lang w:val="en-US"/>
        </w:rPr>
        <w:t xml:space="preserve"> </w:t>
      </w:r>
      <w:r w:rsidR="00D37750" w:rsidRPr="00104227">
        <w:rPr>
          <w:lang w:val="en-US"/>
        </w:rPr>
        <w:t xml:space="preserve">considers that, since they formed part of the </w:t>
      </w:r>
      <w:r w:rsidR="004C6548" w:rsidRPr="00104227">
        <w:rPr>
          <w:lang w:val="en-US"/>
        </w:rPr>
        <w:t>protest</w:t>
      </w:r>
      <w:r w:rsidR="00D37750" w:rsidRPr="00104227">
        <w:rPr>
          <w:lang w:val="en-US"/>
        </w:rPr>
        <w:t xml:space="preserve">, these seven victims were exercising their </w:t>
      </w:r>
      <w:r w:rsidR="00A23F38" w:rsidRPr="00104227">
        <w:rPr>
          <w:lang w:val="en-US"/>
        </w:rPr>
        <w:t>right of assembly</w:t>
      </w:r>
      <w:r w:rsidR="00633C8A" w:rsidRPr="00104227">
        <w:rPr>
          <w:lang w:val="en-US"/>
        </w:rPr>
        <w:t xml:space="preserve">. </w:t>
      </w:r>
      <w:r w:rsidR="00D37750" w:rsidRPr="00104227">
        <w:rPr>
          <w:lang w:val="en-US"/>
        </w:rPr>
        <w:t xml:space="preserve">Therefore, it will analyze </w:t>
      </w:r>
      <w:r w:rsidR="00BC5201" w:rsidRPr="00104227">
        <w:rPr>
          <w:lang w:val="en-US"/>
        </w:rPr>
        <w:t>the use of force</w:t>
      </w:r>
      <w:r w:rsidR="00633C8A" w:rsidRPr="00104227">
        <w:rPr>
          <w:lang w:val="en-US"/>
        </w:rPr>
        <w:t xml:space="preserve"> </w:t>
      </w:r>
      <w:r w:rsidR="00D37750" w:rsidRPr="00104227">
        <w:rPr>
          <w:lang w:val="en-US"/>
        </w:rPr>
        <w:t xml:space="preserve">against them in light of the right recognized in </w:t>
      </w:r>
      <w:r w:rsidR="00BF5241" w:rsidRPr="00104227">
        <w:rPr>
          <w:lang w:val="en-US"/>
        </w:rPr>
        <w:t>Article</w:t>
      </w:r>
      <w:r w:rsidR="00633C8A" w:rsidRPr="00104227">
        <w:rPr>
          <w:lang w:val="en-US"/>
        </w:rPr>
        <w:t xml:space="preserve"> 15</w:t>
      </w:r>
      <w:r w:rsidR="00BF5241" w:rsidRPr="00104227">
        <w:rPr>
          <w:lang w:val="en-US"/>
        </w:rPr>
        <w:t xml:space="preserve"> of the Convention</w:t>
      </w:r>
      <w:r w:rsidR="00633C8A" w:rsidRPr="00104227">
        <w:rPr>
          <w:lang w:val="en-US"/>
        </w:rPr>
        <w:t xml:space="preserve">. </w:t>
      </w:r>
      <w:r w:rsidR="00D37750" w:rsidRPr="00104227">
        <w:rPr>
          <w:lang w:val="en-US"/>
        </w:rPr>
        <w:t>In this regard</w:t>
      </w:r>
      <w:r w:rsidR="00633C8A" w:rsidRPr="00104227">
        <w:rPr>
          <w:lang w:val="en-US"/>
        </w:rPr>
        <w:t xml:space="preserve">, </w:t>
      </w:r>
      <w:r w:rsidR="00BF5241" w:rsidRPr="00104227">
        <w:rPr>
          <w:lang w:val="en-US"/>
        </w:rPr>
        <w:t>the Court</w:t>
      </w:r>
      <w:r w:rsidR="00633C8A" w:rsidRPr="00104227">
        <w:rPr>
          <w:lang w:val="en-US"/>
        </w:rPr>
        <w:t xml:space="preserve"> t</w:t>
      </w:r>
      <w:r w:rsidR="00D37750" w:rsidRPr="00104227">
        <w:rPr>
          <w:lang w:val="en-US"/>
        </w:rPr>
        <w:t xml:space="preserve">akes note of the opinion of the former United Nations Special Rapporteur </w:t>
      </w:r>
      <w:r w:rsidR="00D37750" w:rsidRPr="00104227">
        <w:rPr>
          <w:rStyle w:val="st"/>
          <w:lang w:val="en-US"/>
        </w:rPr>
        <w:t xml:space="preserve">on the rights to </w:t>
      </w:r>
      <w:r w:rsidR="00D37750" w:rsidRPr="00104227">
        <w:rPr>
          <w:rStyle w:val="nfasis"/>
          <w:i w:val="0"/>
          <w:iCs w:val="0"/>
          <w:lang w:val="en-US"/>
        </w:rPr>
        <w:t>freedom</w:t>
      </w:r>
      <w:r w:rsidR="00D37750" w:rsidRPr="00104227">
        <w:rPr>
          <w:rStyle w:val="st"/>
          <w:i/>
          <w:iCs/>
          <w:lang w:val="en-US"/>
        </w:rPr>
        <w:t xml:space="preserve"> </w:t>
      </w:r>
      <w:r w:rsidR="00D37750" w:rsidRPr="00104227">
        <w:rPr>
          <w:rStyle w:val="st"/>
          <w:lang w:val="en-US"/>
        </w:rPr>
        <w:t>of peaceful</w:t>
      </w:r>
      <w:r w:rsidR="00D37750" w:rsidRPr="00104227">
        <w:rPr>
          <w:rStyle w:val="st"/>
          <w:i/>
          <w:iCs/>
          <w:lang w:val="en-US"/>
        </w:rPr>
        <w:t xml:space="preserve"> </w:t>
      </w:r>
      <w:r w:rsidR="00D37750" w:rsidRPr="00104227">
        <w:rPr>
          <w:rStyle w:val="nfasis"/>
          <w:i w:val="0"/>
          <w:iCs w:val="0"/>
          <w:lang w:val="en-US"/>
        </w:rPr>
        <w:t>assembly</w:t>
      </w:r>
      <w:r w:rsidR="00D37750" w:rsidRPr="00104227">
        <w:rPr>
          <w:rStyle w:val="st"/>
          <w:i/>
          <w:iCs/>
          <w:lang w:val="en-US"/>
        </w:rPr>
        <w:t xml:space="preserve"> </w:t>
      </w:r>
      <w:r w:rsidR="00D37750" w:rsidRPr="00104227">
        <w:rPr>
          <w:rStyle w:val="st"/>
          <w:lang w:val="en-US"/>
        </w:rPr>
        <w:t>and of association</w:t>
      </w:r>
      <w:r w:rsidR="00633C8A" w:rsidRPr="00104227">
        <w:rPr>
          <w:lang w:val="en-US"/>
        </w:rPr>
        <w:t xml:space="preserve">, </w:t>
      </w:r>
      <w:r w:rsidR="00D37750" w:rsidRPr="00104227">
        <w:rPr>
          <w:lang w:val="en-US"/>
        </w:rPr>
        <w:t>according to which</w:t>
      </w:r>
      <w:r w:rsidR="00633C8A" w:rsidRPr="00104227">
        <w:rPr>
          <w:lang w:val="en-US"/>
        </w:rPr>
        <w:t xml:space="preserve"> “</w:t>
      </w:r>
      <w:r w:rsidR="00D37750" w:rsidRPr="00104227">
        <w:rPr>
          <w:lang w:val="en-US"/>
        </w:rPr>
        <w:t>when the violation of the right to freedom of peaceful assembly is an enabling factor or even a determining factor or a pre-condition for the violation of other rights […]</w:t>
      </w:r>
      <w:r w:rsidR="00D37750" w:rsidRPr="00104227">
        <w:rPr>
          <w:rFonts w:eastAsia="Times New Roman" w:cs="Courier New"/>
          <w:color w:val="212121"/>
          <w:lang w:val="en-US"/>
        </w:rPr>
        <w:t>, inevitably the right to freedom of peaceful assembly if also</w:t>
      </w:r>
      <w:r w:rsidR="000A2877" w:rsidRPr="00104227">
        <w:rPr>
          <w:rFonts w:eastAsia="Times New Roman" w:cs="Courier New"/>
          <w:color w:val="212121"/>
          <w:lang w:val="en-US"/>
        </w:rPr>
        <w:t xml:space="preserve"> </w:t>
      </w:r>
      <w:r w:rsidR="00D37750" w:rsidRPr="00104227">
        <w:rPr>
          <w:rFonts w:eastAsia="Times New Roman" w:cs="Courier New"/>
          <w:color w:val="212121"/>
          <w:lang w:val="en-US"/>
        </w:rPr>
        <w:t>affected and this should be recognized.</w:t>
      </w:r>
      <w:r w:rsidR="00633C8A" w:rsidRPr="00104227">
        <w:rPr>
          <w:lang w:val="en-US"/>
        </w:rPr>
        <w:t>”</w:t>
      </w:r>
      <w:r w:rsidR="00633C8A" w:rsidRPr="00104227">
        <w:rPr>
          <w:vertAlign w:val="superscript"/>
          <w:lang w:val="en-US"/>
        </w:rPr>
        <w:footnoteReference w:id="260"/>
      </w:r>
      <w:r w:rsidR="00D37750" w:rsidRPr="00104227">
        <w:rPr>
          <w:lang w:val="en-US"/>
        </w:rPr>
        <w:t xml:space="preserve"> In addition, as in the case of other rights with a social dimensi</w:t>
      </w:r>
      <w:r w:rsidR="004C6548" w:rsidRPr="00104227">
        <w:rPr>
          <w:lang w:val="en-US"/>
        </w:rPr>
        <w:t>o</w:t>
      </w:r>
      <w:r w:rsidR="00D37750" w:rsidRPr="00104227">
        <w:rPr>
          <w:lang w:val="en-US"/>
        </w:rPr>
        <w:t xml:space="preserve">n, </w:t>
      </w:r>
      <w:r w:rsidR="006A75F0" w:rsidRPr="00104227">
        <w:rPr>
          <w:lang w:val="en-US"/>
        </w:rPr>
        <w:t>he</w:t>
      </w:r>
      <w:r w:rsidR="00D37750" w:rsidRPr="00104227">
        <w:rPr>
          <w:lang w:val="en-US"/>
        </w:rPr>
        <w:t xml:space="preserve"> underscore</w:t>
      </w:r>
      <w:r w:rsidR="006A75F0" w:rsidRPr="00104227">
        <w:rPr>
          <w:lang w:val="en-US"/>
        </w:rPr>
        <w:t>d</w:t>
      </w:r>
      <w:r w:rsidR="00D37750" w:rsidRPr="00104227">
        <w:rPr>
          <w:lang w:val="en-US"/>
        </w:rPr>
        <w:t xml:space="preserve"> that the violation </w:t>
      </w:r>
      <w:r w:rsidR="00BD7B68" w:rsidRPr="00104227">
        <w:rPr>
          <w:lang w:val="en-US"/>
        </w:rPr>
        <w:t xml:space="preserve">by the authorities </w:t>
      </w:r>
      <w:r w:rsidR="00D37750" w:rsidRPr="00104227">
        <w:rPr>
          <w:lang w:val="en-US"/>
        </w:rPr>
        <w:t>of the rights of the participants in a meeting or assembly</w:t>
      </w:r>
      <w:r w:rsidR="006A75F0" w:rsidRPr="00104227">
        <w:rPr>
          <w:lang w:val="en-US"/>
        </w:rPr>
        <w:t xml:space="preserve">, “has a seriously chilling effect on future meetings or assemblies,” because people may choose to abstain in order to protect themselves from these abuses; in addition to being contrary to the State obligation to facilitate and </w:t>
      </w:r>
      <w:r w:rsidR="00AF3640" w:rsidRPr="00104227">
        <w:rPr>
          <w:lang w:val="en-US"/>
        </w:rPr>
        <w:t xml:space="preserve">to </w:t>
      </w:r>
      <w:r w:rsidR="006A75F0" w:rsidRPr="00104227">
        <w:rPr>
          <w:lang w:val="en-US"/>
        </w:rPr>
        <w:t xml:space="preserve">create favorable environments for people to be able to enjoy their </w:t>
      </w:r>
      <w:r w:rsidR="00A23F38" w:rsidRPr="00104227">
        <w:rPr>
          <w:color w:val="212121"/>
          <w:lang w:val="en-US"/>
        </w:rPr>
        <w:t>right of assembly</w:t>
      </w:r>
      <w:r w:rsidR="006A75F0" w:rsidRPr="00104227">
        <w:rPr>
          <w:color w:val="212121"/>
          <w:lang w:val="en-US"/>
        </w:rPr>
        <w:t>.</w:t>
      </w:r>
      <w:r w:rsidR="00633C8A" w:rsidRPr="00104227">
        <w:rPr>
          <w:rStyle w:val="Refdenotaalpie"/>
          <w:lang w:val="en-US"/>
        </w:rPr>
        <w:footnoteReference w:id="261"/>
      </w:r>
      <w:bookmarkEnd w:id="285"/>
    </w:p>
    <w:p w14:paraId="57159187" w14:textId="77777777" w:rsidR="00633C8A" w:rsidRPr="00104227" w:rsidRDefault="00633C8A" w:rsidP="00E4619F">
      <w:pPr>
        <w:tabs>
          <w:tab w:val="left" w:pos="567"/>
        </w:tabs>
        <w:rPr>
          <w:lang w:eastAsia="es-MX"/>
        </w:rPr>
      </w:pPr>
    </w:p>
    <w:p w14:paraId="717CCAF2" w14:textId="71111FD9" w:rsidR="00633C8A" w:rsidRPr="00104227" w:rsidRDefault="006A75F0" w:rsidP="00445CC9">
      <w:pPr>
        <w:pStyle w:val="Numberedparagraphs"/>
        <w:tabs>
          <w:tab w:val="left" w:pos="567"/>
        </w:tabs>
        <w:rPr>
          <w:rFonts w:eastAsia="Times New Roman"/>
          <w:lang w:val="en-US"/>
        </w:rPr>
      </w:pPr>
      <w:bookmarkStart w:id="286" w:name="_Ref531169419"/>
      <w:r w:rsidRPr="00104227">
        <w:rPr>
          <w:lang w:val="en-US"/>
        </w:rPr>
        <w:t xml:space="preserve">Regarding freedom of </w:t>
      </w:r>
      <w:r w:rsidR="00F27D61" w:rsidRPr="00104227">
        <w:rPr>
          <w:lang w:val="en-US"/>
        </w:rPr>
        <w:t>expression</w:t>
      </w:r>
      <w:r w:rsidRPr="00104227">
        <w:rPr>
          <w:lang w:val="en-US"/>
        </w:rPr>
        <w:t xml:space="preserve">, the violation of which was alleged by </w:t>
      </w:r>
      <w:r w:rsidR="002826A6" w:rsidRPr="00104227">
        <w:rPr>
          <w:lang w:val="en-US"/>
        </w:rPr>
        <w:t>the representatives</w:t>
      </w:r>
      <w:r w:rsidR="00633C8A" w:rsidRPr="00104227">
        <w:rPr>
          <w:lang w:val="en-US"/>
        </w:rPr>
        <w:t xml:space="preserve"> </w:t>
      </w:r>
      <w:r w:rsidRPr="00104227">
        <w:rPr>
          <w:lang w:val="en-US"/>
        </w:rPr>
        <w:t xml:space="preserve">in their brief with final arguments </w:t>
      </w:r>
      <w:r w:rsidR="00633C8A" w:rsidRPr="00104227">
        <w:rPr>
          <w:lang w:val="en-US"/>
        </w:rPr>
        <w:t>(</w:t>
      </w:r>
      <w:r w:rsidR="00633C8A" w:rsidRPr="00104227">
        <w:rPr>
          <w:i/>
          <w:lang w:val="en-US"/>
        </w:rPr>
        <w:t>supra</w:t>
      </w:r>
      <w:r w:rsidR="00633C8A" w:rsidRPr="00104227">
        <w:rPr>
          <w:lang w:val="en-US"/>
        </w:rPr>
        <w:t xml:space="preserve"> </w:t>
      </w:r>
      <w:r w:rsidR="00BF5241" w:rsidRPr="00104227">
        <w:rPr>
          <w:lang w:val="en-US"/>
        </w:rPr>
        <w:t>para.</w:t>
      </w:r>
      <w:r w:rsidR="00633C8A" w:rsidRPr="00104227">
        <w:rPr>
          <w:lang w:val="en-US"/>
        </w:rPr>
        <w:t xml:space="preserve"> </w:t>
      </w:r>
      <w:r w:rsidR="004B2949" w:rsidRPr="00104227">
        <w:rPr>
          <w:lang w:val="en-US"/>
        </w:rPr>
        <w:fldChar w:fldCharType="begin"/>
      </w:r>
      <w:r w:rsidR="004B2949" w:rsidRPr="00104227">
        <w:rPr>
          <w:lang w:val="en-US"/>
        </w:rPr>
        <w:instrText xml:space="preserve"> REF _Ref533148317 \r \h </w:instrText>
      </w:r>
      <w:r w:rsidR="00284EAE" w:rsidRPr="00104227">
        <w:rPr>
          <w:lang w:val="en-US"/>
        </w:rPr>
        <w:instrText xml:space="preserve"> \* MERGEFORMAT </w:instrText>
      </w:r>
      <w:r w:rsidR="004B2949" w:rsidRPr="00104227">
        <w:rPr>
          <w:lang w:val="en-US"/>
        </w:rPr>
      </w:r>
      <w:r w:rsidR="004B2949" w:rsidRPr="00104227">
        <w:rPr>
          <w:lang w:val="en-US"/>
        </w:rPr>
        <w:fldChar w:fldCharType="separate"/>
      </w:r>
      <w:r w:rsidR="004276BD">
        <w:rPr>
          <w:lang w:val="en-US"/>
        </w:rPr>
        <w:t>154</w:t>
      </w:r>
      <w:r w:rsidR="004B2949" w:rsidRPr="00104227">
        <w:rPr>
          <w:lang w:val="en-US"/>
        </w:rPr>
        <w:fldChar w:fldCharType="end"/>
      </w:r>
      <w:r w:rsidR="00633C8A" w:rsidRPr="00104227">
        <w:rPr>
          <w:lang w:val="en-US"/>
        </w:rPr>
        <w:t xml:space="preserve">), </w:t>
      </w:r>
      <w:r w:rsidRPr="00104227">
        <w:rPr>
          <w:lang w:val="en-US"/>
        </w:rPr>
        <w:t xml:space="preserve">the Court finds that both rights </w:t>
      </w:r>
      <w:bookmarkStart w:id="287" w:name="_Ref426363935"/>
      <w:r w:rsidR="00633C8A" w:rsidRPr="00104227">
        <w:rPr>
          <w:rFonts w:eastAsia="Times New Roman"/>
          <w:lang w:val="en-US"/>
        </w:rPr>
        <w:t>(</w:t>
      </w:r>
      <w:r w:rsidRPr="00104227">
        <w:rPr>
          <w:rFonts w:eastAsia="Times New Roman"/>
          <w:lang w:val="en-US"/>
        </w:rPr>
        <w:t xml:space="preserve">the </w:t>
      </w:r>
      <w:r w:rsidR="00A23F38" w:rsidRPr="00104227">
        <w:rPr>
          <w:rFonts w:eastAsia="Times New Roman"/>
          <w:lang w:val="en-US"/>
        </w:rPr>
        <w:t>right of assembly</w:t>
      </w:r>
      <w:r w:rsidR="00BF5241" w:rsidRPr="00104227">
        <w:rPr>
          <w:rFonts w:eastAsia="Times New Roman"/>
          <w:lang w:val="en-US"/>
        </w:rPr>
        <w:t xml:space="preserve"> and</w:t>
      </w:r>
      <w:r w:rsidRPr="00104227">
        <w:rPr>
          <w:rFonts w:eastAsia="Times New Roman"/>
          <w:lang w:val="en-US"/>
        </w:rPr>
        <w:t xml:space="preserve"> the right to freedom of expression) are intrinsically connected. As previously mentioned, the exercise of the</w:t>
      </w:r>
      <w:r w:rsidR="00633C8A" w:rsidRPr="00104227">
        <w:rPr>
          <w:rFonts w:eastAsia="Times New Roman"/>
          <w:lang w:val="en-US"/>
        </w:rPr>
        <w:t xml:space="preserve"> </w:t>
      </w:r>
      <w:r w:rsidR="00A23F38" w:rsidRPr="00104227">
        <w:rPr>
          <w:rFonts w:eastAsia="Times New Roman"/>
          <w:lang w:val="en-US"/>
        </w:rPr>
        <w:t>right of assembly</w:t>
      </w:r>
      <w:r w:rsidR="00633C8A" w:rsidRPr="00104227">
        <w:rPr>
          <w:rFonts w:eastAsia="Times New Roman"/>
          <w:lang w:val="en-US"/>
        </w:rPr>
        <w:t xml:space="preserve"> </w:t>
      </w:r>
      <w:r w:rsidRPr="00104227">
        <w:rPr>
          <w:rFonts w:eastAsia="Times New Roman"/>
          <w:lang w:val="en-US"/>
        </w:rPr>
        <w:t>is a form of exercising freedom of expression.</w:t>
      </w:r>
      <w:r w:rsidR="00633C8A" w:rsidRPr="00104227">
        <w:rPr>
          <w:rStyle w:val="Refdenotaalpie"/>
          <w:lang w:val="en-US"/>
        </w:rPr>
        <w:footnoteReference w:id="262"/>
      </w:r>
      <w:r w:rsidR="00633C8A" w:rsidRPr="00104227">
        <w:rPr>
          <w:rFonts w:eastAsia="Times New Roman"/>
          <w:lang w:val="en-US"/>
        </w:rPr>
        <w:t xml:space="preserve"> </w:t>
      </w:r>
      <w:r w:rsidRPr="00104227">
        <w:rPr>
          <w:rFonts w:eastAsia="Times New Roman"/>
          <w:lang w:val="en-US"/>
        </w:rPr>
        <w:t xml:space="preserve">Nevertheless, the Court considers that each of these rights contained in </w:t>
      </w:r>
      <w:r w:rsidR="00BF5241" w:rsidRPr="00104227">
        <w:rPr>
          <w:rFonts w:eastAsia="Times New Roman"/>
          <w:lang w:val="en-US"/>
        </w:rPr>
        <w:t>the Convention</w:t>
      </w:r>
      <w:r w:rsidR="00633C8A" w:rsidRPr="00104227">
        <w:rPr>
          <w:rFonts w:eastAsia="Times New Roman"/>
          <w:lang w:val="en-US"/>
        </w:rPr>
        <w:t xml:space="preserve"> </w:t>
      </w:r>
      <w:r w:rsidRPr="00104227">
        <w:rPr>
          <w:rFonts w:eastAsia="Times New Roman"/>
          <w:lang w:val="en-US"/>
        </w:rPr>
        <w:t>has its own sphere, meaning and scope</w:t>
      </w:r>
      <w:r w:rsidR="00633C8A" w:rsidRPr="00104227">
        <w:rPr>
          <w:rStyle w:val="Refdenotaalpie"/>
          <w:lang w:val="en-US"/>
        </w:rPr>
        <w:footnoteReference w:id="263"/>
      </w:r>
      <w:r w:rsidR="00BF5241" w:rsidRPr="00104227">
        <w:rPr>
          <w:rFonts w:eastAsia="Times New Roman"/>
          <w:lang w:val="en-US"/>
        </w:rPr>
        <w:t xml:space="preserve"> and </w:t>
      </w:r>
      <w:r w:rsidRPr="00104227">
        <w:rPr>
          <w:rFonts w:eastAsia="Times New Roman"/>
          <w:lang w:val="en-US"/>
        </w:rPr>
        <w:t xml:space="preserve">should be interpreted and applied taking into account its specificity. In the Court’s opinion, the violation of the </w:t>
      </w:r>
      <w:r w:rsidR="00A23F38" w:rsidRPr="00104227">
        <w:rPr>
          <w:rFonts w:eastAsia="Times New Roman"/>
          <w:lang w:val="en-US"/>
        </w:rPr>
        <w:t>right of assembly</w:t>
      </w:r>
      <w:r w:rsidR="00633C8A" w:rsidRPr="00104227">
        <w:rPr>
          <w:rFonts w:eastAsia="Times New Roman"/>
          <w:lang w:val="en-US"/>
        </w:rPr>
        <w:t xml:space="preserve"> </w:t>
      </w:r>
      <w:r w:rsidRPr="00104227">
        <w:rPr>
          <w:rFonts w:eastAsia="Times New Roman"/>
          <w:lang w:val="en-US"/>
        </w:rPr>
        <w:t>could give rise to a violation of freedom of expression. However, for an autonomous violation of freedom of expression to occur, distinct from the inherent content of the</w:t>
      </w:r>
      <w:r w:rsidR="00633C8A" w:rsidRPr="00104227">
        <w:rPr>
          <w:rFonts w:eastAsia="Times New Roman"/>
          <w:lang w:val="en-US"/>
        </w:rPr>
        <w:t xml:space="preserve"> </w:t>
      </w:r>
      <w:r w:rsidR="00A23F38" w:rsidRPr="00104227">
        <w:rPr>
          <w:rFonts w:eastAsia="Times New Roman"/>
          <w:lang w:val="en-US"/>
        </w:rPr>
        <w:t>right of assembly</w:t>
      </w:r>
      <w:r w:rsidR="00633C8A" w:rsidRPr="00104227">
        <w:rPr>
          <w:rFonts w:eastAsia="Times New Roman"/>
          <w:lang w:val="en-US"/>
        </w:rPr>
        <w:t xml:space="preserve">, </w:t>
      </w:r>
      <w:r w:rsidRPr="00104227">
        <w:rPr>
          <w:rFonts w:eastAsia="Times New Roman"/>
          <w:lang w:val="en-US"/>
        </w:rPr>
        <w:t xml:space="preserve">it would be necessary to prove that </w:t>
      </w:r>
      <w:r w:rsidR="00BD7B68" w:rsidRPr="00104227">
        <w:rPr>
          <w:rFonts w:eastAsia="Times New Roman"/>
          <w:lang w:val="en-US"/>
        </w:rPr>
        <w:t xml:space="preserve">freedom of expression was violated in addition to </w:t>
      </w:r>
      <w:r w:rsidRPr="00104227">
        <w:rPr>
          <w:rFonts w:eastAsia="Times New Roman"/>
          <w:lang w:val="en-US"/>
        </w:rPr>
        <w:t xml:space="preserve">the intrinsic </w:t>
      </w:r>
      <w:r w:rsidR="00445CC9" w:rsidRPr="00104227">
        <w:rPr>
          <w:rFonts w:eastAsia="Times New Roman"/>
          <w:lang w:val="en-US"/>
        </w:rPr>
        <w:t xml:space="preserve">harm to the violation of the </w:t>
      </w:r>
      <w:r w:rsidR="00A23F38" w:rsidRPr="00104227">
        <w:rPr>
          <w:rFonts w:eastAsia="Times New Roman"/>
          <w:lang w:val="en-US"/>
        </w:rPr>
        <w:t>right of assembly</w:t>
      </w:r>
      <w:bookmarkEnd w:id="287"/>
      <w:r w:rsidR="00BD7B68" w:rsidRPr="00104227">
        <w:rPr>
          <w:rFonts w:eastAsia="Times New Roman"/>
          <w:lang w:val="en-US"/>
        </w:rPr>
        <w:t xml:space="preserve"> that has been declared</w:t>
      </w:r>
      <w:r w:rsidR="00633C8A" w:rsidRPr="00104227">
        <w:rPr>
          <w:rFonts w:eastAsia="Times New Roman"/>
          <w:lang w:val="en-US"/>
        </w:rPr>
        <w:t xml:space="preserve">. </w:t>
      </w:r>
      <w:r w:rsidR="00445CC9" w:rsidRPr="00104227">
        <w:rPr>
          <w:rFonts w:eastAsia="Times New Roman"/>
          <w:lang w:val="en-US"/>
        </w:rPr>
        <w:t xml:space="preserve">In this case, the facts relate to </w:t>
      </w:r>
      <w:r w:rsidR="00BC5201" w:rsidRPr="00104227">
        <w:rPr>
          <w:rFonts w:eastAsia="Times New Roman"/>
          <w:lang w:val="en-US"/>
        </w:rPr>
        <w:t>the use of force</w:t>
      </w:r>
      <w:r w:rsidR="00633C8A" w:rsidRPr="00104227">
        <w:rPr>
          <w:rFonts w:eastAsia="Times New Roman"/>
          <w:lang w:val="en-US"/>
        </w:rPr>
        <w:t xml:space="preserve"> </w:t>
      </w:r>
      <w:r w:rsidR="00445CC9" w:rsidRPr="00104227">
        <w:rPr>
          <w:rFonts w:eastAsia="Times New Roman"/>
          <w:lang w:val="en-US"/>
        </w:rPr>
        <w:t xml:space="preserve">to prevent and disperse a </w:t>
      </w:r>
      <w:r w:rsidR="00BD7B68" w:rsidRPr="00104227">
        <w:rPr>
          <w:rFonts w:eastAsia="Times New Roman"/>
          <w:lang w:val="en-US"/>
        </w:rPr>
        <w:t>protest</w:t>
      </w:r>
      <w:r w:rsidR="00445CC9" w:rsidRPr="00104227">
        <w:rPr>
          <w:rFonts w:eastAsia="Times New Roman"/>
          <w:lang w:val="en-US"/>
        </w:rPr>
        <w:t>. Neither</w:t>
      </w:r>
      <w:r w:rsidR="00633C8A" w:rsidRPr="00104227">
        <w:rPr>
          <w:rFonts w:eastAsia="Times New Roman"/>
          <w:lang w:val="en-US"/>
        </w:rPr>
        <w:t xml:space="preserve"> </w:t>
      </w:r>
      <w:r w:rsidR="00BF5241" w:rsidRPr="00104227">
        <w:rPr>
          <w:rFonts w:eastAsia="Times New Roman"/>
          <w:lang w:val="en-US"/>
        </w:rPr>
        <w:t>the Commission</w:t>
      </w:r>
      <w:r w:rsidR="00633C8A" w:rsidRPr="00104227">
        <w:rPr>
          <w:rFonts w:eastAsia="Times New Roman"/>
          <w:lang w:val="en-US"/>
        </w:rPr>
        <w:t xml:space="preserve"> </w:t>
      </w:r>
      <w:r w:rsidR="00445CC9" w:rsidRPr="00104227">
        <w:rPr>
          <w:rFonts w:eastAsia="Times New Roman"/>
          <w:lang w:val="en-US"/>
        </w:rPr>
        <w:t>nor</w:t>
      </w:r>
      <w:r w:rsidR="00D57E50" w:rsidRPr="00104227">
        <w:rPr>
          <w:rFonts w:eastAsia="Times New Roman"/>
          <w:lang w:val="en-US"/>
        </w:rPr>
        <w:t xml:space="preserve"> </w:t>
      </w:r>
      <w:r w:rsidR="002826A6" w:rsidRPr="00104227">
        <w:rPr>
          <w:rFonts w:eastAsia="Times New Roman"/>
          <w:lang w:val="en-US"/>
        </w:rPr>
        <w:t>the representatives</w:t>
      </w:r>
      <w:r w:rsidR="00445CC9" w:rsidRPr="00104227">
        <w:rPr>
          <w:rFonts w:eastAsia="Times New Roman"/>
          <w:lang w:val="en-US"/>
        </w:rPr>
        <w:t xml:space="preserve"> have alleged any specific restriction of the expressions or opinions </w:t>
      </w:r>
      <w:r w:rsidR="00F12946" w:rsidRPr="00104227">
        <w:rPr>
          <w:rFonts w:eastAsia="Times New Roman"/>
          <w:lang w:val="en-US"/>
        </w:rPr>
        <w:t>of the eleven women</w:t>
      </w:r>
      <w:r w:rsidR="00633C8A" w:rsidRPr="00104227">
        <w:rPr>
          <w:rFonts w:eastAsia="Times New Roman"/>
          <w:lang w:val="en-US"/>
        </w:rPr>
        <w:t xml:space="preserve">, </w:t>
      </w:r>
      <w:r w:rsidR="00445CC9" w:rsidRPr="00104227">
        <w:rPr>
          <w:rFonts w:eastAsia="Times New Roman"/>
          <w:lang w:val="en-US"/>
        </w:rPr>
        <w:t xml:space="preserve">beyond their right to be present in the </w:t>
      </w:r>
      <w:r w:rsidR="00BD7B68" w:rsidRPr="00104227">
        <w:rPr>
          <w:rFonts w:eastAsia="Times New Roman"/>
          <w:lang w:val="en-US"/>
        </w:rPr>
        <w:t>protest</w:t>
      </w:r>
      <w:r w:rsidR="00445CC9" w:rsidRPr="00104227">
        <w:rPr>
          <w:rFonts w:eastAsia="Times New Roman"/>
          <w:lang w:val="en-US"/>
        </w:rPr>
        <w:t xml:space="preserve">. Consequently, it is not appropriate to </w:t>
      </w:r>
      <w:r w:rsidR="00AC35C8" w:rsidRPr="00104227">
        <w:rPr>
          <w:rFonts w:eastAsia="Times New Roman"/>
          <w:lang w:val="en-US"/>
        </w:rPr>
        <w:t xml:space="preserve">make </w:t>
      </w:r>
      <w:r w:rsidR="00445CC9" w:rsidRPr="00104227">
        <w:rPr>
          <w:rFonts w:eastAsia="Times New Roman"/>
          <w:lang w:val="en-US"/>
        </w:rPr>
        <w:t xml:space="preserve">an autonomous analysis or evaluation of freedom of expression. </w:t>
      </w:r>
      <w:bookmarkEnd w:id="286"/>
    </w:p>
    <w:p w14:paraId="5B829D20" w14:textId="77777777" w:rsidR="00633C8A" w:rsidRPr="00104227" w:rsidRDefault="00633C8A" w:rsidP="00E4619F">
      <w:pPr>
        <w:tabs>
          <w:tab w:val="left" w:pos="567"/>
        </w:tabs>
        <w:rPr>
          <w:lang w:eastAsia="es-MX"/>
        </w:rPr>
      </w:pPr>
    </w:p>
    <w:p w14:paraId="79705D6B" w14:textId="4484F73A" w:rsidR="00633C8A" w:rsidRPr="00104227" w:rsidRDefault="00AC35C8" w:rsidP="00AC35C8">
      <w:pPr>
        <w:pStyle w:val="Numberedparagraphs"/>
        <w:tabs>
          <w:tab w:val="left" w:pos="567"/>
        </w:tabs>
        <w:rPr>
          <w:lang w:val="en-US" w:eastAsia="es-MX"/>
        </w:rPr>
      </w:pPr>
      <w:r w:rsidRPr="00104227">
        <w:rPr>
          <w:lang w:val="en-US"/>
        </w:rPr>
        <w:t xml:space="preserve">Based on the foregoing considerations, the Court must examine the factual circumstances of this case as a possible inappropriate restriction of the right of assembly in the case of the seven victims mentioned above (para. </w:t>
      </w:r>
      <w:r w:rsidRPr="00104227">
        <w:rPr>
          <w:lang w:val="en-US"/>
        </w:rPr>
        <w:fldChar w:fldCharType="begin"/>
      </w:r>
      <w:r w:rsidRPr="00104227">
        <w:rPr>
          <w:lang w:val="en-US"/>
        </w:rPr>
        <w:instrText xml:space="preserve"> REF _Ref532894427 \r \h  \* MERGEFORMAT </w:instrText>
      </w:r>
      <w:r w:rsidRPr="00104227">
        <w:rPr>
          <w:lang w:val="en-US"/>
        </w:rPr>
      </w:r>
      <w:r w:rsidRPr="00104227">
        <w:rPr>
          <w:lang w:val="en-US"/>
        </w:rPr>
        <w:fldChar w:fldCharType="separate"/>
      </w:r>
      <w:r w:rsidR="004276BD">
        <w:rPr>
          <w:lang w:val="en-US"/>
        </w:rPr>
        <w:t>172</w:t>
      </w:r>
      <w:r w:rsidRPr="00104227">
        <w:rPr>
          <w:lang w:val="en-US"/>
        </w:rPr>
        <w:fldChar w:fldCharType="end"/>
      </w:r>
      <w:r w:rsidRPr="00104227">
        <w:rPr>
          <w:lang w:val="en-US"/>
        </w:rPr>
        <w:t>)</w:t>
      </w:r>
      <w:r w:rsidRPr="00104227">
        <w:rPr>
          <w:i/>
          <w:lang w:val="en-US"/>
        </w:rPr>
        <w:t xml:space="preserve">. </w:t>
      </w:r>
      <w:r w:rsidRPr="00104227">
        <w:rPr>
          <w:iCs/>
          <w:lang w:val="en-US"/>
        </w:rPr>
        <w:t>In this regard, the Court recalls that the right of assembly is not an absolute right and may be subject to restrictions, provided t</w:t>
      </w:r>
      <w:r w:rsidR="00BD7B68" w:rsidRPr="00104227">
        <w:rPr>
          <w:iCs/>
          <w:lang w:val="en-US"/>
        </w:rPr>
        <w:t xml:space="preserve">hese are </w:t>
      </w:r>
      <w:r w:rsidRPr="00104227">
        <w:rPr>
          <w:iCs/>
          <w:lang w:val="en-US"/>
        </w:rPr>
        <w:t xml:space="preserve">not abusive or arbitrary; therefore, </w:t>
      </w:r>
      <w:r w:rsidR="00CC7EC5" w:rsidRPr="00104227">
        <w:rPr>
          <w:iCs/>
          <w:lang w:val="en-US"/>
        </w:rPr>
        <w:t xml:space="preserve">they </w:t>
      </w:r>
      <w:r w:rsidR="00BD7B68" w:rsidRPr="00104227">
        <w:rPr>
          <w:iCs/>
          <w:lang w:val="en-US"/>
        </w:rPr>
        <w:t xml:space="preserve">must be </w:t>
      </w:r>
      <w:r w:rsidRPr="00104227">
        <w:rPr>
          <w:iCs/>
          <w:lang w:val="en-US"/>
        </w:rPr>
        <w:t xml:space="preserve">established by law, pursue a legitimate purpose (which is </w:t>
      </w:r>
      <w:r w:rsidRPr="00104227">
        <w:rPr>
          <w:iCs/>
          <w:lang w:val="en-US"/>
        </w:rPr>
        <w:lastRenderedPageBreak/>
        <w:t xml:space="preserve">limited by </w:t>
      </w:r>
      <w:r w:rsidRPr="00104227">
        <w:rPr>
          <w:lang w:val="en-US"/>
        </w:rPr>
        <w:t xml:space="preserve">Article 15 of the Convention to </w:t>
      </w:r>
      <w:r w:rsidRPr="00104227">
        <w:rPr>
          <w:spacing w:val="-3"/>
          <w:lang w:val="en-US"/>
        </w:rPr>
        <w:t>national security, public safety or public order, or to protect public health or morals or the rights or freedom of others) and be necessary and proportionate</w:t>
      </w:r>
      <w:bookmarkEnd w:id="284"/>
      <w:r w:rsidRPr="00104227">
        <w:rPr>
          <w:lang w:val="en-US" w:eastAsia="es-MX"/>
        </w:rPr>
        <w:t>.</w:t>
      </w:r>
      <w:r w:rsidR="00633C8A" w:rsidRPr="00104227">
        <w:rPr>
          <w:rStyle w:val="Refdenotaalpie"/>
          <w:lang w:val="en-US"/>
        </w:rPr>
        <w:footnoteReference w:id="264"/>
      </w:r>
      <w:r w:rsidR="00633C8A" w:rsidRPr="00104227">
        <w:rPr>
          <w:lang w:val="en-US"/>
        </w:rPr>
        <w:t xml:space="preserve"> </w:t>
      </w:r>
    </w:p>
    <w:p w14:paraId="7FF159D7" w14:textId="77777777" w:rsidR="00633C8A" w:rsidRPr="00104227" w:rsidRDefault="00633C8A" w:rsidP="00E4619F">
      <w:pPr>
        <w:tabs>
          <w:tab w:val="left" w:pos="567"/>
        </w:tabs>
        <w:rPr>
          <w:lang w:eastAsia="es-MX"/>
        </w:rPr>
      </w:pPr>
    </w:p>
    <w:p w14:paraId="3B96BB09" w14:textId="4FAE1A5B" w:rsidR="00633C8A" w:rsidRPr="00104227" w:rsidRDefault="00AC35C8" w:rsidP="00AC35C8">
      <w:pPr>
        <w:pStyle w:val="Numberedparagraphs"/>
        <w:tabs>
          <w:tab w:val="left" w:pos="567"/>
        </w:tabs>
        <w:rPr>
          <w:lang w:val="en-US" w:eastAsia="es-MX"/>
        </w:rPr>
      </w:pPr>
      <w:r w:rsidRPr="00104227">
        <w:rPr>
          <w:lang w:val="en-US"/>
        </w:rPr>
        <w:t>In this case, although it is true that some protesters resorted to violence, the seven women referred to above were carrying out peaceful activities. In this regard,</w:t>
      </w:r>
      <w:r w:rsidR="00DF7398" w:rsidRPr="00104227">
        <w:rPr>
          <w:lang w:val="en-US"/>
        </w:rPr>
        <w:t xml:space="preserve"> the right to freedom of peaceful assembly is held by each individual participating in an assembly. Acts of sporadic violence or offences by some should not be attributed to others whose intentions and behaviour remain peaceful in nature</w:t>
      </w:r>
      <w:r w:rsidRPr="00104227">
        <w:rPr>
          <w:lang w:val="en-US" w:eastAsia="es-MX"/>
        </w:rPr>
        <w:t>.</w:t>
      </w:r>
      <w:r w:rsidR="00633C8A" w:rsidRPr="00104227">
        <w:rPr>
          <w:vertAlign w:val="superscript"/>
          <w:lang w:val="en-US"/>
        </w:rPr>
        <w:footnoteReference w:id="265"/>
      </w:r>
      <w:r w:rsidRPr="00104227">
        <w:rPr>
          <w:lang w:val="en-US"/>
        </w:rPr>
        <w:t xml:space="preserve"> </w:t>
      </w:r>
      <w:r w:rsidR="0001761C" w:rsidRPr="00104227">
        <w:rPr>
          <w:lang w:val="en-US"/>
        </w:rPr>
        <w:t>Therefore, the Stat</w:t>
      </w:r>
      <w:r w:rsidR="00DF7398" w:rsidRPr="00104227">
        <w:rPr>
          <w:lang w:val="en-US"/>
        </w:rPr>
        <w:t>e</w:t>
      </w:r>
      <w:r w:rsidR="0001761C" w:rsidRPr="00104227">
        <w:rPr>
          <w:lang w:val="en-US"/>
        </w:rPr>
        <w:t xml:space="preserve"> author</w:t>
      </w:r>
      <w:r w:rsidR="00DF7398" w:rsidRPr="00104227">
        <w:rPr>
          <w:lang w:val="en-US"/>
        </w:rPr>
        <w:t>i</w:t>
      </w:r>
      <w:r w:rsidR="0001761C" w:rsidRPr="00104227">
        <w:rPr>
          <w:lang w:val="en-US"/>
        </w:rPr>
        <w:t xml:space="preserve">ties must </w:t>
      </w:r>
      <w:r w:rsidR="00AF3640" w:rsidRPr="00104227">
        <w:rPr>
          <w:lang w:val="en-US"/>
        </w:rPr>
        <w:t>spare no</w:t>
      </w:r>
      <w:r w:rsidR="0001761C" w:rsidRPr="00104227">
        <w:rPr>
          <w:lang w:val="en-US"/>
        </w:rPr>
        <w:t xml:space="preserve"> effort to </w:t>
      </w:r>
      <w:r w:rsidR="00AF3640" w:rsidRPr="00104227">
        <w:rPr>
          <w:lang w:val="en-US"/>
        </w:rPr>
        <w:t>distinguish between individuals</w:t>
      </w:r>
      <w:r w:rsidR="0001761C" w:rsidRPr="00104227">
        <w:rPr>
          <w:lang w:val="en-US"/>
        </w:rPr>
        <w:t xml:space="preserve"> who are violent or potentially violent, and peaceful protesters.</w:t>
      </w:r>
      <w:r w:rsidR="00633C8A" w:rsidRPr="00104227">
        <w:rPr>
          <w:rStyle w:val="Refdenotaalpie"/>
          <w:lang w:val="en-US"/>
        </w:rPr>
        <w:footnoteReference w:id="266"/>
      </w:r>
      <w:r w:rsidR="0001761C" w:rsidRPr="00104227">
        <w:rPr>
          <w:lang w:val="en-US"/>
        </w:rPr>
        <w:t xml:space="preserve"> </w:t>
      </w:r>
      <w:r w:rsidR="00DF7398" w:rsidRPr="00104227">
        <w:rPr>
          <w:lang w:val="en-US"/>
        </w:rPr>
        <w:t>The proper</w:t>
      </w:r>
      <w:r w:rsidR="0001761C" w:rsidRPr="00104227">
        <w:rPr>
          <w:lang w:val="en-US"/>
        </w:rPr>
        <w:t xml:space="preserve"> management of </w:t>
      </w:r>
      <w:r w:rsidR="00DF7398" w:rsidRPr="00104227">
        <w:rPr>
          <w:lang w:val="en-US"/>
        </w:rPr>
        <w:t>assemblies</w:t>
      </w:r>
      <w:r w:rsidR="0001761C" w:rsidRPr="00104227">
        <w:rPr>
          <w:lang w:val="en-US"/>
        </w:rPr>
        <w:t xml:space="preserve"> requires</w:t>
      </w:r>
      <w:r w:rsidR="00DF7398" w:rsidRPr="00104227">
        <w:rPr>
          <w:lang w:val="en-US"/>
        </w:rPr>
        <w:t xml:space="preserve"> the protection and enjoyment of a broad range of rights by all the parties involved</w:t>
      </w:r>
      <w:r w:rsidR="0001761C" w:rsidRPr="00104227">
        <w:rPr>
          <w:lang w:val="en-US"/>
        </w:rPr>
        <w:t>.</w:t>
      </w:r>
      <w:r w:rsidR="00633C8A" w:rsidRPr="00104227">
        <w:rPr>
          <w:rStyle w:val="Refdenotaalpie"/>
          <w:lang w:val="en-US"/>
        </w:rPr>
        <w:footnoteReference w:id="267"/>
      </w:r>
      <w:r w:rsidR="0001761C" w:rsidRPr="00104227">
        <w:rPr>
          <w:lang w:val="en-US"/>
        </w:rPr>
        <w:t xml:space="preserve"> In addition, even </w:t>
      </w:r>
      <w:r w:rsidR="00DF7398" w:rsidRPr="00104227">
        <w:rPr>
          <w:lang w:val="en-US"/>
        </w:rPr>
        <w:t>if participants in an assembly are not peaceful and as a result forfeit their right to peaceful assembly, they retain all the other rights, subject to the normal limitations</w:t>
      </w:r>
      <w:r w:rsidR="0001761C" w:rsidRPr="00104227">
        <w:rPr>
          <w:lang w:val="en-US"/>
        </w:rPr>
        <w:t>.</w:t>
      </w:r>
      <w:r w:rsidR="00633C8A" w:rsidRPr="00104227">
        <w:rPr>
          <w:rStyle w:val="Refdenotaalpie"/>
          <w:lang w:val="en-US"/>
        </w:rPr>
        <w:footnoteReference w:id="268"/>
      </w:r>
      <w:r w:rsidR="00633C8A" w:rsidRPr="00104227">
        <w:rPr>
          <w:lang w:val="en-US"/>
        </w:rPr>
        <w:t xml:space="preserve"> </w:t>
      </w:r>
    </w:p>
    <w:p w14:paraId="40673F1E" w14:textId="77777777" w:rsidR="00633C8A" w:rsidRPr="00104227" w:rsidRDefault="00633C8A" w:rsidP="00E4619F">
      <w:pPr>
        <w:tabs>
          <w:tab w:val="left" w:pos="567"/>
        </w:tabs>
        <w:rPr>
          <w:lang w:eastAsia="es-MX"/>
        </w:rPr>
      </w:pPr>
    </w:p>
    <w:p w14:paraId="53ED4733" w14:textId="6334470A" w:rsidR="00633C8A" w:rsidRPr="00104227" w:rsidRDefault="00DF7398" w:rsidP="00E4619F">
      <w:pPr>
        <w:pStyle w:val="Numberedparagraphs"/>
        <w:tabs>
          <w:tab w:val="left" w:pos="567"/>
        </w:tabs>
        <w:rPr>
          <w:lang w:val="en-US"/>
        </w:rPr>
      </w:pPr>
      <w:bookmarkStart w:id="288" w:name="_Ref532987061"/>
      <w:r w:rsidRPr="00104227">
        <w:rPr>
          <w:lang w:val="en-US"/>
        </w:rPr>
        <w:t xml:space="preserve">Based on the above, in the case of </w:t>
      </w:r>
      <w:r w:rsidR="00F27D61" w:rsidRPr="00104227">
        <w:rPr>
          <w:lang w:val="en-US"/>
        </w:rPr>
        <w:t>Norma</w:t>
      </w:r>
      <w:r w:rsidR="00633C8A" w:rsidRPr="00104227">
        <w:rPr>
          <w:lang w:val="en-US"/>
        </w:rPr>
        <w:t xml:space="preserve"> Aidé Jiménez Osorio, Suhelen Gabriela Cuevas Jaramillo, Bárbara Italia Méndez Moreno, </w:t>
      </w:r>
      <w:r w:rsidR="0047539E" w:rsidRPr="00104227">
        <w:rPr>
          <w:lang w:val="en-US"/>
        </w:rPr>
        <w:t>Angélica Patricia Torres</w:t>
      </w:r>
      <w:r w:rsidR="00633C8A" w:rsidRPr="00104227">
        <w:rPr>
          <w:lang w:val="en-US"/>
        </w:rPr>
        <w:t xml:space="preserve"> Linares, Claudia Hernández Martínez, Mariana Selvas Gómez</w:t>
      </w:r>
      <w:r w:rsidR="00BF5241" w:rsidRPr="00104227">
        <w:rPr>
          <w:lang w:val="en-US"/>
        </w:rPr>
        <w:t xml:space="preserve"> and </w:t>
      </w:r>
      <w:r w:rsidR="00633C8A" w:rsidRPr="00104227">
        <w:rPr>
          <w:lang w:val="en-US"/>
        </w:rPr>
        <w:t xml:space="preserve">Georgina Edith </w:t>
      </w:r>
      <w:r w:rsidR="00DA23B8" w:rsidRPr="00104227">
        <w:rPr>
          <w:lang w:val="en-US"/>
        </w:rPr>
        <w:t>Rosales Gutiérrez</w:t>
      </w:r>
      <w:r w:rsidR="001E036B" w:rsidRPr="00104227">
        <w:rPr>
          <w:lang w:val="en-US"/>
        </w:rPr>
        <w:t xml:space="preserve">, </w:t>
      </w:r>
      <w:r w:rsidR="00BC5201" w:rsidRPr="00104227">
        <w:rPr>
          <w:lang w:val="en-US"/>
        </w:rPr>
        <w:t>the use of force</w:t>
      </w:r>
      <w:r w:rsidR="00633C8A" w:rsidRPr="00104227">
        <w:rPr>
          <w:lang w:val="en-US"/>
        </w:rPr>
        <w:t xml:space="preserve"> </w:t>
      </w:r>
      <w:r w:rsidRPr="00104227">
        <w:rPr>
          <w:lang w:val="en-US"/>
        </w:rPr>
        <w:t xml:space="preserve">also </w:t>
      </w:r>
      <w:r w:rsidR="00633C8A" w:rsidRPr="00104227">
        <w:rPr>
          <w:lang w:val="en-US"/>
        </w:rPr>
        <w:t>constitu</w:t>
      </w:r>
      <w:r w:rsidRPr="00104227">
        <w:rPr>
          <w:lang w:val="en-US"/>
        </w:rPr>
        <w:t xml:space="preserve">ted an inappropriate restriction of their </w:t>
      </w:r>
      <w:r w:rsidR="00A23F38" w:rsidRPr="00104227">
        <w:rPr>
          <w:lang w:val="en-US"/>
        </w:rPr>
        <w:t>right of assembly</w:t>
      </w:r>
      <w:r w:rsidR="00633C8A" w:rsidRPr="00104227">
        <w:rPr>
          <w:lang w:val="en-US"/>
        </w:rPr>
        <w:t xml:space="preserve"> </w:t>
      </w:r>
      <w:r w:rsidRPr="00104227">
        <w:rPr>
          <w:lang w:val="en-US"/>
        </w:rPr>
        <w:t>recognized in</w:t>
      </w:r>
      <w:r w:rsidR="00633C8A" w:rsidRPr="00104227">
        <w:rPr>
          <w:lang w:val="en-US"/>
        </w:rPr>
        <w:t xml:space="preserve"> </w:t>
      </w:r>
      <w:r w:rsidR="00BF5241" w:rsidRPr="00104227">
        <w:rPr>
          <w:lang w:val="en-US"/>
        </w:rPr>
        <w:t>Article</w:t>
      </w:r>
      <w:r w:rsidR="00633C8A" w:rsidRPr="00104227">
        <w:rPr>
          <w:lang w:val="en-US"/>
        </w:rPr>
        <w:t xml:space="preserve"> 15</w:t>
      </w:r>
      <w:r w:rsidR="00BF5241" w:rsidRPr="00104227">
        <w:rPr>
          <w:lang w:val="en-US"/>
        </w:rPr>
        <w:t xml:space="preserve"> of the Convention</w:t>
      </w:r>
      <w:r w:rsidR="00633C8A" w:rsidRPr="00104227">
        <w:rPr>
          <w:lang w:val="en-US"/>
        </w:rPr>
        <w:t>.</w:t>
      </w:r>
      <w:bookmarkEnd w:id="288"/>
      <w:r w:rsidR="00633C8A" w:rsidRPr="00104227">
        <w:rPr>
          <w:lang w:val="en-US"/>
        </w:rPr>
        <w:t xml:space="preserve"> </w:t>
      </w:r>
    </w:p>
    <w:p w14:paraId="50D15F8B" w14:textId="77777777" w:rsidR="00633C8A" w:rsidRPr="00104227" w:rsidRDefault="00633C8A" w:rsidP="00E4619F">
      <w:pPr>
        <w:tabs>
          <w:tab w:val="left" w:pos="567"/>
        </w:tabs>
        <w:rPr>
          <w:lang w:eastAsia="es-MX"/>
        </w:rPr>
      </w:pPr>
    </w:p>
    <w:p w14:paraId="0B4B468B" w14:textId="03012C7A" w:rsidR="00633C8A" w:rsidRPr="00104227" w:rsidRDefault="00633C8A" w:rsidP="00E4619F">
      <w:pPr>
        <w:pStyle w:val="Ttulo3"/>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bookmarkStart w:id="289" w:name="_Toc31290591"/>
      <w:r w:rsidRPr="00104227">
        <w:rPr>
          <w:lang w:val="en-US"/>
        </w:rPr>
        <w:t xml:space="preserve">B.2 </w:t>
      </w:r>
      <w:r w:rsidR="00DF7398" w:rsidRPr="00104227">
        <w:rPr>
          <w:lang w:val="en-US"/>
        </w:rPr>
        <w:t>The sexual violence and rape committed against</w:t>
      </w:r>
      <w:r w:rsidRPr="00104227">
        <w:rPr>
          <w:lang w:val="en-US"/>
        </w:rPr>
        <w:t xml:space="preserve"> </w:t>
      </w:r>
      <w:r w:rsidR="00F12946" w:rsidRPr="00104227">
        <w:rPr>
          <w:lang w:val="en-US"/>
        </w:rPr>
        <w:t>the eleven women</w:t>
      </w:r>
      <w:r w:rsidR="00BF5241" w:rsidRPr="00104227">
        <w:rPr>
          <w:lang w:val="en-US"/>
        </w:rPr>
        <w:t xml:space="preserve"> </w:t>
      </w:r>
      <w:r w:rsidR="00DF7398" w:rsidRPr="00104227">
        <w:rPr>
          <w:lang w:val="en-US"/>
        </w:rPr>
        <w:t>and its classification as torture in this case</w:t>
      </w:r>
      <w:bookmarkEnd w:id="289"/>
      <w:r w:rsidRPr="00104227">
        <w:rPr>
          <w:lang w:val="en-US"/>
        </w:rPr>
        <w:t xml:space="preserve"> </w:t>
      </w:r>
    </w:p>
    <w:p w14:paraId="61DDFD50" w14:textId="77777777" w:rsidR="00633C8A" w:rsidRPr="00104227" w:rsidRDefault="00633C8A" w:rsidP="00E4619F">
      <w:pPr>
        <w:tabs>
          <w:tab w:val="left" w:pos="567"/>
        </w:tabs>
        <w:rPr>
          <w:lang w:eastAsia="es-MX"/>
        </w:rPr>
      </w:pPr>
    </w:p>
    <w:p w14:paraId="531F4555" w14:textId="7CD5AF09" w:rsidR="00633C8A" w:rsidRPr="00104227" w:rsidRDefault="00E2287B" w:rsidP="00E4619F">
      <w:pPr>
        <w:pStyle w:val="Numberedparagraphs"/>
        <w:tabs>
          <w:tab w:val="left" w:pos="567"/>
        </w:tabs>
        <w:rPr>
          <w:lang w:val="en-US"/>
        </w:rPr>
      </w:pPr>
      <w:bookmarkStart w:id="290" w:name="_Ref532987162"/>
      <w:r w:rsidRPr="00104227">
        <w:rPr>
          <w:rFonts w:eastAsia="Calibri"/>
          <w:lang w:val="en-US"/>
        </w:rPr>
        <w:t>Article</w:t>
      </w:r>
      <w:r w:rsidR="00633C8A" w:rsidRPr="00104227">
        <w:rPr>
          <w:lang w:val="en-US"/>
        </w:rPr>
        <w:t xml:space="preserve"> </w:t>
      </w:r>
      <w:r w:rsidR="0094395C" w:rsidRPr="00104227">
        <w:rPr>
          <w:lang w:val="en-US"/>
        </w:rPr>
        <w:t>5(1)</w:t>
      </w:r>
      <w:r w:rsidR="00BF5241" w:rsidRPr="00104227">
        <w:rPr>
          <w:lang w:val="en-US"/>
        </w:rPr>
        <w:t xml:space="preserve"> of the Convention</w:t>
      </w:r>
      <w:r w:rsidR="00633C8A" w:rsidRPr="00104227">
        <w:rPr>
          <w:lang w:val="en-US"/>
        </w:rPr>
        <w:t xml:space="preserve"> </w:t>
      </w:r>
      <w:r w:rsidR="00DF7398" w:rsidRPr="00104227">
        <w:rPr>
          <w:lang w:val="en-US"/>
        </w:rPr>
        <w:t>recognizes</w:t>
      </w:r>
      <w:r w:rsidR="00633C8A" w:rsidRPr="00104227">
        <w:rPr>
          <w:lang w:val="en-US"/>
        </w:rPr>
        <w:t xml:space="preserve"> </w:t>
      </w:r>
      <w:r w:rsidR="00CA43B0" w:rsidRPr="00104227">
        <w:rPr>
          <w:lang w:val="en-US"/>
        </w:rPr>
        <w:t>the right to</w:t>
      </w:r>
      <w:r w:rsidR="00633C8A" w:rsidRPr="00104227">
        <w:rPr>
          <w:lang w:val="en-US"/>
        </w:rPr>
        <w:t xml:space="preserve"> </w:t>
      </w:r>
      <w:r w:rsidR="0094395C" w:rsidRPr="00104227">
        <w:rPr>
          <w:lang w:val="en-US"/>
        </w:rPr>
        <w:t>personal integrity</w:t>
      </w:r>
      <w:r w:rsidR="00633C8A" w:rsidRPr="00104227">
        <w:rPr>
          <w:lang w:val="en-US"/>
        </w:rPr>
        <w:t xml:space="preserve">, </w:t>
      </w:r>
      <w:r w:rsidR="00DF7398" w:rsidRPr="00104227">
        <w:rPr>
          <w:lang w:val="en-US"/>
        </w:rPr>
        <w:t>physical, mental and moral in general terms</w:t>
      </w:r>
      <w:r w:rsidR="00633C8A" w:rsidRPr="00104227">
        <w:rPr>
          <w:lang w:val="en-US"/>
        </w:rPr>
        <w:t xml:space="preserve">. </w:t>
      </w:r>
      <w:r w:rsidR="00DF7398" w:rsidRPr="00104227">
        <w:rPr>
          <w:lang w:val="en-US"/>
        </w:rPr>
        <w:t>Meanwhile</w:t>
      </w:r>
      <w:r w:rsidR="00633C8A" w:rsidRPr="00104227">
        <w:rPr>
          <w:lang w:val="en-US"/>
        </w:rPr>
        <w:t xml:space="preserve">, </w:t>
      </w:r>
      <w:r w:rsidR="00BF5241" w:rsidRPr="00104227">
        <w:rPr>
          <w:lang w:val="en-US"/>
        </w:rPr>
        <w:t>Article</w:t>
      </w:r>
      <w:r w:rsidR="00633C8A" w:rsidRPr="00104227">
        <w:rPr>
          <w:lang w:val="en-US"/>
        </w:rPr>
        <w:t xml:space="preserve"> </w:t>
      </w:r>
      <w:r w:rsidR="0094395C" w:rsidRPr="00104227">
        <w:rPr>
          <w:lang w:val="en-US"/>
        </w:rPr>
        <w:t>5(2)</w:t>
      </w:r>
      <w:r w:rsidR="00633C8A" w:rsidRPr="00104227">
        <w:rPr>
          <w:lang w:val="en-US"/>
        </w:rPr>
        <w:t xml:space="preserve"> establ</w:t>
      </w:r>
      <w:r w:rsidR="00DF7398" w:rsidRPr="00104227">
        <w:rPr>
          <w:lang w:val="en-US"/>
        </w:rPr>
        <w:t xml:space="preserve">ishes, specifically, the absolute prohibition to </w:t>
      </w:r>
      <w:r w:rsidR="00DF7398" w:rsidRPr="00104227">
        <w:rPr>
          <w:spacing w:val="-3"/>
          <w:lang w:val="en-US"/>
        </w:rPr>
        <w:t xml:space="preserve">subject someone to torture or to cruel, inhuman, or degrading </w:t>
      </w:r>
      <w:r w:rsidR="00921EF0" w:rsidRPr="00104227">
        <w:rPr>
          <w:spacing w:val="-3"/>
          <w:lang w:val="en-US"/>
        </w:rPr>
        <w:t xml:space="preserve">treatment or </w:t>
      </w:r>
      <w:r w:rsidR="00DF7398" w:rsidRPr="00104227">
        <w:rPr>
          <w:spacing w:val="-3"/>
          <w:lang w:val="en-US"/>
        </w:rPr>
        <w:t>punishment, as well as</w:t>
      </w:r>
      <w:r w:rsidR="0060075A" w:rsidRPr="00104227">
        <w:rPr>
          <w:spacing w:val="-3"/>
          <w:lang w:val="en-US"/>
        </w:rPr>
        <w:t xml:space="preserve"> the right of persons deprived of their liberty to be treated with respect for the inherent dignity of the human person</w:t>
      </w:r>
      <w:r w:rsidR="0060075A" w:rsidRPr="00104227">
        <w:rPr>
          <w:spacing w:val="-3"/>
          <w:sz w:val="16"/>
          <w:szCs w:val="16"/>
          <w:lang w:val="en-US"/>
        </w:rPr>
        <w:t>.</w:t>
      </w:r>
      <w:r w:rsidR="00633C8A" w:rsidRPr="00104227">
        <w:rPr>
          <w:vertAlign w:val="superscript"/>
          <w:lang w:val="en-US" w:bidi="en-US"/>
        </w:rPr>
        <w:footnoteReference w:id="269"/>
      </w:r>
      <w:r w:rsidR="00633C8A" w:rsidRPr="00104227">
        <w:rPr>
          <w:lang w:val="en-US"/>
        </w:rPr>
        <w:t xml:space="preserve"> </w:t>
      </w:r>
      <w:r w:rsidR="00BF5241" w:rsidRPr="00104227">
        <w:rPr>
          <w:lang w:val="en-US"/>
        </w:rPr>
        <w:t>The Court</w:t>
      </w:r>
      <w:r w:rsidR="00633C8A" w:rsidRPr="00104227">
        <w:rPr>
          <w:lang w:val="en-US"/>
        </w:rPr>
        <w:t xml:space="preserve"> </w:t>
      </w:r>
      <w:r w:rsidR="0060075A" w:rsidRPr="00104227">
        <w:rPr>
          <w:lang w:val="en-US"/>
        </w:rPr>
        <w:t>understands that any violation of</w:t>
      </w:r>
      <w:r w:rsidR="00633C8A" w:rsidRPr="00104227">
        <w:rPr>
          <w:lang w:val="en-US"/>
        </w:rPr>
        <w:t xml:space="preserve"> </w:t>
      </w:r>
      <w:r w:rsidR="0060075A" w:rsidRPr="00104227">
        <w:rPr>
          <w:lang w:val="en-US"/>
        </w:rPr>
        <w:t>Article</w:t>
      </w:r>
      <w:r w:rsidR="00633C8A" w:rsidRPr="00104227">
        <w:rPr>
          <w:lang w:val="en-US"/>
        </w:rPr>
        <w:t xml:space="preserve"> </w:t>
      </w:r>
      <w:r w:rsidR="0094395C" w:rsidRPr="00104227">
        <w:rPr>
          <w:lang w:val="en-US"/>
        </w:rPr>
        <w:t>5(2)</w:t>
      </w:r>
      <w:r w:rsidR="00BF5241" w:rsidRPr="00104227">
        <w:rPr>
          <w:lang w:val="en-US"/>
        </w:rPr>
        <w:t xml:space="preserve"> of </w:t>
      </w:r>
      <w:r w:rsidR="00BF5241" w:rsidRPr="00104227">
        <w:rPr>
          <w:lang w:val="en-US"/>
        </w:rPr>
        <w:lastRenderedPageBreak/>
        <w:t>the American Convention</w:t>
      </w:r>
      <w:r w:rsidR="00633C8A" w:rsidRPr="00104227">
        <w:rPr>
          <w:lang w:val="en-US"/>
        </w:rPr>
        <w:t xml:space="preserve"> </w:t>
      </w:r>
      <w:r w:rsidR="0060075A" w:rsidRPr="00104227">
        <w:rPr>
          <w:lang w:val="en-US"/>
        </w:rPr>
        <w:t>necessarily results in the violation of Article</w:t>
      </w:r>
      <w:r w:rsidR="00633C8A" w:rsidRPr="00104227">
        <w:rPr>
          <w:lang w:val="en-US"/>
        </w:rPr>
        <w:t xml:space="preserve"> </w:t>
      </w:r>
      <w:r w:rsidR="0094395C" w:rsidRPr="00104227">
        <w:rPr>
          <w:lang w:val="en-US"/>
        </w:rPr>
        <w:t>5(1)</w:t>
      </w:r>
      <w:r w:rsidR="00633C8A" w:rsidRPr="00104227">
        <w:rPr>
          <w:lang w:val="en-US"/>
        </w:rPr>
        <w:t xml:space="preserve"> </w:t>
      </w:r>
      <w:r w:rsidR="0060075A" w:rsidRPr="00104227">
        <w:rPr>
          <w:lang w:val="en-US"/>
        </w:rPr>
        <w:t>thereof.</w:t>
      </w:r>
      <w:r w:rsidR="00633C8A" w:rsidRPr="00104227">
        <w:rPr>
          <w:vertAlign w:val="superscript"/>
          <w:lang w:val="en-US" w:bidi="en-US"/>
        </w:rPr>
        <w:footnoteReference w:id="270"/>
      </w:r>
      <w:r w:rsidR="00633C8A" w:rsidRPr="00104227">
        <w:rPr>
          <w:lang w:val="en-US"/>
        </w:rPr>
        <w:t xml:space="preserve"> </w:t>
      </w:r>
      <w:r w:rsidR="0060075A" w:rsidRPr="00104227">
        <w:rPr>
          <w:lang w:val="en-US"/>
        </w:rPr>
        <w:t xml:space="preserve">The violation of the </w:t>
      </w:r>
      <w:r w:rsidR="00CA43B0" w:rsidRPr="00104227">
        <w:rPr>
          <w:lang w:val="en-US"/>
        </w:rPr>
        <w:t>right to</w:t>
      </w:r>
      <w:r w:rsidR="00F85469" w:rsidRPr="00104227">
        <w:rPr>
          <w:lang w:val="en-US"/>
        </w:rPr>
        <w:t xml:space="preserve"> physical and mental integrity has different connotations of degree and r</w:t>
      </w:r>
      <w:r w:rsidR="00CC7EC5" w:rsidRPr="00104227">
        <w:rPr>
          <w:lang w:val="en-US"/>
        </w:rPr>
        <w:t>a</w:t>
      </w:r>
      <w:r w:rsidR="00F85469" w:rsidRPr="00104227">
        <w:rPr>
          <w:lang w:val="en-US"/>
        </w:rPr>
        <w:t>nges from torture to other types of abuse o</w:t>
      </w:r>
      <w:r w:rsidR="00CC7EC5" w:rsidRPr="00104227">
        <w:rPr>
          <w:lang w:val="en-US"/>
        </w:rPr>
        <w:t>r</w:t>
      </w:r>
      <w:r w:rsidR="00F85469" w:rsidRPr="00104227">
        <w:rPr>
          <w:lang w:val="en-US"/>
        </w:rPr>
        <w:t xml:space="preserve"> </w:t>
      </w:r>
      <w:r w:rsidR="00F85469" w:rsidRPr="00104227">
        <w:rPr>
          <w:spacing w:val="-3"/>
          <w:lang w:val="en-US"/>
        </w:rPr>
        <w:t xml:space="preserve">cruel, inhuman, or degrading </w:t>
      </w:r>
      <w:r w:rsidR="00F85469" w:rsidRPr="00104227">
        <w:rPr>
          <w:lang w:val="en-US"/>
        </w:rPr>
        <w:t>treatment, the physical and mental aftereffects of which vary</w:t>
      </w:r>
      <w:r w:rsidR="00CC7EC5" w:rsidRPr="00104227">
        <w:rPr>
          <w:lang w:val="en-US"/>
        </w:rPr>
        <w:t xml:space="preserve"> </w:t>
      </w:r>
      <w:r w:rsidR="00F85469" w:rsidRPr="00104227">
        <w:rPr>
          <w:lang w:val="en-US"/>
        </w:rPr>
        <w:t>in intensity based on endogenous and exogenous factors (including duration of the treatment, age, sex, health, context and vulnerability) that must be analyzed in each specific situation.</w:t>
      </w:r>
      <w:r w:rsidR="00633C8A" w:rsidRPr="00104227">
        <w:rPr>
          <w:iCs/>
          <w:vertAlign w:val="superscript"/>
          <w:lang w:val="en-US"/>
        </w:rPr>
        <w:footnoteReference w:id="271"/>
      </w:r>
      <w:bookmarkEnd w:id="290"/>
      <w:r w:rsidR="00633C8A" w:rsidRPr="00104227">
        <w:rPr>
          <w:lang w:val="en-US"/>
        </w:rPr>
        <w:t xml:space="preserve"> </w:t>
      </w:r>
    </w:p>
    <w:p w14:paraId="71B3C024" w14:textId="77777777" w:rsidR="00633C8A" w:rsidRPr="00104227" w:rsidRDefault="00633C8A" w:rsidP="00E4619F">
      <w:pPr>
        <w:tabs>
          <w:tab w:val="left" w:pos="567"/>
        </w:tabs>
        <w:rPr>
          <w:lang w:eastAsia="es-MX"/>
        </w:rPr>
      </w:pPr>
    </w:p>
    <w:p w14:paraId="17DF255C" w14:textId="036DBC20" w:rsidR="00633C8A" w:rsidRPr="00104227" w:rsidRDefault="00BF5241" w:rsidP="006174E3">
      <w:pPr>
        <w:pStyle w:val="Numberedparagraphs"/>
        <w:tabs>
          <w:tab w:val="left" w:pos="567"/>
        </w:tabs>
        <w:rPr>
          <w:lang w:val="en-US"/>
        </w:rPr>
      </w:pPr>
      <w:r w:rsidRPr="00104227">
        <w:rPr>
          <w:lang w:val="en-US"/>
        </w:rPr>
        <w:t>The Court</w:t>
      </w:r>
      <w:r w:rsidR="00633C8A" w:rsidRPr="00104227">
        <w:rPr>
          <w:lang w:val="en-US"/>
        </w:rPr>
        <w:t xml:space="preserve"> ha</w:t>
      </w:r>
      <w:r w:rsidR="006174E3" w:rsidRPr="00104227">
        <w:rPr>
          <w:lang w:val="en-US"/>
        </w:rPr>
        <w:t xml:space="preserve">s established that </w:t>
      </w:r>
      <w:r w:rsidR="006174E3" w:rsidRPr="00104227">
        <w:rPr>
          <w:spacing w:val="-3"/>
          <w:lang w:val="en-US"/>
        </w:rPr>
        <w:t xml:space="preserve">torture and cruel, inhuman or degrading </w:t>
      </w:r>
      <w:r w:rsidR="00921EF0" w:rsidRPr="00104227">
        <w:rPr>
          <w:spacing w:val="-3"/>
          <w:lang w:val="en-US"/>
        </w:rPr>
        <w:t xml:space="preserve">treatment or </w:t>
      </w:r>
      <w:r w:rsidR="006174E3" w:rsidRPr="00104227">
        <w:rPr>
          <w:spacing w:val="-3"/>
          <w:lang w:val="en-US"/>
        </w:rPr>
        <w:t xml:space="preserve">punishment </w:t>
      </w:r>
      <w:r w:rsidR="006174E3" w:rsidRPr="00104227">
        <w:rPr>
          <w:lang w:val="en-US"/>
        </w:rPr>
        <w:t>are absolutely and strictly prohibited by the international human rights law. This prohibition is absolute and non-derogable, even in the most difficult circumstances, such as war, threat of war, the fight against terrorism and any other crime, state of siege or emergency, internal unrest or conflict, suspension of constitutional guarantees, internal political instability or other public emergencies or disasters</w:t>
      </w:r>
      <w:r w:rsidR="00633C8A" w:rsidRPr="00104227">
        <w:rPr>
          <w:vertAlign w:val="superscript"/>
          <w:lang w:val="en-US"/>
        </w:rPr>
        <w:footnoteReference w:id="272"/>
      </w:r>
      <w:r w:rsidR="006174E3" w:rsidRPr="00104227">
        <w:rPr>
          <w:lang w:val="en-US"/>
        </w:rPr>
        <w:t xml:space="preserve"> and, nowadays, it forms part of the domain of international </w:t>
      </w:r>
      <w:r w:rsidR="00633C8A" w:rsidRPr="00104227">
        <w:rPr>
          <w:i/>
          <w:lang w:val="en-US"/>
        </w:rPr>
        <w:t>jus cogens</w:t>
      </w:r>
      <w:r w:rsidR="006174E3" w:rsidRPr="00104227">
        <w:rPr>
          <w:lang w:val="en-US"/>
        </w:rPr>
        <w:t>.</w:t>
      </w:r>
      <w:r w:rsidR="00633C8A" w:rsidRPr="00104227">
        <w:rPr>
          <w:vertAlign w:val="superscript"/>
          <w:lang w:val="en-US"/>
        </w:rPr>
        <w:footnoteReference w:id="273"/>
      </w:r>
      <w:r w:rsidR="00633C8A" w:rsidRPr="00104227">
        <w:rPr>
          <w:lang w:val="en-US"/>
        </w:rPr>
        <w:t xml:space="preserve"> </w:t>
      </w:r>
      <w:r w:rsidR="006174E3" w:rsidRPr="00104227">
        <w:rPr>
          <w:lang w:val="en-US"/>
        </w:rPr>
        <w:t>Universal</w:t>
      </w:r>
      <w:r w:rsidR="00633C8A" w:rsidRPr="00104227">
        <w:rPr>
          <w:vertAlign w:val="superscript"/>
          <w:lang w:val="en-US"/>
        </w:rPr>
        <w:footnoteReference w:id="274"/>
      </w:r>
      <w:r w:rsidRPr="00104227">
        <w:rPr>
          <w:lang w:val="en-US"/>
        </w:rPr>
        <w:t xml:space="preserve"> and </w:t>
      </w:r>
      <w:r w:rsidR="00633C8A" w:rsidRPr="00104227">
        <w:rPr>
          <w:lang w:val="en-US"/>
        </w:rPr>
        <w:t>regional</w:t>
      </w:r>
      <w:r w:rsidR="00633C8A" w:rsidRPr="00104227">
        <w:rPr>
          <w:vertAlign w:val="superscript"/>
          <w:lang w:val="en-US"/>
        </w:rPr>
        <w:footnoteReference w:id="275"/>
      </w:r>
      <w:r w:rsidR="00633C8A" w:rsidRPr="00104227">
        <w:rPr>
          <w:lang w:val="en-US"/>
        </w:rPr>
        <w:t xml:space="preserve"> </w:t>
      </w:r>
      <w:r w:rsidR="006174E3" w:rsidRPr="00104227">
        <w:rPr>
          <w:lang w:val="en-US"/>
        </w:rPr>
        <w:t>treaties establish this prohibition and the non-derogable right not to be subjected to any form of torture.</w:t>
      </w:r>
    </w:p>
    <w:p w14:paraId="66A8ECB2" w14:textId="77777777" w:rsidR="00633C8A" w:rsidRPr="00104227" w:rsidRDefault="00633C8A" w:rsidP="00E4619F">
      <w:pPr>
        <w:tabs>
          <w:tab w:val="left" w:pos="567"/>
        </w:tabs>
        <w:rPr>
          <w:lang w:eastAsia="es-MX"/>
        </w:rPr>
      </w:pPr>
    </w:p>
    <w:p w14:paraId="798D644B" w14:textId="5717153B" w:rsidR="00633C8A" w:rsidRPr="00104227" w:rsidRDefault="006174E3" w:rsidP="00E4619F">
      <w:pPr>
        <w:pStyle w:val="Numberedparagraphs"/>
        <w:tabs>
          <w:tab w:val="left" w:pos="567"/>
        </w:tabs>
        <w:rPr>
          <w:lang w:val="en-US"/>
        </w:rPr>
      </w:pPr>
      <w:r w:rsidRPr="00104227">
        <w:rPr>
          <w:lang w:val="en-US"/>
        </w:rPr>
        <w:t xml:space="preserve">Furthermore, in cases that involve any form of sexual violence, it has been established that violations of </w:t>
      </w:r>
      <w:r w:rsidR="0094395C" w:rsidRPr="00104227">
        <w:rPr>
          <w:lang w:val="en-US"/>
        </w:rPr>
        <w:t>personal integrity</w:t>
      </w:r>
      <w:r w:rsidR="00633C8A" w:rsidRPr="00104227">
        <w:rPr>
          <w:lang w:val="en-US"/>
        </w:rPr>
        <w:t xml:space="preserve"> </w:t>
      </w:r>
      <w:r w:rsidRPr="00104227">
        <w:rPr>
          <w:lang w:val="en-US"/>
        </w:rPr>
        <w:t xml:space="preserve">involve the violation of the private life of the individual, protected by </w:t>
      </w:r>
      <w:r w:rsidR="00BF5241" w:rsidRPr="00104227">
        <w:rPr>
          <w:lang w:val="en-US"/>
        </w:rPr>
        <w:t>Article</w:t>
      </w:r>
      <w:r w:rsidR="00633C8A" w:rsidRPr="00104227">
        <w:rPr>
          <w:lang w:val="en-US"/>
        </w:rPr>
        <w:t xml:space="preserve"> 11</w:t>
      </w:r>
      <w:r w:rsidR="00BF5241" w:rsidRPr="00104227">
        <w:rPr>
          <w:lang w:val="en-US"/>
        </w:rPr>
        <w:t xml:space="preserve"> of the Convention</w:t>
      </w:r>
      <w:r w:rsidR="00633C8A" w:rsidRPr="00104227">
        <w:rPr>
          <w:lang w:val="en-US"/>
        </w:rPr>
        <w:t xml:space="preserve">, </w:t>
      </w:r>
      <w:r w:rsidRPr="00104227">
        <w:rPr>
          <w:lang w:val="en-US"/>
        </w:rPr>
        <w:t>which encompasses the sexual life or sexuality of the individual.</w:t>
      </w:r>
      <w:r w:rsidR="00633C8A" w:rsidRPr="00104227">
        <w:rPr>
          <w:rStyle w:val="Refdenotaalpie"/>
          <w:lang w:val="en-US"/>
        </w:rPr>
        <w:footnoteReference w:id="276"/>
      </w:r>
      <w:r w:rsidR="00633C8A" w:rsidRPr="00104227">
        <w:rPr>
          <w:lang w:val="en-US"/>
        </w:rPr>
        <w:t xml:space="preserve"> </w:t>
      </w:r>
      <w:r w:rsidR="00814266" w:rsidRPr="00104227">
        <w:rPr>
          <w:lang w:val="en-US"/>
        </w:rPr>
        <w:t>Sexual violence</w:t>
      </w:r>
      <w:r w:rsidR="00633C8A" w:rsidRPr="00104227">
        <w:rPr>
          <w:lang w:val="en-US"/>
        </w:rPr>
        <w:t xml:space="preserve"> v</w:t>
      </w:r>
      <w:r w:rsidRPr="00104227">
        <w:rPr>
          <w:lang w:val="en-US"/>
        </w:rPr>
        <w:t xml:space="preserve">iolates essential values and aspects of </w:t>
      </w:r>
      <w:r w:rsidR="00E5597B" w:rsidRPr="00104227">
        <w:rPr>
          <w:lang w:val="en-US"/>
        </w:rPr>
        <w:t>an</w:t>
      </w:r>
      <w:r w:rsidRPr="00104227">
        <w:rPr>
          <w:lang w:val="en-US"/>
        </w:rPr>
        <w:t xml:space="preserve"> individual’s private life, involves an intrusion in their sexual life and annuls their right to freely take decisions regarding </w:t>
      </w:r>
      <w:r w:rsidR="00CC7EC5" w:rsidRPr="00104227">
        <w:rPr>
          <w:lang w:val="en-US"/>
        </w:rPr>
        <w:t xml:space="preserve">with </w:t>
      </w:r>
      <w:r w:rsidRPr="00104227">
        <w:rPr>
          <w:lang w:val="en-US"/>
        </w:rPr>
        <w:t xml:space="preserve">whom they have </w:t>
      </w:r>
      <w:r w:rsidR="00F27D61" w:rsidRPr="00104227">
        <w:rPr>
          <w:lang w:val="en-US"/>
        </w:rPr>
        <w:t>sexual</w:t>
      </w:r>
      <w:r w:rsidRPr="00104227">
        <w:rPr>
          <w:lang w:val="en-US"/>
        </w:rPr>
        <w:t xml:space="preserve"> relations, thus</w:t>
      </w:r>
      <w:r w:rsidR="00CC7EC5" w:rsidRPr="00104227">
        <w:rPr>
          <w:lang w:val="en-US"/>
        </w:rPr>
        <w:t xml:space="preserve"> causing them to</w:t>
      </w:r>
      <w:r w:rsidRPr="00104227">
        <w:rPr>
          <w:lang w:val="en-US"/>
        </w:rPr>
        <w:t xml:space="preserve"> los</w:t>
      </w:r>
      <w:r w:rsidR="00CC7EC5" w:rsidRPr="00104227">
        <w:rPr>
          <w:lang w:val="en-US"/>
        </w:rPr>
        <w:t>e</w:t>
      </w:r>
      <w:r w:rsidRPr="00104227">
        <w:rPr>
          <w:lang w:val="en-US"/>
        </w:rPr>
        <w:t xml:space="preserve"> complete control over their most personal and intimate decisions, and over their basic bodily functions.</w:t>
      </w:r>
      <w:r w:rsidR="00633C8A" w:rsidRPr="00104227">
        <w:rPr>
          <w:rStyle w:val="Refdenotaalpie"/>
          <w:lang w:val="en-US"/>
        </w:rPr>
        <w:footnoteReference w:id="277"/>
      </w:r>
    </w:p>
    <w:p w14:paraId="404D8636" w14:textId="77777777" w:rsidR="00633C8A" w:rsidRPr="00104227" w:rsidRDefault="00633C8A" w:rsidP="00E4619F">
      <w:pPr>
        <w:tabs>
          <w:tab w:val="left" w:pos="567"/>
        </w:tabs>
        <w:rPr>
          <w:lang w:eastAsia="es-MX"/>
        </w:rPr>
      </w:pPr>
    </w:p>
    <w:p w14:paraId="79228DEB" w14:textId="4B17DC75" w:rsidR="00633C8A" w:rsidRPr="00104227" w:rsidRDefault="00F17EF2" w:rsidP="00285597">
      <w:pPr>
        <w:pStyle w:val="Numberedparagraphs"/>
        <w:tabs>
          <w:tab w:val="left" w:pos="567"/>
        </w:tabs>
        <w:rPr>
          <w:lang w:val="en-US"/>
        </w:rPr>
      </w:pPr>
      <w:r w:rsidRPr="00104227">
        <w:rPr>
          <w:lang w:val="en-US"/>
        </w:rPr>
        <w:t xml:space="preserve">In addition, the Court notes that, in this case, the general obligations derived from </w:t>
      </w:r>
      <w:r w:rsidR="00BF5241" w:rsidRPr="00104227">
        <w:rPr>
          <w:lang w:val="en-US"/>
        </w:rPr>
        <w:t>Articles</w:t>
      </w:r>
      <w:r w:rsidR="00633C8A" w:rsidRPr="00104227">
        <w:rPr>
          <w:lang w:val="en-US"/>
        </w:rPr>
        <w:t xml:space="preserve"> 5</w:t>
      </w:r>
      <w:r w:rsidR="00BF5241" w:rsidRPr="00104227">
        <w:rPr>
          <w:lang w:val="en-US"/>
        </w:rPr>
        <w:t xml:space="preserve"> and </w:t>
      </w:r>
      <w:r w:rsidR="00633C8A" w:rsidRPr="00104227">
        <w:rPr>
          <w:lang w:val="en-US"/>
        </w:rPr>
        <w:t>11</w:t>
      </w:r>
      <w:r w:rsidR="00BF5241" w:rsidRPr="00104227">
        <w:rPr>
          <w:lang w:val="en-US"/>
        </w:rPr>
        <w:t xml:space="preserve"> of the American Convention</w:t>
      </w:r>
      <w:r w:rsidR="00633C8A" w:rsidRPr="00104227">
        <w:rPr>
          <w:lang w:val="en-US"/>
        </w:rPr>
        <w:t xml:space="preserve"> </w:t>
      </w:r>
      <w:r w:rsidRPr="00104227">
        <w:rPr>
          <w:lang w:val="en-US"/>
        </w:rPr>
        <w:t xml:space="preserve">are reinforced by the specific obligations </w:t>
      </w:r>
      <w:r w:rsidR="00CC7EC5" w:rsidRPr="00104227">
        <w:rPr>
          <w:lang w:val="en-US"/>
        </w:rPr>
        <w:t>arising</w:t>
      </w:r>
      <w:r w:rsidRPr="00104227">
        <w:rPr>
          <w:lang w:val="en-US"/>
        </w:rPr>
        <w:t xml:space="preserve"> from </w:t>
      </w:r>
      <w:r w:rsidR="00BF5241" w:rsidRPr="00104227">
        <w:rPr>
          <w:lang w:val="en-US"/>
        </w:rPr>
        <w:t xml:space="preserve">the </w:t>
      </w:r>
      <w:r w:rsidR="007E2382" w:rsidRPr="00104227">
        <w:rPr>
          <w:lang w:val="en-US"/>
        </w:rPr>
        <w:t>Inter-American Convention against Torture</w:t>
      </w:r>
      <w:r w:rsidR="00BF5241" w:rsidRPr="00104227">
        <w:rPr>
          <w:lang w:val="en-US"/>
        </w:rPr>
        <w:t xml:space="preserve"> and the Convention</w:t>
      </w:r>
      <w:r w:rsidR="00633C8A" w:rsidRPr="00104227">
        <w:rPr>
          <w:lang w:val="en-US"/>
        </w:rPr>
        <w:t xml:space="preserve"> </w:t>
      </w:r>
      <w:r w:rsidR="0094395C" w:rsidRPr="00104227">
        <w:rPr>
          <w:lang w:val="en-US"/>
        </w:rPr>
        <w:t>of Belém</w:t>
      </w:r>
      <w:r w:rsidR="00633C8A" w:rsidRPr="00104227">
        <w:rPr>
          <w:lang w:val="en-US"/>
        </w:rPr>
        <w:t xml:space="preserve"> do Pará. </w:t>
      </w:r>
      <w:r w:rsidR="00E2287B" w:rsidRPr="00104227">
        <w:rPr>
          <w:lang w:val="en-US"/>
        </w:rPr>
        <w:t>Article</w:t>
      </w:r>
      <w:r w:rsidR="00633C8A" w:rsidRPr="00104227">
        <w:rPr>
          <w:lang w:val="en-US"/>
        </w:rPr>
        <w:t xml:space="preserve"> 7</w:t>
      </w:r>
      <w:r w:rsidR="00BF5241" w:rsidRPr="00104227">
        <w:rPr>
          <w:lang w:val="en-US"/>
        </w:rPr>
        <w:t xml:space="preserve"> of the </w:t>
      </w:r>
      <w:r w:rsidR="00BF5241" w:rsidRPr="00104227">
        <w:rPr>
          <w:lang w:val="en-US"/>
        </w:rPr>
        <w:lastRenderedPageBreak/>
        <w:t>Convention</w:t>
      </w:r>
      <w:r w:rsidR="00633C8A" w:rsidRPr="00104227">
        <w:rPr>
          <w:lang w:val="en-US"/>
        </w:rPr>
        <w:t xml:space="preserve"> </w:t>
      </w:r>
      <w:r w:rsidR="0094395C" w:rsidRPr="00104227">
        <w:rPr>
          <w:lang w:val="en-US"/>
        </w:rPr>
        <w:t>of Belém</w:t>
      </w:r>
      <w:r w:rsidR="00633C8A" w:rsidRPr="00104227">
        <w:rPr>
          <w:lang w:val="en-US"/>
        </w:rPr>
        <w:t xml:space="preserve"> do Pará </w:t>
      </w:r>
      <w:r w:rsidR="00285597" w:rsidRPr="00104227">
        <w:rPr>
          <w:lang w:val="en-US"/>
        </w:rPr>
        <w:t xml:space="preserve">establishes State obligations to prevent, punish and eradicate </w:t>
      </w:r>
      <w:r w:rsidR="0020071D" w:rsidRPr="00104227">
        <w:rPr>
          <w:lang w:val="en-US"/>
        </w:rPr>
        <w:t>violence against women</w:t>
      </w:r>
      <w:r w:rsidR="00633C8A" w:rsidRPr="00104227">
        <w:rPr>
          <w:rStyle w:val="Refdenotaalpie"/>
          <w:lang w:val="en-US"/>
        </w:rPr>
        <w:footnoteReference w:id="278"/>
      </w:r>
      <w:r w:rsidR="00633C8A" w:rsidRPr="00104227">
        <w:rPr>
          <w:lang w:val="en-US"/>
        </w:rPr>
        <w:t xml:space="preserve"> </w:t>
      </w:r>
      <w:r w:rsidR="00CC7EC5" w:rsidRPr="00104227">
        <w:rPr>
          <w:lang w:val="en-US"/>
        </w:rPr>
        <w:t>and these</w:t>
      </w:r>
      <w:r w:rsidR="00285597" w:rsidRPr="00104227">
        <w:rPr>
          <w:lang w:val="en-US"/>
        </w:rPr>
        <w:t xml:space="preserve"> specify and supplement the obligations of the State in relation to compliance with the rights </w:t>
      </w:r>
      <w:r w:rsidR="005E29A3" w:rsidRPr="00104227">
        <w:rPr>
          <w:lang w:val="en-US"/>
        </w:rPr>
        <w:t>recognized in</w:t>
      </w:r>
      <w:r w:rsidR="00633C8A" w:rsidRPr="00104227">
        <w:rPr>
          <w:lang w:val="en-US"/>
        </w:rPr>
        <w:t xml:space="preserve"> </w:t>
      </w:r>
      <w:r w:rsidR="00BF5241" w:rsidRPr="00104227">
        <w:rPr>
          <w:lang w:val="en-US"/>
        </w:rPr>
        <w:t>Articles</w:t>
      </w:r>
      <w:r w:rsidR="00633C8A" w:rsidRPr="00104227">
        <w:rPr>
          <w:lang w:val="en-US"/>
        </w:rPr>
        <w:t xml:space="preserve"> 5</w:t>
      </w:r>
      <w:r w:rsidR="00BF5241" w:rsidRPr="00104227">
        <w:rPr>
          <w:lang w:val="en-US"/>
        </w:rPr>
        <w:t xml:space="preserve"> and </w:t>
      </w:r>
      <w:r w:rsidR="00633C8A" w:rsidRPr="00104227">
        <w:rPr>
          <w:lang w:val="en-US"/>
        </w:rPr>
        <w:t>11</w:t>
      </w:r>
      <w:r w:rsidR="00BF5241" w:rsidRPr="00104227">
        <w:rPr>
          <w:lang w:val="en-US"/>
        </w:rPr>
        <w:t xml:space="preserve"> of the Convention</w:t>
      </w:r>
      <w:r w:rsidR="00285597" w:rsidRPr="00104227">
        <w:rPr>
          <w:lang w:val="en-US"/>
        </w:rPr>
        <w:t>.</w:t>
      </w:r>
      <w:r w:rsidR="00633C8A" w:rsidRPr="00104227">
        <w:rPr>
          <w:rStyle w:val="Refdenotaalpie"/>
          <w:lang w:val="en-US"/>
        </w:rPr>
        <w:footnoteReference w:id="279"/>
      </w:r>
      <w:r w:rsidR="00285597" w:rsidRPr="00104227">
        <w:rPr>
          <w:lang w:val="en-US"/>
        </w:rPr>
        <w:t xml:space="preserve"> In light of the specific obligations under</w:t>
      </w:r>
      <w:r w:rsidR="00BF5241" w:rsidRPr="00104227">
        <w:rPr>
          <w:lang w:val="en-US"/>
        </w:rPr>
        <w:t xml:space="preserve"> the Convention</w:t>
      </w:r>
      <w:r w:rsidR="0098670E" w:rsidRPr="00104227">
        <w:rPr>
          <w:lang w:val="en-US"/>
        </w:rPr>
        <w:t xml:space="preserve"> </w:t>
      </w:r>
      <w:r w:rsidR="0094395C" w:rsidRPr="00104227">
        <w:rPr>
          <w:lang w:val="en-US"/>
        </w:rPr>
        <w:t>of Belém</w:t>
      </w:r>
      <w:r w:rsidR="00633C8A" w:rsidRPr="00104227">
        <w:rPr>
          <w:lang w:val="en-US"/>
        </w:rPr>
        <w:t xml:space="preserve"> do Pará, </w:t>
      </w:r>
      <w:r w:rsidR="00285597" w:rsidRPr="00104227">
        <w:rPr>
          <w:lang w:val="en-US"/>
        </w:rPr>
        <w:t>in cases of violence against women, States must take comprehensive measures that are enforced with due diligence</w:t>
      </w:r>
      <w:r w:rsidR="00CC7EC5" w:rsidRPr="00104227">
        <w:rPr>
          <w:lang w:val="en-US"/>
        </w:rPr>
        <w:t>, and</w:t>
      </w:r>
      <w:r w:rsidR="00285597" w:rsidRPr="00104227">
        <w:rPr>
          <w:lang w:val="en-US"/>
        </w:rPr>
        <w:t xml:space="preserve"> possess an appropriate protective legal framework, which is enforced effectively</w:t>
      </w:r>
      <w:r w:rsidR="00CC7EC5" w:rsidRPr="00104227">
        <w:rPr>
          <w:lang w:val="en-US"/>
        </w:rPr>
        <w:t>,</w:t>
      </w:r>
      <w:r w:rsidR="00285597" w:rsidRPr="00104227">
        <w:rPr>
          <w:lang w:val="en-US"/>
        </w:rPr>
        <w:t xml:space="preserve"> and prevention policies and practices that allow it to act effectively to address complaints.</w:t>
      </w:r>
      <w:r w:rsidR="00633C8A" w:rsidRPr="00104227">
        <w:rPr>
          <w:rStyle w:val="Refdenotaalpie"/>
          <w:lang w:val="en-US"/>
        </w:rPr>
        <w:footnoteReference w:id="280"/>
      </w:r>
      <w:r w:rsidR="00633C8A" w:rsidRPr="00104227">
        <w:rPr>
          <w:lang w:val="en-US"/>
        </w:rPr>
        <w:t xml:space="preserve"> A</w:t>
      </w:r>
      <w:r w:rsidR="00285597" w:rsidRPr="00104227">
        <w:rPr>
          <w:lang w:val="en-US"/>
        </w:rPr>
        <w:t>lso</w:t>
      </w:r>
      <w:r w:rsidR="00633C8A" w:rsidRPr="00104227">
        <w:rPr>
          <w:lang w:val="en-US"/>
        </w:rPr>
        <w:t xml:space="preserve">, </w:t>
      </w:r>
      <w:r w:rsidR="00BF5241" w:rsidRPr="00104227">
        <w:rPr>
          <w:lang w:val="en-US"/>
        </w:rPr>
        <w:t>Articles</w:t>
      </w:r>
      <w:r w:rsidR="00633C8A" w:rsidRPr="00104227">
        <w:rPr>
          <w:lang w:val="en-US"/>
        </w:rPr>
        <w:t xml:space="preserve"> 1</w:t>
      </w:r>
      <w:r w:rsidR="00BF5241" w:rsidRPr="00104227">
        <w:rPr>
          <w:lang w:val="en-US"/>
        </w:rPr>
        <w:t xml:space="preserve"> and </w:t>
      </w:r>
      <w:r w:rsidR="00633C8A" w:rsidRPr="00104227">
        <w:rPr>
          <w:lang w:val="en-US"/>
        </w:rPr>
        <w:t>6</w:t>
      </w:r>
      <w:r w:rsidR="00BF5241" w:rsidRPr="00104227">
        <w:rPr>
          <w:lang w:val="en-US"/>
        </w:rPr>
        <w:t xml:space="preserve"> of the </w:t>
      </w:r>
      <w:r w:rsidR="007E2382" w:rsidRPr="00104227">
        <w:rPr>
          <w:lang w:val="en-US"/>
        </w:rPr>
        <w:t>Inter-American Convention against Torture</w:t>
      </w:r>
      <w:r w:rsidR="00285597" w:rsidRPr="00104227">
        <w:rPr>
          <w:lang w:val="en-US"/>
        </w:rPr>
        <w:t xml:space="preserve"> reinforce the absolute prohibition of torture and the obligation of the States to prevent and to punish any act or attempt to commit </w:t>
      </w:r>
      <w:r w:rsidR="00BC5201" w:rsidRPr="00104227">
        <w:rPr>
          <w:lang w:val="en-US"/>
        </w:rPr>
        <w:t>torture</w:t>
      </w:r>
      <w:r w:rsidR="00BF5241" w:rsidRPr="00104227">
        <w:rPr>
          <w:lang w:val="en-US"/>
        </w:rPr>
        <w:t xml:space="preserve"> </w:t>
      </w:r>
      <w:r w:rsidR="00285597" w:rsidRPr="00104227">
        <w:rPr>
          <w:lang w:val="en-US"/>
        </w:rPr>
        <w:t>or</w:t>
      </w:r>
      <w:r w:rsidR="00BF5241" w:rsidRPr="00104227">
        <w:rPr>
          <w:lang w:val="en-US"/>
        </w:rPr>
        <w:t xml:space="preserve"> </w:t>
      </w:r>
      <w:r w:rsidR="00285597" w:rsidRPr="00104227">
        <w:rPr>
          <w:lang w:val="en-US"/>
        </w:rPr>
        <w:t>other</w:t>
      </w:r>
      <w:r w:rsidR="00633C8A" w:rsidRPr="00104227">
        <w:rPr>
          <w:lang w:val="en-US"/>
        </w:rPr>
        <w:t xml:space="preserve"> </w:t>
      </w:r>
      <w:r w:rsidR="00E2287B" w:rsidRPr="00104227">
        <w:rPr>
          <w:lang w:val="en-US"/>
        </w:rPr>
        <w:t xml:space="preserve">cruel, inhuman </w:t>
      </w:r>
      <w:r w:rsidR="00285597" w:rsidRPr="00104227">
        <w:rPr>
          <w:lang w:val="en-US"/>
        </w:rPr>
        <w:t>or</w:t>
      </w:r>
      <w:r w:rsidR="00E2287B" w:rsidRPr="00104227">
        <w:rPr>
          <w:lang w:val="en-US"/>
        </w:rPr>
        <w:t xml:space="preserve"> degrading treatment</w:t>
      </w:r>
      <w:r w:rsidR="00633C8A" w:rsidRPr="00104227">
        <w:rPr>
          <w:lang w:val="en-US"/>
        </w:rPr>
        <w:t xml:space="preserve"> </w:t>
      </w:r>
      <w:r w:rsidR="00285597" w:rsidRPr="00104227">
        <w:rPr>
          <w:lang w:val="en-US"/>
        </w:rPr>
        <w:t>in the sphere of its jurisdiction</w:t>
      </w:r>
      <w:r w:rsidR="00633C8A" w:rsidRPr="00104227">
        <w:rPr>
          <w:lang w:val="en-US"/>
        </w:rPr>
        <w:t xml:space="preserve">. </w:t>
      </w:r>
    </w:p>
    <w:p w14:paraId="028279BE" w14:textId="03238E7D" w:rsidR="00BB1087" w:rsidRPr="00104227" w:rsidRDefault="00BB1087" w:rsidP="00E4619F">
      <w:pPr>
        <w:tabs>
          <w:tab w:val="left" w:pos="567"/>
        </w:tabs>
        <w:rPr>
          <w:lang w:eastAsia="es-MX"/>
        </w:rPr>
      </w:pPr>
    </w:p>
    <w:p w14:paraId="6BD15475" w14:textId="4AE81657" w:rsidR="00BB1087" w:rsidRPr="00104227" w:rsidRDefault="00BB1087" w:rsidP="00885693">
      <w:pPr>
        <w:pStyle w:val="Ttulo4"/>
        <w:rPr>
          <w:lang w:val="en-US" w:eastAsia="es-MX"/>
        </w:rPr>
      </w:pPr>
      <w:r w:rsidRPr="00104227">
        <w:rPr>
          <w:lang w:val="en-US"/>
        </w:rPr>
        <w:t xml:space="preserve">B.2.a </w:t>
      </w:r>
      <w:r w:rsidR="0060075A" w:rsidRPr="00104227">
        <w:rPr>
          <w:lang w:val="en-US"/>
        </w:rPr>
        <w:t>Sexual violence and rape</w:t>
      </w:r>
    </w:p>
    <w:p w14:paraId="061E062A" w14:textId="3ADE1516" w:rsidR="00BB1087" w:rsidRPr="00104227" w:rsidRDefault="00BB1087" w:rsidP="00E4619F">
      <w:pPr>
        <w:tabs>
          <w:tab w:val="left" w:pos="567"/>
        </w:tabs>
        <w:rPr>
          <w:lang w:eastAsia="es-MX"/>
        </w:rPr>
      </w:pPr>
    </w:p>
    <w:p w14:paraId="2F395A63" w14:textId="6402B815" w:rsidR="00BB1087" w:rsidRPr="00104227" w:rsidRDefault="00285597" w:rsidP="00E4619F">
      <w:pPr>
        <w:pStyle w:val="Numberedparagraphs"/>
        <w:tabs>
          <w:tab w:val="left" w:pos="567"/>
        </w:tabs>
        <w:rPr>
          <w:lang w:val="en-US"/>
        </w:rPr>
      </w:pPr>
      <w:r w:rsidRPr="00104227">
        <w:rPr>
          <w:lang w:val="en-US"/>
        </w:rPr>
        <w:t xml:space="preserve">In </w:t>
      </w:r>
      <w:r w:rsidR="00CC7EC5" w:rsidRPr="00104227">
        <w:rPr>
          <w:lang w:val="en-US"/>
        </w:rPr>
        <w:t>keeping</w:t>
      </w:r>
      <w:r w:rsidRPr="00104227">
        <w:rPr>
          <w:lang w:val="en-US"/>
        </w:rPr>
        <w:t xml:space="preserve"> with international case law and taking into account the provisions of </w:t>
      </w:r>
      <w:r w:rsidR="00BF5241" w:rsidRPr="00104227">
        <w:rPr>
          <w:lang w:val="en-US"/>
        </w:rPr>
        <w:t>the Convention</w:t>
      </w:r>
      <w:r w:rsidR="000E7B4C" w:rsidRPr="00104227">
        <w:rPr>
          <w:lang w:val="en-US"/>
        </w:rPr>
        <w:t xml:space="preserve"> </w:t>
      </w:r>
      <w:r w:rsidR="0094395C" w:rsidRPr="00104227">
        <w:rPr>
          <w:lang w:val="en-US"/>
        </w:rPr>
        <w:t>of Belém</w:t>
      </w:r>
      <w:r w:rsidR="000E7B4C" w:rsidRPr="00104227">
        <w:rPr>
          <w:lang w:val="en-US"/>
        </w:rPr>
        <w:t xml:space="preserve"> do Pará, </w:t>
      </w:r>
      <w:r w:rsidR="00BF5241" w:rsidRPr="00104227">
        <w:rPr>
          <w:lang w:val="en-US"/>
        </w:rPr>
        <w:t>the Court</w:t>
      </w:r>
      <w:r w:rsidR="000E7B4C" w:rsidRPr="00104227">
        <w:rPr>
          <w:lang w:val="en-US"/>
        </w:rPr>
        <w:t xml:space="preserve"> ha</w:t>
      </w:r>
      <w:r w:rsidRPr="00104227">
        <w:rPr>
          <w:lang w:val="en-US"/>
        </w:rPr>
        <w:t xml:space="preserve">s considered that </w:t>
      </w:r>
      <w:r w:rsidR="00814266" w:rsidRPr="00104227">
        <w:rPr>
          <w:lang w:val="en-US"/>
        </w:rPr>
        <w:t>sexual violence</w:t>
      </w:r>
      <w:r w:rsidRPr="00104227">
        <w:rPr>
          <w:lang w:val="en-US"/>
        </w:rPr>
        <w:t xml:space="preserve"> is constituted by actions of a sexual nature that are committed against an individual without their consent, and that in addition to including the physical invasion of the human body may include acts that do not involve penetration or event any physical contact.</w:t>
      </w:r>
      <w:r w:rsidR="000E7B4C" w:rsidRPr="00104227">
        <w:rPr>
          <w:rStyle w:val="Refdenotaalpie"/>
          <w:bCs/>
          <w:i/>
          <w:lang w:val="en-US"/>
        </w:rPr>
        <w:footnoteReference w:id="281"/>
      </w:r>
      <w:bookmarkStart w:id="291" w:name="_Ref528548412"/>
    </w:p>
    <w:p w14:paraId="519937D9" w14:textId="77777777" w:rsidR="00BB1087" w:rsidRPr="00104227" w:rsidRDefault="00BB1087" w:rsidP="00E4619F">
      <w:pPr>
        <w:tabs>
          <w:tab w:val="left" w:pos="567"/>
        </w:tabs>
        <w:rPr>
          <w:lang w:eastAsia="es-MX"/>
        </w:rPr>
      </w:pPr>
    </w:p>
    <w:p w14:paraId="1C9798CF" w14:textId="39BAB769" w:rsidR="00BB1087" w:rsidRPr="00104227" w:rsidRDefault="000E7B4C" w:rsidP="00E4619F">
      <w:pPr>
        <w:pStyle w:val="Numberedparagraphs"/>
        <w:tabs>
          <w:tab w:val="left" w:pos="567"/>
        </w:tabs>
        <w:rPr>
          <w:lang w:val="en-US"/>
        </w:rPr>
      </w:pPr>
      <w:r w:rsidRPr="00104227">
        <w:rPr>
          <w:lang w:val="en-US"/>
        </w:rPr>
        <w:t>A</w:t>
      </w:r>
      <w:r w:rsidR="00285597" w:rsidRPr="00104227">
        <w:rPr>
          <w:lang w:val="en-US"/>
        </w:rPr>
        <w:t xml:space="preserve">lso, following the prevailing </w:t>
      </w:r>
      <w:r w:rsidR="000F2196" w:rsidRPr="00104227">
        <w:rPr>
          <w:lang w:val="en-US"/>
        </w:rPr>
        <w:t>jurisprudence</w:t>
      </w:r>
      <w:r w:rsidR="00D25554" w:rsidRPr="00104227">
        <w:rPr>
          <w:lang w:val="en-US"/>
        </w:rPr>
        <w:t xml:space="preserve"> and </w:t>
      </w:r>
      <w:r w:rsidR="00285597" w:rsidRPr="00104227">
        <w:rPr>
          <w:lang w:val="en-US"/>
        </w:rPr>
        <w:t>legal criteria</w:t>
      </w:r>
      <w:r w:rsidR="00D25554" w:rsidRPr="00104227">
        <w:rPr>
          <w:lang w:val="en-US"/>
        </w:rPr>
        <w:t xml:space="preserve"> in international criminal law and comparative criminal law, this Court has considered that rape is any act of vaginal or anal penetration, without the victim’s consent, using parts of the attacker’s body or objects, as well as oral penetration by the penis.</w:t>
      </w:r>
      <w:r w:rsidRPr="00104227">
        <w:rPr>
          <w:rStyle w:val="Refdenotaalpie"/>
          <w:lang w:val="en-US"/>
        </w:rPr>
        <w:footnoteReference w:id="282"/>
      </w:r>
      <w:r w:rsidR="00D25554" w:rsidRPr="00104227">
        <w:rPr>
          <w:szCs w:val="16"/>
          <w:lang w:val="en-US"/>
        </w:rPr>
        <w:t xml:space="preserve"> For an act to be considered rape, it is sufficient that penetration occurs, however superficial this may be, in the terms described above.</w:t>
      </w:r>
      <w:r w:rsidRPr="00104227">
        <w:rPr>
          <w:rStyle w:val="Refdenotaalpie"/>
          <w:lang w:val="en-US"/>
        </w:rPr>
        <w:footnoteReference w:id="283"/>
      </w:r>
      <w:r w:rsidR="00D25554" w:rsidRPr="00104227">
        <w:rPr>
          <w:lang w:val="en-US"/>
        </w:rPr>
        <w:t xml:space="preserve"> Additionally, it should be understood that the vaginal penetration refers to penetration with any part of the attacker’s body</w:t>
      </w:r>
      <w:r w:rsidRPr="00104227">
        <w:rPr>
          <w:lang w:val="en-US"/>
        </w:rPr>
        <w:t xml:space="preserve"> </w:t>
      </w:r>
      <w:r w:rsidR="00D25554" w:rsidRPr="00104227">
        <w:rPr>
          <w:lang w:val="en-US"/>
        </w:rPr>
        <w:t xml:space="preserve">or objects of any genital orifice, including the major and minor labia, as well as the vaginal orifice. This interpretation conforms to the concept that any type of penetration, however superficial it </w:t>
      </w:r>
      <w:r w:rsidR="00D25554" w:rsidRPr="00104227">
        <w:rPr>
          <w:lang w:val="en-US"/>
        </w:rPr>
        <w:lastRenderedPageBreak/>
        <w:t>may be, is sufficient for an act to be considered rape. The Court understand that rape is a form of sexual violence.</w:t>
      </w:r>
      <w:r w:rsidRPr="00104227">
        <w:rPr>
          <w:rStyle w:val="Refdenotaalpie"/>
          <w:lang w:val="en-US"/>
        </w:rPr>
        <w:footnoteReference w:id="284"/>
      </w:r>
      <w:bookmarkEnd w:id="291"/>
    </w:p>
    <w:p w14:paraId="504A1F80" w14:textId="77777777" w:rsidR="00BB1087" w:rsidRPr="00104227" w:rsidRDefault="00BB1087" w:rsidP="00E4619F">
      <w:pPr>
        <w:tabs>
          <w:tab w:val="left" w:pos="567"/>
        </w:tabs>
        <w:rPr>
          <w:lang w:eastAsia="es-MX"/>
        </w:rPr>
      </w:pPr>
    </w:p>
    <w:p w14:paraId="31988EAB" w14:textId="76223A46" w:rsidR="00BB1087" w:rsidRPr="00104227" w:rsidRDefault="00D25554" w:rsidP="00E4619F">
      <w:pPr>
        <w:pStyle w:val="Numberedparagraphs"/>
        <w:tabs>
          <w:tab w:val="left" w:pos="567"/>
        </w:tabs>
        <w:rPr>
          <w:lang w:val="en-US"/>
        </w:rPr>
      </w:pPr>
      <w:r w:rsidRPr="00104227">
        <w:rPr>
          <w:lang w:val="en-US"/>
        </w:rPr>
        <w:t>I</w:t>
      </w:r>
      <w:r w:rsidR="000E7B4C" w:rsidRPr="00104227">
        <w:rPr>
          <w:lang w:val="en-US"/>
        </w:rPr>
        <w:t xml:space="preserve">n particular, </w:t>
      </w:r>
      <w:r w:rsidR="0060075A" w:rsidRPr="00104227">
        <w:rPr>
          <w:lang w:val="en-US"/>
        </w:rPr>
        <w:t>rape</w:t>
      </w:r>
      <w:r w:rsidR="000E7B4C" w:rsidRPr="00104227">
        <w:rPr>
          <w:lang w:val="en-US"/>
        </w:rPr>
        <w:t xml:space="preserve"> </w:t>
      </w:r>
      <w:r w:rsidRPr="00104227">
        <w:rPr>
          <w:lang w:val="en-US"/>
        </w:rPr>
        <w:t>is a paradigmatic form of violence against women</w:t>
      </w:r>
      <w:r w:rsidR="000E7B4C" w:rsidRPr="00104227">
        <w:rPr>
          <w:lang w:val="en-US"/>
        </w:rPr>
        <w:t xml:space="preserve"> </w:t>
      </w:r>
      <w:r w:rsidRPr="00104227">
        <w:rPr>
          <w:lang w:val="en-US"/>
        </w:rPr>
        <w:t xml:space="preserve">the consequences of which even </w:t>
      </w:r>
      <w:r w:rsidR="000F2196" w:rsidRPr="00104227">
        <w:rPr>
          <w:lang w:val="en-US"/>
        </w:rPr>
        <w:t>exceed</w:t>
      </w:r>
      <w:r w:rsidRPr="00104227">
        <w:rPr>
          <w:lang w:val="en-US"/>
        </w:rPr>
        <w:t xml:space="preserve"> the victim herself.</w:t>
      </w:r>
      <w:r w:rsidR="000E7B4C" w:rsidRPr="00104227">
        <w:rPr>
          <w:rStyle w:val="Refdenotaalpie"/>
          <w:lang w:val="en-US"/>
        </w:rPr>
        <w:footnoteReference w:id="285"/>
      </w:r>
      <w:r w:rsidR="000E7B4C" w:rsidRPr="00104227">
        <w:rPr>
          <w:lang w:val="en-US"/>
        </w:rPr>
        <w:t xml:space="preserve"> </w:t>
      </w:r>
      <w:r w:rsidRPr="00104227">
        <w:rPr>
          <w:lang w:val="en-US"/>
        </w:rPr>
        <w:t xml:space="preserve">This Court has also emphasized how the rape of a women who is detained or in the custody of a </w:t>
      </w:r>
      <w:r w:rsidR="003F10B2" w:rsidRPr="00104227">
        <w:rPr>
          <w:lang w:val="en-US"/>
        </w:rPr>
        <w:t xml:space="preserve">State </w:t>
      </w:r>
      <w:r w:rsidRPr="00104227">
        <w:rPr>
          <w:lang w:val="en-US"/>
        </w:rPr>
        <w:t xml:space="preserve">agent is an especially egregious and reprehensible act, taking into account the vulnerability of the victim and the abuse of power deployed by </w:t>
      </w:r>
      <w:r w:rsidR="0044023C" w:rsidRPr="00104227">
        <w:rPr>
          <w:lang w:val="en-US"/>
        </w:rPr>
        <w:t>the agent</w:t>
      </w:r>
      <w:r w:rsidRPr="00104227">
        <w:rPr>
          <w:lang w:val="en-US"/>
        </w:rPr>
        <w:t>.</w:t>
      </w:r>
      <w:r w:rsidR="000E7B4C" w:rsidRPr="00104227">
        <w:rPr>
          <w:rStyle w:val="Refdenotaalpie"/>
          <w:lang w:val="en-US"/>
        </w:rPr>
        <w:footnoteReference w:id="286"/>
      </w:r>
      <w:r w:rsidR="000E7B4C" w:rsidRPr="00104227">
        <w:rPr>
          <w:lang w:val="en-US"/>
        </w:rPr>
        <w:t xml:space="preserve"> </w:t>
      </w:r>
    </w:p>
    <w:p w14:paraId="22611299" w14:textId="77777777" w:rsidR="00BB1087" w:rsidRPr="00104227" w:rsidRDefault="00BB1087" w:rsidP="00E4619F">
      <w:pPr>
        <w:tabs>
          <w:tab w:val="left" w:pos="567"/>
        </w:tabs>
        <w:rPr>
          <w:lang w:eastAsia="es-MX"/>
        </w:rPr>
      </w:pPr>
    </w:p>
    <w:p w14:paraId="4A2FD826" w14:textId="65ACDCE4" w:rsidR="00BB1087" w:rsidRPr="00104227" w:rsidRDefault="00BF5241" w:rsidP="00E4619F">
      <w:pPr>
        <w:pStyle w:val="Numberedparagraphs"/>
        <w:tabs>
          <w:tab w:val="left" w:pos="567"/>
        </w:tabs>
        <w:rPr>
          <w:lang w:val="en-US"/>
        </w:rPr>
      </w:pPr>
      <w:r w:rsidRPr="00104227">
        <w:rPr>
          <w:lang w:val="en-US"/>
        </w:rPr>
        <w:t>The Court</w:t>
      </w:r>
      <w:r w:rsidR="000E7B4C" w:rsidRPr="00104227">
        <w:rPr>
          <w:lang w:val="en-US"/>
        </w:rPr>
        <w:t xml:space="preserve"> t</w:t>
      </w:r>
      <w:r w:rsidR="00AF4ADA" w:rsidRPr="00104227">
        <w:rPr>
          <w:lang w:val="en-US"/>
        </w:rPr>
        <w:t xml:space="preserve">akes note that, in the instant case, the </w:t>
      </w:r>
      <w:r w:rsidR="003F10B2" w:rsidRPr="00104227">
        <w:rPr>
          <w:lang w:val="en-US"/>
        </w:rPr>
        <w:t xml:space="preserve">State </w:t>
      </w:r>
      <w:r w:rsidR="00AF4ADA" w:rsidRPr="00104227">
        <w:rPr>
          <w:lang w:val="en-US"/>
        </w:rPr>
        <w:t xml:space="preserve">has not contested the facts related to the </w:t>
      </w:r>
      <w:r w:rsidR="00814266" w:rsidRPr="00104227">
        <w:rPr>
          <w:lang w:val="en-US"/>
        </w:rPr>
        <w:t>sexual violence</w:t>
      </w:r>
      <w:r w:rsidR="000E7B4C" w:rsidRPr="00104227">
        <w:rPr>
          <w:lang w:val="en-US"/>
        </w:rPr>
        <w:t xml:space="preserve"> </w:t>
      </w:r>
      <w:r w:rsidR="00AF4ADA" w:rsidRPr="00104227">
        <w:rPr>
          <w:lang w:val="en-US"/>
        </w:rPr>
        <w:t>e</w:t>
      </w:r>
      <w:r w:rsidR="000F2196" w:rsidRPr="00104227">
        <w:rPr>
          <w:lang w:val="en-US"/>
        </w:rPr>
        <w:t>ndured</w:t>
      </w:r>
      <w:r w:rsidR="00AF4ADA" w:rsidRPr="00104227">
        <w:rPr>
          <w:lang w:val="en-US"/>
        </w:rPr>
        <w:t xml:space="preserve"> by</w:t>
      </w:r>
      <w:r w:rsidR="000E7B4C" w:rsidRPr="00104227">
        <w:rPr>
          <w:lang w:val="en-US"/>
        </w:rPr>
        <w:t xml:space="preserve"> </w:t>
      </w:r>
      <w:r w:rsidR="00F12946" w:rsidRPr="00104227">
        <w:rPr>
          <w:lang w:val="en-US"/>
        </w:rPr>
        <w:t>the eleven women</w:t>
      </w:r>
      <w:r w:rsidR="000E7B4C" w:rsidRPr="00104227">
        <w:rPr>
          <w:lang w:val="en-US"/>
        </w:rPr>
        <w:t xml:space="preserve"> </w:t>
      </w:r>
      <w:r w:rsidR="00AF4ADA" w:rsidRPr="00104227">
        <w:rPr>
          <w:lang w:val="en-US"/>
        </w:rPr>
        <w:t xml:space="preserve">in the context of their detention, transfer and subsequent “deposit” in the </w:t>
      </w:r>
      <w:r w:rsidR="000E7B4C" w:rsidRPr="00104227">
        <w:rPr>
          <w:lang w:val="en-US"/>
        </w:rPr>
        <w:t xml:space="preserve">CEPRESO. </w:t>
      </w:r>
      <w:r w:rsidR="00AF4ADA" w:rsidRPr="00104227">
        <w:rPr>
          <w:lang w:val="en-US"/>
        </w:rPr>
        <w:t>To the contrary</w:t>
      </w:r>
      <w:r w:rsidR="000E7B4C" w:rsidRPr="00104227">
        <w:rPr>
          <w:lang w:val="en-US"/>
        </w:rPr>
        <w:t xml:space="preserve">, </w:t>
      </w:r>
      <w:r w:rsidRPr="00104227">
        <w:rPr>
          <w:lang w:val="en-US"/>
        </w:rPr>
        <w:t>Mexico</w:t>
      </w:r>
      <w:r w:rsidR="000E7B4C" w:rsidRPr="00104227">
        <w:rPr>
          <w:lang w:val="en-US"/>
        </w:rPr>
        <w:t xml:space="preserve"> </w:t>
      </w:r>
      <w:r w:rsidR="00AF4ADA" w:rsidRPr="00104227">
        <w:rPr>
          <w:lang w:val="en-US"/>
        </w:rPr>
        <w:t xml:space="preserve">has expressly acknowledged these facts </w:t>
      </w:r>
      <w:r w:rsidR="00F86476" w:rsidRPr="00104227">
        <w:rPr>
          <w:lang w:val="en-US"/>
        </w:rPr>
        <w:t>(</w:t>
      </w:r>
      <w:r w:rsidR="00F86476" w:rsidRPr="00104227">
        <w:rPr>
          <w:i/>
          <w:lang w:val="en-US"/>
        </w:rPr>
        <w:t xml:space="preserve">supra </w:t>
      </w:r>
      <w:r w:rsidRPr="00104227">
        <w:rPr>
          <w:lang w:val="en-US"/>
        </w:rPr>
        <w:t>para.</w:t>
      </w:r>
      <w:r w:rsidR="00F86476" w:rsidRPr="00104227">
        <w:rPr>
          <w:lang w:val="en-US"/>
        </w:rPr>
        <w:t xml:space="preserve"> </w:t>
      </w:r>
      <w:r w:rsidR="00F86476" w:rsidRPr="00104227">
        <w:rPr>
          <w:lang w:val="en-US"/>
        </w:rPr>
        <w:fldChar w:fldCharType="begin"/>
      </w:r>
      <w:r w:rsidR="00F86476" w:rsidRPr="00104227">
        <w:rPr>
          <w:lang w:val="en-US"/>
        </w:rPr>
        <w:instrText xml:space="preserve"> REF _Ref531109775 \r \h </w:instrText>
      </w:r>
      <w:r w:rsidR="00284EAE" w:rsidRPr="00104227">
        <w:rPr>
          <w:lang w:val="en-US"/>
        </w:rPr>
        <w:instrText xml:space="preserve"> \* MERGEFORMAT </w:instrText>
      </w:r>
      <w:r w:rsidR="00F86476" w:rsidRPr="00104227">
        <w:rPr>
          <w:lang w:val="en-US"/>
        </w:rPr>
      </w:r>
      <w:r w:rsidR="00F86476" w:rsidRPr="00104227">
        <w:rPr>
          <w:lang w:val="en-US"/>
        </w:rPr>
        <w:fldChar w:fldCharType="separate"/>
      </w:r>
      <w:r w:rsidR="004276BD">
        <w:rPr>
          <w:lang w:val="en-US"/>
        </w:rPr>
        <w:t>35</w:t>
      </w:r>
      <w:r w:rsidR="00F86476" w:rsidRPr="00104227">
        <w:rPr>
          <w:lang w:val="en-US"/>
        </w:rPr>
        <w:fldChar w:fldCharType="end"/>
      </w:r>
      <w:r w:rsidR="00F86476" w:rsidRPr="00104227">
        <w:rPr>
          <w:lang w:val="en-US"/>
        </w:rPr>
        <w:t>)</w:t>
      </w:r>
      <w:r w:rsidR="000E7B4C" w:rsidRPr="00104227">
        <w:rPr>
          <w:lang w:val="en-US"/>
        </w:rPr>
        <w:t xml:space="preserve">. </w:t>
      </w:r>
    </w:p>
    <w:p w14:paraId="70CC2B22" w14:textId="77777777" w:rsidR="00BB1087" w:rsidRPr="00104227" w:rsidRDefault="00BB1087" w:rsidP="00E4619F">
      <w:pPr>
        <w:tabs>
          <w:tab w:val="left" w:pos="567"/>
        </w:tabs>
        <w:rPr>
          <w:lang w:eastAsia="es-MX"/>
        </w:rPr>
      </w:pPr>
    </w:p>
    <w:p w14:paraId="1AD77C86" w14:textId="4D15FAD4" w:rsidR="00BB1087" w:rsidRPr="00104227" w:rsidRDefault="00AF4ADA" w:rsidP="00E4619F">
      <w:pPr>
        <w:pStyle w:val="Numberedparagraphs"/>
        <w:tabs>
          <w:tab w:val="left" w:pos="567"/>
        </w:tabs>
        <w:rPr>
          <w:spacing w:val="-2"/>
          <w:lang w:val="en-US"/>
        </w:rPr>
      </w:pPr>
      <w:r w:rsidRPr="00104227">
        <w:rPr>
          <w:lang w:val="en-US"/>
        </w:rPr>
        <w:t xml:space="preserve">Nevertheless, the Court notes the consistency </w:t>
      </w:r>
      <w:r w:rsidR="000F2196" w:rsidRPr="00104227">
        <w:rPr>
          <w:lang w:val="en-US"/>
        </w:rPr>
        <w:t>of</w:t>
      </w:r>
      <w:r w:rsidRPr="00104227">
        <w:rPr>
          <w:lang w:val="en-US"/>
        </w:rPr>
        <w:t xml:space="preserve"> the different statements provided</w:t>
      </w:r>
      <w:r w:rsidR="000F2196" w:rsidRPr="00104227">
        <w:rPr>
          <w:lang w:val="en-US"/>
        </w:rPr>
        <w:t xml:space="preserve"> </w:t>
      </w:r>
      <w:r w:rsidRPr="00104227">
        <w:rPr>
          <w:lang w:val="en-US"/>
        </w:rPr>
        <w:t xml:space="preserve">by the women regarding what happened. Also, in many cases, the injuries that were recorded, although superficial, were consistent with some of the abuse recounted; also their statements are supported by the expert appraisals that were conducted in application of the </w:t>
      </w:r>
      <w:r w:rsidRPr="00104227">
        <w:rPr>
          <w:spacing w:val="-2"/>
          <w:lang w:val="en-US"/>
        </w:rPr>
        <w:t>Istanbul Protocol</w:t>
      </w:r>
      <w:r w:rsidR="000E7B4C" w:rsidRPr="00104227">
        <w:rPr>
          <w:spacing w:val="-2"/>
          <w:lang w:val="en-US"/>
        </w:rPr>
        <w:t xml:space="preserve"> (</w:t>
      </w:r>
      <w:r w:rsidR="000E7B4C" w:rsidRPr="00104227">
        <w:rPr>
          <w:i/>
          <w:spacing w:val="-2"/>
          <w:lang w:val="en-US"/>
        </w:rPr>
        <w:t>supra</w:t>
      </w:r>
      <w:r w:rsidR="000E7B4C" w:rsidRPr="00104227">
        <w:rPr>
          <w:spacing w:val="-2"/>
          <w:lang w:val="en-US"/>
        </w:rPr>
        <w:t xml:space="preserve"> </w:t>
      </w:r>
      <w:r w:rsidR="00BF5241" w:rsidRPr="00104227">
        <w:rPr>
          <w:spacing w:val="-2"/>
          <w:lang w:val="en-US"/>
        </w:rPr>
        <w:t>paras.</w:t>
      </w:r>
      <w:r w:rsidR="000E7B4C" w:rsidRPr="00104227">
        <w:rPr>
          <w:spacing w:val="-2"/>
          <w:lang w:val="en-US"/>
        </w:rPr>
        <w:t xml:space="preserve"> </w:t>
      </w:r>
      <w:r w:rsidR="00AC3613" w:rsidRPr="00104227">
        <w:rPr>
          <w:spacing w:val="-2"/>
          <w:lang w:val="en-US"/>
        </w:rPr>
        <w:fldChar w:fldCharType="begin"/>
      </w:r>
      <w:r w:rsidR="00AC3613" w:rsidRPr="00104227">
        <w:rPr>
          <w:spacing w:val="-2"/>
          <w:lang w:val="en-US"/>
        </w:rPr>
        <w:instrText xml:space="preserve"> REF _Ref532906153 \r \h </w:instrText>
      </w:r>
      <w:r w:rsidR="00284EAE" w:rsidRPr="00104227">
        <w:rPr>
          <w:spacing w:val="-2"/>
          <w:lang w:val="en-US"/>
        </w:rPr>
        <w:instrText xml:space="preserve"> \* MERGEFORMAT </w:instrText>
      </w:r>
      <w:r w:rsidR="00AC3613" w:rsidRPr="00104227">
        <w:rPr>
          <w:spacing w:val="-2"/>
          <w:lang w:val="en-US"/>
        </w:rPr>
      </w:r>
      <w:r w:rsidR="00AC3613" w:rsidRPr="00104227">
        <w:rPr>
          <w:spacing w:val="-2"/>
          <w:lang w:val="en-US"/>
        </w:rPr>
        <w:fldChar w:fldCharType="separate"/>
      </w:r>
      <w:r w:rsidR="004276BD">
        <w:rPr>
          <w:spacing w:val="-2"/>
          <w:lang w:val="en-US"/>
        </w:rPr>
        <w:t>106</w:t>
      </w:r>
      <w:r w:rsidR="00AC3613" w:rsidRPr="00104227">
        <w:rPr>
          <w:spacing w:val="-2"/>
          <w:lang w:val="en-US"/>
        </w:rPr>
        <w:fldChar w:fldCharType="end"/>
      </w:r>
      <w:r w:rsidR="00AC3613" w:rsidRPr="00104227">
        <w:rPr>
          <w:spacing w:val="-2"/>
          <w:lang w:val="en-US"/>
        </w:rPr>
        <w:t xml:space="preserve"> </w:t>
      </w:r>
      <w:r w:rsidRPr="00104227">
        <w:rPr>
          <w:spacing w:val="-2"/>
          <w:lang w:val="en-US"/>
        </w:rPr>
        <w:t>to</w:t>
      </w:r>
      <w:r w:rsidR="00AC3613" w:rsidRPr="00104227">
        <w:rPr>
          <w:spacing w:val="-2"/>
          <w:lang w:val="en-US"/>
        </w:rPr>
        <w:t xml:space="preserve"> </w:t>
      </w:r>
      <w:r w:rsidR="00AC3613" w:rsidRPr="00104227">
        <w:rPr>
          <w:spacing w:val="-2"/>
          <w:lang w:val="en-US"/>
        </w:rPr>
        <w:fldChar w:fldCharType="begin"/>
      </w:r>
      <w:r w:rsidR="00AC3613" w:rsidRPr="00104227">
        <w:rPr>
          <w:spacing w:val="-2"/>
          <w:lang w:val="en-US"/>
        </w:rPr>
        <w:instrText xml:space="preserve"> REF _Ref532906158 \r \h </w:instrText>
      </w:r>
      <w:r w:rsidR="00284EAE" w:rsidRPr="00104227">
        <w:rPr>
          <w:spacing w:val="-2"/>
          <w:lang w:val="en-US"/>
        </w:rPr>
        <w:instrText xml:space="preserve"> \* MERGEFORMAT </w:instrText>
      </w:r>
      <w:r w:rsidR="00AC3613" w:rsidRPr="00104227">
        <w:rPr>
          <w:spacing w:val="-2"/>
          <w:lang w:val="en-US"/>
        </w:rPr>
      </w:r>
      <w:r w:rsidR="00AC3613" w:rsidRPr="00104227">
        <w:rPr>
          <w:spacing w:val="-2"/>
          <w:lang w:val="en-US"/>
        </w:rPr>
        <w:fldChar w:fldCharType="separate"/>
      </w:r>
      <w:r w:rsidR="004276BD">
        <w:rPr>
          <w:spacing w:val="-2"/>
          <w:lang w:val="en-US"/>
        </w:rPr>
        <w:t>112</w:t>
      </w:r>
      <w:r w:rsidR="00AC3613" w:rsidRPr="00104227">
        <w:rPr>
          <w:spacing w:val="-2"/>
          <w:lang w:val="en-US"/>
        </w:rPr>
        <w:fldChar w:fldCharType="end"/>
      </w:r>
      <w:r w:rsidR="000E7B4C" w:rsidRPr="00104227">
        <w:rPr>
          <w:spacing w:val="-2"/>
          <w:lang w:val="en-US"/>
        </w:rPr>
        <w:t xml:space="preserve">). </w:t>
      </w:r>
    </w:p>
    <w:p w14:paraId="70D4AB85" w14:textId="77777777" w:rsidR="00BB1087" w:rsidRPr="00104227" w:rsidRDefault="00BB1087" w:rsidP="00E4619F">
      <w:pPr>
        <w:tabs>
          <w:tab w:val="left" w:pos="567"/>
        </w:tabs>
        <w:rPr>
          <w:lang w:eastAsia="es-MX"/>
        </w:rPr>
      </w:pPr>
    </w:p>
    <w:p w14:paraId="06063EBB" w14:textId="185F55D4" w:rsidR="00BB1087" w:rsidRPr="00104227" w:rsidRDefault="00AF4ADA" w:rsidP="00E4619F">
      <w:pPr>
        <w:pStyle w:val="Numberedparagraphs"/>
        <w:tabs>
          <w:tab w:val="left" w:pos="567"/>
        </w:tabs>
        <w:rPr>
          <w:rFonts w:ascii="Arial" w:hAnsi="Arial" w:cs="Arial"/>
          <w:sz w:val="22"/>
          <w:lang w:val="en-US"/>
        </w:rPr>
      </w:pPr>
      <w:r w:rsidRPr="00104227">
        <w:rPr>
          <w:lang w:val="en-US"/>
        </w:rPr>
        <w:t>The</w:t>
      </w:r>
      <w:r w:rsidR="00BF5241" w:rsidRPr="00104227">
        <w:rPr>
          <w:lang w:val="en-US"/>
        </w:rPr>
        <w:t xml:space="preserve"> Court</w:t>
      </w:r>
      <w:r w:rsidR="000E7B4C" w:rsidRPr="00104227">
        <w:rPr>
          <w:lang w:val="en-US"/>
        </w:rPr>
        <w:t xml:space="preserve"> </w:t>
      </w:r>
      <w:r w:rsidRPr="00104227">
        <w:rPr>
          <w:lang w:val="en-US"/>
        </w:rPr>
        <w:t xml:space="preserve">also </w:t>
      </w:r>
      <w:r w:rsidR="000F2196" w:rsidRPr="00104227">
        <w:rPr>
          <w:lang w:val="en-US"/>
        </w:rPr>
        <w:t>notes</w:t>
      </w:r>
      <w:r w:rsidRPr="00104227">
        <w:rPr>
          <w:lang w:val="en-US"/>
        </w:rPr>
        <w:t xml:space="preserve"> that the abuse committed against the eleven women took place in a broad</w:t>
      </w:r>
      <w:r w:rsidR="000F2196" w:rsidRPr="00104227">
        <w:rPr>
          <w:lang w:val="en-US"/>
        </w:rPr>
        <w:t>er</w:t>
      </w:r>
      <w:r w:rsidRPr="00104227">
        <w:rPr>
          <w:lang w:val="en-US"/>
        </w:rPr>
        <w:t xml:space="preserve"> context verified by </w:t>
      </w:r>
      <w:r w:rsidR="008F27D0" w:rsidRPr="00104227">
        <w:rPr>
          <w:lang w:val="en-US"/>
        </w:rPr>
        <w:t>the SCJN</w:t>
      </w:r>
      <w:r w:rsidR="000E7B4C" w:rsidRPr="00104227">
        <w:rPr>
          <w:lang w:val="en-US"/>
        </w:rPr>
        <w:t xml:space="preserve">, </w:t>
      </w:r>
      <w:r w:rsidRPr="00104227">
        <w:rPr>
          <w:lang w:val="en-US"/>
        </w:rPr>
        <w:t>which concluded that “</w:t>
      </w:r>
      <w:r w:rsidR="000F2196" w:rsidRPr="00104227">
        <w:rPr>
          <w:lang w:val="en-US"/>
        </w:rPr>
        <w:t>during</w:t>
      </w:r>
      <w:r w:rsidRPr="00104227">
        <w:rPr>
          <w:lang w:val="en-US"/>
        </w:rPr>
        <w:t xml:space="preserve"> the police operations [of </w:t>
      </w:r>
      <w:r w:rsidR="00DF5F3C" w:rsidRPr="00104227">
        <w:rPr>
          <w:lang w:val="en-US"/>
        </w:rPr>
        <w:t>May 3 and 4,</w:t>
      </w:r>
      <w:r w:rsidR="000E7B4C" w:rsidRPr="00104227">
        <w:rPr>
          <w:lang w:val="en-US"/>
        </w:rPr>
        <w:t xml:space="preserve"> 2006</w:t>
      </w:r>
      <w:r w:rsidRPr="00104227">
        <w:rPr>
          <w:lang w:val="en-US"/>
        </w:rPr>
        <w:t>,</w:t>
      </w:r>
      <w:r w:rsidR="000E7B4C" w:rsidRPr="00104227">
        <w:rPr>
          <w:lang w:val="en-US"/>
        </w:rPr>
        <w:t xml:space="preserve">] </w:t>
      </w:r>
      <w:r w:rsidRPr="00104227">
        <w:rPr>
          <w:lang w:val="en-US"/>
        </w:rPr>
        <w:t xml:space="preserve">the police used sexual </w:t>
      </w:r>
      <w:r w:rsidR="000F2196" w:rsidRPr="00104227">
        <w:rPr>
          <w:lang w:val="en-US"/>
        </w:rPr>
        <w:t xml:space="preserve">and </w:t>
      </w:r>
      <w:r w:rsidRPr="00104227">
        <w:rPr>
          <w:lang w:val="en-US"/>
        </w:rPr>
        <w:t xml:space="preserve">physical force against </w:t>
      </w:r>
      <w:r w:rsidR="000F2196" w:rsidRPr="00104227">
        <w:rPr>
          <w:lang w:val="en-US"/>
        </w:rPr>
        <w:t>most</w:t>
      </w:r>
      <w:r w:rsidRPr="00104227">
        <w:rPr>
          <w:lang w:val="en-US"/>
        </w:rPr>
        <w:t xml:space="preserve"> of the women detained.” It also determined that at least 62% of the women detained in the operations recounted that they had suffered sexual abuse.</w:t>
      </w:r>
      <w:r w:rsidR="000C22FD" w:rsidRPr="00104227">
        <w:rPr>
          <w:rStyle w:val="Refdenotaalpie"/>
          <w:lang w:val="en-US"/>
        </w:rPr>
        <w:footnoteReference w:id="287"/>
      </w:r>
      <w:r w:rsidRPr="00104227">
        <w:rPr>
          <w:lang w:val="en-US"/>
        </w:rPr>
        <w:t xml:space="preserve"> In this regard, the Court observes that the</w:t>
      </w:r>
      <w:r w:rsidR="000C22FD" w:rsidRPr="00104227">
        <w:rPr>
          <w:lang w:val="en-US"/>
        </w:rPr>
        <w:t xml:space="preserve"> </w:t>
      </w:r>
      <w:r w:rsidR="00814266" w:rsidRPr="00104227">
        <w:rPr>
          <w:lang w:val="en-US"/>
        </w:rPr>
        <w:t>sexual violence</w:t>
      </w:r>
      <w:r w:rsidR="000C22FD" w:rsidRPr="00104227">
        <w:rPr>
          <w:lang w:val="en-US"/>
        </w:rPr>
        <w:t xml:space="preserve"> </w:t>
      </w:r>
      <w:r w:rsidRPr="00104227">
        <w:rPr>
          <w:lang w:val="en-US"/>
        </w:rPr>
        <w:t>suffered by</w:t>
      </w:r>
      <w:r w:rsidR="000C22FD" w:rsidRPr="00104227">
        <w:rPr>
          <w:lang w:val="en-US"/>
        </w:rPr>
        <w:t xml:space="preserve"> </w:t>
      </w:r>
      <w:r w:rsidR="00F12946" w:rsidRPr="00104227">
        <w:rPr>
          <w:lang w:val="en-US"/>
        </w:rPr>
        <w:t>the eleven women</w:t>
      </w:r>
      <w:r w:rsidR="000C22FD" w:rsidRPr="00104227">
        <w:rPr>
          <w:lang w:val="en-US"/>
        </w:rPr>
        <w:t xml:space="preserve"> </w:t>
      </w:r>
      <w:r w:rsidRPr="00104227">
        <w:rPr>
          <w:lang w:val="en-US"/>
        </w:rPr>
        <w:t xml:space="preserve">was not isolated, but took place within a pattern that occurred throughout </w:t>
      </w:r>
      <w:r w:rsidR="008C6D02" w:rsidRPr="00104227">
        <w:rPr>
          <w:lang w:val="en-US"/>
        </w:rPr>
        <w:t>the operation</w:t>
      </w:r>
      <w:r w:rsidR="000C22FD" w:rsidRPr="00104227">
        <w:rPr>
          <w:lang w:val="en-US"/>
        </w:rPr>
        <w:t>.</w:t>
      </w:r>
      <w:r w:rsidR="00C726C5" w:rsidRPr="00104227">
        <w:rPr>
          <w:lang w:val="en-US"/>
        </w:rPr>
        <w:t xml:space="preserve"> </w:t>
      </w:r>
    </w:p>
    <w:p w14:paraId="090C0855" w14:textId="77777777" w:rsidR="00365AD8" w:rsidRPr="00104227" w:rsidRDefault="00365AD8" w:rsidP="00E4619F">
      <w:pPr>
        <w:tabs>
          <w:tab w:val="left" w:pos="567"/>
        </w:tabs>
        <w:rPr>
          <w:lang w:eastAsia="es-MX"/>
        </w:rPr>
      </w:pPr>
    </w:p>
    <w:p w14:paraId="726007DE" w14:textId="7CE93FD2" w:rsidR="00365AD8" w:rsidRPr="00104227" w:rsidRDefault="00AF4ADA" w:rsidP="00E4619F">
      <w:pPr>
        <w:pStyle w:val="Numberedparagraphs"/>
        <w:tabs>
          <w:tab w:val="left" w:pos="567"/>
        </w:tabs>
        <w:rPr>
          <w:lang w:val="en-US"/>
        </w:rPr>
      </w:pPr>
      <w:bookmarkStart w:id="292" w:name="_Ref532908891"/>
      <w:r w:rsidRPr="00104227">
        <w:rPr>
          <w:lang w:val="en-US"/>
        </w:rPr>
        <w:t xml:space="preserve">Taking the foregoing into account, as well as the facts described above </w:t>
      </w:r>
      <w:r w:rsidR="00D7501D" w:rsidRPr="00104227">
        <w:rPr>
          <w:lang w:val="en-US"/>
        </w:rPr>
        <w:t>(</w:t>
      </w:r>
      <w:r w:rsidR="00BF5241" w:rsidRPr="00104227">
        <w:rPr>
          <w:lang w:val="en-US"/>
        </w:rPr>
        <w:t>paras.</w:t>
      </w:r>
      <w:r w:rsidR="00D7501D" w:rsidRPr="00104227">
        <w:rPr>
          <w:lang w:val="en-US"/>
        </w:rPr>
        <w:t xml:space="preserve"> </w:t>
      </w:r>
      <w:r w:rsidR="00D7501D" w:rsidRPr="00104227">
        <w:rPr>
          <w:lang w:val="en-US"/>
        </w:rPr>
        <w:fldChar w:fldCharType="begin"/>
      </w:r>
      <w:r w:rsidR="00D7501D" w:rsidRPr="00104227">
        <w:rPr>
          <w:lang w:val="en-US"/>
        </w:rPr>
        <w:instrText xml:space="preserve"> REF _Ref532935559 \r \h </w:instrText>
      </w:r>
      <w:r w:rsidR="00284EAE" w:rsidRPr="00104227">
        <w:rPr>
          <w:lang w:val="en-US"/>
        </w:rPr>
        <w:instrText xml:space="preserve"> \* MERGEFORMAT </w:instrText>
      </w:r>
      <w:r w:rsidR="00D7501D" w:rsidRPr="00104227">
        <w:rPr>
          <w:lang w:val="en-US"/>
        </w:rPr>
      </w:r>
      <w:r w:rsidR="00D7501D" w:rsidRPr="00104227">
        <w:rPr>
          <w:lang w:val="en-US"/>
        </w:rPr>
        <w:fldChar w:fldCharType="separate"/>
      </w:r>
      <w:r w:rsidR="004276BD">
        <w:rPr>
          <w:lang w:val="en-US"/>
        </w:rPr>
        <w:t>75</w:t>
      </w:r>
      <w:r w:rsidR="00D7501D" w:rsidRPr="00104227">
        <w:rPr>
          <w:lang w:val="en-US"/>
        </w:rPr>
        <w:fldChar w:fldCharType="end"/>
      </w:r>
      <w:r w:rsidR="00D7501D" w:rsidRPr="00104227">
        <w:rPr>
          <w:lang w:val="en-US"/>
        </w:rPr>
        <w:t xml:space="preserve"> </w:t>
      </w:r>
      <w:r w:rsidRPr="00104227">
        <w:rPr>
          <w:lang w:val="en-US"/>
        </w:rPr>
        <w:t>to</w:t>
      </w:r>
      <w:r w:rsidR="00D7501D" w:rsidRPr="00104227">
        <w:rPr>
          <w:lang w:val="en-US"/>
        </w:rPr>
        <w:t xml:space="preserve"> </w:t>
      </w:r>
      <w:r w:rsidR="00D7501D" w:rsidRPr="00104227">
        <w:rPr>
          <w:lang w:val="en-US"/>
        </w:rPr>
        <w:fldChar w:fldCharType="begin"/>
      </w:r>
      <w:r w:rsidR="00D7501D" w:rsidRPr="00104227">
        <w:rPr>
          <w:lang w:val="en-US"/>
        </w:rPr>
        <w:instrText xml:space="preserve"> REF _Ref532935645 \r \h </w:instrText>
      </w:r>
      <w:r w:rsidR="00284EAE" w:rsidRPr="00104227">
        <w:rPr>
          <w:lang w:val="en-US"/>
        </w:rPr>
        <w:instrText xml:space="preserve"> \* MERGEFORMAT </w:instrText>
      </w:r>
      <w:r w:rsidR="00D7501D" w:rsidRPr="00104227">
        <w:rPr>
          <w:lang w:val="en-US"/>
        </w:rPr>
      </w:r>
      <w:r w:rsidR="00D7501D" w:rsidRPr="00104227">
        <w:rPr>
          <w:lang w:val="en-US"/>
        </w:rPr>
        <w:fldChar w:fldCharType="separate"/>
      </w:r>
      <w:r w:rsidR="004276BD">
        <w:rPr>
          <w:lang w:val="en-US"/>
        </w:rPr>
        <w:t>105</w:t>
      </w:r>
      <w:r w:rsidR="00D7501D" w:rsidRPr="00104227">
        <w:rPr>
          <w:lang w:val="en-US"/>
        </w:rPr>
        <w:fldChar w:fldCharType="end"/>
      </w:r>
      <w:r w:rsidR="00D7501D" w:rsidRPr="00104227">
        <w:rPr>
          <w:lang w:val="en-US"/>
        </w:rPr>
        <w:t>),</w:t>
      </w:r>
      <w:r w:rsidR="000E7B4C" w:rsidRPr="00104227">
        <w:rPr>
          <w:lang w:val="en-US"/>
        </w:rPr>
        <w:t xml:space="preserve"> </w:t>
      </w:r>
      <w:r w:rsidR="00BF5241" w:rsidRPr="00104227">
        <w:rPr>
          <w:lang w:val="en-US"/>
        </w:rPr>
        <w:t>the Court</w:t>
      </w:r>
      <w:r w:rsidR="000E7B4C" w:rsidRPr="00104227">
        <w:rPr>
          <w:lang w:val="en-US"/>
        </w:rPr>
        <w:t xml:space="preserve"> </w:t>
      </w:r>
      <w:r w:rsidRPr="00104227">
        <w:rPr>
          <w:lang w:val="en-US"/>
        </w:rPr>
        <w:t>notes that</w:t>
      </w:r>
      <w:r w:rsidR="000E7B4C" w:rsidRPr="00104227">
        <w:rPr>
          <w:lang w:val="en-US"/>
        </w:rPr>
        <w:t xml:space="preserve"> </w:t>
      </w:r>
      <w:r w:rsidR="00F12946" w:rsidRPr="00104227">
        <w:rPr>
          <w:lang w:val="en-US"/>
        </w:rPr>
        <w:t>the eleven women</w:t>
      </w:r>
      <w:r w:rsidR="000E7B4C" w:rsidRPr="00104227">
        <w:rPr>
          <w:lang w:val="en-US"/>
        </w:rPr>
        <w:t xml:space="preserve"> </w:t>
      </w:r>
      <w:r w:rsidRPr="00104227">
        <w:rPr>
          <w:lang w:val="en-US"/>
        </w:rPr>
        <w:t xml:space="preserve">were subjected to the following forms of violence, including </w:t>
      </w:r>
      <w:r w:rsidR="0060075A" w:rsidRPr="00104227">
        <w:rPr>
          <w:lang w:val="en-US"/>
        </w:rPr>
        <w:t>rape</w:t>
      </w:r>
      <w:r w:rsidR="000E7B4C" w:rsidRPr="00104227">
        <w:rPr>
          <w:lang w:val="en-US"/>
        </w:rPr>
        <w:t>:</w:t>
      </w:r>
      <w:bookmarkEnd w:id="292"/>
    </w:p>
    <w:p w14:paraId="3BB85C78" w14:textId="07BF7E4A" w:rsidR="00365AD8" w:rsidRPr="00104227" w:rsidRDefault="00365AD8" w:rsidP="00E4619F">
      <w:pPr>
        <w:tabs>
          <w:tab w:val="left" w:pos="567"/>
        </w:tabs>
        <w:rPr>
          <w:lang w:eastAsia="es-MX"/>
        </w:rPr>
      </w:pPr>
    </w:p>
    <w:p w14:paraId="6E6C74F4" w14:textId="32006356" w:rsidR="00365AD8" w:rsidRPr="00104227" w:rsidRDefault="00365AD8" w:rsidP="00E4619F">
      <w:pPr>
        <w:pStyle w:val="Prrafodelista"/>
        <w:numPr>
          <w:ilvl w:val="0"/>
          <w:numId w:val="83"/>
        </w:numPr>
        <w:tabs>
          <w:tab w:val="left" w:pos="567"/>
          <w:tab w:val="left" w:pos="720"/>
        </w:tabs>
        <w:rPr>
          <w:i/>
          <w:lang w:eastAsia="es-MX"/>
        </w:rPr>
      </w:pPr>
      <w:r w:rsidRPr="00104227">
        <w:rPr>
          <w:i/>
          <w:lang w:eastAsia="es-MX"/>
        </w:rPr>
        <w:t xml:space="preserve">Yolanda Muñoz Diosdada: </w:t>
      </w:r>
      <w:r w:rsidR="00AF4ADA" w:rsidRPr="00104227">
        <w:t>was beaten</w:t>
      </w:r>
      <w:r w:rsidRPr="00104227">
        <w:t xml:space="preserve">, </w:t>
      </w:r>
      <w:r w:rsidR="00AF4ADA" w:rsidRPr="00104227">
        <w:t>kicked</w:t>
      </w:r>
      <w:r w:rsidRPr="00104227">
        <w:t xml:space="preserve">, </w:t>
      </w:r>
      <w:r w:rsidR="00AF4ADA" w:rsidRPr="00104227">
        <w:t>insulted</w:t>
      </w:r>
      <w:r w:rsidRPr="00104227">
        <w:t xml:space="preserve">, </w:t>
      </w:r>
      <w:r w:rsidR="00AF4ADA" w:rsidRPr="00104227">
        <w:t>pulled by her hair</w:t>
      </w:r>
      <w:r w:rsidRPr="00104227">
        <w:t xml:space="preserve">, </w:t>
      </w:r>
      <w:r w:rsidR="00AF4ADA" w:rsidRPr="00104227">
        <w:t>mauled</w:t>
      </w:r>
      <w:r w:rsidR="00BF5241" w:rsidRPr="00104227">
        <w:t xml:space="preserve"> and </w:t>
      </w:r>
      <w:r w:rsidR="00AF4ADA" w:rsidRPr="00104227">
        <w:t>threatened with death or disappearance</w:t>
      </w:r>
      <w:r w:rsidRPr="00104227">
        <w:t xml:space="preserve"> </w:t>
      </w:r>
      <w:r w:rsidR="00AF4ADA" w:rsidRPr="00104227">
        <w:t>at the time of her detention</w:t>
      </w:r>
      <w:r w:rsidRPr="00104227">
        <w:t xml:space="preserve">. </w:t>
      </w:r>
      <w:r w:rsidR="00AF4ADA" w:rsidRPr="00104227">
        <w:t xml:space="preserve">During the transfer to the prison, she was groped by a police agent who lifted up her blouse and </w:t>
      </w:r>
      <w:r w:rsidR="002654DE" w:rsidRPr="00104227">
        <w:t>“squeezed</w:t>
      </w:r>
      <w:r w:rsidR="00AF4ADA" w:rsidRPr="00104227">
        <w:t xml:space="preserve"> her and pinched her nipples,” he removed her underwear, “touched her and </w:t>
      </w:r>
      <w:r w:rsidR="000F2196" w:rsidRPr="00104227">
        <w:t>rubbed</w:t>
      </w:r>
      <w:r w:rsidR="00AF4ADA" w:rsidRPr="00104227">
        <w:t xml:space="preserve"> her vagina.” On arriving at </w:t>
      </w:r>
      <w:r w:rsidRPr="00104227">
        <w:t xml:space="preserve">CEPRESO, </w:t>
      </w:r>
      <w:r w:rsidR="00AF4ADA" w:rsidRPr="00104227">
        <w:t xml:space="preserve">she was beaten once again, pulled by her hair and kicked, and made to undress in front of numerous people to be examined. </w:t>
      </w:r>
    </w:p>
    <w:p w14:paraId="51CF9F90" w14:textId="4801F667" w:rsidR="00365AD8" w:rsidRPr="00104227" w:rsidRDefault="00365AD8" w:rsidP="00E4619F">
      <w:pPr>
        <w:pStyle w:val="Prrafodelista"/>
        <w:numPr>
          <w:ilvl w:val="0"/>
          <w:numId w:val="83"/>
        </w:numPr>
        <w:tabs>
          <w:tab w:val="left" w:pos="567"/>
          <w:tab w:val="left" w:pos="720"/>
        </w:tabs>
        <w:rPr>
          <w:i/>
          <w:lang w:eastAsia="es-MX"/>
        </w:rPr>
      </w:pPr>
      <w:r w:rsidRPr="00104227">
        <w:rPr>
          <w:i/>
        </w:rPr>
        <w:t>Norma Aidé Jiménez Osorio</w:t>
      </w:r>
      <w:r w:rsidRPr="00104227">
        <w:rPr>
          <w:i/>
          <w:lang w:eastAsia="es-MX"/>
        </w:rPr>
        <w:t xml:space="preserve">: </w:t>
      </w:r>
      <w:r w:rsidR="00AF4ADA" w:rsidRPr="00104227">
        <w:t>was beaten</w:t>
      </w:r>
      <w:r w:rsidR="00BF5241" w:rsidRPr="00104227">
        <w:t xml:space="preserve"> and </w:t>
      </w:r>
      <w:r w:rsidR="00AF4ADA" w:rsidRPr="00104227">
        <w:t>left semi-naked at the time of her detention</w:t>
      </w:r>
      <w:r w:rsidRPr="00104227">
        <w:t>. Dur</w:t>
      </w:r>
      <w:r w:rsidR="00AF4ADA" w:rsidRPr="00104227">
        <w:t>ing</w:t>
      </w:r>
      <w:r w:rsidRPr="00104227">
        <w:t xml:space="preserve"> </w:t>
      </w:r>
      <w:r w:rsidR="008C6D02" w:rsidRPr="00104227">
        <w:t>the transfers</w:t>
      </w:r>
      <w:r w:rsidRPr="00104227">
        <w:t xml:space="preserve">, </w:t>
      </w:r>
      <w:r w:rsidR="00AF4ADA" w:rsidRPr="00104227">
        <w:t xml:space="preserve">they walked over her, touched her and beat her </w:t>
      </w:r>
      <w:r w:rsidR="00AF4ADA" w:rsidRPr="00104227">
        <w:lastRenderedPageBreak/>
        <w:t>buttocks and threatened to rape her. In the second vehicle</w:t>
      </w:r>
      <w:r w:rsidR="000F2196" w:rsidRPr="00104227">
        <w:t>,</w:t>
      </w:r>
      <w:r w:rsidR="00AF4ADA" w:rsidRPr="00104227">
        <w:t xml:space="preserve"> in which she was transferred to the prison, several agents “took turns” </w:t>
      </w:r>
      <w:r w:rsidR="002654DE" w:rsidRPr="00104227">
        <w:t>introducing their fingers in her vagina and anus; another introduced his tongue in her mouth, groping her and squeezing her breasts and nipples.</w:t>
      </w:r>
      <w:r w:rsidRPr="00104227">
        <w:t xml:space="preserve"> </w:t>
      </w:r>
    </w:p>
    <w:p w14:paraId="252938F2" w14:textId="3A2EC95A" w:rsidR="00365AD8" w:rsidRPr="00104227" w:rsidRDefault="00365AD8" w:rsidP="00E4619F">
      <w:pPr>
        <w:pStyle w:val="Prrafodelista"/>
        <w:numPr>
          <w:ilvl w:val="0"/>
          <w:numId w:val="83"/>
        </w:numPr>
        <w:tabs>
          <w:tab w:val="left" w:pos="567"/>
          <w:tab w:val="left" w:pos="720"/>
        </w:tabs>
        <w:rPr>
          <w:i/>
          <w:lang w:eastAsia="es-MX"/>
        </w:rPr>
      </w:pPr>
      <w:r w:rsidRPr="00104227">
        <w:rPr>
          <w:i/>
        </w:rPr>
        <w:t xml:space="preserve">María Patricia Romero Hernández: </w:t>
      </w:r>
      <w:r w:rsidR="00AF4ADA" w:rsidRPr="00104227">
        <w:t>was beaten</w:t>
      </w:r>
      <w:r w:rsidRPr="00104227">
        <w:t xml:space="preserve">, </w:t>
      </w:r>
      <w:r w:rsidR="00AF4ADA" w:rsidRPr="00104227">
        <w:t>insulted</w:t>
      </w:r>
      <w:r w:rsidR="00BF5241" w:rsidRPr="00104227">
        <w:t xml:space="preserve"> and </w:t>
      </w:r>
      <w:r w:rsidR="002654DE" w:rsidRPr="00104227">
        <w:t xml:space="preserve">threatened with violence </w:t>
      </w:r>
      <w:r w:rsidR="00AF4ADA" w:rsidRPr="00104227">
        <w:t>at the time of her detention</w:t>
      </w:r>
      <w:r w:rsidRPr="00104227">
        <w:t xml:space="preserve">. </w:t>
      </w:r>
      <w:r w:rsidR="002654DE" w:rsidRPr="00104227">
        <w:t>I</w:t>
      </w:r>
      <w:r w:rsidRPr="00104227">
        <w:t xml:space="preserve">n </w:t>
      </w:r>
      <w:r w:rsidR="000777FE" w:rsidRPr="00104227">
        <w:t>the Office of the Texcoco Assistant Attorney General</w:t>
      </w:r>
      <w:r w:rsidRPr="00104227">
        <w:t xml:space="preserve"> </w:t>
      </w:r>
      <w:r w:rsidR="002654DE" w:rsidRPr="00104227">
        <w:t xml:space="preserve">she </w:t>
      </w:r>
      <w:r w:rsidR="00AF4ADA" w:rsidRPr="00104227">
        <w:t>was beaten</w:t>
      </w:r>
      <w:r w:rsidRPr="00104227">
        <w:t xml:space="preserve">, </w:t>
      </w:r>
      <w:r w:rsidR="002654DE" w:rsidRPr="00104227">
        <w:t>threatened with rape and subjected to sexualized insults. During the transfer</w:t>
      </w:r>
      <w:r w:rsidRPr="00104227">
        <w:t xml:space="preserve">, </w:t>
      </w:r>
      <w:r w:rsidR="002654DE" w:rsidRPr="00104227">
        <w:t>several agents</w:t>
      </w:r>
      <w:r w:rsidRPr="00104227">
        <w:t xml:space="preserve"> “</w:t>
      </w:r>
      <w:r w:rsidR="002654DE" w:rsidRPr="00104227">
        <w:t xml:space="preserve">did whatever they wanted with [her]”; they squeezed her breasts, pulled her nipples and touched her genitalia on top of her clothes. Then, in the </w:t>
      </w:r>
      <w:r w:rsidRPr="00104227">
        <w:t xml:space="preserve">CEPRESO </w:t>
      </w:r>
      <w:r w:rsidR="002654DE" w:rsidRPr="00104227">
        <w:t>they beat her again and threw her violently against a wall</w:t>
      </w:r>
      <w:r w:rsidRPr="00104227">
        <w:t>.</w:t>
      </w:r>
    </w:p>
    <w:p w14:paraId="397A6964" w14:textId="2DD89997" w:rsidR="00365AD8" w:rsidRPr="00104227" w:rsidRDefault="00365AD8" w:rsidP="00E4619F">
      <w:pPr>
        <w:pStyle w:val="Prrafodelista"/>
        <w:numPr>
          <w:ilvl w:val="0"/>
          <w:numId w:val="83"/>
        </w:numPr>
        <w:tabs>
          <w:tab w:val="left" w:pos="567"/>
          <w:tab w:val="left" w:pos="720"/>
        </w:tabs>
        <w:rPr>
          <w:i/>
          <w:lang w:eastAsia="es-MX"/>
        </w:rPr>
      </w:pPr>
      <w:r w:rsidRPr="00104227">
        <w:rPr>
          <w:i/>
          <w:lang w:eastAsia="es-MX"/>
        </w:rPr>
        <w:t xml:space="preserve">Mariana Selvas Gómez: </w:t>
      </w:r>
      <w:r w:rsidR="00AF4ADA" w:rsidRPr="00104227">
        <w:rPr>
          <w:lang w:eastAsia="es-MX"/>
        </w:rPr>
        <w:t>was beaten</w:t>
      </w:r>
      <w:r w:rsidRPr="00104227">
        <w:rPr>
          <w:lang w:eastAsia="es-MX"/>
        </w:rPr>
        <w:t xml:space="preserve">, </w:t>
      </w:r>
      <w:r w:rsidR="00AF4ADA" w:rsidRPr="00104227">
        <w:rPr>
          <w:lang w:eastAsia="es-MX"/>
        </w:rPr>
        <w:t>kicked</w:t>
      </w:r>
      <w:r w:rsidRPr="00104227">
        <w:rPr>
          <w:lang w:eastAsia="es-MX"/>
        </w:rPr>
        <w:t xml:space="preserve">, </w:t>
      </w:r>
      <w:r w:rsidR="00AF4ADA" w:rsidRPr="00104227">
        <w:rPr>
          <w:lang w:eastAsia="es-MX"/>
        </w:rPr>
        <w:t>insulted</w:t>
      </w:r>
      <w:r w:rsidR="00BF5241" w:rsidRPr="00104227">
        <w:rPr>
          <w:lang w:eastAsia="es-MX"/>
        </w:rPr>
        <w:t xml:space="preserve"> and </w:t>
      </w:r>
      <w:r w:rsidR="00AF4ADA" w:rsidRPr="00104227">
        <w:rPr>
          <w:lang w:eastAsia="es-MX"/>
        </w:rPr>
        <w:t>pulled by her hair</w:t>
      </w:r>
      <w:r w:rsidRPr="00104227">
        <w:rPr>
          <w:lang w:eastAsia="es-MX"/>
        </w:rPr>
        <w:t xml:space="preserve"> </w:t>
      </w:r>
      <w:r w:rsidR="00AF4ADA" w:rsidRPr="00104227">
        <w:rPr>
          <w:lang w:eastAsia="es-MX"/>
        </w:rPr>
        <w:t>at the time of her detention</w:t>
      </w:r>
      <w:r w:rsidRPr="00104227">
        <w:rPr>
          <w:lang w:eastAsia="es-MX"/>
        </w:rPr>
        <w:t xml:space="preserve">. </w:t>
      </w:r>
      <w:r w:rsidR="002654DE" w:rsidRPr="00104227">
        <w:t>During the transfe</w:t>
      </w:r>
      <w:r w:rsidR="000F2196" w:rsidRPr="00104227">
        <w:t>r, t</w:t>
      </w:r>
      <w:r w:rsidR="002654DE" w:rsidRPr="00104227">
        <w:t>hey beat her, kicked her and pushed her; they punched her, threatened to kill her, and insulted her because she was a woman. One agent “put his hands between her legs and rubbed against her through her trousers,” he pinched her “</w:t>
      </w:r>
      <w:r w:rsidR="00F27D61" w:rsidRPr="00104227">
        <w:t>buttocks</w:t>
      </w:r>
      <w:r w:rsidR="002654DE" w:rsidRPr="00104227">
        <w:t xml:space="preserve">, vagina, and even put his fingers in her vagina.” Then, another agent groped </w:t>
      </w:r>
      <w:r w:rsidR="000F2196" w:rsidRPr="00104227">
        <w:t>h</w:t>
      </w:r>
      <w:r w:rsidR="002654DE" w:rsidRPr="00104227">
        <w:t xml:space="preserve">er, put his hands inside her clothes, tore her underwear and pinched her nipples. In the </w:t>
      </w:r>
      <w:r w:rsidRPr="00104227">
        <w:t xml:space="preserve">CEPRESO </w:t>
      </w:r>
      <w:r w:rsidR="002654DE" w:rsidRPr="00104227">
        <w:t>they continued beating and insulting her until she reached the waiting area</w:t>
      </w:r>
      <w:r w:rsidR="00D7501D" w:rsidRPr="00104227">
        <w:t>.</w:t>
      </w:r>
    </w:p>
    <w:p w14:paraId="2829F420" w14:textId="3CDBD84E" w:rsidR="00365AD8" w:rsidRPr="00104227" w:rsidRDefault="00365AD8" w:rsidP="00E4619F">
      <w:pPr>
        <w:pStyle w:val="Prrafodelista"/>
        <w:numPr>
          <w:ilvl w:val="0"/>
          <w:numId w:val="83"/>
        </w:numPr>
        <w:tabs>
          <w:tab w:val="left" w:pos="567"/>
          <w:tab w:val="left" w:pos="720"/>
        </w:tabs>
        <w:rPr>
          <w:lang w:eastAsia="es-MX"/>
        </w:rPr>
      </w:pPr>
      <w:r w:rsidRPr="00104227">
        <w:rPr>
          <w:i/>
        </w:rPr>
        <w:t xml:space="preserve">Georgina Edith </w:t>
      </w:r>
      <w:r w:rsidR="00DA23B8" w:rsidRPr="00104227">
        <w:rPr>
          <w:i/>
        </w:rPr>
        <w:t>Rosales</w:t>
      </w:r>
      <w:r w:rsidRPr="00104227">
        <w:rPr>
          <w:i/>
        </w:rPr>
        <w:t xml:space="preserve"> Gutiérrez</w:t>
      </w:r>
      <w:r w:rsidRPr="00104227">
        <w:rPr>
          <w:lang w:eastAsia="es-MX"/>
        </w:rPr>
        <w:t xml:space="preserve">: </w:t>
      </w:r>
      <w:r w:rsidR="00AF4ADA" w:rsidRPr="00104227">
        <w:t>was beaten</w:t>
      </w:r>
      <w:r w:rsidRPr="00104227">
        <w:t xml:space="preserve">, </w:t>
      </w:r>
      <w:r w:rsidR="00AF4ADA" w:rsidRPr="00104227">
        <w:t>pulled by her hair</w:t>
      </w:r>
      <w:r w:rsidRPr="00104227">
        <w:t xml:space="preserve">, </w:t>
      </w:r>
      <w:r w:rsidR="002654DE" w:rsidRPr="00104227">
        <w:t>subjected to sexualized</w:t>
      </w:r>
      <w:r w:rsidRPr="00104227">
        <w:t xml:space="preserve"> </w:t>
      </w:r>
      <w:r w:rsidR="002654DE" w:rsidRPr="00104227">
        <w:t>insults</w:t>
      </w:r>
      <w:r w:rsidR="00BF5241" w:rsidRPr="00104227">
        <w:t xml:space="preserve"> and </w:t>
      </w:r>
      <w:r w:rsidR="00AF4ADA" w:rsidRPr="00104227">
        <w:t>mauled</w:t>
      </w:r>
      <w:r w:rsidRPr="00104227">
        <w:t xml:space="preserve"> </w:t>
      </w:r>
      <w:r w:rsidR="00AF4ADA" w:rsidRPr="00104227">
        <w:t>at the time of her detention</w:t>
      </w:r>
      <w:r w:rsidRPr="00104227">
        <w:t>.</w:t>
      </w:r>
      <w:r w:rsidR="00814DEC" w:rsidRPr="00104227">
        <w:t xml:space="preserve"> </w:t>
      </w:r>
      <w:r w:rsidR="002654DE" w:rsidRPr="00104227">
        <w:t>D</w:t>
      </w:r>
      <w:r w:rsidR="00814DEC" w:rsidRPr="00104227">
        <w:t xml:space="preserve">uring </w:t>
      </w:r>
      <w:r w:rsidR="004617E1" w:rsidRPr="00104227">
        <w:t>the</w:t>
      </w:r>
      <w:r w:rsidRPr="00104227">
        <w:t xml:space="preserve"> tra</w:t>
      </w:r>
      <w:r w:rsidR="002654DE" w:rsidRPr="00104227">
        <w:t xml:space="preserve">nsfer, she </w:t>
      </w:r>
      <w:r w:rsidR="00AF4ADA" w:rsidRPr="00104227">
        <w:t>was beaten</w:t>
      </w:r>
      <w:r w:rsidRPr="00104227">
        <w:t xml:space="preserve"> </w:t>
      </w:r>
      <w:r w:rsidR="002654DE" w:rsidRPr="00104227">
        <w:t>again, pushed, threatened with anal rape and death, groped by a police agent who “placed his hands between her buttocks, squeezed her vagina, pinched her and hurt her, in addition to squeezing her breasts under her blouse”; they piled people on top of her and again beat and insulted her. In the</w:t>
      </w:r>
      <w:r w:rsidRPr="00104227">
        <w:t xml:space="preserve"> CEPRESO, </w:t>
      </w:r>
      <w:r w:rsidR="002654DE" w:rsidRPr="00104227">
        <w:t>in addition to the foregoing, she was obliged to undress in front of four doctors to be examined.</w:t>
      </w:r>
    </w:p>
    <w:p w14:paraId="331789EA" w14:textId="773CE7E1" w:rsidR="00907A64" w:rsidRPr="00104227" w:rsidRDefault="00365AD8" w:rsidP="00E4619F">
      <w:pPr>
        <w:pStyle w:val="Prrafodelista"/>
        <w:numPr>
          <w:ilvl w:val="0"/>
          <w:numId w:val="83"/>
        </w:numPr>
        <w:tabs>
          <w:tab w:val="left" w:pos="567"/>
          <w:tab w:val="left" w:pos="720"/>
        </w:tabs>
        <w:rPr>
          <w:lang w:eastAsia="es-MX"/>
        </w:rPr>
      </w:pPr>
      <w:r w:rsidRPr="00104227">
        <w:rPr>
          <w:i/>
        </w:rPr>
        <w:t>Ana María Velasco Rodríguez</w:t>
      </w:r>
      <w:r w:rsidRPr="00104227">
        <w:rPr>
          <w:i/>
          <w:lang w:eastAsia="es-MX"/>
        </w:rPr>
        <w:t>:</w:t>
      </w:r>
      <w:r w:rsidRPr="00104227">
        <w:rPr>
          <w:lang w:eastAsia="es-MX"/>
        </w:rPr>
        <w:t xml:space="preserve"> </w:t>
      </w:r>
      <w:r w:rsidR="00AF4ADA" w:rsidRPr="00104227">
        <w:t>was beaten</w:t>
      </w:r>
      <w:r w:rsidRPr="00104227">
        <w:t xml:space="preserve">, </w:t>
      </w:r>
      <w:r w:rsidR="00AF4ADA" w:rsidRPr="00104227">
        <w:t>pulled by her hair</w:t>
      </w:r>
      <w:r w:rsidRPr="00104227">
        <w:t xml:space="preserve">, </w:t>
      </w:r>
      <w:r w:rsidR="00AF4ADA" w:rsidRPr="00104227">
        <w:t>kicked</w:t>
      </w:r>
      <w:r w:rsidRPr="00104227">
        <w:t xml:space="preserve">, </w:t>
      </w:r>
      <w:r w:rsidR="00907A64" w:rsidRPr="00104227">
        <w:t>subjected to</w:t>
      </w:r>
      <w:r w:rsidRPr="00104227">
        <w:t xml:space="preserve"> </w:t>
      </w:r>
      <w:r w:rsidR="00907A64" w:rsidRPr="00104227">
        <w:t>sexualized insults</w:t>
      </w:r>
      <w:r w:rsidR="00BF5241" w:rsidRPr="00104227">
        <w:t xml:space="preserve"> and </w:t>
      </w:r>
      <w:r w:rsidR="00AF4ADA" w:rsidRPr="00104227">
        <w:t>mauled</w:t>
      </w:r>
      <w:r w:rsidRPr="00104227">
        <w:t xml:space="preserve"> </w:t>
      </w:r>
      <w:r w:rsidR="00AF4ADA" w:rsidRPr="00104227">
        <w:t>at the time of her detention</w:t>
      </w:r>
      <w:r w:rsidRPr="00104227">
        <w:t xml:space="preserve">. </w:t>
      </w:r>
      <w:r w:rsidR="00907A64" w:rsidRPr="00104227">
        <w:t>During the tran</w:t>
      </w:r>
      <w:r w:rsidR="000F2196" w:rsidRPr="00104227">
        <w:t>s</w:t>
      </w:r>
      <w:r w:rsidR="00907A64" w:rsidRPr="00104227">
        <w:t>fer</w:t>
      </w:r>
      <w:r w:rsidRPr="00104227">
        <w:t xml:space="preserve">, </w:t>
      </w:r>
      <w:r w:rsidR="00907A64" w:rsidRPr="00104227">
        <w:t xml:space="preserve">she </w:t>
      </w:r>
      <w:r w:rsidR="00F27D61" w:rsidRPr="00104227">
        <w:t>was</w:t>
      </w:r>
      <w:r w:rsidR="00907A64" w:rsidRPr="00104227">
        <w:t xml:space="preserve"> beaten again</w:t>
      </w:r>
      <w:r w:rsidR="000F2196" w:rsidRPr="00104227">
        <w:t>;</w:t>
      </w:r>
      <w:r w:rsidR="00907A64" w:rsidRPr="00104227">
        <w:t xml:space="preserve"> they touched her “breasts, vagina and buttocks while calling her a “bitch” and a “whore”; one agent put his penis in her mouth and forced her to give him oral sex and also with her ha</w:t>
      </w:r>
      <w:r w:rsidR="000F2196" w:rsidRPr="00104227">
        <w:t>nd</w:t>
      </w:r>
      <w:r w:rsidR="00907A64" w:rsidRPr="00104227">
        <w:t>, while another two agents touched her breasts and vagina. Then, another police agent again forced her to give him oral sex and another two agents “continued to grope” her and put their fingers in her vagina roughly, tearing her underwear, while they threatened her with greater abuse. In the CEPRESO, in addition to the foregoing, she was again beaten, pushed and kicked.</w:t>
      </w:r>
    </w:p>
    <w:p w14:paraId="1B739EEA" w14:textId="2F5BDBA4" w:rsidR="00365AD8" w:rsidRPr="00104227" w:rsidRDefault="00365AD8" w:rsidP="00E4619F">
      <w:pPr>
        <w:pStyle w:val="Prrafodelista"/>
        <w:numPr>
          <w:ilvl w:val="0"/>
          <w:numId w:val="83"/>
        </w:numPr>
        <w:tabs>
          <w:tab w:val="left" w:pos="567"/>
          <w:tab w:val="left" w:pos="720"/>
        </w:tabs>
        <w:rPr>
          <w:lang w:eastAsia="es-MX"/>
        </w:rPr>
      </w:pPr>
      <w:r w:rsidRPr="00104227">
        <w:rPr>
          <w:i/>
        </w:rPr>
        <w:t>Suhelen Gabriela Cuevas Jaramillo</w:t>
      </w:r>
      <w:r w:rsidRPr="00104227">
        <w:t xml:space="preserve">: </w:t>
      </w:r>
      <w:r w:rsidR="00AF4ADA" w:rsidRPr="00104227">
        <w:t>was beaten</w:t>
      </w:r>
      <w:r w:rsidRPr="00104227">
        <w:t xml:space="preserve">, </w:t>
      </w:r>
      <w:r w:rsidR="00907A64" w:rsidRPr="00104227">
        <w:t>groped</w:t>
      </w:r>
      <w:r w:rsidR="00BF5241" w:rsidRPr="00104227">
        <w:t xml:space="preserve"> and </w:t>
      </w:r>
      <w:r w:rsidR="00907A64" w:rsidRPr="00104227">
        <w:t>subjected to</w:t>
      </w:r>
      <w:r w:rsidRPr="00104227">
        <w:t xml:space="preserve"> </w:t>
      </w:r>
      <w:r w:rsidR="00907A64" w:rsidRPr="00104227">
        <w:t>sexualized insults</w:t>
      </w:r>
      <w:r w:rsidRPr="00104227">
        <w:t xml:space="preserve"> </w:t>
      </w:r>
      <w:r w:rsidR="00AF4ADA" w:rsidRPr="00104227">
        <w:t>at the time of her detention</w:t>
      </w:r>
      <w:r w:rsidRPr="00104227">
        <w:t xml:space="preserve">. </w:t>
      </w:r>
      <w:r w:rsidR="00907A64" w:rsidRPr="00104227">
        <w:t>A police agent almost undressed her, touched her breasts and buttocks and pinched her breasts and tried to take her trousers off</w:t>
      </w:r>
      <w:r w:rsidR="000F2196" w:rsidRPr="00104227">
        <w:t xml:space="preserve"> and, </w:t>
      </w:r>
      <w:r w:rsidR="00907A64" w:rsidRPr="00104227">
        <w:t>when she “closed her legs, [the agent] opened them with his boots and kicked [her] vagina.” D</w:t>
      </w:r>
      <w:r w:rsidR="00814DEC" w:rsidRPr="00104227">
        <w:t xml:space="preserve">uring </w:t>
      </w:r>
      <w:r w:rsidR="004617E1" w:rsidRPr="00104227">
        <w:t>the</w:t>
      </w:r>
      <w:r w:rsidRPr="00104227">
        <w:t xml:space="preserve"> tra</w:t>
      </w:r>
      <w:r w:rsidR="000F2196" w:rsidRPr="00104227">
        <w:t>n</w:t>
      </w:r>
      <w:r w:rsidRPr="00104227">
        <w:t>s</w:t>
      </w:r>
      <w:r w:rsidR="00907A64" w:rsidRPr="00104227">
        <w:t xml:space="preserve">fer to the prison, several police agents pinched her breasts, “tore at [her] trousers,” piled people on top of her and beat her randomly. They “tore at [her] brassiere,” leaving her with her breasts uncovered and pinched and bit them while insulting her. She felt several agents put their fingers in her vagina, </w:t>
      </w:r>
      <w:r w:rsidRPr="00104227">
        <w:t>“</w:t>
      </w:r>
      <w:r w:rsidR="00907A64" w:rsidRPr="00104227">
        <w:t xml:space="preserve">numerous times </w:t>
      </w:r>
      <w:r w:rsidR="00DA35A0" w:rsidRPr="00104227">
        <w:t>b</w:t>
      </w:r>
      <w:r w:rsidR="00907A64" w:rsidRPr="00104227">
        <w:t>ecause</w:t>
      </w:r>
      <w:r w:rsidR="00DA35A0" w:rsidRPr="00104227">
        <w:t xml:space="preserve"> some of them approached her and did it and then others approached and did it.” She was threatened with death and subjected to stressful positions, half naked and in the presence of her partner. In the </w:t>
      </w:r>
      <w:r w:rsidRPr="00104227">
        <w:t>CEPRESO,</w:t>
      </w:r>
      <w:r w:rsidR="00DA35A0" w:rsidRPr="00104227">
        <w:t xml:space="preserve"> she was beaten again and obliged to undress for the examination.</w:t>
      </w:r>
    </w:p>
    <w:p w14:paraId="3DA44875" w14:textId="1C266360" w:rsidR="00365AD8" w:rsidRPr="00104227" w:rsidRDefault="00365AD8" w:rsidP="00DA35A0">
      <w:pPr>
        <w:pStyle w:val="Prrafodelista"/>
        <w:numPr>
          <w:ilvl w:val="0"/>
          <w:numId w:val="83"/>
        </w:numPr>
        <w:tabs>
          <w:tab w:val="left" w:pos="567"/>
          <w:tab w:val="left" w:pos="720"/>
        </w:tabs>
        <w:rPr>
          <w:lang w:eastAsia="es-MX"/>
        </w:rPr>
      </w:pPr>
      <w:r w:rsidRPr="00104227">
        <w:rPr>
          <w:i/>
          <w:lang w:eastAsia="es-MX"/>
        </w:rPr>
        <w:t>Bárbara Italia Méndez Moreno</w:t>
      </w:r>
      <w:r w:rsidRPr="00104227">
        <w:rPr>
          <w:lang w:eastAsia="es-MX"/>
        </w:rPr>
        <w:t xml:space="preserve">: </w:t>
      </w:r>
      <w:r w:rsidR="00AF4ADA" w:rsidRPr="00104227">
        <w:t>was beaten</w:t>
      </w:r>
      <w:r w:rsidRPr="00104227">
        <w:t xml:space="preserve">, </w:t>
      </w:r>
      <w:r w:rsidR="00DA35A0" w:rsidRPr="00104227">
        <w:t>subjected to</w:t>
      </w:r>
      <w:r w:rsidRPr="00104227">
        <w:t xml:space="preserve"> </w:t>
      </w:r>
      <w:r w:rsidR="00907A64" w:rsidRPr="00104227">
        <w:t>sexualized insults</w:t>
      </w:r>
      <w:r w:rsidRPr="00104227">
        <w:t xml:space="preserve">, </w:t>
      </w:r>
      <w:r w:rsidR="00AF4ADA" w:rsidRPr="00104227">
        <w:t>mauled</w:t>
      </w:r>
      <w:r w:rsidR="00BF5241" w:rsidRPr="00104227">
        <w:t xml:space="preserve"> and </w:t>
      </w:r>
      <w:r w:rsidR="00DA35A0" w:rsidRPr="00104227">
        <w:t xml:space="preserve">threatened with death and rape </w:t>
      </w:r>
      <w:r w:rsidR="00AF4ADA" w:rsidRPr="00104227">
        <w:t>at the time of her detention</w:t>
      </w:r>
      <w:r w:rsidRPr="00104227">
        <w:t>.</w:t>
      </w:r>
      <w:r w:rsidR="00814DEC" w:rsidRPr="00104227">
        <w:t xml:space="preserve"> </w:t>
      </w:r>
      <w:r w:rsidR="00DA35A0" w:rsidRPr="00104227">
        <w:t>D</w:t>
      </w:r>
      <w:r w:rsidR="00814DEC" w:rsidRPr="00104227">
        <w:t xml:space="preserve">uring </w:t>
      </w:r>
      <w:r w:rsidR="004617E1" w:rsidRPr="00104227">
        <w:rPr>
          <w:lang w:eastAsia="es-MX"/>
        </w:rPr>
        <w:t>the</w:t>
      </w:r>
      <w:r w:rsidRPr="00104227">
        <w:rPr>
          <w:lang w:eastAsia="es-MX"/>
        </w:rPr>
        <w:t xml:space="preserve"> tra</w:t>
      </w:r>
      <w:r w:rsidR="00A56DAB" w:rsidRPr="00104227">
        <w:rPr>
          <w:lang w:eastAsia="es-MX"/>
        </w:rPr>
        <w:t>n</w:t>
      </w:r>
      <w:r w:rsidRPr="00104227">
        <w:rPr>
          <w:lang w:eastAsia="es-MX"/>
        </w:rPr>
        <w:t>s</w:t>
      </w:r>
      <w:r w:rsidR="00DA35A0" w:rsidRPr="00104227">
        <w:rPr>
          <w:lang w:eastAsia="es-MX"/>
        </w:rPr>
        <w:t xml:space="preserve">fer to the prison, she again </w:t>
      </w:r>
      <w:r w:rsidR="00AF4ADA" w:rsidRPr="00104227">
        <w:rPr>
          <w:lang w:eastAsia="es-MX"/>
        </w:rPr>
        <w:t>was beaten</w:t>
      </w:r>
      <w:r w:rsidRPr="00104227">
        <w:rPr>
          <w:lang w:eastAsia="es-MX"/>
        </w:rPr>
        <w:t xml:space="preserve">, </w:t>
      </w:r>
      <w:r w:rsidR="00DA35A0" w:rsidRPr="00104227">
        <w:rPr>
          <w:lang w:eastAsia="es-MX"/>
        </w:rPr>
        <w:t xml:space="preserve">pushed, piled on top of other people and undressed. In addition, she was penetrated numerous times with fingers and with a metallic object by several police agents; several agents rubbed their genitals against hers and they left her naked and in a stressful and vulnerable position during the remainder of the </w:t>
      </w:r>
      <w:r w:rsidR="00DA35A0" w:rsidRPr="00104227">
        <w:rPr>
          <w:lang w:eastAsia="es-MX"/>
        </w:rPr>
        <w:lastRenderedPageBreak/>
        <w:t xml:space="preserve">journey. She recounted that they pinched her </w:t>
      </w:r>
      <w:r w:rsidR="00F27D61" w:rsidRPr="00104227">
        <w:rPr>
          <w:lang w:eastAsia="es-MX"/>
        </w:rPr>
        <w:t>breasts</w:t>
      </w:r>
      <w:r w:rsidR="00DA35A0" w:rsidRPr="00104227">
        <w:rPr>
          <w:lang w:eastAsia="es-MX"/>
        </w:rPr>
        <w:t xml:space="preserve">, while they beat her and yelled obscene expressions, including forcing her to call one of the agents who was attacking her “cowboy.” At least three agents penetrated her vagina with their fingers, encouraging each other and, on one occasion, two agents held her hips while they encouraged another agent to “fuck her” and they threatened her, insulted her, hit her with their fists and forced their tongues into her mouth. The police “rubbed” their genitalia against her external genitalia, “first one, then another, then the first one did it again,” and then she was penetrated again “but this time with a small object” that she believed were keys; after this they left her naked and in a supremely vulnerable position for the rest of the journey to the </w:t>
      </w:r>
      <w:r w:rsidRPr="00104227">
        <w:t xml:space="preserve">CEPRESO. </w:t>
      </w:r>
      <w:r w:rsidR="00DA35A0" w:rsidRPr="00104227">
        <w:t>In the prison</w:t>
      </w:r>
      <w:r w:rsidRPr="00104227">
        <w:t>,</w:t>
      </w:r>
      <w:r w:rsidR="00DA35A0" w:rsidRPr="00104227">
        <w:t xml:space="preserve"> she</w:t>
      </w:r>
      <w:r w:rsidRPr="00104227">
        <w:t xml:space="preserve"> </w:t>
      </w:r>
      <w:r w:rsidR="00AF4ADA" w:rsidRPr="00104227">
        <w:t>was beaten</w:t>
      </w:r>
      <w:r w:rsidRPr="00104227">
        <w:t xml:space="preserve"> </w:t>
      </w:r>
      <w:r w:rsidR="00DA35A0" w:rsidRPr="00104227">
        <w:t xml:space="preserve">again and </w:t>
      </w:r>
      <w:r w:rsidR="00AF4ADA" w:rsidRPr="00104227">
        <w:t>insulted</w:t>
      </w:r>
      <w:r w:rsidR="00BF5241" w:rsidRPr="00104227">
        <w:t xml:space="preserve"> and </w:t>
      </w:r>
      <w:r w:rsidR="00DA35A0" w:rsidRPr="00104227">
        <w:t>denied medical treatment</w:t>
      </w:r>
      <w:r w:rsidR="00D7501D" w:rsidRPr="00104227">
        <w:t>.</w:t>
      </w:r>
    </w:p>
    <w:p w14:paraId="627C74FD" w14:textId="1A05D335" w:rsidR="00365AD8" w:rsidRPr="00104227" w:rsidRDefault="00365AD8" w:rsidP="00E4619F">
      <w:pPr>
        <w:pStyle w:val="Prrafodelista"/>
        <w:numPr>
          <w:ilvl w:val="0"/>
          <w:numId w:val="83"/>
        </w:numPr>
        <w:tabs>
          <w:tab w:val="left" w:pos="567"/>
          <w:tab w:val="left" w:pos="720"/>
        </w:tabs>
        <w:rPr>
          <w:lang w:eastAsia="es-MX"/>
        </w:rPr>
      </w:pPr>
      <w:r w:rsidRPr="00104227">
        <w:rPr>
          <w:i/>
        </w:rPr>
        <w:t>María Cristina Sánchez Hernández</w:t>
      </w:r>
      <w:r w:rsidRPr="00104227">
        <w:t xml:space="preserve">: </w:t>
      </w:r>
      <w:r w:rsidR="00AF4ADA" w:rsidRPr="00104227">
        <w:t>was beaten</w:t>
      </w:r>
      <w:r w:rsidR="00BF5241" w:rsidRPr="00104227">
        <w:t xml:space="preserve"> and </w:t>
      </w:r>
      <w:r w:rsidR="00AA49A6" w:rsidRPr="00104227">
        <w:t xml:space="preserve">threatened with death </w:t>
      </w:r>
      <w:r w:rsidR="00AF4ADA" w:rsidRPr="00104227">
        <w:t>at the time of her detention</w:t>
      </w:r>
      <w:r w:rsidRPr="00104227">
        <w:t>.</w:t>
      </w:r>
      <w:r w:rsidR="00814DEC" w:rsidRPr="00104227">
        <w:t xml:space="preserve"> </w:t>
      </w:r>
      <w:r w:rsidR="00AA49A6" w:rsidRPr="00104227">
        <w:t>D</w:t>
      </w:r>
      <w:r w:rsidR="00814DEC" w:rsidRPr="00104227">
        <w:t xml:space="preserve">uring </w:t>
      </w:r>
      <w:r w:rsidR="004617E1" w:rsidRPr="00104227">
        <w:t>the</w:t>
      </w:r>
      <w:r w:rsidRPr="00104227">
        <w:t xml:space="preserve"> </w:t>
      </w:r>
      <w:r w:rsidR="00AA49A6" w:rsidRPr="00104227">
        <w:t>transfer to the prison</w:t>
      </w:r>
      <w:r w:rsidRPr="00104227">
        <w:t xml:space="preserve">, </w:t>
      </w:r>
      <w:r w:rsidR="00AA49A6" w:rsidRPr="00104227">
        <w:t xml:space="preserve">she was beaten while she was interrogated and was forced to sing and tell obscene jokes; they groped her, touched her and squeezed her breasts and between her legs, and she saw how they forced another woman to perform oral sex. On arrival at the </w:t>
      </w:r>
      <w:r w:rsidRPr="00104227">
        <w:t xml:space="preserve">CEPRESO, </w:t>
      </w:r>
      <w:r w:rsidR="00AA49A6" w:rsidRPr="00104227">
        <w:t>they again kicked, insulted</w:t>
      </w:r>
      <w:r w:rsidR="00A56DAB" w:rsidRPr="00104227">
        <w:t xml:space="preserve"> and</w:t>
      </w:r>
      <w:r w:rsidR="00AA49A6" w:rsidRPr="00104227">
        <w:t xml:space="preserve"> threatened her</w:t>
      </w:r>
      <w:r w:rsidR="00D7501D" w:rsidRPr="00104227">
        <w:t>.</w:t>
      </w:r>
    </w:p>
    <w:p w14:paraId="5BA0E87F" w14:textId="7E788056" w:rsidR="00365AD8" w:rsidRPr="00104227" w:rsidRDefault="0047539E" w:rsidP="00E4619F">
      <w:pPr>
        <w:pStyle w:val="Prrafodelista"/>
        <w:numPr>
          <w:ilvl w:val="0"/>
          <w:numId w:val="83"/>
        </w:numPr>
        <w:tabs>
          <w:tab w:val="left" w:pos="567"/>
          <w:tab w:val="left" w:pos="720"/>
        </w:tabs>
        <w:rPr>
          <w:lang w:eastAsia="es-MX"/>
        </w:rPr>
      </w:pPr>
      <w:r w:rsidRPr="00104227">
        <w:rPr>
          <w:i/>
        </w:rPr>
        <w:t>Angélica Patricia Torres</w:t>
      </w:r>
      <w:r w:rsidR="00365AD8" w:rsidRPr="00104227">
        <w:rPr>
          <w:i/>
        </w:rPr>
        <w:t xml:space="preserve"> Linares</w:t>
      </w:r>
      <w:r w:rsidR="00365AD8" w:rsidRPr="00104227">
        <w:t xml:space="preserve">: </w:t>
      </w:r>
      <w:r w:rsidR="00AF4ADA" w:rsidRPr="00104227">
        <w:t>was beaten</w:t>
      </w:r>
      <w:r w:rsidR="00365AD8" w:rsidRPr="00104227">
        <w:t xml:space="preserve">, </w:t>
      </w:r>
      <w:r w:rsidR="00DA35A0" w:rsidRPr="00104227">
        <w:t>subjected to</w:t>
      </w:r>
      <w:r w:rsidR="00365AD8" w:rsidRPr="00104227">
        <w:t xml:space="preserve"> </w:t>
      </w:r>
      <w:r w:rsidR="00907A64" w:rsidRPr="00104227">
        <w:t>sexualized insults</w:t>
      </w:r>
      <w:r w:rsidR="00365AD8" w:rsidRPr="00104227">
        <w:t xml:space="preserve">, </w:t>
      </w:r>
      <w:r w:rsidR="00AA49A6" w:rsidRPr="00104227">
        <w:t>threatened with death and rape,</w:t>
      </w:r>
      <w:r w:rsidR="00BF5241" w:rsidRPr="00104227">
        <w:t xml:space="preserve"> and </w:t>
      </w:r>
      <w:r w:rsidR="00AF4ADA" w:rsidRPr="00104227">
        <w:t>mauled</w:t>
      </w:r>
      <w:r w:rsidR="00365AD8" w:rsidRPr="00104227">
        <w:t xml:space="preserve"> </w:t>
      </w:r>
      <w:r w:rsidR="00AF4ADA" w:rsidRPr="00104227">
        <w:t>at the time of her detention</w:t>
      </w:r>
      <w:r w:rsidR="00365AD8" w:rsidRPr="00104227">
        <w:t xml:space="preserve">. </w:t>
      </w:r>
      <w:r w:rsidR="00365AD8" w:rsidRPr="00104227">
        <w:rPr>
          <w:lang w:eastAsia="es-MX"/>
        </w:rPr>
        <w:t>Dur</w:t>
      </w:r>
      <w:r w:rsidR="00AA49A6" w:rsidRPr="00104227">
        <w:rPr>
          <w:lang w:eastAsia="es-MX"/>
        </w:rPr>
        <w:t>ing</w:t>
      </w:r>
      <w:r w:rsidR="00365AD8" w:rsidRPr="00104227">
        <w:rPr>
          <w:lang w:eastAsia="es-MX"/>
        </w:rPr>
        <w:t xml:space="preserve"> </w:t>
      </w:r>
      <w:r w:rsidR="008C6D02" w:rsidRPr="00104227">
        <w:rPr>
          <w:lang w:eastAsia="es-MX"/>
        </w:rPr>
        <w:t>the transfers</w:t>
      </w:r>
      <w:r w:rsidR="00365AD8" w:rsidRPr="00104227">
        <w:rPr>
          <w:lang w:eastAsia="es-MX"/>
        </w:rPr>
        <w:t xml:space="preserve">, </w:t>
      </w:r>
      <w:r w:rsidR="00AA49A6" w:rsidRPr="00104227">
        <w:rPr>
          <w:lang w:eastAsia="es-MX"/>
        </w:rPr>
        <w:t>they beat her and insulted her again, squeezed her breasts hard, groped</w:t>
      </w:r>
      <w:r w:rsidR="00A56DAB" w:rsidRPr="00104227">
        <w:rPr>
          <w:lang w:eastAsia="es-MX"/>
        </w:rPr>
        <w:t xml:space="preserve"> </w:t>
      </w:r>
      <w:r w:rsidR="00AA49A6" w:rsidRPr="00104227">
        <w:rPr>
          <w:lang w:eastAsia="es-MX"/>
        </w:rPr>
        <w:t xml:space="preserve">her and </w:t>
      </w:r>
      <w:r w:rsidR="00F27D61" w:rsidRPr="00104227">
        <w:rPr>
          <w:lang w:eastAsia="es-MX"/>
        </w:rPr>
        <w:t>touched</w:t>
      </w:r>
      <w:r w:rsidR="00AA49A6" w:rsidRPr="00104227">
        <w:rPr>
          <w:lang w:eastAsia="es-MX"/>
        </w:rPr>
        <w:t xml:space="preserve"> her buttocks and genitalia on top of her clothes. In the</w:t>
      </w:r>
      <w:r w:rsidR="00365AD8" w:rsidRPr="00104227">
        <w:rPr>
          <w:lang w:eastAsia="es-MX"/>
        </w:rPr>
        <w:t xml:space="preserve"> CEPRESO, </w:t>
      </w:r>
      <w:r w:rsidR="00AA49A6" w:rsidRPr="00104227">
        <w:rPr>
          <w:lang w:eastAsia="es-MX"/>
        </w:rPr>
        <w:t xml:space="preserve">she </w:t>
      </w:r>
      <w:r w:rsidR="00AF4ADA" w:rsidRPr="00104227">
        <w:rPr>
          <w:lang w:eastAsia="es-MX"/>
        </w:rPr>
        <w:t>was</w:t>
      </w:r>
      <w:r w:rsidR="00AA49A6" w:rsidRPr="00104227">
        <w:rPr>
          <w:lang w:eastAsia="es-MX"/>
        </w:rPr>
        <w:t xml:space="preserve"> again</w:t>
      </w:r>
      <w:r w:rsidR="00AF4ADA" w:rsidRPr="00104227">
        <w:rPr>
          <w:lang w:eastAsia="es-MX"/>
        </w:rPr>
        <w:t xml:space="preserve"> beaten</w:t>
      </w:r>
      <w:r w:rsidR="00365AD8" w:rsidRPr="00104227">
        <w:rPr>
          <w:lang w:eastAsia="es-MX"/>
        </w:rPr>
        <w:t xml:space="preserve">, </w:t>
      </w:r>
      <w:r w:rsidR="00AA49A6" w:rsidRPr="00104227">
        <w:rPr>
          <w:lang w:eastAsia="es-MX"/>
        </w:rPr>
        <w:t>threatened with</w:t>
      </w:r>
      <w:r w:rsidR="00365AD8" w:rsidRPr="00104227">
        <w:rPr>
          <w:lang w:eastAsia="es-MX"/>
        </w:rPr>
        <w:t xml:space="preserve"> </w:t>
      </w:r>
      <w:r w:rsidR="00D25554" w:rsidRPr="00104227">
        <w:rPr>
          <w:lang w:eastAsia="es-MX"/>
        </w:rPr>
        <w:t>rape</w:t>
      </w:r>
      <w:r w:rsidR="00365AD8" w:rsidRPr="00104227">
        <w:rPr>
          <w:lang w:eastAsia="es-MX"/>
        </w:rPr>
        <w:t>,</w:t>
      </w:r>
      <w:r w:rsidR="00BF5241" w:rsidRPr="00104227">
        <w:rPr>
          <w:lang w:eastAsia="es-MX"/>
        </w:rPr>
        <w:t xml:space="preserve"> and</w:t>
      </w:r>
      <w:r w:rsidR="00AA49A6" w:rsidRPr="00104227">
        <w:rPr>
          <w:lang w:eastAsia="es-MX"/>
        </w:rPr>
        <w:t xml:space="preserve"> a police agent touched her “vulva with his fingers, and subsequently penetrated [her].”</w:t>
      </w:r>
    </w:p>
    <w:p w14:paraId="47044121" w14:textId="1B6BE964" w:rsidR="00365AD8" w:rsidRPr="00104227" w:rsidRDefault="00365AD8" w:rsidP="00E4619F">
      <w:pPr>
        <w:pStyle w:val="Prrafodelista"/>
        <w:numPr>
          <w:ilvl w:val="0"/>
          <w:numId w:val="83"/>
        </w:numPr>
        <w:tabs>
          <w:tab w:val="left" w:pos="567"/>
          <w:tab w:val="left" w:pos="720"/>
        </w:tabs>
        <w:rPr>
          <w:lang w:eastAsia="ja-JP"/>
        </w:rPr>
      </w:pPr>
      <w:r w:rsidRPr="00104227">
        <w:rPr>
          <w:i/>
        </w:rPr>
        <w:t>Claudia Hernández Martínez:</w:t>
      </w:r>
      <w:r w:rsidRPr="00104227">
        <w:rPr>
          <w:b/>
        </w:rPr>
        <w:t xml:space="preserve"> </w:t>
      </w:r>
      <w:r w:rsidR="00AF4ADA" w:rsidRPr="00104227">
        <w:t>was beaten</w:t>
      </w:r>
      <w:r w:rsidRPr="00104227">
        <w:t xml:space="preserve">, </w:t>
      </w:r>
      <w:r w:rsidR="00AF4ADA" w:rsidRPr="00104227">
        <w:t>insulted</w:t>
      </w:r>
      <w:r w:rsidR="00BF5241" w:rsidRPr="00104227">
        <w:t xml:space="preserve"> and </w:t>
      </w:r>
      <w:r w:rsidR="00AF4ADA" w:rsidRPr="00104227">
        <w:t>mauled</w:t>
      </w:r>
      <w:r w:rsidRPr="00104227">
        <w:t xml:space="preserve"> </w:t>
      </w:r>
      <w:r w:rsidR="00AF4ADA" w:rsidRPr="00104227">
        <w:t>at the time of her detention</w:t>
      </w:r>
      <w:r w:rsidRPr="00104227">
        <w:t xml:space="preserve">. </w:t>
      </w:r>
      <w:r w:rsidR="00AA49A6" w:rsidRPr="00104227">
        <w:t xml:space="preserve">In addition, during the transfer, the police agents removed her underwear and several agents introduced their fingers “violently and repeatedly in [her] vagina,” while others took off her brassiere, licked her breasts and pulled her nipples, among other forms of </w:t>
      </w:r>
      <w:r w:rsidR="00D25554" w:rsidRPr="00104227">
        <w:rPr>
          <w:lang w:eastAsia="ja-JP"/>
        </w:rPr>
        <w:t>sexual violence</w:t>
      </w:r>
      <w:r w:rsidRPr="00104227">
        <w:rPr>
          <w:lang w:eastAsia="ja-JP"/>
        </w:rPr>
        <w:t xml:space="preserve">. </w:t>
      </w:r>
      <w:r w:rsidR="00AA49A6" w:rsidRPr="00104227">
        <w:rPr>
          <w:lang w:eastAsia="ja-JP"/>
        </w:rPr>
        <w:t>In the</w:t>
      </w:r>
      <w:r w:rsidRPr="00104227">
        <w:rPr>
          <w:lang w:eastAsia="ja-JP"/>
        </w:rPr>
        <w:t xml:space="preserve"> CEPRESO, </w:t>
      </w:r>
      <w:r w:rsidR="00AA49A6" w:rsidRPr="00104227">
        <w:rPr>
          <w:lang w:eastAsia="ja-JP"/>
        </w:rPr>
        <w:t xml:space="preserve">they continued to beat her, forced her to watch someone being raped, </w:t>
      </w:r>
      <w:r w:rsidR="00A56DAB" w:rsidRPr="00104227">
        <w:rPr>
          <w:lang w:eastAsia="ja-JP"/>
        </w:rPr>
        <w:t xml:space="preserve">and </w:t>
      </w:r>
      <w:r w:rsidR="00AA49A6" w:rsidRPr="00104227">
        <w:rPr>
          <w:lang w:eastAsia="ja-JP"/>
        </w:rPr>
        <w:t>pulled her hair and she suffered another attempt to rape her</w:t>
      </w:r>
      <w:r w:rsidR="00D7501D" w:rsidRPr="00104227">
        <w:rPr>
          <w:lang w:eastAsia="ja-JP"/>
        </w:rPr>
        <w:t>.</w:t>
      </w:r>
    </w:p>
    <w:p w14:paraId="585C8D49" w14:textId="77777777" w:rsidR="00365AD8" w:rsidRPr="00104227" w:rsidRDefault="00365AD8" w:rsidP="00E4619F">
      <w:pPr>
        <w:tabs>
          <w:tab w:val="left" w:pos="567"/>
        </w:tabs>
        <w:rPr>
          <w:lang w:eastAsia="es-MX"/>
        </w:rPr>
      </w:pPr>
    </w:p>
    <w:p w14:paraId="095A4BDE" w14:textId="5924CBDB" w:rsidR="00365AD8" w:rsidRPr="00104227" w:rsidRDefault="00AA49A6" w:rsidP="00387A87">
      <w:pPr>
        <w:pStyle w:val="Numberedparagraphs"/>
        <w:tabs>
          <w:tab w:val="left" w:pos="567"/>
        </w:tabs>
        <w:rPr>
          <w:lang w:val="en-US"/>
        </w:rPr>
      </w:pPr>
      <w:r w:rsidRPr="00104227">
        <w:rPr>
          <w:lang w:val="en-US"/>
        </w:rPr>
        <w:t xml:space="preserve">The foregoing reveals that </w:t>
      </w:r>
      <w:r w:rsidR="00F12946" w:rsidRPr="00104227">
        <w:rPr>
          <w:lang w:val="en-US"/>
        </w:rPr>
        <w:t>the eleven women</w:t>
      </w:r>
      <w:r w:rsidR="000E7B4C" w:rsidRPr="00104227">
        <w:rPr>
          <w:lang w:val="en-US"/>
        </w:rPr>
        <w:t xml:space="preserve"> </w:t>
      </w:r>
      <w:r w:rsidRPr="00104227">
        <w:rPr>
          <w:lang w:val="en-US"/>
        </w:rPr>
        <w:t>in this case were beate</w:t>
      </w:r>
      <w:r w:rsidR="00F27D61" w:rsidRPr="00104227">
        <w:rPr>
          <w:lang w:val="en-US"/>
        </w:rPr>
        <w:t>n</w:t>
      </w:r>
      <w:r w:rsidRPr="00104227">
        <w:rPr>
          <w:lang w:val="en-US"/>
        </w:rPr>
        <w:t xml:space="preserve">, </w:t>
      </w:r>
      <w:r w:rsidR="00AF4ADA" w:rsidRPr="00104227">
        <w:rPr>
          <w:lang w:val="en-US"/>
        </w:rPr>
        <w:t>insulted</w:t>
      </w:r>
      <w:r w:rsidR="000E7B4C" w:rsidRPr="00104227">
        <w:rPr>
          <w:lang w:val="en-US"/>
        </w:rPr>
        <w:t xml:space="preserve">, </w:t>
      </w:r>
      <w:r w:rsidR="00AF4ADA" w:rsidRPr="00104227">
        <w:rPr>
          <w:lang w:val="en-US"/>
        </w:rPr>
        <w:t>mauled</w:t>
      </w:r>
      <w:r w:rsidR="00BF5241" w:rsidRPr="00104227">
        <w:rPr>
          <w:lang w:val="en-US"/>
        </w:rPr>
        <w:t xml:space="preserve"> and </w:t>
      </w:r>
      <w:r w:rsidR="000E7B4C" w:rsidRPr="00104227">
        <w:rPr>
          <w:lang w:val="en-US"/>
        </w:rPr>
        <w:t>s</w:t>
      </w:r>
      <w:r w:rsidRPr="00104227">
        <w:rPr>
          <w:lang w:val="en-US"/>
        </w:rPr>
        <w:t xml:space="preserve">ubjected to diverse forms of </w:t>
      </w:r>
      <w:r w:rsidR="00D25554" w:rsidRPr="00104227">
        <w:rPr>
          <w:lang w:val="en-US"/>
        </w:rPr>
        <w:t>sexual violence</w:t>
      </w:r>
      <w:r w:rsidR="000E7B4C" w:rsidRPr="00104227">
        <w:rPr>
          <w:lang w:val="en-US"/>
        </w:rPr>
        <w:t xml:space="preserve"> </w:t>
      </w:r>
      <w:r w:rsidRPr="00104227">
        <w:rPr>
          <w:lang w:val="en-US"/>
        </w:rPr>
        <w:t xml:space="preserve">by numerous police agents </w:t>
      </w:r>
      <w:r w:rsidR="00AF4ADA" w:rsidRPr="00104227">
        <w:rPr>
          <w:lang w:val="en-US"/>
        </w:rPr>
        <w:t xml:space="preserve">at the time of </w:t>
      </w:r>
      <w:r w:rsidRPr="00104227">
        <w:rPr>
          <w:lang w:val="en-US"/>
        </w:rPr>
        <w:t>their</w:t>
      </w:r>
      <w:r w:rsidR="00AF4ADA" w:rsidRPr="00104227">
        <w:rPr>
          <w:lang w:val="en-US"/>
        </w:rPr>
        <w:t xml:space="preserve"> detention</w:t>
      </w:r>
      <w:r w:rsidR="000E7B4C" w:rsidRPr="00104227">
        <w:rPr>
          <w:lang w:val="en-US"/>
        </w:rPr>
        <w:t>, dur</w:t>
      </w:r>
      <w:r w:rsidRPr="00104227">
        <w:rPr>
          <w:lang w:val="en-US"/>
        </w:rPr>
        <w:t>ing the transfers and when they entered the</w:t>
      </w:r>
      <w:r w:rsidR="000E7B4C" w:rsidRPr="00104227">
        <w:rPr>
          <w:lang w:val="en-US"/>
        </w:rPr>
        <w:t xml:space="preserve"> CEPRESO. </w:t>
      </w:r>
      <w:r w:rsidR="00BF5241" w:rsidRPr="00104227">
        <w:rPr>
          <w:lang w:val="en-US"/>
        </w:rPr>
        <w:t>The Court</w:t>
      </w:r>
      <w:r w:rsidR="000E7B4C" w:rsidRPr="00104227">
        <w:rPr>
          <w:lang w:val="en-US"/>
        </w:rPr>
        <w:t xml:space="preserve"> not</w:t>
      </w:r>
      <w:r w:rsidRPr="00104227">
        <w:rPr>
          <w:lang w:val="en-US"/>
        </w:rPr>
        <w:t xml:space="preserve">es that, in this case, </w:t>
      </w:r>
      <w:r w:rsidR="00387A87" w:rsidRPr="00104227">
        <w:rPr>
          <w:lang w:val="en-US"/>
        </w:rPr>
        <w:t>the sexual or sexua</w:t>
      </w:r>
      <w:r w:rsidR="00041893" w:rsidRPr="00104227">
        <w:rPr>
          <w:lang w:val="en-US"/>
        </w:rPr>
        <w:t>l</w:t>
      </w:r>
      <w:r w:rsidR="00387A87" w:rsidRPr="00104227">
        <w:rPr>
          <w:lang w:val="en-US"/>
        </w:rPr>
        <w:t xml:space="preserve">ized nature of all the violence used against the </w:t>
      </w:r>
      <w:r w:rsidR="00F27D61" w:rsidRPr="00104227">
        <w:rPr>
          <w:lang w:val="en-US"/>
        </w:rPr>
        <w:t>victims</w:t>
      </w:r>
      <w:r w:rsidR="00387A87" w:rsidRPr="00104227">
        <w:rPr>
          <w:lang w:val="en-US"/>
        </w:rPr>
        <w:t xml:space="preserve"> stands out. The</w:t>
      </w:r>
      <w:r w:rsidR="000E7B4C" w:rsidRPr="00104227">
        <w:rPr>
          <w:lang w:val="en-US"/>
        </w:rPr>
        <w:t xml:space="preserve"> </w:t>
      </w:r>
      <w:r w:rsidR="000777FE" w:rsidRPr="00104227">
        <w:rPr>
          <w:lang w:val="en-US"/>
        </w:rPr>
        <w:t>indecent touching</w:t>
      </w:r>
      <w:r w:rsidR="000E7B4C" w:rsidRPr="00104227">
        <w:rPr>
          <w:lang w:val="en-US"/>
        </w:rPr>
        <w:t xml:space="preserve">, </w:t>
      </w:r>
      <w:r w:rsidR="000777FE" w:rsidRPr="00104227">
        <w:rPr>
          <w:lang w:val="en-US"/>
        </w:rPr>
        <w:t>groping</w:t>
      </w:r>
      <w:r w:rsidR="000E7B4C" w:rsidRPr="00104227">
        <w:rPr>
          <w:lang w:val="en-US"/>
        </w:rPr>
        <w:t xml:space="preserve">, </w:t>
      </w:r>
      <w:r w:rsidR="000777FE" w:rsidRPr="00104227">
        <w:rPr>
          <w:lang w:val="en-US"/>
        </w:rPr>
        <w:t>pinching</w:t>
      </w:r>
      <w:r w:rsidR="00BF5241" w:rsidRPr="00104227">
        <w:rPr>
          <w:lang w:val="en-US"/>
        </w:rPr>
        <w:t xml:space="preserve"> and </w:t>
      </w:r>
      <w:r w:rsidR="00387A87" w:rsidRPr="00104227">
        <w:rPr>
          <w:lang w:val="en-US"/>
        </w:rPr>
        <w:t>blows were inflicted on intimate parts of the body that are typically reserved to each individual’s private sphere, such as their breasts, genitalia and mouth. In addition, many of them were made to undress and remain naked in the buses and trucks in which they were transferred to the CEPRESO, or on entering the prison.</w:t>
      </w:r>
      <w:r w:rsidR="000E7B4C" w:rsidRPr="00104227">
        <w:rPr>
          <w:rStyle w:val="Refdenotaalpie"/>
          <w:lang w:val="en-US"/>
        </w:rPr>
        <w:footnoteReference w:id="288"/>
      </w:r>
      <w:r w:rsidR="00387A87" w:rsidRPr="00104227">
        <w:rPr>
          <w:lang w:val="en-US"/>
        </w:rPr>
        <w:t xml:space="preserve"> In addition, the insults, verbal abuse and threats to which the women were subjected had highly sexual and discriminatory gender-based connotations</w:t>
      </w:r>
      <w:r w:rsidR="000E7B4C" w:rsidRPr="00104227">
        <w:rPr>
          <w:lang w:val="en-US"/>
        </w:rPr>
        <w:t xml:space="preserve">. </w:t>
      </w:r>
      <w:r w:rsidR="00387A87" w:rsidRPr="00104227">
        <w:rPr>
          <w:lang w:val="en-US"/>
        </w:rPr>
        <w:t xml:space="preserve">Although these forms of </w:t>
      </w:r>
      <w:r w:rsidR="00F27D61" w:rsidRPr="00104227">
        <w:rPr>
          <w:lang w:val="en-US"/>
        </w:rPr>
        <w:t>violence</w:t>
      </w:r>
      <w:r w:rsidR="00387A87" w:rsidRPr="00104227">
        <w:rPr>
          <w:lang w:val="en-US"/>
        </w:rPr>
        <w:t xml:space="preserve"> will be examined in greater detail below </w:t>
      </w:r>
      <w:r w:rsidR="00476700" w:rsidRPr="00104227">
        <w:rPr>
          <w:lang w:val="en-US"/>
        </w:rPr>
        <w:t>(</w:t>
      </w:r>
      <w:r w:rsidR="00BF5241" w:rsidRPr="00104227">
        <w:rPr>
          <w:lang w:val="en-US"/>
        </w:rPr>
        <w:t>para.</w:t>
      </w:r>
      <w:r w:rsidR="000E7B4C" w:rsidRPr="00104227">
        <w:rPr>
          <w:lang w:val="en-US"/>
        </w:rPr>
        <w:t xml:space="preserve"> </w:t>
      </w:r>
      <w:r w:rsidR="00476700" w:rsidRPr="00104227">
        <w:rPr>
          <w:lang w:val="en-US"/>
        </w:rPr>
        <w:fldChar w:fldCharType="begin"/>
      </w:r>
      <w:r w:rsidR="00476700" w:rsidRPr="00104227">
        <w:rPr>
          <w:lang w:val="en-US"/>
        </w:rPr>
        <w:instrText xml:space="preserve"> REF _Ref532908704 \r \h </w:instrText>
      </w:r>
      <w:r w:rsidR="00284EAE" w:rsidRPr="00104227">
        <w:rPr>
          <w:lang w:val="en-US"/>
        </w:rPr>
        <w:instrText xml:space="preserve"> \* MERGEFORMAT </w:instrText>
      </w:r>
      <w:r w:rsidR="00476700" w:rsidRPr="00104227">
        <w:rPr>
          <w:lang w:val="en-US"/>
        </w:rPr>
      </w:r>
      <w:r w:rsidR="00476700" w:rsidRPr="00104227">
        <w:rPr>
          <w:lang w:val="en-US"/>
        </w:rPr>
        <w:fldChar w:fldCharType="separate"/>
      </w:r>
      <w:r w:rsidR="004276BD">
        <w:rPr>
          <w:lang w:val="en-US"/>
        </w:rPr>
        <w:t>210</w:t>
      </w:r>
      <w:r w:rsidR="00476700" w:rsidRPr="00104227">
        <w:rPr>
          <w:lang w:val="en-US"/>
        </w:rPr>
        <w:fldChar w:fldCharType="end"/>
      </w:r>
      <w:r w:rsidR="00BF5241" w:rsidRPr="00104227">
        <w:rPr>
          <w:lang w:val="en-US"/>
        </w:rPr>
        <w:t xml:space="preserve"> and </w:t>
      </w:r>
      <w:r w:rsidR="00387A87" w:rsidRPr="00104227">
        <w:rPr>
          <w:lang w:val="en-US"/>
        </w:rPr>
        <w:t>ff</w:t>
      </w:r>
      <w:r w:rsidR="00476700" w:rsidRPr="00104227">
        <w:rPr>
          <w:lang w:val="en-US"/>
        </w:rPr>
        <w:t>.</w:t>
      </w:r>
      <w:r w:rsidR="000E7B4C" w:rsidRPr="00104227">
        <w:rPr>
          <w:lang w:val="en-US"/>
        </w:rPr>
        <w:t xml:space="preserve">), </w:t>
      </w:r>
      <w:r w:rsidR="00BF5241" w:rsidRPr="00104227">
        <w:rPr>
          <w:lang w:val="en-US"/>
        </w:rPr>
        <w:t>the Court</w:t>
      </w:r>
      <w:r w:rsidR="000E7B4C" w:rsidRPr="00104227">
        <w:rPr>
          <w:lang w:val="en-US"/>
        </w:rPr>
        <w:t xml:space="preserve"> consider</w:t>
      </w:r>
      <w:r w:rsidR="00387A87" w:rsidRPr="00104227">
        <w:rPr>
          <w:lang w:val="en-US"/>
        </w:rPr>
        <w:t xml:space="preserve">s that all the violent actions and </w:t>
      </w:r>
      <w:r w:rsidR="00387A87" w:rsidRPr="00104227">
        <w:rPr>
          <w:lang w:val="en-US"/>
        </w:rPr>
        <w:lastRenderedPageBreak/>
        <w:t xml:space="preserve">conducts deployed by the state agents against </w:t>
      </w:r>
      <w:r w:rsidR="00F12946" w:rsidRPr="00104227">
        <w:rPr>
          <w:lang w:val="en-US"/>
        </w:rPr>
        <w:t>the eleven women</w:t>
      </w:r>
      <w:r w:rsidR="000E7B4C" w:rsidRPr="00104227">
        <w:rPr>
          <w:lang w:val="en-US"/>
        </w:rPr>
        <w:t xml:space="preserve"> </w:t>
      </w:r>
      <w:r w:rsidR="00EF03E5" w:rsidRPr="00104227">
        <w:rPr>
          <w:lang w:val="en-US"/>
        </w:rPr>
        <w:t>victims in this case</w:t>
      </w:r>
      <w:r w:rsidR="000E7B4C" w:rsidRPr="00104227">
        <w:rPr>
          <w:lang w:val="en-US"/>
        </w:rPr>
        <w:t xml:space="preserve"> </w:t>
      </w:r>
      <w:r w:rsidR="00387A87" w:rsidRPr="00104227">
        <w:rPr>
          <w:lang w:val="en-US"/>
        </w:rPr>
        <w:t xml:space="preserve">were of a sexual nature and therefore constituted </w:t>
      </w:r>
      <w:r w:rsidR="00D25554" w:rsidRPr="00104227">
        <w:rPr>
          <w:lang w:val="en-US"/>
        </w:rPr>
        <w:t>sexual violence</w:t>
      </w:r>
      <w:r w:rsidR="000E7B4C" w:rsidRPr="00104227">
        <w:rPr>
          <w:lang w:val="en-US"/>
        </w:rPr>
        <w:t xml:space="preserve">. </w:t>
      </w:r>
    </w:p>
    <w:p w14:paraId="3EC865DB" w14:textId="77777777" w:rsidR="00365AD8" w:rsidRPr="00104227" w:rsidRDefault="00365AD8" w:rsidP="00E4619F">
      <w:pPr>
        <w:tabs>
          <w:tab w:val="left" w:pos="567"/>
        </w:tabs>
        <w:rPr>
          <w:lang w:eastAsia="es-MX"/>
        </w:rPr>
      </w:pPr>
    </w:p>
    <w:p w14:paraId="571E772E" w14:textId="634CC962" w:rsidR="00365AD8" w:rsidRPr="00104227" w:rsidRDefault="00387A87" w:rsidP="00387A87">
      <w:pPr>
        <w:pStyle w:val="Numberedparagraphs"/>
        <w:tabs>
          <w:tab w:val="left" w:pos="567"/>
        </w:tabs>
        <w:rPr>
          <w:lang w:val="en-US"/>
        </w:rPr>
      </w:pPr>
      <w:r w:rsidRPr="00104227">
        <w:rPr>
          <w:lang w:val="en-US"/>
        </w:rPr>
        <w:t>In addition, as alleged by</w:t>
      </w:r>
      <w:r w:rsidR="000E7B4C" w:rsidRPr="00104227">
        <w:rPr>
          <w:lang w:val="en-US"/>
        </w:rPr>
        <w:t xml:space="preserve"> </w:t>
      </w:r>
      <w:r w:rsidR="00BF5241" w:rsidRPr="00104227">
        <w:rPr>
          <w:lang w:val="en-US"/>
        </w:rPr>
        <w:t xml:space="preserve">the Commission and </w:t>
      </w:r>
      <w:r w:rsidR="002826A6" w:rsidRPr="00104227">
        <w:rPr>
          <w:lang w:val="en-US"/>
        </w:rPr>
        <w:t>the representatives</w:t>
      </w:r>
      <w:r w:rsidR="000E7B4C" w:rsidRPr="00104227">
        <w:rPr>
          <w:lang w:val="en-US"/>
        </w:rPr>
        <w:t xml:space="preserve">, </w:t>
      </w:r>
      <w:r w:rsidRPr="00104227">
        <w:rPr>
          <w:lang w:val="en-US"/>
        </w:rPr>
        <w:t xml:space="preserve">acknowledged by the State and described by the victims, </w:t>
      </w:r>
      <w:r w:rsidR="00BF5241" w:rsidRPr="00104227">
        <w:rPr>
          <w:lang w:val="en-US"/>
        </w:rPr>
        <w:t>Court</w:t>
      </w:r>
      <w:r w:rsidR="000E7B4C" w:rsidRPr="00104227">
        <w:rPr>
          <w:lang w:val="en-US"/>
        </w:rPr>
        <w:t xml:space="preserve"> </w:t>
      </w:r>
      <w:r w:rsidRPr="00104227">
        <w:rPr>
          <w:lang w:val="en-US"/>
        </w:rPr>
        <w:t>notes that:</w:t>
      </w:r>
      <w:r w:rsidR="000E7B4C" w:rsidRPr="00104227">
        <w:rPr>
          <w:lang w:val="en-US"/>
        </w:rPr>
        <w:t xml:space="preserve"> (i) Norma Aidé Jiménez Osorio, (ii) Mariana Selvas Gómez, (iii) Ana María Velasco Rodríguez, (iv) Suhelen Gabriela Cuevas Jaramillo, (v) Bárbara Italia Méndez Moreno, (vi) </w:t>
      </w:r>
      <w:r w:rsidR="0047539E" w:rsidRPr="00104227">
        <w:rPr>
          <w:lang w:val="en-US"/>
        </w:rPr>
        <w:t>Angélica Patricia Torres</w:t>
      </w:r>
      <w:r w:rsidR="000E7B4C" w:rsidRPr="00104227">
        <w:rPr>
          <w:lang w:val="en-US"/>
        </w:rPr>
        <w:t xml:space="preserve"> Linares</w:t>
      </w:r>
      <w:r w:rsidR="00BF5241" w:rsidRPr="00104227">
        <w:rPr>
          <w:lang w:val="en-US"/>
        </w:rPr>
        <w:t xml:space="preserve"> and </w:t>
      </w:r>
      <w:r w:rsidR="000E7B4C" w:rsidRPr="00104227">
        <w:rPr>
          <w:lang w:val="en-US"/>
        </w:rPr>
        <w:t xml:space="preserve">(vii) Claudia Hernández Martínez, </w:t>
      </w:r>
      <w:r w:rsidRPr="00104227">
        <w:rPr>
          <w:lang w:val="en-US"/>
        </w:rPr>
        <w:t>were also victims of rape, to the extent that they underwent specific forms of sexual violence that included penetration of their bodies (vagina, anus and mouth) by the police agents, in some cases, in a joint and coordinated manner, with fingers, penises and, in one case, an object</w:t>
      </w:r>
      <w:r w:rsidR="000E7B4C" w:rsidRPr="00104227">
        <w:rPr>
          <w:lang w:val="en-US"/>
        </w:rPr>
        <w:t xml:space="preserve"> (</w:t>
      </w:r>
      <w:r w:rsidR="000E7B4C" w:rsidRPr="00104227">
        <w:rPr>
          <w:i/>
          <w:lang w:val="en-US"/>
        </w:rPr>
        <w:t>supra</w:t>
      </w:r>
      <w:r w:rsidR="000E7B4C" w:rsidRPr="00104227">
        <w:rPr>
          <w:lang w:val="en-US"/>
        </w:rPr>
        <w:t xml:space="preserve"> </w:t>
      </w:r>
      <w:r w:rsidR="00BF5241" w:rsidRPr="00104227">
        <w:rPr>
          <w:lang w:val="en-US"/>
        </w:rPr>
        <w:t>para.</w:t>
      </w:r>
      <w:r w:rsidR="00735386" w:rsidRPr="00104227">
        <w:rPr>
          <w:lang w:val="en-US"/>
        </w:rPr>
        <w:t xml:space="preserve"> </w:t>
      </w:r>
      <w:r w:rsidR="00735386" w:rsidRPr="00104227">
        <w:rPr>
          <w:lang w:val="en-US"/>
        </w:rPr>
        <w:fldChar w:fldCharType="begin"/>
      </w:r>
      <w:r w:rsidR="00735386" w:rsidRPr="00104227">
        <w:rPr>
          <w:lang w:val="en-US"/>
        </w:rPr>
        <w:instrText xml:space="preserve"> REF _Ref532908891 \r \h </w:instrText>
      </w:r>
      <w:r w:rsidR="00284EAE" w:rsidRPr="00104227">
        <w:rPr>
          <w:lang w:val="en-US"/>
        </w:rPr>
        <w:instrText xml:space="preserve"> \* MERGEFORMAT </w:instrText>
      </w:r>
      <w:r w:rsidR="00735386" w:rsidRPr="00104227">
        <w:rPr>
          <w:lang w:val="en-US"/>
        </w:rPr>
      </w:r>
      <w:r w:rsidR="00735386" w:rsidRPr="00104227">
        <w:rPr>
          <w:lang w:val="en-US"/>
        </w:rPr>
        <w:fldChar w:fldCharType="separate"/>
      </w:r>
      <w:r w:rsidR="004276BD">
        <w:rPr>
          <w:lang w:val="en-US"/>
        </w:rPr>
        <w:t>187</w:t>
      </w:r>
      <w:r w:rsidR="00735386" w:rsidRPr="00104227">
        <w:rPr>
          <w:lang w:val="en-US"/>
        </w:rPr>
        <w:fldChar w:fldCharType="end"/>
      </w:r>
      <w:r w:rsidR="000E7B4C" w:rsidRPr="00104227">
        <w:rPr>
          <w:lang w:val="en-US"/>
        </w:rPr>
        <w:t>).</w:t>
      </w:r>
    </w:p>
    <w:p w14:paraId="632A03DD" w14:textId="77777777" w:rsidR="00365AD8" w:rsidRPr="00104227" w:rsidRDefault="00365AD8" w:rsidP="00E4619F">
      <w:pPr>
        <w:tabs>
          <w:tab w:val="left" w:pos="567"/>
        </w:tabs>
        <w:rPr>
          <w:lang w:eastAsia="es-MX"/>
        </w:rPr>
      </w:pPr>
    </w:p>
    <w:p w14:paraId="433ADB83" w14:textId="2E480339" w:rsidR="00365AD8" w:rsidRPr="00104227" w:rsidRDefault="00376E8B" w:rsidP="00E4619F">
      <w:pPr>
        <w:pStyle w:val="Numberedparagraphs"/>
        <w:tabs>
          <w:tab w:val="left" w:pos="567"/>
        </w:tabs>
        <w:rPr>
          <w:lang w:val="en-US"/>
        </w:rPr>
      </w:pPr>
      <w:r w:rsidRPr="00104227">
        <w:rPr>
          <w:lang w:val="en-US"/>
        </w:rPr>
        <w:t xml:space="preserve">Having determined that </w:t>
      </w:r>
      <w:r w:rsidR="00F12946" w:rsidRPr="00104227">
        <w:rPr>
          <w:lang w:val="en-US"/>
        </w:rPr>
        <w:t>the eleven women</w:t>
      </w:r>
      <w:r w:rsidR="000E7B4C" w:rsidRPr="00104227">
        <w:rPr>
          <w:lang w:val="en-US"/>
        </w:rPr>
        <w:t xml:space="preserve"> </w:t>
      </w:r>
      <w:r w:rsidRPr="00104227">
        <w:rPr>
          <w:lang w:val="en-US"/>
        </w:rPr>
        <w:t xml:space="preserve">in this case were victims of </w:t>
      </w:r>
      <w:r w:rsidR="00D25554" w:rsidRPr="00104227">
        <w:rPr>
          <w:lang w:val="en-US"/>
        </w:rPr>
        <w:t>sexual violence</w:t>
      </w:r>
      <w:r w:rsidR="000E7B4C" w:rsidRPr="00104227">
        <w:rPr>
          <w:lang w:val="en-US"/>
        </w:rPr>
        <w:t>,</w:t>
      </w:r>
      <w:r w:rsidR="00BF5241" w:rsidRPr="00104227">
        <w:rPr>
          <w:lang w:val="en-US"/>
        </w:rPr>
        <w:t xml:space="preserve"> and </w:t>
      </w:r>
      <w:r w:rsidRPr="00104227">
        <w:rPr>
          <w:lang w:val="en-US"/>
        </w:rPr>
        <w:t>seven of them also of rape, the Court must determine whether this violence also constituted torture.</w:t>
      </w:r>
    </w:p>
    <w:p w14:paraId="04E23615" w14:textId="69B25077" w:rsidR="00365AD8" w:rsidRPr="00104227" w:rsidRDefault="00365AD8" w:rsidP="00E4619F">
      <w:pPr>
        <w:tabs>
          <w:tab w:val="left" w:pos="567"/>
        </w:tabs>
        <w:rPr>
          <w:lang w:eastAsia="es-MX"/>
        </w:rPr>
      </w:pPr>
    </w:p>
    <w:p w14:paraId="50166427" w14:textId="6A9982F8" w:rsidR="00365AD8" w:rsidRPr="00104227" w:rsidRDefault="00365AD8" w:rsidP="00885693">
      <w:pPr>
        <w:pStyle w:val="Ttulo4"/>
        <w:rPr>
          <w:lang w:val="en-US" w:eastAsia="es-MX"/>
        </w:rPr>
      </w:pPr>
      <w:r w:rsidRPr="00104227">
        <w:rPr>
          <w:lang w:val="en-US"/>
        </w:rPr>
        <w:t xml:space="preserve">B.2.b </w:t>
      </w:r>
      <w:r w:rsidR="00BC5201" w:rsidRPr="00104227">
        <w:rPr>
          <w:lang w:val="en-US"/>
        </w:rPr>
        <w:t>Torture</w:t>
      </w:r>
    </w:p>
    <w:p w14:paraId="78C5C80F" w14:textId="77777777" w:rsidR="00365AD8" w:rsidRPr="00104227" w:rsidRDefault="00365AD8" w:rsidP="00E4619F">
      <w:pPr>
        <w:tabs>
          <w:tab w:val="left" w:pos="567"/>
        </w:tabs>
        <w:rPr>
          <w:lang w:eastAsia="es-MX"/>
        </w:rPr>
      </w:pPr>
    </w:p>
    <w:p w14:paraId="3B6445F2" w14:textId="61DDC94C" w:rsidR="00365AD8" w:rsidRPr="00104227" w:rsidRDefault="00376E8B" w:rsidP="00E4619F">
      <w:pPr>
        <w:pStyle w:val="Numberedparagraphs"/>
        <w:tabs>
          <w:tab w:val="left" w:pos="567"/>
        </w:tabs>
        <w:rPr>
          <w:lang w:val="en-US"/>
        </w:rPr>
      </w:pPr>
      <w:r w:rsidRPr="00104227">
        <w:rPr>
          <w:lang w:val="en-US"/>
        </w:rPr>
        <w:t xml:space="preserve">According to the Court’s case law, in light of </w:t>
      </w:r>
      <w:r w:rsidR="0060075A" w:rsidRPr="00104227">
        <w:rPr>
          <w:lang w:val="en-US"/>
        </w:rPr>
        <w:t>Article</w:t>
      </w:r>
      <w:r w:rsidR="000E7B4C" w:rsidRPr="00104227">
        <w:rPr>
          <w:lang w:val="en-US"/>
        </w:rPr>
        <w:t xml:space="preserve"> </w:t>
      </w:r>
      <w:r w:rsidR="0094395C" w:rsidRPr="00104227">
        <w:rPr>
          <w:lang w:val="en-US"/>
        </w:rPr>
        <w:t>5(2)</w:t>
      </w:r>
      <w:r w:rsidR="00BF5241" w:rsidRPr="00104227">
        <w:rPr>
          <w:lang w:val="en-US"/>
        </w:rPr>
        <w:t xml:space="preserve"> of the American Convention</w:t>
      </w:r>
      <w:r w:rsidR="00041893" w:rsidRPr="00104227">
        <w:rPr>
          <w:lang w:val="en-US"/>
        </w:rPr>
        <w:t>,</w:t>
      </w:r>
      <w:r w:rsidR="000E7B4C" w:rsidRPr="00104227">
        <w:rPr>
          <w:lang w:val="en-US"/>
        </w:rPr>
        <w:t xml:space="preserve"> </w:t>
      </w:r>
      <w:r w:rsidR="00041893" w:rsidRPr="00104227">
        <w:rPr>
          <w:lang w:val="en-US"/>
        </w:rPr>
        <w:t>t</w:t>
      </w:r>
      <w:r w:rsidRPr="00104227">
        <w:rPr>
          <w:lang w:val="en-US"/>
        </w:rPr>
        <w:t>orture should be understood as any act of ill-treatment that: (i) is intentional; (ii) causes severe physical or mental suffering, and (iii) is committed with an objective or purpose.</w:t>
      </w:r>
      <w:r w:rsidR="000E7B4C" w:rsidRPr="00104227">
        <w:rPr>
          <w:vertAlign w:val="superscript"/>
          <w:lang w:val="en-US"/>
        </w:rPr>
        <w:footnoteReference w:id="289"/>
      </w:r>
    </w:p>
    <w:p w14:paraId="13249366" w14:textId="77777777" w:rsidR="00365AD8" w:rsidRPr="00104227" w:rsidRDefault="00365AD8" w:rsidP="00E4619F">
      <w:pPr>
        <w:tabs>
          <w:tab w:val="left" w:pos="567"/>
        </w:tabs>
        <w:rPr>
          <w:lang w:eastAsia="es-MX"/>
        </w:rPr>
      </w:pPr>
    </w:p>
    <w:p w14:paraId="4D1AF66D" w14:textId="07FADCEC" w:rsidR="00365AD8" w:rsidRPr="00104227" w:rsidRDefault="00BF5241" w:rsidP="00376E8B">
      <w:pPr>
        <w:pStyle w:val="Numberedparagraphs"/>
        <w:tabs>
          <w:tab w:val="left" w:pos="567"/>
        </w:tabs>
        <w:rPr>
          <w:lang w:val="en-US"/>
        </w:rPr>
      </w:pPr>
      <w:r w:rsidRPr="00104227">
        <w:rPr>
          <w:lang w:val="en-US"/>
        </w:rPr>
        <w:t>The Court</w:t>
      </w:r>
      <w:r w:rsidR="000E7B4C" w:rsidRPr="00104227">
        <w:rPr>
          <w:lang w:val="en-US"/>
        </w:rPr>
        <w:t xml:space="preserve"> rec</w:t>
      </w:r>
      <w:r w:rsidR="00376E8B" w:rsidRPr="00104227">
        <w:rPr>
          <w:lang w:val="en-US"/>
        </w:rPr>
        <w:t xml:space="preserve">alls that an international legal regime has been established concerning the absolute prohibition of all forms torture, both physical and psychological and, regarding the latter, it has been recognized that threats and the real danger of </w:t>
      </w:r>
      <w:r w:rsidR="00041893" w:rsidRPr="00104227">
        <w:rPr>
          <w:lang w:val="en-US"/>
        </w:rPr>
        <w:t xml:space="preserve">someone being </w:t>
      </w:r>
      <w:r w:rsidR="00376E8B" w:rsidRPr="00104227">
        <w:rPr>
          <w:lang w:val="en-US"/>
        </w:rPr>
        <w:t>subject</w:t>
      </w:r>
      <w:r w:rsidR="00041893" w:rsidRPr="00104227">
        <w:rPr>
          <w:lang w:val="en-US"/>
        </w:rPr>
        <w:t>ed</w:t>
      </w:r>
      <w:r w:rsidR="00376E8B" w:rsidRPr="00104227">
        <w:rPr>
          <w:lang w:val="en-US"/>
        </w:rPr>
        <w:t xml:space="preserve"> to serious physical injury produces, in certain circumstances, a moral anguish of such intensity that it may be considered “psychological torture.</w:t>
      </w:r>
      <w:r w:rsidR="000E7B4C" w:rsidRPr="00104227">
        <w:rPr>
          <w:lang w:val="en-US"/>
        </w:rPr>
        <w:t>”</w:t>
      </w:r>
      <w:r w:rsidR="000E7B4C" w:rsidRPr="00104227">
        <w:rPr>
          <w:vertAlign w:val="superscript"/>
          <w:lang w:val="en-US"/>
        </w:rPr>
        <w:footnoteReference w:id="290"/>
      </w:r>
    </w:p>
    <w:p w14:paraId="30410FA7" w14:textId="77777777" w:rsidR="00365AD8" w:rsidRPr="00104227" w:rsidRDefault="00365AD8" w:rsidP="00E4619F">
      <w:pPr>
        <w:tabs>
          <w:tab w:val="left" w:pos="567"/>
        </w:tabs>
        <w:rPr>
          <w:lang w:eastAsia="es-MX"/>
        </w:rPr>
      </w:pPr>
    </w:p>
    <w:p w14:paraId="415AA569" w14:textId="49DF5B55" w:rsidR="00365AD8" w:rsidRPr="00104227" w:rsidRDefault="00376E8B" w:rsidP="00E4619F">
      <w:pPr>
        <w:pStyle w:val="Numberedparagraphs"/>
        <w:tabs>
          <w:tab w:val="left" w:pos="567"/>
        </w:tabs>
        <w:rPr>
          <w:u w:val="single"/>
          <w:lang w:val="en-US"/>
        </w:rPr>
      </w:pPr>
      <w:r w:rsidRPr="00104227">
        <w:rPr>
          <w:lang w:val="en-US"/>
        </w:rPr>
        <w:t xml:space="preserve">Furthermore, </w:t>
      </w:r>
      <w:r w:rsidR="00041893" w:rsidRPr="00104227">
        <w:rPr>
          <w:lang w:val="en-US"/>
        </w:rPr>
        <w:t xml:space="preserve">in numerous cases, </w:t>
      </w:r>
      <w:r w:rsidRPr="00104227">
        <w:rPr>
          <w:lang w:val="en-US"/>
        </w:rPr>
        <w:t xml:space="preserve">the Court’s case law has determined that rape is a form of  </w:t>
      </w:r>
      <w:r w:rsidR="00BC5201" w:rsidRPr="00104227">
        <w:rPr>
          <w:lang w:val="en-US"/>
        </w:rPr>
        <w:t>torture</w:t>
      </w:r>
      <w:r w:rsidRPr="00104227">
        <w:rPr>
          <w:lang w:val="en-US"/>
        </w:rPr>
        <w:t>.</w:t>
      </w:r>
      <w:r w:rsidR="000E7B4C" w:rsidRPr="00104227">
        <w:rPr>
          <w:rStyle w:val="Refdenotaalpie"/>
          <w:lang w:val="en-US"/>
        </w:rPr>
        <w:footnoteReference w:id="291"/>
      </w:r>
      <w:r w:rsidR="000E7B4C" w:rsidRPr="00104227">
        <w:rPr>
          <w:i/>
          <w:szCs w:val="16"/>
          <w:lang w:val="en-US"/>
        </w:rPr>
        <w:t xml:space="preserve"> </w:t>
      </w:r>
      <w:r w:rsidR="00BF5241" w:rsidRPr="00104227">
        <w:rPr>
          <w:lang w:val="en-US"/>
        </w:rPr>
        <w:t>This Court</w:t>
      </w:r>
      <w:r w:rsidR="000E7B4C" w:rsidRPr="00104227">
        <w:rPr>
          <w:lang w:val="en-US"/>
        </w:rPr>
        <w:t xml:space="preserve"> ha</w:t>
      </w:r>
      <w:r w:rsidRPr="00104227">
        <w:rPr>
          <w:lang w:val="en-US"/>
        </w:rPr>
        <w:t xml:space="preserve">s </w:t>
      </w:r>
      <w:r w:rsidR="00041893" w:rsidRPr="00104227">
        <w:rPr>
          <w:lang w:val="en-US"/>
        </w:rPr>
        <w:t xml:space="preserve">considered that </w:t>
      </w:r>
      <w:r w:rsidRPr="00104227">
        <w:rPr>
          <w:lang w:val="en-US"/>
        </w:rPr>
        <w:t>the intense suffering of the victim is inherent in rape and, in general,</w:t>
      </w:r>
      <w:r w:rsidR="000E7B4C" w:rsidRPr="00104227">
        <w:rPr>
          <w:lang w:val="en-US"/>
        </w:rPr>
        <w:t xml:space="preserve"> </w:t>
      </w:r>
      <w:r w:rsidRPr="00104227">
        <w:rPr>
          <w:lang w:val="en-US"/>
        </w:rPr>
        <w:t>rape, like torture, pursues, among other purposes, that of intimidating, debasing, humiliating, punishing or controlling the victim.</w:t>
      </w:r>
      <w:r w:rsidR="000E7B4C" w:rsidRPr="00104227">
        <w:rPr>
          <w:rStyle w:val="Refdenotaalpie"/>
          <w:rFonts w:eastAsia="Calibri"/>
          <w:lang w:val="en-US"/>
        </w:rPr>
        <w:footnoteReference w:id="292"/>
      </w:r>
      <w:r w:rsidRPr="00104227">
        <w:rPr>
          <w:lang w:val="en-US"/>
        </w:rPr>
        <w:t xml:space="preserve"> For a rape to be classified as torture, </w:t>
      </w:r>
      <w:r w:rsidR="00A03FD5" w:rsidRPr="00104227">
        <w:rPr>
          <w:lang w:val="en-US"/>
        </w:rPr>
        <w:t xml:space="preserve">the </w:t>
      </w:r>
      <w:r w:rsidR="00A03FD5" w:rsidRPr="00104227">
        <w:rPr>
          <w:lang w:val="en-US"/>
        </w:rPr>
        <w:lastRenderedPageBreak/>
        <w:t>intentionality, the severity of the suffering and the purpose of the act must be analyzed, taking into consideration the specific circumstances of each case.</w:t>
      </w:r>
      <w:r w:rsidR="000E7B4C" w:rsidRPr="00104227">
        <w:rPr>
          <w:rStyle w:val="Refdenotaalpie"/>
          <w:lang w:val="en-US"/>
        </w:rPr>
        <w:footnoteReference w:id="293"/>
      </w:r>
    </w:p>
    <w:p w14:paraId="2145E30F" w14:textId="77777777" w:rsidR="00365AD8" w:rsidRPr="00104227" w:rsidRDefault="00365AD8" w:rsidP="00E4619F">
      <w:pPr>
        <w:tabs>
          <w:tab w:val="left" w:pos="567"/>
        </w:tabs>
        <w:rPr>
          <w:lang w:eastAsia="es-MX"/>
        </w:rPr>
      </w:pPr>
    </w:p>
    <w:p w14:paraId="19416905" w14:textId="538344E2" w:rsidR="00365AD8" w:rsidRPr="00104227" w:rsidRDefault="00816E4E" w:rsidP="00E4619F">
      <w:pPr>
        <w:pStyle w:val="Numberedparagraphs"/>
        <w:tabs>
          <w:tab w:val="left" w:pos="567"/>
        </w:tabs>
        <w:rPr>
          <w:lang w:val="en-US"/>
        </w:rPr>
      </w:pPr>
      <w:r w:rsidRPr="00104227">
        <w:rPr>
          <w:lang w:val="en-US"/>
        </w:rPr>
        <w:t xml:space="preserve">To establish whether the abuse suffered by </w:t>
      </w:r>
      <w:r w:rsidR="00F12946" w:rsidRPr="00104227">
        <w:rPr>
          <w:lang w:val="en-US"/>
        </w:rPr>
        <w:t>the eleven women</w:t>
      </w:r>
      <w:r w:rsidR="000E7B4C" w:rsidRPr="00104227">
        <w:rPr>
          <w:lang w:val="en-US"/>
        </w:rPr>
        <w:t xml:space="preserve"> </w:t>
      </w:r>
      <w:r w:rsidRPr="00104227">
        <w:rPr>
          <w:lang w:val="en-US"/>
        </w:rPr>
        <w:t>in this case</w:t>
      </w:r>
      <w:r w:rsidR="000E7B4C" w:rsidRPr="00104227">
        <w:rPr>
          <w:lang w:val="en-US"/>
        </w:rPr>
        <w:t xml:space="preserve"> constitu</w:t>
      </w:r>
      <w:r w:rsidRPr="00104227">
        <w:rPr>
          <w:lang w:val="en-US"/>
        </w:rPr>
        <w:t>ted acts of torture, the Court must examine whether the acts were: (i) intention</w:t>
      </w:r>
      <w:r w:rsidR="00041893" w:rsidRPr="00104227">
        <w:rPr>
          <w:lang w:val="en-US"/>
        </w:rPr>
        <w:t>al</w:t>
      </w:r>
      <w:r w:rsidRPr="00104227">
        <w:rPr>
          <w:lang w:val="en-US"/>
        </w:rPr>
        <w:t xml:space="preserve"> (ii) caused severe physical or mental suffering, and (iii) were committed </w:t>
      </w:r>
      <w:r w:rsidR="00041893" w:rsidRPr="00104227">
        <w:rPr>
          <w:lang w:val="en-US"/>
        </w:rPr>
        <w:t xml:space="preserve">with </w:t>
      </w:r>
      <w:r w:rsidRPr="00104227">
        <w:rPr>
          <w:lang w:val="en-US"/>
        </w:rPr>
        <w:t>an objective or purpose</w:t>
      </w:r>
      <w:r w:rsidR="000E7B4C" w:rsidRPr="00104227">
        <w:rPr>
          <w:lang w:val="en-US"/>
        </w:rPr>
        <w:t xml:space="preserve">. </w:t>
      </w:r>
    </w:p>
    <w:p w14:paraId="293BC49C" w14:textId="77777777" w:rsidR="00365AD8" w:rsidRPr="00104227" w:rsidRDefault="00365AD8" w:rsidP="00E4619F">
      <w:pPr>
        <w:tabs>
          <w:tab w:val="left" w:pos="567"/>
        </w:tabs>
        <w:rPr>
          <w:lang w:eastAsia="es-MX"/>
        </w:rPr>
      </w:pPr>
    </w:p>
    <w:p w14:paraId="5EC90613" w14:textId="27CCAAFF" w:rsidR="00365AD8" w:rsidRPr="00104227" w:rsidRDefault="00816E4E" w:rsidP="00E4619F">
      <w:pPr>
        <w:pStyle w:val="Numberedparagraphs"/>
        <w:tabs>
          <w:tab w:val="left" w:pos="567"/>
        </w:tabs>
        <w:rPr>
          <w:lang w:val="en-US"/>
        </w:rPr>
      </w:pPr>
      <w:r w:rsidRPr="00104227">
        <w:rPr>
          <w:lang w:val="en-US"/>
        </w:rPr>
        <w:t xml:space="preserve">In this case, it is plain that the police acted deliberately against </w:t>
      </w:r>
      <w:r w:rsidR="00F12946" w:rsidRPr="00104227">
        <w:rPr>
          <w:lang w:val="en-US"/>
        </w:rPr>
        <w:t>the eleven women</w:t>
      </w:r>
      <w:r w:rsidR="000E7B4C" w:rsidRPr="00104227">
        <w:rPr>
          <w:lang w:val="en-US"/>
        </w:rPr>
        <w:t xml:space="preserve">. </w:t>
      </w:r>
      <w:r w:rsidRPr="00104227">
        <w:rPr>
          <w:lang w:val="en-US"/>
        </w:rPr>
        <w:t>Given the sexual nature of the violence used, the repetition and similarity of the acts committed ag</w:t>
      </w:r>
      <w:r w:rsidR="00041893" w:rsidRPr="00104227">
        <w:rPr>
          <w:lang w:val="en-US"/>
        </w:rPr>
        <w:t>a</w:t>
      </w:r>
      <w:r w:rsidRPr="00104227">
        <w:rPr>
          <w:lang w:val="en-US"/>
        </w:rPr>
        <w:t>inst the different women, as well as the insults and the threats made against them, the Court finds it evident that these acts were intentional</w:t>
      </w:r>
      <w:r w:rsidR="000E7B4C" w:rsidRPr="00104227">
        <w:rPr>
          <w:lang w:val="en-US"/>
        </w:rPr>
        <w:t>.</w:t>
      </w:r>
    </w:p>
    <w:p w14:paraId="5EF37480" w14:textId="77777777" w:rsidR="00365AD8" w:rsidRPr="00104227" w:rsidRDefault="00365AD8" w:rsidP="00E4619F">
      <w:pPr>
        <w:tabs>
          <w:tab w:val="left" w:pos="567"/>
        </w:tabs>
        <w:rPr>
          <w:lang w:eastAsia="es-MX"/>
        </w:rPr>
      </w:pPr>
    </w:p>
    <w:p w14:paraId="19668450" w14:textId="2B1D3FF6" w:rsidR="00365AD8" w:rsidRPr="00104227" w:rsidRDefault="00761D6D" w:rsidP="00816E4E">
      <w:pPr>
        <w:pStyle w:val="Numberedparagraphs"/>
        <w:tabs>
          <w:tab w:val="left" w:pos="567"/>
        </w:tabs>
        <w:rPr>
          <w:lang w:val="en-US"/>
        </w:rPr>
      </w:pPr>
      <w:r w:rsidRPr="00104227">
        <w:rPr>
          <w:lang w:val="en-US"/>
        </w:rPr>
        <w:t>R</w:t>
      </w:r>
      <w:r w:rsidR="00816E4E" w:rsidRPr="00104227">
        <w:rPr>
          <w:lang w:val="en-US"/>
        </w:rPr>
        <w:t>egarding the severity of the suffering, this Court has recognized that</w:t>
      </w:r>
      <w:r w:rsidR="000E7B4C" w:rsidRPr="00104227">
        <w:rPr>
          <w:lang w:val="en-US"/>
        </w:rPr>
        <w:t xml:space="preserve"> </w:t>
      </w:r>
      <w:r w:rsidR="00814266" w:rsidRPr="00104227">
        <w:rPr>
          <w:lang w:val="en-US"/>
        </w:rPr>
        <w:t>sexual violence</w:t>
      </w:r>
      <w:r w:rsidR="000E7B4C" w:rsidRPr="00104227">
        <w:rPr>
          <w:lang w:val="en-US"/>
        </w:rPr>
        <w:t xml:space="preserve"> com</w:t>
      </w:r>
      <w:r w:rsidR="00816E4E" w:rsidRPr="00104227">
        <w:rPr>
          <w:lang w:val="en-US"/>
        </w:rPr>
        <w:t>mitted by state agents while the victims are in their custody is a serious and reprehensible act</w:t>
      </w:r>
      <w:r w:rsidR="000E7B4C" w:rsidRPr="00104227">
        <w:rPr>
          <w:lang w:val="en-US"/>
        </w:rPr>
        <w:t xml:space="preserve">, </w:t>
      </w:r>
      <w:r w:rsidR="00816E4E" w:rsidRPr="00104227">
        <w:rPr>
          <w:lang w:val="en-US"/>
        </w:rPr>
        <w:t>during which the agent abuses his power and takes advantage of the vulnerability of the victim, and this may have severe psychological consequences for victims.</w:t>
      </w:r>
      <w:r w:rsidR="000E7B4C" w:rsidRPr="00104227">
        <w:rPr>
          <w:rStyle w:val="Refdenotaalpie"/>
          <w:lang w:val="en-US"/>
        </w:rPr>
        <w:footnoteReference w:id="294"/>
      </w:r>
      <w:r w:rsidR="00816E4E" w:rsidRPr="00104227">
        <w:rPr>
          <w:lang w:val="en-US"/>
        </w:rPr>
        <w:t xml:space="preserve"> The Court also </w:t>
      </w:r>
      <w:r w:rsidRPr="00104227">
        <w:rPr>
          <w:lang w:val="en-US"/>
        </w:rPr>
        <w:t>stresses</w:t>
      </w:r>
      <w:r w:rsidR="00816E4E" w:rsidRPr="00104227">
        <w:rPr>
          <w:lang w:val="en-US"/>
        </w:rPr>
        <w:t xml:space="preserve"> that, in this case</w:t>
      </w:r>
      <w:r w:rsidR="000E7B4C" w:rsidRPr="00104227">
        <w:rPr>
          <w:lang w:val="en-US"/>
        </w:rPr>
        <w:t xml:space="preserve">, </w:t>
      </w:r>
      <w:r w:rsidR="00816E4E" w:rsidRPr="00104227">
        <w:rPr>
          <w:lang w:val="en-US"/>
        </w:rPr>
        <w:t xml:space="preserve">during their detention and transfer to the prison, </w:t>
      </w:r>
      <w:r w:rsidRPr="00104227">
        <w:rPr>
          <w:lang w:val="en-US"/>
        </w:rPr>
        <w:t xml:space="preserve">the victims were repeatedly threatened </w:t>
      </w:r>
      <w:r w:rsidR="00816E4E" w:rsidRPr="00104227">
        <w:rPr>
          <w:lang w:val="en-US"/>
        </w:rPr>
        <w:t xml:space="preserve">with murder or rape, and with even worse abuse than the </w:t>
      </w:r>
      <w:r w:rsidRPr="00104227">
        <w:rPr>
          <w:lang w:val="en-US"/>
        </w:rPr>
        <w:t xml:space="preserve">acts </w:t>
      </w:r>
      <w:r w:rsidR="00816E4E" w:rsidRPr="00104227">
        <w:rPr>
          <w:lang w:val="en-US"/>
        </w:rPr>
        <w:t>that w</w:t>
      </w:r>
      <w:r w:rsidRPr="00104227">
        <w:rPr>
          <w:lang w:val="en-US"/>
        </w:rPr>
        <w:t>ere</w:t>
      </w:r>
      <w:r w:rsidR="00816E4E" w:rsidRPr="00104227">
        <w:rPr>
          <w:lang w:val="en-US"/>
        </w:rPr>
        <w:t xml:space="preserve"> being inflicted on them. Furthermore, regarding the rapes, the Court has recognized that rape constitute</w:t>
      </w:r>
      <w:r w:rsidRPr="00104227">
        <w:rPr>
          <w:lang w:val="en-US"/>
        </w:rPr>
        <w:t>s</w:t>
      </w:r>
      <w:r w:rsidR="00816E4E" w:rsidRPr="00104227">
        <w:rPr>
          <w:lang w:val="en-US"/>
        </w:rPr>
        <w:t xml:space="preserve"> an extremely traumatic experience that has severe consequences and causes great physical and psychological harm </w:t>
      </w:r>
      <w:r w:rsidRPr="00104227">
        <w:rPr>
          <w:lang w:val="en-US"/>
        </w:rPr>
        <w:t>which</w:t>
      </w:r>
      <w:r w:rsidR="00816E4E" w:rsidRPr="00104227">
        <w:rPr>
          <w:lang w:val="en-US"/>
        </w:rPr>
        <w:t xml:space="preserve"> leaves the victim “physically and emotionally </w:t>
      </w:r>
      <w:r w:rsidR="00F27D61" w:rsidRPr="00104227">
        <w:rPr>
          <w:lang w:val="en-US"/>
        </w:rPr>
        <w:t>humiliated</w:t>
      </w:r>
      <w:r w:rsidR="00816E4E" w:rsidRPr="00104227">
        <w:rPr>
          <w:lang w:val="en-US"/>
        </w:rPr>
        <w:t>,” a situation that it is difficult to overcome with the passage of time, contrary to what occurs with other traumatic experiences.</w:t>
      </w:r>
      <w:r w:rsidR="000E7B4C" w:rsidRPr="00104227">
        <w:rPr>
          <w:rStyle w:val="Refdenotaalpie"/>
          <w:rFonts w:eastAsia="Calibri"/>
          <w:spacing w:val="-2"/>
          <w:lang w:val="en-US"/>
        </w:rPr>
        <w:footnoteReference w:id="295"/>
      </w:r>
      <w:r w:rsidR="00816E4E" w:rsidRPr="00104227">
        <w:rPr>
          <w:spacing w:val="-2"/>
          <w:lang w:val="en-US"/>
        </w:rPr>
        <w:t xml:space="preserve"> This reveals that the severe suffering of the victim is inherent in rape, even when there is no evidence of physical injury or disease.</w:t>
      </w:r>
      <w:r w:rsidR="000E7B4C" w:rsidRPr="00104227">
        <w:rPr>
          <w:rStyle w:val="Refdenotaalpie"/>
          <w:spacing w:val="-2"/>
          <w:lang w:val="en-US"/>
        </w:rPr>
        <w:footnoteReference w:id="296"/>
      </w:r>
      <w:r w:rsidR="00816E4E" w:rsidRPr="00104227">
        <w:rPr>
          <w:spacing w:val="-2"/>
          <w:lang w:val="en-US"/>
        </w:rPr>
        <w:t xml:space="preserve"> Women victims of rape also experience severe psychological, and even social, harm and aftereffects.</w:t>
      </w:r>
      <w:r w:rsidR="000E7B4C" w:rsidRPr="00104227">
        <w:rPr>
          <w:rStyle w:val="Refdenotaalpie"/>
          <w:spacing w:val="-2"/>
          <w:lang w:val="en-US"/>
        </w:rPr>
        <w:footnoteReference w:id="297"/>
      </w:r>
      <w:r w:rsidR="000E7B4C" w:rsidRPr="00104227">
        <w:rPr>
          <w:spacing w:val="-2"/>
          <w:lang w:val="en-US"/>
        </w:rPr>
        <w:t xml:space="preserve"> </w:t>
      </w:r>
      <w:r w:rsidR="00816E4E" w:rsidRPr="00104227">
        <w:rPr>
          <w:spacing w:val="-2"/>
          <w:lang w:val="en-US"/>
        </w:rPr>
        <w:t xml:space="preserve">As revealed by their statements, the violence to which they were subjected by the state agents in the context of their detentions on </w:t>
      </w:r>
      <w:r w:rsidR="00DF5F3C" w:rsidRPr="00104227">
        <w:rPr>
          <w:lang w:val="en-US"/>
        </w:rPr>
        <w:t>May 3 and 4,</w:t>
      </w:r>
      <w:r w:rsidR="000E7B4C" w:rsidRPr="00104227">
        <w:rPr>
          <w:lang w:val="en-US"/>
        </w:rPr>
        <w:t xml:space="preserve"> 2006</w:t>
      </w:r>
      <w:r w:rsidR="00816E4E" w:rsidRPr="00104227">
        <w:rPr>
          <w:lang w:val="en-US"/>
        </w:rPr>
        <w:t>, caused them severe suffering, the aftereffects of which persist up until the present</w:t>
      </w:r>
      <w:r w:rsidR="000E7B4C" w:rsidRPr="00104227">
        <w:rPr>
          <w:lang w:val="en-US"/>
        </w:rPr>
        <w:t xml:space="preserve"> </w:t>
      </w:r>
      <w:r w:rsidR="00816E4E" w:rsidRPr="00104227">
        <w:rPr>
          <w:lang w:val="en-US"/>
        </w:rPr>
        <w:t>as has been corroborated by the psychological tests</w:t>
      </w:r>
      <w:r w:rsidR="00CA0569" w:rsidRPr="00104227">
        <w:rPr>
          <w:lang w:val="en-US"/>
        </w:rPr>
        <w:t xml:space="preserve">, and </w:t>
      </w:r>
      <w:r w:rsidRPr="00104227">
        <w:rPr>
          <w:lang w:val="en-US"/>
        </w:rPr>
        <w:t>by</w:t>
      </w:r>
      <w:r w:rsidR="00CA0569" w:rsidRPr="00104227">
        <w:rPr>
          <w:lang w:val="en-US"/>
        </w:rPr>
        <w:t xml:space="preserve"> the application of the </w:t>
      </w:r>
      <w:r w:rsidR="00AF4ADA" w:rsidRPr="00104227">
        <w:rPr>
          <w:lang w:val="en-US"/>
        </w:rPr>
        <w:t>Istanbul Protocol</w:t>
      </w:r>
      <w:r w:rsidR="00CA0569" w:rsidRPr="00104227">
        <w:rPr>
          <w:lang w:val="en-US"/>
        </w:rPr>
        <w:t xml:space="preserve"> </w:t>
      </w:r>
      <w:r w:rsidR="000E7B4C" w:rsidRPr="00104227">
        <w:rPr>
          <w:lang w:val="en-US"/>
        </w:rPr>
        <w:t>(</w:t>
      </w:r>
      <w:r w:rsidR="000E7B4C" w:rsidRPr="00104227">
        <w:rPr>
          <w:i/>
          <w:lang w:val="en-US"/>
        </w:rPr>
        <w:t>supra</w:t>
      </w:r>
      <w:r w:rsidR="000E7B4C" w:rsidRPr="00104227">
        <w:rPr>
          <w:lang w:val="en-US"/>
        </w:rPr>
        <w:t xml:space="preserve"> </w:t>
      </w:r>
      <w:r w:rsidR="00BF5241" w:rsidRPr="00104227">
        <w:rPr>
          <w:lang w:val="en-US"/>
        </w:rPr>
        <w:t>paras.</w:t>
      </w:r>
      <w:r w:rsidR="000E1304" w:rsidRPr="00104227">
        <w:rPr>
          <w:lang w:val="en-US"/>
        </w:rPr>
        <w:t xml:space="preserve"> </w:t>
      </w:r>
      <w:r w:rsidR="000E1304" w:rsidRPr="00104227">
        <w:rPr>
          <w:lang w:val="en-US"/>
        </w:rPr>
        <w:fldChar w:fldCharType="begin"/>
      </w:r>
      <w:r w:rsidR="000E1304" w:rsidRPr="00104227">
        <w:rPr>
          <w:lang w:val="en-US"/>
        </w:rPr>
        <w:instrText xml:space="preserve"> REF _Ref532906153 \r \h </w:instrText>
      </w:r>
      <w:r w:rsidR="00284EAE" w:rsidRPr="00104227">
        <w:rPr>
          <w:lang w:val="en-US"/>
        </w:rPr>
        <w:instrText xml:space="preserve"> \* MERGEFORMAT </w:instrText>
      </w:r>
      <w:r w:rsidR="000E1304" w:rsidRPr="00104227">
        <w:rPr>
          <w:lang w:val="en-US"/>
        </w:rPr>
      </w:r>
      <w:r w:rsidR="000E1304" w:rsidRPr="00104227">
        <w:rPr>
          <w:lang w:val="en-US"/>
        </w:rPr>
        <w:fldChar w:fldCharType="separate"/>
      </w:r>
      <w:r w:rsidR="004276BD">
        <w:rPr>
          <w:lang w:val="en-US"/>
        </w:rPr>
        <w:t>106</w:t>
      </w:r>
      <w:r w:rsidR="000E1304" w:rsidRPr="00104227">
        <w:rPr>
          <w:lang w:val="en-US"/>
        </w:rPr>
        <w:fldChar w:fldCharType="end"/>
      </w:r>
      <w:r w:rsidR="00BF5241" w:rsidRPr="00104227">
        <w:rPr>
          <w:lang w:val="en-US"/>
        </w:rPr>
        <w:t xml:space="preserve"> and </w:t>
      </w:r>
      <w:r w:rsidR="00CA0569" w:rsidRPr="00104227">
        <w:rPr>
          <w:lang w:val="en-US"/>
        </w:rPr>
        <w:t>ff</w:t>
      </w:r>
      <w:r w:rsidR="000E1304" w:rsidRPr="00104227">
        <w:rPr>
          <w:lang w:val="en-US"/>
        </w:rPr>
        <w:t>.</w:t>
      </w:r>
      <w:r w:rsidR="000E7B4C" w:rsidRPr="00104227">
        <w:rPr>
          <w:lang w:val="en-US"/>
        </w:rPr>
        <w:t>).</w:t>
      </w:r>
    </w:p>
    <w:p w14:paraId="7E489DBD" w14:textId="77777777" w:rsidR="00365AD8" w:rsidRPr="00104227" w:rsidRDefault="00365AD8" w:rsidP="00E4619F">
      <w:pPr>
        <w:tabs>
          <w:tab w:val="left" w:pos="567"/>
        </w:tabs>
        <w:rPr>
          <w:lang w:eastAsia="es-MX"/>
        </w:rPr>
      </w:pPr>
    </w:p>
    <w:p w14:paraId="49C9E463" w14:textId="50406F7E" w:rsidR="00365AD8" w:rsidRPr="00104227" w:rsidRDefault="00CA0569" w:rsidP="00B45008">
      <w:pPr>
        <w:pStyle w:val="Numberedparagraphs"/>
        <w:tabs>
          <w:tab w:val="left" w:pos="567"/>
        </w:tabs>
        <w:rPr>
          <w:lang w:val="en-US"/>
        </w:rPr>
      </w:pPr>
      <w:r w:rsidRPr="00104227">
        <w:rPr>
          <w:lang w:val="en-US"/>
        </w:rPr>
        <w:t>Lastly, with regard to the purpose, the Court notes that the victims’ statements, and the investigations conducted by the CNDH and the SCJN</w:t>
      </w:r>
      <w:r w:rsidR="00761D6D" w:rsidRPr="00104227">
        <w:rPr>
          <w:lang w:val="en-US"/>
        </w:rPr>
        <w:t>,</w:t>
      </w:r>
      <w:r w:rsidRPr="00104227">
        <w:rPr>
          <w:lang w:val="en-US"/>
        </w:rPr>
        <w:t xml:space="preserve"> reveal that the purpose of the violence used against </w:t>
      </w:r>
      <w:r w:rsidRPr="00104227">
        <w:rPr>
          <w:rFonts w:eastAsia="Times New Roman"/>
          <w:lang w:val="en-US"/>
        </w:rPr>
        <w:t xml:space="preserve">the eleven women was to humiliate them and those the police assumed were their </w:t>
      </w:r>
      <w:r w:rsidR="00761D6D" w:rsidRPr="00104227">
        <w:rPr>
          <w:rFonts w:eastAsia="Times New Roman"/>
          <w:lang w:val="en-US"/>
        </w:rPr>
        <w:t>companions;</w:t>
      </w:r>
      <w:r w:rsidRPr="00104227">
        <w:rPr>
          <w:rFonts w:eastAsia="Times New Roman"/>
          <w:lang w:val="en-US"/>
        </w:rPr>
        <w:t xml:space="preserve"> to frighten them, </w:t>
      </w:r>
      <w:r w:rsidR="00761D6D" w:rsidRPr="00104227">
        <w:rPr>
          <w:rFonts w:eastAsia="Times New Roman"/>
          <w:lang w:val="en-US"/>
        </w:rPr>
        <w:t xml:space="preserve">to </w:t>
      </w:r>
      <w:r w:rsidRPr="00104227">
        <w:rPr>
          <w:rFonts w:eastAsia="Times New Roman"/>
          <w:lang w:val="en-US"/>
        </w:rPr>
        <w:t xml:space="preserve">intimidate them and </w:t>
      </w:r>
      <w:r w:rsidR="00761D6D" w:rsidRPr="00104227">
        <w:rPr>
          <w:rFonts w:eastAsia="Times New Roman"/>
          <w:lang w:val="en-US"/>
        </w:rPr>
        <w:t xml:space="preserve">to </w:t>
      </w:r>
      <w:r w:rsidRPr="00104227">
        <w:rPr>
          <w:rFonts w:eastAsia="Times New Roman"/>
          <w:lang w:val="en-US"/>
        </w:rPr>
        <w:t>prevent them f</w:t>
      </w:r>
      <w:r w:rsidR="00761D6D" w:rsidRPr="00104227">
        <w:rPr>
          <w:rFonts w:eastAsia="Times New Roman"/>
          <w:lang w:val="en-US"/>
        </w:rPr>
        <w:t>rom</w:t>
      </w:r>
      <w:r w:rsidRPr="00104227">
        <w:rPr>
          <w:rFonts w:eastAsia="Times New Roman"/>
          <w:lang w:val="en-US"/>
        </w:rPr>
        <w:t xml:space="preserve"> taking part in political life again or expressing their discontent in the public sphere</w:t>
      </w:r>
      <w:r w:rsidR="00452F97" w:rsidRPr="00104227">
        <w:rPr>
          <w:rFonts w:eastAsia="Times New Roman"/>
          <w:lang w:val="en-US"/>
        </w:rPr>
        <w:t xml:space="preserve"> </w:t>
      </w:r>
      <w:r w:rsidRPr="00104227">
        <w:rPr>
          <w:rFonts w:eastAsia="Times New Roman"/>
          <w:lang w:val="en-US"/>
        </w:rPr>
        <w:t>because</w:t>
      </w:r>
      <w:r w:rsidR="00452F97" w:rsidRPr="00104227">
        <w:rPr>
          <w:rFonts w:eastAsia="Times New Roman"/>
          <w:lang w:val="en-US"/>
        </w:rPr>
        <w:t xml:space="preserve">, according to the </w:t>
      </w:r>
      <w:r w:rsidR="00452F97" w:rsidRPr="00104227">
        <w:rPr>
          <w:rFonts w:eastAsia="Times New Roman"/>
          <w:lang w:val="en-US"/>
        </w:rPr>
        <w:lastRenderedPageBreak/>
        <w:t xml:space="preserve">police, </w:t>
      </w:r>
      <w:r w:rsidR="000E345C" w:rsidRPr="00104227">
        <w:rPr>
          <w:rFonts w:eastAsia="Times New Roman"/>
          <w:lang w:val="en-US"/>
        </w:rPr>
        <w:t xml:space="preserve">they should not leave their homes, the only place </w:t>
      </w:r>
      <w:r w:rsidR="00452F97" w:rsidRPr="00104227">
        <w:rPr>
          <w:rFonts w:eastAsia="Times New Roman"/>
          <w:lang w:val="en-US"/>
        </w:rPr>
        <w:t>where</w:t>
      </w:r>
      <w:r w:rsidR="000E345C" w:rsidRPr="00104227">
        <w:rPr>
          <w:rFonts w:eastAsia="Times New Roman"/>
          <w:lang w:val="en-US"/>
        </w:rPr>
        <w:t xml:space="preserve"> they supposedly belonged according to the</w:t>
      </w:r>
      <w:r w:rsidR="00452F97" w:rsidRPr="00104227">
        <w:rPr>
          <w:rFonts w:eastAsia="Times New Roman"/>
          <w:lang w:val="en-US"/>
        </w:rPr>
        <w:t xml:space="preserve"> latter’s</w:t>
      </w:r>
      <w:r w:rsidR="000E345C" w:rsidRPr="00104227">
        <w:rPr>
          <w:rFonts w:eastAsia="Times New Roman"/>
          <w:lang w:val="en-US"/>
        </w:rPr>
        <w:t xml:space="preserve"> imaginary and stereotyped vision of social roles</w:t>
      </w:r>
      <w:r w:rsidR="00452F97" w:rsidRPr="00104227">
        <w:rPr>
          <w:rFonts w:eastAsia="Times New Roman"/>
          <w:lang w:val="en-US"/>
        </w:rPr>
        <w:t xml:space="preserve"> </w:t>
      </w:r>
      <w:r w:rsidR="000E345C" w:rsidRPr="00104227">
        <w:rPr>
          <w:rFonts w:eastAsia="Times New Roman"/>
          <w:lang w:val="en-US"/>
        </w:rPr>
        <w:t>(</w:t>
      </w:r>
      <w:r w:rsidR="000E345C" w:rsidRPr="00104227">
        <w:rPr>
          <w:rFonts w:eastAsia="Times New Roman"/>
          <w:i/>
          <w:lang w:val="en-US"/>
        </w:rPr>
        <w:t>infra</w:t>
      </w:r>
      <w:r w:rsidR="000E345C" w:rsidRPr="00104227">
        <w:rPr>
          <w:rFonts w:eastAsia="Times New Roman"/>
          <w:lang w:val="en-US"/>
        </w:rPr>
        <w:t xml:space="preserve"> paras. </w:t>
      </w:r>
      <w:r w:rsidR="000E345C" w:rsidRPr="00104227">
        <w:rPr>
          <w:rFonts w:eastAsia="Times New Roman"/>
          <w:lang w:val="en-US"/>
        </w:rPr>
        <w:fldChar w:fldCharType="begin"/>
      </w:r>
      <w:r w:rsidR="000E345C" w:rsidRPr="00104227">
        <w:rPr>
          <w:rFonts w:eastAsia="Times New Roman"/>
          <w:lang w:val="en-US"/>
        </w:rPr>
        <w:instrText xml:space="preserve"> REF _Ref532908704 \r \h  \* MERGEFORMAT </w:instrText>
      </w:r>
      <w:r w:rsidR="000E345C" w:rsidRPr="00104227">
        <w:rPr>
          <w:rFonts w:eastAsia="Times New Roman"/>
          <w:lang w:val="en-US"/>
        </w:rPr>
      </w:r>
      <w:r w:rsidR="000E345C" w:rsidRPr="00104227">
        <w:rPr>
          <w:rFonts w:eastAsia="Times New Roman"/>
          <w:lang w:val="en-US"/>
        </w:rPr>
        <w:fldChar w:fldCharType="separate"/>
      </w:r>
      <w:r w:rsidR="004276BD">
        <w:rPr>
          <w:rFonts w:eastAsia="Times New Roman"/>
          <w:lang w:val="en-US"/>
        </w:rPr>
        <w:t>210</w:t>
      </w:r>
      <w:r w:rsidR="000E345C" w:rsidRPr="00104227">
        <w:rPr>
          <w:rFonts w:eastAsia="Times New Roman"/>
          <w:lang w:val="en-US"/>
        </w:rPr>
        <w:fldChar w:fldCharType="end"/>
      </w:r>
      <w:r w:rsidR="000E345C" w:rsidRPr="00104227">
        <w:rPr>
          <w:rFonts w:eastAsia="Times New Roman"/>
          <w:lang w:val="en-US"/>
        </w:rPr>
        <w:t xml:space="preserve"> and ff.)</w:t>
      </w:r>
      <w:r w:rsidR="00452F97" w:rsidRPr="00104227">
        <w:rPr>
          <w:rFonts w:eastAsia="Times New Roman"/>
          <w:lang w:val="en-US"/>
        </w:rPr>
        <w:t>; moreover, it also</w:t>
      </w:r>
      <w:r w:rsidR="000E345C" w:rsidRPr="00104227">
        <w:rPr>
          <w:rFonts w:eastAsia="Times New Roman"/>
          <w:lang w:val="en-US"/>
        </w:rPr>
        <w:t xml:space="preserve"> had the distinctive purpose of punishing them for daring to question </w:t>
      </w:r>
      <w:r w:rsidR="00452F97" w:rsidRPr="00104227">
        <w:rPr>
          <w:rFonts w:eastAsia="Times New Roman"/>
          <w:lang w:val="en-US"/>
        </w:rPr>
        <w:t>police</w:t>
      </w:r>
      <w:r w:rsidR="000E345C" w:rsidRPr="00104227">
        <w:rPr>
          <w:rFonts w:eastAsia="Times New Roman"/>
          <w:lang w:val="en-US"/>
        </w:rPr>
        <w:t xml:space="preserve"> authority, as well as in retaliation for the supposed injuries suffered by their </w:t>
      </w:r>
      <w:r w:rsidR="00452F97" w:rsidRPr="00104227">
        <w:rPr>
          <w:rFonts w:eastAsia="Times New Roman"/>
          <w:lang w:val="en-US"/>
        </w:rPr>
        <w:t xml:space="preserve">police </w:t>
      </w:r>
      <w:r w:rsidR="000E345C" w:rsidRPr="00104227">
        <w:rPr>
          <w:rFonts w:eastAsia="Times New Roman"/>
          <w:lang w:val="en-US"/>
        </w:rPr>
        <w:t>colleagues. In this regard, the SCJN stressed that “a possible cause of the sexual abuse reported could be that the mindset of some police agents</w:t>
      </w:r>
      <w:r w:rsidR="00B45008" w:rsidRPr="00104227">
        <w:rPr>
          <w:rFonts w:eastAsia="Times New Roman"/>
          <w:lang w:val="en-US"/>
        </w:rPr>
        <w:t xml:space="preserve"> was affected by</w:t>
      </w:r>
      <w:r w:rsidR="000E345C" w:rsidRPr="00104227">
        <w:rPr>
          <w:rFonts w:eastAsia="Times New Roman"/>
          <w:lang w:val="en-US"/>
        </w:rPr>
        <w:t xml:space="preserve"> aware</w:t>
      </w:r>
      <w:r w:rsidR="00B45008" w:rsidRPr="00104227">
        <w:rPr>
          <w:rFonts w:eastAsia="Times New Roman"/>
          <w:lang w:val="en-US"/>
        </w:rPr>
        <w:t>ness</w:t>
      </w:r>
      <w:r w:rsidR="000E345C" w:rsidRPr="00104227">
        <w:rPr>
          <w:rFonts w:eastAsia="Times New Roman"/>
          <w:lang w:val="en-US"/>
        </w:rPr>
        <w:t xml:space="preserve"> of </w:t>
      </w:r>
      <w:r w:rsidR="00452F97" w:rsidRPr="00104227">
        <w:rPr>
          <w:rFonts w:eastAsia="Times New Roman"/>
          <w:lang w:val="en-US"/>
        </w:rPr>
        <w:t xml:space="preserve">the </w:t>
      </w:r>
      <w:r w:rsidR="000E345C" w:rsidRPr="00104227">
        <w:rPr>
          <w:rFonts w:eastAsia="Times New Roman"/>
          <w:lang w:val="en-US"/>
        </w:rPr>
        <w:t>attacks that their colleagues had suffered</w:t>
      </w:r>
      <w:r w:rsidR="00B45008" w:rsidRPr="00104227">
        <w:rPr>
          <w:rFonts w:eastAsia="Times New Roman"/>
          <w:lang w:val="en-US"/>
        </w:rPr>
        <w:t xml:space="preserve"> </w:t>
      </w:r>
      <w:r w:rsidR="000E345C" w:rsidRPr="00104227">
        <w:rPr>
          <w:rFonts w:eastAsia="Times New Roman"/>
          <w:lang w:val="en-US"/>
        </w:rPr>
        <w:t>and they wanted to punish those they believed were</w:t>
      </w:r>
      <w:r w:rsidR="00B45008" w:rsidRPr="00104227">
        <w:rPr>
          <w:rFonts w:eastAsia="Times New Roman"/>
          <w:lang w:val="en-US"/>
        </w:rPr>
        <w:t>,</w:t>
      </w:r>
      <w:r w:rsidR="000E345C" w:rsidRPr="00104227">
        <w:rPr>
          <w:rFonts w:eastAsia="Times New Roman"/>
          <w:lang w:val="en-US"/>
        </w:rPr>
        <w:t xml:space="preserve"> </w:t>
      </w:r>
      <w:r w:rsidR="00B45008" w:rsidRPr="00104227">
        <w:rPr>
          <w:rFonts w:eastAsia="Times New Roman"/>
          <w:lang w:val="en-US"/>
        </w:rPr>
        <w:t xml:space="preserve">or </w:t>
      </w:r>
      <w:r w:rsidR="000E345C" w:rsidRPr="00104227">
        <w:rPr>
          <w:rFonts w:eastAsia="Times New Roman"/>
          <w:lang w:val="en-US"/>
        </w:rPr>
        <w:t>were associated with</w:t>
      </w:r>
      <w:r w:rsidR="00B45008" w:rsidRPr="00104227">
        <w:rPr>
          <w:rFonts w:eastAsia="Times New Roman"/>
          <w:lang w:val="en-US"/>
        </w:rPr>
        <w:t xml:space="preserve">, </w:t>
      </w:r>
      <w:r w:rsidR="000E345C" w:rsidRPr="00104227">
        <w:rPr>
          <w:rFonts w:eastAsia="Times New Roman"/>
          <w:lang w:val="en-US"/>
        </w:rPr>
        <w:t>the</w:t>
      </w:r>
      <w:r w:rsidR="00452F97" w:rsidRPr="00104227">
        <w:rPr>
          <w:rFonts w:eastAsia="Times New Roman"/>
          <w:lang w:val="en-US"/>
        </w:rPr>
        <w:t xml:space="preserve"> individuals</w:t>
      </w:r>
      <w:r w:rsidR="000E345C" w:rsidRPr="00104227">
        <w:rPr>
          <w:rFonts w:eastAsia="Times New Roman"/>
          <w:lang w:val="en-US"/>
        </w:rPr>
        <w:t xml:space="preserve"> responsible.</w:t>
      </w:r>
      <w:r w:rsidR="000E7B4C" w:rsidRPr="00104227">
        <w:rPr>
          <w:rFonts w:eastAsia="Times New Roman"/>
          <w:lang w:val="en-US"/>
        </w:rPr>
        <w:t>”</w:t>
      </w:r>
      <w:r w:rsidR="000E7B4C" w:rsidRPr="00104227">
        <w:rPr>
          <w:rStyle w:val="Refdenotaalpie"/>
          <w:lang w:val="en-US"/>
        </w:rPr>
        <w:footnoteReference w:id="298"/>
      </w:r>
      <w:r w:rsidR="000E7B4C" w:rsidRPr="00104227">
        <w:rPr>
          <w:rFonts w:eastAsia="Times New Roman"/>
          <w:lang w:val="en-US"/>
        </w:rPr>
        <w:t xml:space="preserve"> </w:t>
      </w:r>
    </w:p>
    <w:p w14:paraId="5B2CB075" w14:textId="77777777" w:rsidR="00365AD8" w:rsidRPr="00104227" w:rsidRDefault="00365AD8" w:rsidP="00E4619F">
      <w:pPr>
        <w:pStyle w:val="PrrafodeSentencia"/>
        <w:numPr>
          <w:ilvl w:val="0"/>
          <w:numId w:val="0"/>
        </w:numPr>
        <w:rPr>
          <w:lang w:val="en-US"/>
        </w:rPr>
      </w:pPr>
    </w:p>
    <w:p w14:paraId="18FE8271" w14:textId="3A1EC0A0" w:rsidR="00365AD8" w:rsidRPr="00104227" w:rsidRDefault="00B45008" w:rsidP="00E4619F">
      <w:pPr>
        <w:pStyle w:val="Numberedparagraphs"/>
        <w:tabs>
          <w:tab w:val="left" w:pos="567"/>
        </w:tabs>
        <w:rPr>
          <w:lang w:val="en-US"/>
        </w:rPr>
      </w:pPr>
      <w:r w:rsidRPr="00104227">
        <w:rPr>
          <w:lang w:val="en-US"/>
        </w:rPr>
        <w:t xml:space="preserve">Therefore, the Court concludes that the series of abuses and attacks </w:t>
      </w:r>
      <w:r w:rsidR="00F27D61" w:rsidRPr="00104227">
        <w:rPr>
          <w:lang w:val="en-US"/>
        </w:rPr>
        <w:t>suffered</w:t>
      </w:r>
      <w:r w:rsidRPr="00104227">
        <w:rPr>
          <w:lang w:val="en-US"/>
        </w:rPr>
        <w:t xml:space="preserve"> by each</w:t>
      </w:r>
      <w:r w:rsidR="000E7B4C" w:rsidRPr="00104227">
        <w:rPr>
          <w:lang w:val="en-US"/>
        </w:rPr>
        <w:t xml:space="preserve"> </w:t>
      </w:r>
      <w:r w:rsidR="00F12946" w:rsidRPr="00104227">
        <w:rPr>
          <w:lang w:val="en-US"/>
        </w:rPr>
        <w:t>of the eleven women</w:t>
      </w:r>
      <w:r w:rsidR="000E7B4C" w:rsidRPr="00104227">
        <w:rPr>
          <w:lang w:val="en-US"/>
        </w:rPr>
        <w:t xml:space="preserve"> </w:t>
      </w:r>
      <w:r w:rsidRPr="00104227">
        <w:rPr>
          <w:lang w:val="en-US"/>
        </w:rPr>
        <w:t xml:space="preserve">in this case, including but not limited to the rapes, constituted acts of </w:t>
      </w:r>
      <w:r w:rsidR="00BC5201" w:rsidRPr="00104227">
        <w:rPr>
          <w:lang w:val="en-US"/>
        </w:rPr>
        <w:t>torture</w:t>
      </w:r>
      <w:r w:rsidR="000E7B4C" w:rsidRPr="00104227">
        <w:rPr>
          <w:lang w:val="en-US"/>
        </w:rPr>
        <w:t xml:space="preserve"> </w:t>
      </w:r>
      <w:r w:rsidRPr="00104227">
        <w:rPr>
          <w:lang w:val="en-US"/>
        </w:rPr>
        <w:t xml:space="preserve">by state agents against </w:t>
      </w:r>
      <w:r w:rsidR="000E7B4C" w:rsidRPr="00104227">
        <w:rPr>
          <w:lang w:val="en-US"/>
        </w:rPr>
        <w:t xml:space="preserve">Yolanda Muñoz Diosdada, Norma Aidé Jiménez Osorio, María Patricia Romero Hernández, Mariana Selvas Gómez, Georgina Edith </w:t>
      </w:r>
      <w:r w:rsidR="00DA23B8" w:rsidRPr="00104227">
        <w:rPr>
          <w:lang w:val="en-US"/>
        </w:rPr>
        <w:t>Rosales</w:t>
      </w:r>
      <w:r w:rsidR="000E7B4C" w:rsidRPr="00104227">
        <w:rPr>
          <w:lang w:val="en-US"/>
        </w:rPr>
        <w:t xml:space="preserve"> Gutiérrez, Ana María Velasco Rodríguez, Suhelen Gabriela Cuevas Jaramillo, Bárbara Italia Méndez Moreno, María Cristina Sánchez Hernández, </w:t>
      </w:r>
      <w:r w:rsidR="0047539E" w:rsidRPr="00104227">
        <w:rPr>
          <w:lang w:val="en-US"/>
        </w:rPr>
        <w:t>Angélica Patricia Torres</w:t>
      </w:r>
      <w:r w:rsidR="000E7B4C" w:rsidRPr="00104227">
        <w:rPr>
          <w:lang w:val="en-US"/>
        </w:rPr>
        <w:t xml:space="preserve"> Linares</w:t>
      </w:r>
      <w:r w:rsidR="00BF5241" w:rsidRPr="00104227">
        <w:rPr>
          <w:lang w:val="en-US"/>
        </w:rPr>
        <w:t xml:space="preserve"> and </w:t>
      </w:r>
      <w:r w:rsidR="000E7B4C" w:rsidRPr="00104227">
        <w:rPr>
          <w:lang w:val="en-US"/>
        </w:rPr>
        <w:t>Claudia Hernández Martínez.</w:t>
      </w:r>
    </w:p>
    <w:p w14:paraId="41F3B2E1" w14:textId="77777777" w:rsidR="00365AD8" w:rsidRPr="00104227" w:rsidRDefault="00365AD8" w:rsidP="00E4619F">
      <w:pPr>
        <w:tabs>
          <w:tab w:val="left" w:pos="567"/>
        </w:tabs>
        <w:rPr>
          <w:lang w:eastAsia="es-MX"/>
        </w:rPr>
      </w:pPr>
    </w:p>
    <w:p w14:paraId="0BAD1898" w14:textId="21C3D663" w:rsidR="00365AD8" w:rsidRPr="00104227" w:rsidRDefault="00BF5241" w:rsidP="00E4619F">
      <w:pPr>
        <w:pStyle w:val="Numberedparagraphs"/>
        <w:tabs>
          <w:tab w:val="left" w:pos="567"/>
        </w:tabs>
        <w:rPr>
          <w:lang w:val="en-US"/>
        </w:rPr>
      </w:pPr>
      <w:r w:rsidRPr="00104227">
        <w:rPr>
          <w:lang w:val="en-US"/>
        </w:rPr>
        <w:t>The Court</w:t>
      </w:r>
      <w:r w:rsidR="00B45008" w:rsidRPr="00104227">
        <w:rPr>
          <w:lang w:val="en-US"/>
        </w:rPr>
        <w:t xml:space="preserve"> emphasizes that the torture perpetrated in this case w</w:t>
      </w:r>
      <w:r w:rsidR="00452F97" w:rsidRPr="00104227">
        <w:rPr>
          <w:lang w:val="en-US"/>
        </w:rPr>
        <w:t>as</w:t>
      </w:r>
      <w:r w:rsidR="00B45008" w:rsidRPr="00104227">
        <w:rPr>
          <w:lang w:val="en-US"/>
        </w:rPr>
        <w:t xml:space="preserve"> committed during a police operation in which the women were </w:t>
      </w:r>
      <w:r w:rsidR="00452F97" w:rsidRPr="00104227">
        <w:rPr>
          <w:lang w:val="en-US"/>
        </w:rPr>
        <w:t>under</w:t>
      </w:r>
      <w:r w:rsidR="00B45008" w:rsidRPr="00104227">
        <w:rPr>
          <w:lang w:val="en-US"/>
        </w:rPr>
        <w:t xml:space="preserve"> the complete control of State agents and in a situation of absolute helplessness. Far from acting as guarantors of the rights </w:t>
      </w:r>
      <w:r w:rsidR="005E29A3" w:rsidRPr="00104227">
        <w:rPr>
          <w:lang w:val="en-US"/>
        </w:rPr>
        <w:t>recognized in</w:t>
      </w:r>
      <w:r w:rsidR="000E7B4C" w:rsidRPr="00104227">
        <w:rPr>
          <w:lang w:val="en-US"/>
        </w:rPr>
        <w:t xml:space="preserve"> </w:t>
      </w:r>
      <w:r w:rsidRPr="00104227">
        <w:rPr>
          <w:lang w:val="en-US"/>
        </w:rPr>
        <w:t>the Convention</w:t>
      </w:r>
      <w:r w:rsidR="000E7B4C" w:rsidRPr="00104227">
        <w:rPr>
          <w:lang w:val="en-US"/>
        </w:rPr>
        <w:t xml:space="preserve"> </w:t>
      </w:r>
      <w:r w:rsidR="00B45008" w:rsidRPr="00104227">
        <w:rPr>
          <w:lang w:val="en-US"/>
        </w:rPr>
        <w:t>to the persons in their custody,</w:t>
      </w:r>
      <w:r w:rsidR="000E7B4C" w:rsidRPr="00104227">
        <w:rPr>
          <w:vertAlign w:val="superscript"/>
          <w:lang w:val="en-US" w:bidi="en-US"/>
        </w:rPr>
        <w:footnoteReference w:id="299"/>
      </w:r>
      <w:r w:rsidR="00B45008" w:rsidRPr="00104227">
        <w:rPr>
          <w:lang w:val="en-US"/>
        </w:rPr>
        <w:t xml:space="preserve"> the Mexican State’s security agents personally abused, repeatedly and coll</w:t>
      </w:r>
      <w:r w:rsidR="00452F97" w:rsidRPr="00104227">
        <w:rPr>
          <w:lang w:val="en-US"/>
        </w:rPr>
        <w:t>ectively</w:t>
      </w:r>
      <w:r w:rsidR="00B45008" w:rsidRPr="00104227">
        <w:rPr>
          <w:lang w:val="en-US"/>
        </w:rPr>
        <w:t>, of the vulnerable situation of the victims</w:t>
      </w:r>
      <w:r w:rsidR="000E7B4C" w:rsidRPr="00104227">
        <w:rPr>
          <w:lang w:val="en-US"/>
        </w:rPr>
        <w:t xml:space="preserve">. </w:t>
      </w:r>
    </w:p>
    <w:p w14:paraId="2D92FAD6" w14:textId="459EDE0B" w:rsidR="00365AD8" w:rsidRPr="00104227" w:rsidRDefault="00365AD8" w:rsidP="00E4619F">
      <w:pPr>
        <w:tabs>
          <w:tab w:val="left" w:pos="567"/>
        </w:tabs>
        <w:rPr>
          <w:lang w:eastAsia="es-MX"/>
        </w:rPr>
      </w:pPr>
    </w:p>
    <w:p w14:paraId="44F8F5C5" w14:textId="0FE4EC9D" w:rsidR="00365AD8" w:rsidRPr="00104227" w:rsidRDefault="00365AD8" w:rsidP="00885693">
      <w:pPr>
        <w:pStyle w:val="Ttulo4"/>
        <w:rPr>
          <w:lang w:val="en-US"/>
        </w:rPr>
      </w:pPr>
      <w:r w:rsidRPr="00104227">
        <w:rPr>
          <w:lang w:val="en-US"/>
        </w:rPr>
        <w:t>B.</w:t>
      </w:r>
      <w:r w:rsidR="000C22FD" w:rsidRPr="00104227">
        <w:rPr>
          <w:lang w:val="en-US"/>
        </w:rPr>
        <w:t>2.c</w:t>
      </w:r>
      <w:r w:rsidRPr="00104227">
        <w:rPr>
          <w:lang w:val="en-US"/>
        </w:rPr>
        <w:t xml:space="preserve"> </w:t>
      </w:r>
      <w:r w:rsidR="00F64B3F" w:rsidRPr="00104227">
        <w:rPr>
          <w:lang w:val="en-US"/>
        </w:rPr>
        <w:t>Use of</w:t>
      </w:r>
      <w:r w:rsidRPr="00104227">
        <w:rPr>
          <w:lang w:val="en-US"/>
        </w:rPr>
        <w:t xml:space="preserve"> </w:t>
      </w:r>
      <w:r w:rsidR="00BC5201" w:rsidRPr="00104227">
        <w:rPr>
          <w:lang w:val="en-US"/>
        </w:rPr>
        <w:t>torture</w:t>
      </w:r>
      <w:r w:rsidR="00BF5241" w:rsidRPr="00104227">
        <w:rPr>
          <w:lang w:val="en-US"/>
        </w:rPr>
        <w:t xml:space="preserve"> and </w:t>
      </w:r>
      <w:r w:rsidR="00D25554" w:rsidRPr="00104227">
        <w:rPr>
          <w:lang w:val="en-US"/>
        </w:rPr>
        <w:t>sexual violence</w:t>
      </w:r>
      <w:r w:rsidRPr="00104227">
        <w:rPr>
          <w:lang w:val="en-US"/>
        </w:rPr>
        <w:t xml:space="preserve"> </w:t>
      </w:r>
      <w:r w:rsidR="00F64B3F" w:rsidRPr="00104227">
        <w:rPr>
          <w:lang w:val="en-US"/>
        </w:rPr>
        <w:t>as a weapon for repressive social</w:t>
      </w:r>
      <w:r w:rsidRPr="00104227">
        <w:rPr>
          <w:lang w:val="en-US"/>
        </w:rPr>
        <w:t xml:space="preserve"> control</w:t>
      </w:r>
    </w:p>
    <w:p w14:paraId="7AB927B4" w14:textId="77777777" w:rsidR="00365AD8" w:rsidRPr="00104227" w:rsidRDefault="00365AD8" w:rsidP="00E4619F">
      <w:pPr>
        <w:tabs>
          <w:tab w:val="left" w:pos="567"/>
        </w:tabs>
        <w:rPr>
          <w:lang w:eastAsia="es-MX"/>
        </w:rPr>
      </w:pPr>
    </w:p>
    <w:p w14:paraId="51D35F80" w14:textId="4185C7A4" w:rsidR="00365AD8" w:rsidRPr="00104227" w:rsidRDefault="00F64B3F" w:rsidP="00E4619F">
      <w:pPr>
        <w:pStyle w:val="Numberedparagraphs"/>
        <w:tabs>
          <w:tab w:val="left" w:pos="567"/>
        </w:tabs>
        <w:rPr>
          <w:lang w:val="en-US"/>
        </w:rPr>
      </w:pPr>
      <w:r w:rsidRPr="00104227">
        <w:rPr>
          <w:lang w:val="en-US"/>
        </w:rPr>
        <w:t xml:space="preserve">That said, the Court observes with concern that the severity of the </w:t>
      </w:r>
      <w:r w:rsidR="00814266" w:rsidRPr="00104227">
        <w:rPr>
          <w:lang w:val="en-US"/>
        </w:rPr>
        <w:t>sexual violence</w:t>
      </w:r>
      <w:r w:rsidR="000E7B4C" w:rsidRPr="00104227">
        <w:rPr>
          <w:lang w:val="en-US"/>
        </w:rPr>
        <w:t xml:space="preserve"> </w:t>
      </w:r>
      <w:r w:rsidR="00816E4E" w:rsidRPr="00104227">
        <w:rPr>
          <w:lang w:val="en-US"/>
        </w:rPr>
        <w:t>in this case</w:t>
      </w:r>
      <w:r w:rsidR="000E7B4C" w:rsidRPr="00104227">
        <w:rPr>
          <w:lang w:val="en-US"/>
        </w:rPr>
        <w:t xml:space="preserve">, </w:t>
      </w:r>
      <w:r w:rsidRPr="00104227">
        <w:rPr>
          <w:lang w:val="en-US"/>
        </w:rPr>
        <w:t xml:space="preserve">in addition to its classification as </w:t>
      </w:r>
      <w:r w:rsidR="00BC5201" w:rsidRPr="00104227">
        <w:rPr>
          <w:lang w:val="en-US"/>
        </w:rPr>
        <w:t>torture</w:t>
      </w:r>
      <w:r w:rsidR="000E7B4C" w:rsidRPr="00104227">
        <w:rPr>
          <w:lang w:val="en-US"/>
        </w:rPr>
        <w:t xml:space="preserve">, </w:t>
      </w:r>
      <w:r w:rsidRPr="00104227">
        <w:rPr>
          <w:lang w:val="en-US"/>
        </w:rPr>
        <w:t>also stems from the fact that it was used as an intentional and targeted form of social control</w:t>
      </w:r>
      <w:r w:rsidR="000E7B4C" w:rsidRPr="00104227">
        <w:rPr>
          <w:lang w:val="en-US"/>
        </w:rPr>
        <w:t xml:space="preserve">. </w:t>
      </w:r>
      <w:r w:rsidRPr="00104227">
        <w:rPr>
          <w:lang w:val="en-US"/>
        </w:rPr>
        <w:t>In the context of armed conflicts, the United Nations Security Council,</w:t>
      </w:r>
      <w:r w:rsidR="000E7B4C" w:rsidRPr="00104227">
        <w:rPr>
          <w:rStyle w:val="Refdenotaalpie"/>
          <w:lang w:val="en-US"/>
        </w:rPr>
        <w:footnoteReference w:id="300"/>
      </w:r>
      <w:r w:rsidRPr="00104227">
        <w:rPr>
          <w:lang w:val="en-US"/>
        </w:rPr>
        <w:t xml:space="preserve"> international criminal courts/tribunals,</w:t>
      </w:r>
      <w:r w:rsidR="000E7B4C" w:rsidRPr="00104227">
        <w:rPr>
          <w:rStyle w:val="Refdenotaalpie"/>
          <w:lang w:val="en-US"/>
        </w:rPr>
        <w:footnoteReference w:id="301"/>
      </w:r>
      <w:r w:rsidR="00BF5241" w:rsidRPr="00104227">
        <w:rPr>
          <w:lang w:val="en-US"/>
        </w:rPr>
        <w:t xml:space="preserve"> and </w:t>
      </w:r>
      <w:r w:rsidRPr="00104227">
        <w:rPr>
          <w:lang w:val="en-US"/>
        </w:rPr>
        <w:t>domestic courts</w:t>
      </w:r>
      <w:r w:rsidR="000E7B4C" w:rsidRPr="00104227">
        <w:rPr>
          <w:rStyle w:val="Refdenotaalpie"/>
          <w:lang w:val="en-US"/>
        </w:rPr>
        <w:footnoteReference w:id="302"/>
      </w:r>
      <w:r w:rsidR="000E7B4C" w:rsidRPr="00104227">
        <w:rPr>
          <w:lang w:val="en-US"/>
        </w:rPr>
        <w:t xml:space="preserve"> ha</w:t>
      </w:r>
      <w:r w:rsidRPr="00104227">
        <w:rPr>
          <w:lang w:val="en-US"/>
        </w:rPr>
        <w:t>ve</w:t>
      </w:r>
      <w:r w:rsidR="000E7B4C" w:rsidRPr="00104227">
        <w:rPr>
          <w:lang w:val="en-US"/>
        </w:rPr>
        <w:t xml:space="preserve"> </w:t>
      </w:r>
      <w:r w:rsidR="000E7B4C" w:rsidRPr="00104227">
        <w:rPr>
          <w:lang w:val="en-US"/>
        </w:rPr>
        <w:lastRenderedPageBreak/>
        <w:t>reco</w:t>
      </w:r>
      <w:r w:rsidRPr="00104227">
        <w:rPr>
          <w:lang w:val="en-US"/>
        </w:rPr>
        <w:t xml:space="preserve">gnized that </w:t>
      </w:r>
      <w:r w:rsidR="00814266" w:rsidRPr="00104227">
        <w:rPr>
          <w:lang w:val="en-US"/>
        </w:rPr>
        <w:t>sexual violence</w:t>
      </w:r>
      <w:r w:rsidR="000E7B4C" w:rsidRPr="00104227">
        <w:rPr>
          <w:lang w:val="en-US"/>
        </w:rPr>
        <w:t xml:space="preserve"> </w:t>
      </w:r>
      <w:r w:rsidRPr="00104227">
        <w:rPr>
          <w:lang w:val="en-US"/>
        </w:rPr>
        <w:t xml:space="preserve">has frequently been used as a </w:t>
      </w:r>
      <w:r w:rsidR="001A3071" w:rsidRPr="00104227">
        <w:rPr>
          <w:lang w:val="en-US"/>
        </w:rPr>
        <w:t xml:space="preserve">tactic of </w:t>
      </w:r>
      <w:r w:rsidRPr="00104227">
        <w:rPr>
          <w:lang w:val="en-US"/>
        </w:rPr>
        <w:t>war “</w:t>
      </w:r>
      <w:r w:rsidR="001A3071" w:rsidRPr="00104227">
        <w:rPr>
          <w:lang w:val="en-US"/>
        </w:rPr>
        <w:t xml:space="preserve">in order </w:t>
      </w:r>
      <w:r w:rsidRPr="00104227">
        <w:rPr>
          <w:lang w:val="en-US"/>
        </w:rPr>
        <w:t xml:space="preserve">to humiliate, dominate, </w:t>
      </w:r>
      <w:r w:rsidR="00F27D61" w:rsidRPr="00104227">
        <w:rPr>
          <w:lang w:val="en-US"/>
        </w:rPr>
        <w:t>instill</w:t>
      </w:r>
      <w:r w:rsidR="001A3071" w:rsidRPr="00104227">
        <w:rPr>
          <w:lang w:val="en-US"/>
        </w:rPr>
        <w:t xml:space="preserve"> fear in</w:t>
      </w:r>
      <w:r w:rsidRPr="00104227">
        <w:rPr>
          <w:lang w:val="en-US"/>
        </w:rPr>
        <w:t xml:space="preserve">, disperse </w:t>
      </w:r>
      <w:r w:rsidR="001A3071" w:rsidRPr="00104227">
        <w:rPr>
          <w:lang w:val="en-US"/>
        </w:rPr>
        <w:t>and/</w:t>
      </w:r>
      <w:r w:rsidRPr="00104227">
        <w:rPr>
          <w:lang w:val="en-US"/>
        </w:rPr>
        <w:t xml:space="preserve">or </w:t>
      </w:r>
      <w:r w:rsidR="001A3071" w:rsidRPr="00104227">
        <w:rPr>
          <w:lang w:val="en-US"/>
        </w:rPr>
        <w:t>forcibly relocate</w:t>
      </w:r>
      <w:r w:rsidRPr="00104227">
        <w:rPr>
          <w:lang w:val="en-US"/>
        </w:rPr>
        <w:t xml:space="preserve"> civilian members of a community or ethnic group.</w:t>
      </w:r>
      <w:r w:rsidR="000E7B4C" w:rsidRPr="00104227">
        <w:rPr>
          <w:lang w:val="en-US"/>
        </w:rPr>
        <w:t>”</w:t>
      </w:r>
      <w:r w:rsidR="000E7B4C" w:rsidRPr="00104227">
        <w:rPr>
          <w:rStyle w:val="Refdenotaalpie"/>
          <w:lang w:val="en-US"/>
        </w:rPr>
        <w:footnoteReference w:id="303"/>
      </w:r>
      <w:r w:rsidRPr="00104227">
        <w:rPr>
          <w:lang w:val="en-US"/>
        </w:rPr>
        <w:t xml:space="preserve"> This Court has referred</w:t>
      </w:r>
      <w:r w:rsidR="00CA075C" w:rsidRPr="00104227">
        <w:rPr>
          <w:lang w:val="en-US"/>
        </w:rPr>
        <w:t xml:space="preserve"> to</w:t>
      </w:r>
      <w:r w:rsidRPr="00104227">
        <w:rPr>
          <w:lang w:val="en-US"/>
        </w:rPr>
        <w:t xml:space="preserve"> t</w:t>
      </w:r>
      <w:r w:rsidR="001A3071" w:rsidRPr="00104227">
        <w:rPr>
          <w:lang w:val="en-US"/>
        </w:rPr>
        <w:t xml:space="preserve">he use of </w:t>
      </w:r>
      <w:r w:rsidRPr="00104227">
        <w:rPr>
          <w:lang w:val="en-US"/>
        </w:rPr>
        <w:t xml:space="preserve">sexual violence in armed conflicts as a symbolic means of </w:t>
      </w:r>
      <w:r w:rsidR="00F27D61" w:rsidRPr="00104227">
        <w:rPr>
          <w:lang w:val="en-US"/>
        </w:rPr>
        <w:t>humiliating</w:t>
      </w:r>
      <w:r w:rsidRPr="00104227">
        <w:rPr>
          <w:lang w:val="en-US"/>
        </w:rPr>
        <w:t xml:space="preserve"> the other party or as a means of punishment or repres</w:t>
      </w:r>
      <w:r w:rsidR="001A3071" w:rsidRPr="00104227">
        <w:rPr>
          <w:lang w:val="en-US"/>
        </w:rPr>
        <w:t>sio</w:t>
      </w:r>
      <w:r w:rsidRPr="00104227">
        <w:rPr>
          <w:lang w:val="en-US"/>
        </w:rPr>
        <w:t xml:space="preserve">n. In this regard, it has underscored how the use of the State’s power to violate the rights of women in an internal conflict, in addition to affecting them directly, may </w:t>
      </w:r>
      <w:r w:rsidR="001A3071" w:rsidRPr="00104227">
        <w:rPr>
          <w:lang w:val="en-US"/>
        </w:rPr>
        <w:t>be designed to have</w:t>
      </w:r>
      <w:r w:rsidRPr="00104227">
        <w:rPr>
          <w:lang w:val="en-US"/>
        </w:rPr>
        <w:t xml:space="preserve"> an effect on society and give a message or lesson, because the consequences of sexual violence usually transcend the victim.</w:t>
      </w:r>
      <w:r w:rsidR="000E7B4C" w:rsidRPr="00104227">
        <w:rPr>
          <w:rStyle w:val="Refdenotaalpie"/>
          <w:lang w:val="en-US"/>
        </w:rPr>
        <w:footnoteReference w:id="304"/>
      </w:r>
      <w:r w:rsidR="000E7B4C" w:rsidRPr="00104227">
        <w:rPr>
          <w:lang w:val="en-US"/>
        </w:rPr>
        <w:t xml:space="preserve"> </w:t>
      </w:r>
    </w:p>
    <w:p w14:paraId="65708FC8" w14:textId="77777777" w:rsidR="00E61B90" w:rsidRPr="00104227" w:rsidRDefault="00E61B90" w:rsidP="00E61B90">
      <w:pPr>
        <w:pStyle w:val="Numberedparagraphs"/>
        <w:numPr>
          <w:ilvl w:val="0"/>
          <w:numId w:val="0"/>
        </w:numPr>
        <w:tabs>
          <w:tab w:val="left" w:pos="567"/>
        </w:tabs>
        <w:rPr>
          <w:lang w:val="en-US"/>
        </w:rPr>
      </w:pPr>
    </w:p>
    <w:p w14:paraId="2E85F971" w14:textId="7BA7BCB4" w:rsidR="00D97C4A" w:rsidRPr="00104227" w:rsidRDefault="00BF5241" w:rsidP="00E61B90">
      <w:pPr>
        <w:pStyle w:val="Numberedparagraphs"/>
        <w:tabs>
          <w:tab w:val="left" w:pos="567"/>
        </w:tabs>
        <w:rPr>
          <w:lang w:val="en-US"/>
        </w:rPr>
      </w:pPr>
      <w:r w:rsidRPr="00104227">
        <w:rPr>
          <w:lang w:val="en-US"/>
        </w:rPr>
        <w:t xml:space="preserve">The </w:t>
      </w:r>
      <w:r w:rsidR="00D97C4A" w:rsidRPr="00104227">
        <w:rPr>
          <w:lang w:val="en-US"/>
        </w:rPr>
        <w:t xml:space="preserve">African Commission on Human and Peoples’ Rights has also </w:t>
      </w:r>
      <w:r w:rsidR="00E61B90" w:rsidRPr="00104227">
        <w:rPr>
          <w:lang w:val="en-US"/>
        </w:rPr>
        <w:t>emphasized how sexual violence is used in contexts where there is no armed conflict, when referring to sexual assaults committed against women during the 2005 protests in Egypt. It considered that the insults, violence, intimidation and sexual harassment of the women, because they were women, were designed to silence them and deter their activism in political affairs.</w:t>
      </w:r>
      <w:r w:rsidR="000C22FD" w:rsidRPr="00104227">
        <w:rPr>
          <w:rStyle w:val="Refdenotaalpie"/>
          <w:lang w:val="en-US"/>
        </w:rPr>
        <w:footnoteReference w:id="305"/>
      </w:r>
    </w:p>
    <w:p w14:paraId="2734DCB2" w14:textId="77777777" w:rsidR="000C22FD" w:rsidRPr="00104227" w:rsidRDefault="000C22FD" w:rsidP="00E4619F">
      <w:pPr>
        <w:tabs>
          <w:tab w:val="left" w:pos="567"/>
        </w:tabs>
        <w:rPr>
          <w:lang w:eastAsia="es-MX"/>
        </w:rPr>
      </w:pPr>
    </w:p>
    <w:p w14:paraId="6FE7CC4D" w14:textId="11342012" w:rsidR="00365AD8" w:rsidRPr="00104227" w:rsidRDefault="00E61B90" w:rsidP="00E4619F">
      <w:pPr>
        <w:pStyle w:val="Numberedparagraphs"/>
        <w:tabs>
          <w:tab w:val="left" w:pos="567"/>
        </w:tabs>
        <w:rPr>
          <w:lang w:val="en-US"/>
        </w:rPr>
      </w:pPr>
      <w:r w:rsidRPr="00104227">
        <w:rPr>
          <w:lang w:val="en-US"/>
        </w:rPr>
        <w:t>S</w:t>
      </w:r>
      <w:r w:rsidR="005E1CDD" w:rsidRPr="00104227">
        <w:rPr>
          <w:lang w:val="en-US"/>
        </w:rPr>
        <w:t>imilar</w:t>
      </w:r>
      <w:r w:rsidRPr="00104227">
        <w:rPr>
          <w:lang w:val="en-US"/>
        </w:rPr>
        <w:t>ly</w:t>
      </w:r>
      <w:r w:rsidR="000E7B4C" w:rsidRPr="00104227">
        <w:rPr>
          <w:lang w:val="en-US"/>
        </w:rPr>
        <w:t xml:space="preserve">, </w:t>
      </w:r>
      <w:r w:rsidRPr="00104227">
        <w:rPr>
          <w:lang w:val="en-US"/>
        </w:rPr>
        <w:t xml:space="preserve">in this case, </w:t>
      </w:r>
      <w:r w:rsidR="00814266" w:rsidRPr="00104227">
        <w:rPr>
          <w:lang w:val="en-US"/>
        </w:rPr>
        <w:t>sexual violence</w:t>
      </w:r>
      <w:r w:rsidR="000E7B4C" w:rsidRPr="00104227">
        <w:rPr>
          <w:lang w:val="en-US"/>
        </w:rPr>
        <w:t xml:space="preserve"> </w:t>
      </w:r>
      <w:r w:rsidRPr="00104227">
        <w:rPr>
          <w:lang w:val="en-US"/>
        </w:rPr>
        <w:t xml:space="preserve">was used by </w:t>
      </w:r>
      <w:r w:rsidR="00CA075C" w:rsidRPr="00104227">
        <w:rPr>
          <w:lang w:val="en-US"/>
        </w:rPr>
        <w:t>S</w:t>
      </w:r>
      <w:r w:rsidRPr="00104227">
        <w:rPr>
          <w:lang w:val="en-US"/>
        </w:rPr>
        <w:t xml:space="preserve">tate agents as a tactic or strategy of control, domination and imposing authority. Indeed, as in the cases referred to previously, </w:t>
      </w:r>
      <w:r w:rsidR="00814266" w:rsidRPr="00104227">
        <w:rPr>
          <w:lang w:val="en-US"/>
        </w:rPr>
        <w:t>sexual violence</w:t>
      </w:r>
      <w:r w:rsidR="000E7B4C" w:rsidRPr="00104227">
        <w:rPr>
          <w:lang w:val="en-US"/>
        </w:rPr>
        <w:t xml:space="preserve"> </w:t>
      </w:r>
      <w:r w:rsidRPr="00104227">
        <w:rPr>
          <w:lang w:val="en-US"/>
        </w:rPr>
        <w:t>was used in public, with numerous witnesses, as a macabre and intimidating spectacle in which the other detainees were forced to liste</w:t>
      </w:r>
      <w:r w:rsidR="00CA075C" w:rsidRPr="00104227">
        <w:rPr>
          <w:lang w:val="en-US"/>
        </w:rPr>
        <w:t>n</w:t>
      </w:r>
      <w:r w:rsidRPr="00104227">
        <w:rPr>
          <w:lang w:val="en-US"/>
        </w:rPr>
        <w:t xml:space="preserve"> and, in some cases, </w:t>
      </w:r>
      <w:r w:rsidR="00CA075C" w:rsidRPr="00104227">
        <w:rPr>
          <w:lang w:val="en-US"/>
        </w:rPr>
        <w:t>to witness</w:t>
      </w:r>
      <w:r w:rsidRPr="00104227">
        <w:rPr>
          <w:lang w:val="en-US"/>
        </w:rPr>
        <w:t xml:space="preserve"> what was being done to the </w:t>
      </w:r>
      <w:r w:rsidR="00F27D61" w:rsidRPr="00104227">
        <w:rPr>
          <w:lang w:val="en-US"/>
        </w:rPr>
        <w:t>women’s</w:t>
      </w:r>
      <w:r w:rsidRPr="00104227">
        <w:rPr>
          <w:lang w:val="en-US"/>
        </w:rPr>
        <w:t>’ bodies</w:t>
      </w:r>
      <w:r w:rsidR="000E7B4C" w:rsidRPr="00104227">
        <w:rPr>
          <w:lang w:val="en-US"/>
        </w:rPr>
        <w:t>.</w:t>
      </w:r>
    </w:p>
    <w:p w14:paraId="046B464A" w14:textId="77777777" w:rsidR="00365AD8" w:rsidRPr="00104227" w:rsidRDefault="00365AD8" w:rsidP="00E4619F">
      <w:pPr>
        <w:tabs>
          <w:tab w:val="left" w:pos="567"/>
        </w:tabs>
        <w:rPr>
          <w:lang w:eastAsia="es-MX"/>
        </w:rPr>
      </w:pPr>
    </w:p>
    <w:p w14:paraId="0BDC20A1" w14:textId="3F4B4875" w:rsidR="00365AD8" w:rsidRPr="00104227" w:rsidRDefault="00E61B90" w:rsidP="00E4619F">
      <w:pPr>
        <w:pStyle w:val="Numberedparagraphs"/>
        <w:tabs>
          <w:tab w:val="left" w:pos="567"/>
        </w:tabs>
        <w:rPr>
          <w:lang w:val="en-US"/>
        </w:rPr>
      </w:pPr>
      <w:r w:rsidRPr="00104227">
        <w:rPr>
          <w:lang w:val="en-US"/>
        </w:rPr>
        <w:t xml:space="preserve">In this regard, the Court stresses </w:t>
      </w:r>
      <w:r w:rsidR="00CA075C" w:rsidRPr="00104227">
        <w:rPr>
          <w:lang w:val="en-US"/>
        </w:rPr>
        <w:t>that</w:t>
      </w:r>
      <w:r w:rsidRPr="00104227">
        <w:rPr>
          <w:lang w:val="en-US"/>
        </w:rPr>
        <w:t xml:space="preserve">: </w:t>
      </w:r>
      <w:r w:rsidR="000E7B4C" w:rsidRPr="00104227">
        <w:rPr>
          <w:lang w:val="en-US"/>
        </w:rPr>
        <w:t>(i) Norma Aidé Jiménez Osorio re</w:t>
      </w:r>
      <w:r w:rsidRPr="00104227">
        <w:rPr>
          <w:lang w:val="en-US"/>
        </w:rPr>
        <w:t>counted that during the transfer she could hear the</w:t>
      </w:r>
      <w:r w:rsidR="00EA4F2F" w:rsidRPr="00104227">
        <w:rPr>
          <w:lang w:val="en-US"/>
        </w:rPr>
        <w:t xml:space="preserve"> cries of men and women pleading with the police not to rape them</w:t>
      </w:r>
      <w:r w:rsidR="000E7B4C" w:rsidRPr="00104227">
        <w:rPr>
          <w:lang w:val="en-US"/>
        </w:rPr>
        <w:t xml:space="preserve"> (</w:t>
      </w:r>
      <w:r w:rsidR="000E7B4C" w:rsidRPr="00104227">
        <w:rPr>
          <w:i/>
          <w:lang w:val="en-US"/>
        </w:rPr>
        <w:t>supra</w:t>
      </w:r>
      <w:r w:rsidR="000E7B4C" w:rsidRPr="00104227">
        <w:rPr>
          <w:lang w:val="en-US"/>
        </w:rPr>
        <w:t xml:space="preserve"> </w:t>
      </w:r>
      <w:r w:rsidR="00BF5241" w:rsidRPr="00104227">
        <w:rPr>
          <w:lang w:val="en-US"/>
        </w:rPr>
        <w:t>para.</w:t>
      </w:r>
      <w:r w:rsidR="003D03D4" w:rsidRPr="00104227">
        <w:rPr>
          <w:lang w:val="en-US"/>
        </w:rPr>
        <w:t xml:space="preserve"> </w:t>
      </w:r>
      <w:r w:rsidR="003D03D4" w:rsidRPr="00104227">
        <w:rPr>
          <w:lang w:val="en-US"/>
        </w:rPr>
        <w:fldChar w:fldCharType="begin"/>
      </w:r>
      <w:r w:rsidR="003D03D4" w:rsidRPr="00104227">
        <w:rPr>
          <w:lang w:val="en-US"/>
        </w:rPr>
        <w:instrText xml:space="preserve"> REF _Ref532915098 \r \h </w:instrText>
      </w:r>
      <w:r w:rsidR="00284EAE" w:rsidRPr="00104227">
        <w:rPr>
          <w:lang w:val="en-US"/>
        </w:rPr>
        <w:instrText xml:space="preserve"> \* MERGEFORMAT </w:instrText>
      </w:r>
      <w:r w:rsidR="003D03D4" w:rsidRPr="00104227">
        <w:rPr>
          <w:lang w:val="en-US"/>
        </w:rPr>
      </w:r>
      <w:r w:rsidR="003D03D4" w:rsidRPr="00104227">
        <w:rPr>
          <w:lang w:val="en-US"/>
        </w:rPr>
        <w:fldChar w:fldCharType="separate"/>
      </w:r>
      <w:r w:rsidR="004276BD">
        <w:rPr>
          <w:lang w:val="en-US"/>
        </w:rPr>
        <w:t>93</w:t>
      </w:r>
      <w:r w:rsidR="003D03D4" w:rsidRPr="00104227">
        <w:rPr>
          <w:lang w:val="en-US"/>
        </w:rPr>
        <w:fldChar w:fldCharType="end"/>
      </w:r>
      <w:r w:rsidR="000E7B4C" w:rsidRPr="00104227">
        <w:rPr>
          <w:lang w:val="en-US"/>
        </w:rPr>
        <w:t xml:space="preserve">); (ii) María Patricia Romero Hernández, </w:t>
      </w:r>
      <w:r w:rsidR="00EA4F2F" w:rsidRPr="00104227">
        <w:rPr>
          <w:lang w:val="en-US"/>
        </w:rPr>
        <w:t xml:space="preserve">who was beaten and threatened by the police in front of her son and her father, recounted that she was sexually abused by several agents “a few meters away from [her] son and [her] father,” and they forced her “to be quiet [… because if not] they would be able to hear [her] [and she could only think that she] did not want [her] family to find out” </w:t>
      </w:r>
      <w:r w:rsidR="000E7B4C" w:rsidRPr="00104227">
        <w:rPr>
          <w:lang w:val="en-US"/>
        </w:rPr>
        <w:t>(</w:t>
      </w:r>
      <w:r w:rsidR="000E7B4C" w:rsidRPr="00104227">
        <w:rPr>
          <w:i/>
          <w:lang w:val="en-US"/>
        </w:rPr>
        <w:t>supra</w:t>
      </w:r>
      <w:r w:rsidR="000E7B4C" w:rsidRPr="00104227">
        <w:rPr>
          <w:lang w:val="en-US"/>
        </w:rPr>
        <w:t xml:space="preserve"> </w:t>
      </w:r>
      <w:r w:rsidR="00BF5241" w:rsidRPr="00104227">
        <w:rPr>
          <w:lang w:val="en-US"/>
        </w:rPr>
        <w:t>para.</w:t>
      </w:r>
      <w:r w:rsidR="006E365C" w:rsidRPr="00104227">
        <w:rPr>
          <w:lang w:val="en-US"/>
        </w:rPr>
        <w:t xml:space="preserve"> </w:t>
      </w:r>
      <w:r w:rsidR="003D03D4" w:rsidRPr="00104227">
        <w:rPr>
          <w:lang w:val="en-US"/>
        </w:rPr>
        <w:fldChar w:fldCharType="begin"/>
      </w:r>
      <w:r w:rsidR="003D03D4" w:rsidRPr="00104227">
        <w:rPr>
          <w:lang w:val="en-US"/>
        </w:rPr>
        <w:instrText xml:space="preserve"> REF _Ref532907789 \r \h </w:instrText>
      </w:r>
      <w:r w:rsidR="00284EAE" w:rsidRPr="00104227">
        <w:rPr>
          <w:lang w:val="en-US"/>
        </w:rPr>
        <w:instrText xml:space="preserve"> \* MERGEFORMAT </w:instrText>
      </w:r>
      <w:r w:rsidR="003D03D4" w:rsidRPr="00104227">
        <w:rPr>
          <w:lang w:val="en-US"/>
        </w:rPr>
      </w:r>
      <w:r w:rsidR="003D03D4" w:rsidRPr="00104227">
        <w:rPr>
          <w:lang w:val="en-US"/>
        </w:rPr>
        <w:fldChar w:fldCharType="separate"/>
      </w:r>
      <w:r w:rsidR="004276BD">
        <w:rPr>
          <w:lang w:val="en-US"/>
        </w:rPr>
        <w:t>90</w:t>
      </w:r>
      <w:r w:rsidR="003D03D4" w:rsidRPr="00104227">
        <w:rPr>
          <w:lang w:val="en-US"/>
        </w:rPr>
        <w:fldChar w:fldCharType="end"/>
      </w:r>
      <w:r w:rsidR="000E7B4C" w:rsidRPr="00104227">
        <w:rPr>
          <w:lang w:val="en-US"/>
        </w:rPr>
        <w:t>); (iii) Suhelen Gabriela Cuevas Jaramillo re</w:t>
      </w:r>
      <w:r w:rsidR="00EA4F2F" w:rsidRPr="00104227">
        <w:rPr>
          <w:lang w:val="en-US"/>
        </w:rPr>
        <w:t>counted that she had been detained with her partner and that, when one of the police agents realized that she was accompanied, “he said to him, ‘this is how you fuck her, jerk?’” while slapping his fa</w:t>
      </w:r>
      <w:r w:rsidR="00CA075C" w:rsidRPr="00104227">
        <w:rPr>
          <w:lang w:val="en-US"/>
        </w:rPr>
        <w:t>c</w:t>
      </w:r>
      <w:r w:rsidR="00EA4F2F" w:rsidRPr="00104227">
        <w:rPr>
          <w:lang w:val="en-US"/>
        </w:rPr>
        <w:t>e, and also that</w:t>
      </w:r>
      <w:r w:rsidR="000E7B4C" w:rsidRPr="00104227">
        <w:rPr>
          <w:lang w:val="en-US"/>
        </w:rPr>
        <w:t xml:space="preserve">, </w:t>
      </w:r>
      <w:r w:rsidR="00EA4F2F" w:rsidRPr="00104227">
        <w:rPr>
          <w:lang w:val="en-US"/>
        </w:rPr>
        <w:t>during the journey to the</w:t>
      </w:r>
      <w:r w:rsidR="00CA075C" w:rsidRPr="00104227">
        <w:rPr>
          <w:lang w:val="en-US"/>
        </w:rPr>
        <w:t xml:space="preserve"> </w:t>
      </w:r>
      <w:r w:rsidR="00EA4F2F" w:rsidRPr="00104227">
        <w:rPr>
          <w:lang w:val="en-US"/>
        </w:rPr>
        <w:t xml:space="preserve">prison, she could hear other women resisting sexual assaults </w:t>
      </w:r>
      <w:r w:rsidR="000E7B4C" w:rsidRPr="00104227">
        <w:rPr>
          <w:lang w:val="en-US"/>
        </w:rPr>
        <w:t>(</w:t>
      </w:r>
      <w:r w:rsidR="000E7B4C" w:rsidRPr="00104227">
        <w:rPr>
          <w:i/>
          <w:lang w:val="en-US"/>
        </w:rPr>
        <w:t>supra</w:t>
      </w:r>
      <w:r w:rsidR="000E7B4C" w:rsidRPr="00104227">
        <w:rPr>
          <w:lang w:val="en-US"/>
        </w:rPr>
        <w:t xml:space="preserve"> </w:t>
      </w:r>
      <w:r w:rsidR="00BF5241" w:rsidRPr="00104227">
        <w:rPr>
          <w:lang w:val="en-US"/>
        </w:rPr>
        <w:t>para.</w:t>
      </w:r>
      <w:r w:rsidR="006E365C" w:rsidRPr="00104227">
        <w:rPr>
          <w:lang w:val="en-US"/>
        </w:rPr>
        <w:t xml:space="preserve"> </w:t>
      </w:r>
      <w:r w:rsidR="003D03D4" w:rsidRPr="00104227">
        <w:rPr>
          <w:lang w:val="en-US"/>
        </w:rPr>
        <w:fldChar w:fldCharType="begin"/>
      </w:r>
      <w:r w:rsidR="003D03D4" w:rsidRPr="00104227">
        <w:rPr>
          <w:lang w:val="en-US"/>
        </w:rPr>
        <w:instrText xml:space="preserve"> REF _Ref532908081 \r \h </w:instrText>
      </w:r>
      <w:r w:rsidR="00284EAE" w:rsidRPr="00104227">
        <w:rPr>
          <w:lang w:val="en-US"/>
        </w:rPr>
        <w:instrText xml:space="preserve"> \* MERGEFORMAT </w:instrText>
      </w:r>
      <w:r w:rsidR="003D03D4" w:rsidRPr="00104227">
        <w:rPr>
          <w:lang w:val="en-US"/>
        </w:rPr>
      </w:r>
      <w:r w:rsidR="003D03D4" w:rsidRPr="00104227">
        <w:rPr>
          <w:lang w:val="en-US"/>
        </w:rPr>
        <w:fldChar w:fldCharType="separate"/>
      </w:r>
      <w:r w:rsidR="004276BD">
        <w:rPr>
          <w:lang w:val="en-US"/>
        </w:rPr>
        <w:t>97</w:t>
      </w:r>
      <w:r w:rsidR="003D03D4" w:rsidRPr="00104227">
        <w:rPr>
          <w:lang w:val="en-US"/>
        </w:rPr>
        <w:fldChar w:fldCharType="end"/>
      </w:r>
      <w:r w:rsidR="000E7B4C" w:rsidRPr="00104227">
        <w:rPr>
          <w:lang w:val="en-US"/>
        </w:rPr>
        <w:t>); (iv) Bárbara Italia Méndez Moreno re</w:t>
      </w:r>
      <w:r w:rsidR="00EA4F2F" w:rsidRPr="00104227">
        <w:rPr>
          <w:lang w:val="en-US"/>
        </w:rPr>
        <w:t xml:space="preserve">counted how she was raped by several agents, who incited and encouraged each other, while she was lying on top of two other people and, at the same time, she could hear another woman crying </w:t>
      </w:r>
      <w:r w:rsidR="0064478A" w:rsidRPr="00104227">
        <w:rPr>
          <w:lang w:val="en-US"/>
        </w:rPr>
        <w:t xml:space="preserve">out for them to stop attacking her </w:t>
      </w:r>
      <w:r w:rsidR="000E7B4C" w:rsidRPr="00104227">
        <w:rPr>
          <w:lang w:val="en-US"/>
        </w:rPr>
        <w:t>(</w:t>
      </w:r>
      <w:r w:rsidR="000E7B4C" w:rsidRPr="00104227">
        <w:rPr>
          <w:i/>
          <w:lang w:val="en-US"/>
        </w:rPr>
        <w:t>supra</w:t>
      </w:r>
      <w:r w:rsidR="000E7B4C" w:rsidRPr="00104227">
        <w:rPr>
          <w:lang w:val="en-US"/>
        </w:rPr>
        <w:t xml:space="preserve"> </w:t>
      </w:r>
      <w:r w:rsidR="00BF5241" w:rsidRPr="00104227">
        <w:rPr>
          <w:lang w:val="en-US"/>
        </w:rPr>
        <w:t>para.</w:t>
      </w:r>
      <w:r w:rsidR="003D03D4" w:rsidRPr="00104227">
        <w:rPr>
          <w:lang w:val="en-US"/>
        </w:rPr>
        <w:t xml:space="preserve"> </w:t>
      </w:r>
      <w:r w:rsidR="003D03D4" w:rsidRPr="00104227">
        <w:rPr>
          <w:lang w:val="en-US"/>
        </w:rPr>
        <w:fldChar w:fldCharType="begin"/>
      </w:r>
      <w:r w:rsidR="003D03D4" w:rsidRPr="00104227">
        <w:rPr>
          <w:lang w:val="en-US"/>
        </w:rPr>
        <w:instrText xml:space="preserve"> REF _Ref532908183 \r \h </w:instrText>
      </w:r>
      <w:r w:rsidR="00284EAE" w:rsidRPr="00104227">
        <w:rPr>
          <w:lang w:val="en-US"/>
        </w:rPr>
        <w:instrText xml:space="preserve"> \* MERGEFORMAT </w:instrText>
      </w:r>
      <w:r w:rsidR="003D03D4" w:rsidRPr="00104227">
        <w:rPr>
          <w:lang w:val="en-US"/>
        </w:rPr>
      </w:r>
      <w:r w:rsidR="003D03D4" w:rsidRPr="00104227">
        <w:rPr>
          <w:lang w:val="en-US"/>
        </w:rPr>
        <w:fldChar w:fldCharType="separate"/>
      </w:r>
      <w:r w:rsidR="004276BD">
        <w:rPr>
          <w:lang w:val="en-US"/>
        </w:rPr>
        <w:t>98</w:t>
      </w:r>
      <w:r w:rsidR="003D03D4" w:rsidRPr="00104227">
        <w:rPr>
          <w:lang w:val="en-US"/>
        </w:rPr>
        <w:fldChar w:fldCharType="end"/>
      </w:r>
      <w:r w:rsidR="003D03D4" w:rsidRPr="00104227">
        <w:rPr>
          <w:lang w:val="en-US"/>
        </w:rPr>
        <w:t xml:space="preserve"> a</w:t>
      </w:r>
      <w:r w:rsidR="0092363F" w:rsidRPr="00104227">
        <w:rPr>
          <w:lang w:val="en-US"/>
        </w:rPr>
        <w:t>nd</w:t>
      </w:r>
      <w:r w:rsidR="003D03D4" w:rsidRPr="00104227">
        <w:rPr>
          <w:lang w:val="en-US"/>
        </w:rPr>
        <w:t xml:space="preserve"> </w:t>
      </w:r>
      <w:r w:rsidR="003D03D4" w:rsidRPr="00104227">
        <w:rPr>
          <w:lang w:val="en-US"/>
        </w:rPr>
        <w:fldChar w:fldCharType="begin"/>
      </w:r>
      <w:r w:rsidR="003D03D4" w:rsidRPr="00104227">
        <w:rPr>
          <w:lang w:val="en-US"/>
        </w:rPr>
        <w:instrText xml:space="preserve"> REF _Ref532915127 \r \h </w:instrText>
      </w:r>
      <w:r w:rsidR="00284EAE" w:rsidRPr="00104227">
        <w:rPr>
          <w:lang w:val="en-US"/>
        </w:rPr>
        <w:instrText xml:space="preserve"> \* MERGEFORMAT </w:instrText>
      </w:r>
      <w:r w:rsidR="003D03D4" w:rsidRPr="00104227">
        <w:rPr>
          <w:lang w:val="en-US"/>
        </w:rPr>
      </w:r>
      <w:r w:rsidR="003D03D4" w:rsidRPr="00104227">
        <w:rPr>
          <w:lang w:val="en-US"/>
        </w:rPr>
        <w:fldChar w:fldCharType="separate"/>
      </w:r>
      <w:r w:rsidR="004276BD">
        <w:rPr>
          <w:lang w:val="en-US"/>
        </w:rPr>
        <w:t>99</w:t>
      </w:r>
      <w:r w:rsidR="003D03D4" w:rsidRPr="00104227">
        <w:rPr>
          <w:lang w:val="en-US"/>
        </w:rPr>
        <w:fldChar w:fldCharType="end"/>
      </w:r>
      <w:r w:rsidR="000E7B4C" w:rsidRPr="00104227">
        <w:rPr>
          <w:lang w:val="en-US"/>
        </w:rPr>
        <w:t>),</w:t>
      </w:r>
      <w:r w:rsidR="00BF5241" w:rsidRPr="00104227">
        <w:rPr>
          <w:lang w:val="en-US"/>
        </w:rPr>
        <w:t xml:space="preserve"> and </w:t>
      </w:r>
      <w:r w:rsidR="000E7B4C" w:rsidRPr="00104227">
        <w:rPr>
          <w:lang w:val="en-US"/>
        </w:rPr>
        <w:t>(v) María Cristina Sánchez Hernández re</w:t>
      </w:r>
      <w:r w:rsidR="0092363F" w:rsidRPr="00104227">
        <w:rPr>
          <w:lang w:val="en-US"/>
        </w:rPr>
        <w:t xml:space="preserve">counted how she witnessed a rape, during which the other woman was forced to perform </w:t>
      </w:r>
      <w:r w:rsidR="00907A64" w:rsidRPr="00104227">
        <w:rPr>
          <w:lang w:val="en-US"/>
        </w:rPr>
        <w:t>oral sex</w:t>
      </w:r>
      <w:r w:rsidR="000E7B4C" w:rsidRPr="00104227">
        <w:rPr>
          <w:lang w:val="en-US"/>
        </w:rPr>
        <w:t xml:space="preserve"> (</w:t>
      </w:r>
      <w:r w:rsidR="000E7B4C" w:rsidRPr="00104227">
        <w:rPr>
          <w:i/>
          <w:lang w:val="en-US"/>
        </w:rPr>
        <w:t>supra</w:t>
      </w:r>
      <w:r w:rsidR="000E7B4C" w:rsidRPr="00104227">
        <w:rPr>
          <w:lang w:val="en-US"/>
        </w:rPr>
        <w:t xml:space="preserve"> </w:t>
      </w:r>
      <w:r w:rsidR="00BF5241" w:rsidRPr="00104227">
        <w:rPr>
          <w:lang w:val="en-US"/>
        </w:rPr>
        <w:t>para.</w:t>
      </w:r>
      <w:r w:rsidR="006E365C" w:rsidRPr="00104227">
        <w:rPr>
          <w:lang w:val="en-US"/>
        </w:rPr>
        <w:t xml:space="preserve"> </w:t>
      </w:r>
      <w:r w:rsidR="003D03D4" w:rsidRPr="00104227">
        <w:rPr>
          <w:lang w:val="en-US"/>
        </w:rPr>
        <w:fldChar w:fldCharType="begin"/>
      </w:r>
      <w:r w:rsidR="003D03D4" w:rsidRPr="00104227">
        <w:rPr>
          <w:lang w:val="en-US"/>
        </w:rPr>
        <w:instrText xml:space="preserve"> REF _Ref532908225 \r \h </w:instrText>
      </w:r>
      <w:r w:rsidR="00284EAE" w:rsidRPr="00104227">
        <w:rPr>
          <w:lang w:val="en-US"/>
        </w:rPr>
        <w:instrText xml:space="preserve"> \* MERGEFORMAT </w:instrText>
      </w:r>
      <w:r w:rsidR="003D03D4" w:rsidRPr="00104227">
        <w:rPr>
          <w:lang w:val="en-US"/>
        </w:rPr>
      </w:r>
      <w:r w:rsidR="003D03D4" w:rsidRPr="00104227">
        <w:rPr>
          <w:lang w:val="en-US"/>
        </w:rPr>
        <w:fldChar w:fldCharType="separate"/>
      </w:r>
      <w:r w:rsidR="004276BD">
        <w:rPr>
          <w:lang w:val="en-US"/>
        </w:rPr>
        <w:t>89</w:t>
      </w:r>
      <w:r w:rsidR="003D03D4" w:rsidRPr="00104227">
        <w:rPr>
          <w:lang w:val="en-US"/>
        </w:rPr>
        <w:fldChar w:fldCharType="end"/>
      </w:r>
      <w:r w:rsidR="000E7B4C" w:rsidRPr="00104227">
        <w:rPr>
          <w:lang w:val="en-US"/>
        </w:rPr>
        <w:t>).</w:t>
      </w:r>
      <w:r w:rsidR="005E1CDD" w:rsidRPr="00104227">
        <w:rPr>
          <w:lang w:val="en-US"/>
        </w:rPr>
        <w:t xml:space="preserve"> </w:t>
      </w:r>
      <w:r w:rsidR="0092363F" w:rsidRPr="00104227">
        <w:rPr>
          <w:lang w:val="en-US"/>
        </w:rPr>
        <w:t xml:space="preserve">All of </w:t>
      </w:r>
      <w:r w:rsidR="0092363F" w:rsidRPr="00104227">
        <w:rPr>
          <w:lang w:val="en-US"/>
        </w:rPr>
        <w:lastRenderedPageBreak/>
        <w:t>which would appear to indicate that the purpose was precisel</w:t>
      </w:r>
      <w:r w:rsidR="00CA075C" w:rsidRPr="00104227">
        <w:rPr>
          <w:lang w:val="en-US"/>
        </w:rPr>
        <w:t>y</w:t>
      </w:r>
      <w:r w:rsidR="0092363F" w:rsidRPr="00104227">
        <w:rPr>
          <w:lang w:val="en-US"/>
        </w:rPr>
        <w:t xml:space="preserve"> that the other protesters saw or were aware of what happened to their women when they challenged the authority of the agents, under a </w:t>
      </w:r>
      <w:r w:rsidR="0064780B" w:rsidRPr="00104227">
        <w:rPr>
          <w:lang w:val="en-US"/>
        </w:rPr>
        <w:t xml:space="preserve">male </w:t>
      </w:r>
      <w:r w:rsidR="00CA075C" w:rsidRPr="00104227">
        <w:rPr>
          <w:lang w:val="en-US"/>
        </w:rPr>
        <w:t>chauv</w:t>
      </w:r>
      <w:r w:rsidR="0064780B" w:rsidRPr="00104227">
        <w:rPr>
          <w:lang w:val="en-US"/>
        </w:rPr>
        <w:t>inist</w:t>
      </w:r>
      <w:r w:rsidR="0092363F" w:rsidRPr="00104227">
        <w:rPr>
          <w:lang w:val="en-US"/>
        </w:rPr>
        <w:t xml:space="preserve"> concept of women as a possession or object to be dominated in order to cru</w:t>
      </w:r>
      <w:r w:rsidR="00140470" w:rsidRPr="00104227">
        <w:rPr>
          <w:lang w:val="en-US"/>
        </w:rPr>
        <w:t>sh</w:t>
      </w:r>
      <w:r w:rsidR="0092363F" w:rsidRPr="00104227">
        <w:rPr>
          <w:lang w:val="en-US"/>
        </w:rPr>
        <w:t xml:space="preserve"> the group they were trying to control. </w:t>
      </w:r>
    </w:p>
    <w:p w14:paraId="73FE4E29" w14:textId="77777777" w:rsidR="000C22FD" w:rsidRPr="00104227" w:rsidRDefault="000C22FD" w:rsidP="00E4619F">
      <w:pPr>
        <w:tabs>
          <w:tab w:val="left" w:pos="567"/>
        </w:tabs>
        <w:rPr>
          <w:lang w:eastAsia="es-MX"/>
        </w:rPr>
      </w:pPr>
    </w:p>
    <w:p w14:paraId="10F8E358" w14:textId="24B895E9" w:rsidR="00365AD8" w:rsidRPr="00104227" w:rsidRDefault="00140470" w:rsidP="00ED513D">
      <w:pPr>
        <w:pStyle w:val="Numberedparagraphs"/>
        <w:tabs>
          <w:tab w:val="left" w:pos="567"/>
        </w:tabs>
        <w:rPr>
          <w:lang w:val="en-US"/>
        </w:rPr>
      </w:pPr>
      <w:r w:rsidRPr="00104227">
        <w:rPr>
          <w:lang w:val="en-US"/>
        </w:rPr>
        <w:t xml:space="preserve">Therefore, </w:t>
      </w:r>
      <w:r w:rsidR="00BF5241" w:rsidRPr="00104227">
        <w:rPr>
          <w:lang w:val="en-US"/>
        </w:rPr>
        <w:t>the Court</w:t>
      </w:r>
      <w:r w:rsidR="000E7B4C" w:rsidRPr="00104227">
        <w:rPr>
          <w:lang w:val="en-US"/>
        </w:rPr>
        <w:t xml:space="preserve"> </w:t>
      </w:r>
      <w:r w:rsidR="005E1CDD" w:rsidRPr="00104227">
        <w:rPr>
          <w:lang w:val="en-US"/>
        </w:rPr>
        <w:t>conclu</w:t>
      </w:r>
      <w:r w:rsidRPr="00104227">
        <w:rPr>
          <w:lang w:val="en-US"/>
        </w:rPr>
        <w:t>des that, in this case, the police agents used the detained women</w:t>
      </w:r>
      <w:r w:rsidR="000A2877" w:rsidRPr="00104227">
        <w:rPr>
          <w:lang w:val="en-US"/>
        </w:rPr>
        <w:t>’s bodies</w:t>
      </w:r>
      <w:r w:rsidRPr="00104227">
        <w:rPr>
          <w:lang w:val="en-US"/>
        </w:rPr>
        <w:t xml:space="preserve"> as instruments to transmit their message of repression and condemnation of the protest </w:t>
      </w:r>
      <w:r w:rsidR="000A2877" w:rsidRPr="00104227">
        <w:rPr>
          <w:lang w:val="en-US"/>
        </w:rPr>
        <w:t xml:space="preserve">measures </w:t>
      </w:r>
      <w:r w:rsidRPr="00104227">
        <w:rPr>
          <w:lang w:val="en-US"/>
        </w:rPr>
        <w:t>employed by the demonstrators. They objectified the women to humiliate,</w:t>
      </w:r>
      <w:r w:rsidR="0064780B" w:rsidRPr="00104227">
        <w:rPr>
          <w:lang w:val="en-US"/>
        </w:rPr>
        <w:t xml:space="preserve"> dominate and</w:t>
      </w:r>
      <w:r w:rsidRPr="00104227">
        <w:rPr>
          <w:lang w:val="en-US"/>
        </w:rPr>
        <w:t xml:space="preserve"> </w:t>
      </w:r>
      <w:r w:rsidR="00F27D61" w:rsidRPr="00104227">
        <w:rPr>
          <w:lang w:val="en-US"/>
        </w:rPr>
        <w:t>instill</w:t>
      </w:r>
      <w:r w:rsidRPr="00104227">
        <w:rPr>
          <w:lang w:val="en-US"/>
        </w:rPr>
        <w:t xml:space="preserve"> fear in the voices of dissent against their powers of command. Sexual violence was used as </w:t>
      </w:r>
      <w:r w:rsidR="0064780B" w:rsidRPr="00104227">
        <w:rPr>
          <w:lang w:val="en-US"/>
        </w:rPr>
        <w:t xml:space="preserve">just </w:t>
      </w:r>
      <w:r w:rsidRPr="00104227">
        <w:rPr>
          <w:lang w:val="en-US"/>
        </w:rPr>
        <w:t xml:space="preserve">one more weapon in the repression of the protest, as if, together with the tear gas and the anti-riot gear, it was merely an additional tactic to achieve the purpose of dispersing the protest and ensuring that the State’s authority was not challenged again. This type of conduct in the maintenance of public order, more than reprehensible, is absolutely unacceptable. Sexual violence has no place and should never be used as a </w:t>
      </w:r>
      <w:r w:rsidR="000A2877" w:rsidRPr="00104227">
        <w:rPr>
          <w:lang w:val="en-US"/>
        </w:rPr>
        <w:t>way</w:t>
      </w:r>
      <w:r w:rsidRPr="00104227">
        <w:rPr>
          <w:lang w:val="en-US"/>
        </w:rPr>
        <w:t xml:space="preserve"> of control</w:t>
      </w:r>
      <w:r w:rsidR="000A2877" w:rsidRPr="00104227">
        <w:rPr>
          <w:lang w:val="en-US"/>
        </w:rPr>
        <w:t>ling</w:t>
      </w:r>
      <w:r w:rsidRPr="00104227">
        <w:rPr>
          <w:lang w:val="en-US"/>
        </w:rPr>
        <w:t xml:space="preserve"> public order by the </w:t>
      </w:r>
      <w:r w:rsidR="0064780B" w:rsidRPr="00104227">
        <w:rPr>
          <w:lang w:val="en-US"/>
        </w:rPr>
        <w:t>law enforcement agents</w:t>
      </w:r>
      <w:r w:rsidRPr="00104227">
        <w:rPr>
          <w:lang w:val="en-US"/>
        </w:rPr>
        <w:t xml:space="preserve"> of a State bound by the American Convention, </w:t>
      </w:r>
      <w:r w:rsidR="00BF5241" w:rsidRPr="00104227">
        <w:rPr>
          <w:lang w:val="en-US"/>
        </w:rPr>
        <w:t>the Convention</w:t>
      </w:r>
      <w:r w:rsidR="000E7B4C" w:rsidRPr="00104227">
        <w:rPr>
          <w:lang w:val="en-US"/>
        </w:rPr>
        <w:t xml:space="preserve"> </w:t>
      </w:r>
      <w:r w:rsidR="0094395C" w:rsidRPr="00104227">
        <w:rPr>
          <w:lang w:val="en-US"/>
        </w:rPr>
        <w:t>of Belém</w:t>
      </w:r>
      <w:r w:rsidR="000E7B4C" w:rsidRPr="00104227">
        <w:rPr>
          <w:lang w:val="en-US"/>
        </w:rPr>
        <w:t xml:space="preserve"> do Pará</w:t>
      </w:r>
      <w:r w:rsidR="00BF5241" w:rsidRPr="00104227">
        <w:rPr>
          <w:lang w:val="en-US"/>
        </w:rPr>
        <w:t xml:space="preserve"> and the </w:t>
      </w:r>
      <w:r w:rsidR="007E2382" w:rsidRPr="00104227">
        <w:rPr>
          <w:lang w:val="en-US"/>
        </w:rPr>
        <w:t>Inter-American Convention against Torture</w:t>
      </w:r>
      <w:r w:rsidR="000E7B4C" w:rsidRPr="00104227">
        <w:rPr>
          <w:lang w:val="en-US"/>
        </w:rPr>
        <w:t xml:space="preserve"> </w:t>
      </w:r>
      <w:r w:rsidRPr="00104227">
        <w:rPr>
          <w:lang w:val="en-US"/>
        </w:rPr>
        <w:t xml:space="preserve">to </w:t>
      </w:r>
      <w:r w:rsidR="00ED513D" w:rsidRPr="00104227">
        <w:rPr>
          <w:lang w:val="en-US"/>
        </w:rPr>
        <w:t>pursue “by all appropriate means and without delay, policies to prevent, punish and eradicate</w:t>
      </w:r>
      <w:r w:rsidR="000E7B4C" w:rsidRPr="00104227">
        <w:rPr>
          <w:lang w:val="en-US"/>
        </w:rPr>
        <w:t xml:space="preserve">” </w:t>
      </w:r>
      <w:r w:rsidR="00D25554" w:rsidRPr="00104227">
        <w:rPr>
          <w:lang w:val="en-US"/>
        </w:rPr>
        <w:t>violence against women</w:t>
      </w:r>
      <w:r w:rsidR="000E7B4C" w:rsidRPr="00104227">
        <w:rPr>
          <w:lang w:val="en-US"/>
        </w:rPr>
        <w:t xml:space="preserve">. </w:t>
      </w:r>
    </w:p>
    <w:p w14:paraId="3F9E9E3E" w14:textId="77777777" w:rsidR="009B6DDA" w:rsidRPr="00104227" w:rsidRDefault="009B6DDA" w:rsidP="00E4619F">
      <w:pPr>
        <w:tabs>
          <w:tab w:val="left" w:pos="567"/>
        </w:tabs>
        <w:rPr>
          <w:szCs w:val="20"/>
          <w:lang w:eastAsia="es-MX"/>
        </w:rPr>
      </w:pPr>
    </w:p>
    <w:p w14:paraId="6EEB7765" w14:textId="48C6D128" w:rsidR="009B6DDA" w:rsidRPr="00104227" w:rsidRDefault="009B6DDA" w:rsidP="00885693">
      <w:pPr>
        <w:pStyle w:val="Ttulo4"/>
        <w:rPr>
          <w:lang w:val="en-US"/>
        </w:rPr>
      </w:pPr>
      <w:r w:rsidRPr="00104227">
        <w:rPr>
          <w:lang w:val="en-US"/>
        </w:rPr>
        <w:t xml:space="preserve">B.2.d </w:t>
      </w:r>
      <w:r w:rsidR="00ED513D" w:rsidRPr="00104227">
        <w:rPr>
          <w:lang w:val="en-US"/>
        </w:rPr>
        <w:t>Medical violence</w:t>
      </w:r>
    </w:p>
    <w:p w14:paraId="5A50617D" w14:textId="77777777" w:rsidR="009B6DDA" w:rsidRPr="00104227" w:rsidRDefault="009B6DDA" w:rsidP="00E4619F">
      <w:pPr>
        <w:tabs>
          <w:tab w:val="left" w:pos="567"/>
        </w:tabs>
        <w:rPr>
          <w:lang w:eastAsia="es-MX"/>
        </w:rPr>
      </w:pPr>
    </w:p>
    <w:p w14:paraId="58B8E5BB" w14:textId="73CB3C78" w:rsidR="009B6DDA" w:rsidRPr="00104227" w:rsidRDefault="00ED513D" w:rsidP="00ED513D">
      <w:pPr>
        <w:pStyle w:val="Numberedparagraphs"/>
        <w:tabs>
          <w:tab w:val="left" w:pos="567"/>
        </w:tabs>
        <w:rPr>
          <w:lang w:val="en-US"/>
        </w:rPr>
      </w:pPr>
      <w:r w:rsidRPr="00104227">
        <w:rPr>
          <w:lang w:val="en-US"/>
        </w:rPr>
        <w:t xml:space="preserve">Meanwhile, both </w:t>
      </w:r>
      <w:r w:rsidR="00BF5241" w:rsidRPr="00104227">
        <w:rPr>
          <w:lang w:val="en-US"/>
        </w:rPr>
        <w:t>the Commission</w:t>
      </w:r>
      <w:r w:rsidR="009B6DDA" w:rsidRPr="00104227">
        <w:rPr>
          <w:lang w:val="en-US"/>
        </w:rPr>
        <w:t xml:space="preserve"> </w:t>
      </w:r>
      <w:r w:rsidRPr="00104227">
        <w:rPr>
          <w:lang w:val="en-US"/>
        </w:rPr>
        <w:t>and</w:t>
      </w:r>
      <w:r w:rsidR="009B6DDA" w:rsidRPr="00104227">
        <w:rPr>
          <w:lang w:val="en-US"/>
        </w:rPr>
        <w:t xml:space="preserve"> </w:t>
      </w:r>
      <w:r w:rsidR="002826A6" w:rsidRPr="00104227">
        <w:rPr>
          <w:lang w:val="en-US"/>
        </w:rPr>
        <w:t>the representatives</w:t>
      </w:r>
      <w:r w:rsidR="009B6DDA" w:rsidRPr="00104227">
        <w:rPr>
          <w:lang w:val="en-US"/>
        </w:rPr>
        <w:t xml:space="preserve"> </w:t>
      </w:r>
      <w:r w:rsidRPr="00104227">
        <w:rPr>
          <w:lang w:val="en-US"/>
        </w:rPr>
        <w:t xml:space="preserve">alleged specific violations of </w:t>
      </w:r>
      <w:r w:rsidR="0094395C" w:rsidRPr="00104227">
        <w:rPr>
          <w:lang w:val="en-US"/>
        </w:rPr>
        <w:t>personal integrity</w:t>
      </w:r>
      <w:r w:rsidR="009B6DDA" w:rsidRPr="00104227">
        <w:rPr>
          <w:lang w:val="en-US"/>
        </w:rPr>
        <w:t xml:space="preserve">, </w:t>
      </w:r>
      <w:r w:rsidRPr="00104227">
        <w:rPr>
          <w:lang w:val="en-US"/>
        </w:rPr>
        <w:t xml:space="preserve">owing to the treatment </w:t>
      </w:r>
      <w:r w:rsidR="002060A0" w:rsidRPr="00104227">
        <w:rPr>
          <w:lang w:val="en-US"/>
        </w:rPr>
        <w:t xml:space="preserve">received by </w:t>
      </w:r>
      <w:r w:rsidRPr="00104227">
        <w:rPr>
          <w:lang w:val="en-US"/>
        </w:rPr>
        <w:t xml:space="preserve">the victims </w:t>
      </w:r>
      <w:r w:rsidR="002060A0" w:rsidRPr="00104227">
        <w:rPr>
          <w:lang w:val="en-US"/>
        </w:rPr>
        <w:t>from</w:t>
      </w:r>
      <w:r w:rsidRPr="00104227">
        <w:rPr>
          <w:lang w:val="en-US"/>
        </w:rPr>
        <w:t xml:space="preserve"> the doctors when they arrived at the prison.</w:t>
      </w:r>
      <w:r w:rsidR="00F86476" w:rsidRPr="00104227">
        <w:rPr>
          <w:rStyle w:val="Refdenotaalpie"/>
          <w:lang w:val="en-US"/>
        </w:rPr>
        <w:footnoteReference w:id="306"/>
      </w:r>
      <w:r w:rsidRPr="00104227">
        <w:rPr>
          <w:lang w:val="en-US"/>
        </w:rPr>
        <w:t xml:space="preserve"> In this regard, The Court notes that several of the victims underlined the denigrating treatment they received from the first doctors who attended them when they reached the prison. For example:</w:t>
      </w:r>
      <w:r w:rsidR="009B6DDA" w:rsidRPr="00104227">
        <w:rPr>
          <w:lang w:val="en-US"/>
        </w:rPr>
        <w:t xml:space="preserve"> (i) Norma Aidé Jiménez Osorio</w:t>
      </w:r>
      <w:r w:rsidRPr="00104227">
        <w:rPr>
          <w:lang w:val="en-US"/>
        </w:rPr>
        <w:t xml:space="preserve"> recounted that the doctors refused to perform a gynecological examination because there was no gynecologist, and to</w:t>
      </w:r>
      <w:r w:rsidR="002060A0" w:rsidRPr="00104227">
        <w:rPr>
          <w:lang w:val="en-US"/>
        </w:rPr>
        <w:t xml:space="preserve"> record or</w:t>
      </w:r>
      <w:r w:rsidRPr="00104227">
        <w:rPr>
          <w:lang w:val="en-US"/>
        </w:rPr>
        <w:t xml:space="preserve"> rep</w:t>
      </w:r>
      <w:r w:rsidR="002060A0" w:rsidRPr="00104227">
        <w:rPr>
          <w:lang w:val="en-US"/>
        </w:rPr>
        <w:t xml:space="preserve">ort </w:t>
      </w:r>
      <w:r w:rsidRPr="00104227">
        <w:rPr>
          <w:lang w:val="en-US"/>
        </w:rPr>
        <w:t xml:space="preserve">the rape, in addition to saying to her in a mocking way, “well, if you want, I will examine you, but I’m not a gynecologist”; </w:t>
      </w:r>
      <w:r w:rsidR="009B6DDA" w:rsidRPr="00104227">
        <w:rPr>
          <w:lang w:val="en-US"/>
        </w:rPr>
        <w:t>(ii) Bárbara Italia Méndez Moreno</w:t>
      </w:r>
      <w:r w:rsidRPr="00104227">
        <w:rPr>
          <w:lang w:val="en-US"/>
        </w:rPr>
        <w:t xml:space="preserve"> indicated that having to face the “violence of the doctors was really devastating,” because she told them th</w:t>
      </w:r>
      <w:r w:rsidR="002060A0" w:rsidRPr="00104227">
        <w:rPr>
          <w:lang w:val="en-US"/>
        </w:rPr>
        <w:t>a</w:t>
      </w:r>
      <w:r w:rsidRPr="00104227">
        <w:rPr>
          <w:lang w:val="en-US"/>
        </w:rPr>
        <w:t xml:space="preserve">t she required medical treatment owing to the sexual abuse and the doctors refused to treat her or examine her. She indicated that they stitched up her head without cleaning the wound or giving her </w:t>
      </w:r>
      <w:r w:rsidR="002060A0" w:rsidRPr="00104227">
        <w:rPr>
          <w:lang w:val="en-US"/>
        </w:rPr>
        <w:t xml:space="preserve">an </w:t>
      </w:r>
      <w:r w:rsidRPr="00104227">
        <w:rPr>
          <w:lang w:val="en-US"/>
        </w:rPr>
        <w:t>anesthetic, which caused her “really acute pain,” and that the doctors mocked her</w:t>
      </w:r>
      <w:r w:rsidR="009B6DDA" w:rsidRPr="00104227">
        <w:rPr>
          <w:lang w:val="en-US"/>
        </w:rPr>
        <w:t>,</w:t>
      </w:r>
      <w:r w:rsidR="00BF5241" w:rsidRPr="00104227">
        <w:rPr>
          <w:lang w:val="en-US"/>
        </w:rPr>
        <w:t xml:space="preserve"> and </w:t>
      </w:r>
      <w:r w:rsidR="009B6DDA" w:rsidRPr="00104227">
        <w:rPr>
          <w:lang w:val="en-US"/>
        </w:rPr>
        <w:t xml:space="preserve">(iii) Claudia Hernández </w:t>
      </w:r>
      <w:r w:rsidR="002060A0" w:rsidRPr="00104227">
        <w:rPr>
          <w:lang w:val="en-US"/>
        </w:rPr>
        <w:t xml:space="preserve">Martínez </w:t>
      </w:r>
      <w:r w:rsidRPr="00104227">
        <w:rPr>
          <w:lang w:val="en-US"/>
        </w:rPr>
        <w:t>underscored that she was taken to the infirmary in the early morning hours, where she was mocked and insulted by one of the doctors who said to her: “I don’t believe that anyone touched you,</w:t>
      </w:r>
      <w:r w:rsidR="002060A0" w:rsidRPr="00104227">
        <w:rPr>
          <w:lang w:val="en-US"/>
        </w:rPr>
        <w:t xml:space="preserve"> fucking old radicals! Filth!” </w:t>
      </w:r>
      <w:r w:rsidRPr="00104227">
        <w:rPr>
          <w:lang w:val="en-US"/>
        </w:rPr>
        <w:t>She added that the doctor did not perform a clinical examination and refused to provide her with gynecological treatment. She was then taken to see a forensic physician who also</w:t>
      </w:r>
      <w:r w:rsidR="002060A0" w:rsidRPr="00104227">
        <w:rPr>
          <w:lang w:val="en-US"/>
        </w:rPr>
        <w:t xml:space="preserve"> </w:t>
      </w:r>
      <w:r w:rsidRPr="00104227">
        <w:rPr>
          <w:lang w:val="en-US"/>
        </w:rPr>
        <w:t>refused to provide her with any type of treatment despite her complaints</w:t>
      </w:r>
      <w:r w:rsidR="009B6DDA" w:rsidRPr="00104227">
        <w:rPr>
          <w:lang w:val="en-US"/>
        </w:rPr>
        <w:t xml:space="preserve"> (</w:t>
      </w:r>
      <w:r w:rsidR="009B6DDA" w:rsidRPr="00104227">
        <w:rPr>
          <w:i/>
          <w:lang w:val="en-US"/>
        </w:rPr>
        <w:t>supra</w:t>
      </w:r>
      <w:r w:rsidR="009B6DDA" w:rsidRPr="00104227">
        <w:rPr>
          <w:lang w:val="en-US"/>
        </w:rPr>
        <w:t xml:space="preserve"> </w:t>
      </w:r>
      <w:r w:rsidR="00BF5241" w:rsidRPr="00104227">
        <w:rPr>
          <w:lang w:val="en-US"/>
        </w:rPr>
        <w:t>para.</w:t>
      </w:r>
      <w:r w:rsidR="009B6DDA" w:rsidRPr="00104227">
        <w:rPr>
          <w:lang w:val="en-US"/>
        </w:rPr>
        <w:t xml:space="preserve"> </w:t>
      </w:r>
      <w:r w:rsidR="005D7481" w:rsidRPr="00104227">
        <w:rPr>
          <w:lang w:val="en-US"/>
        </w:rPr>
        <w:fldChar w:fldCharType="begin"/>
      </w:r>
      <w:r w:rsidR="005D7481" w:rsidRPr="00104227">
        <w:rPr>
          <w:lang w:val="en-US"/>
        </w:rPr>
        <w:instrText xml:space="preserve"> REF _Ref532908192 \r \h </w:instrText>
      </w:r>
      <w:r w:rsidR="00284EAE" w:rsidRPr="00104227">
        <w:rPr>
          <w:lang w:val="en-US"/>
        </w:rPr>
        <w:instrText xml:space="preserve"> \* MERGEFORMAT </w:instrText>
      </w:r>
      <w:r w:rsidR="005D7481" w:rsidRPr="00104227">
        <w:rPr>
          <w:lang w:val="en-US"/>
        </w:rPr>
      </w:r>
      <w:r w:rsidR="005D7481" w:rsidRPr="00104227">
        <w:rPr>
          <w:lang w:val="en-US"/>
        </w:rPr>
        <w:fldChar w:fldCharType="separate"/>
      </w:r>
      <w:r w:rsidR="004276BD">
        <w:rPr>
          <w:lang w:val="en-US"/>
        </w:rPr>
        <w:t>104</w:t>
      </w:r>
      <w:r w:rsidR="005D7481" w:rsidRPr="00104227">
        <w:rPr>
          <w:lang w:val="en-US"/>
        </w:rPr>
        <w:fldChar w:fldCharType="end"/>
      </w:r>
      <w:r w:rsidR="009B6DDA" w:rsidRPr="00104227">
        <w:rPr>
          <w:lang w:val="en-US"/>
        </w:rPr>
        <w:t xml:space="preserve">). </w:t>
      </w:r>
    </w:p>
    <w:p w14:paraId="4852114C" w14:textId="77777777" w:rsidR="009B6DDA" w:rsidRPr="00104227" w:rsidRDefault="009B6DDA" w:rsidP="00E4619F">
      <w:pPr>
        <w:tabs>
          <w:tab w:val="left" w:pos="567"/>
        </w:tabs>
        <w:rPr>
          <w:lang w:eastAsia="es-MX"/>
        </w:rPr>
      </w:pPr>
    </w:p>
    <w:p w14:paraId="0F6E6CB3" w14:textId="37DF2DA4" w:rsidR="009B6DDA" w:rsidRPr="00104227" w:rsidRDefault="00BF5241" w:rsidP="00E4619F">
      <w:pPr>
        <w:pStyle w:val="Numberedparagraphs"/>
        <w:tabs>
          <w:tab w:val="left" w:pos="567"/>
        </w:tabs>
        <w:rPr>
          <w:lang w:val="en-US"/>
        </w:rPr>
      </w:pPr>
      <w:r w:rsidRPr="00104227">
        <w:rPr>
          <w:lang w:val="en-US"/>
        </w:rPr>
        <w:t>The Court</w:t>
      </w:r>
      <w:r w:rsidR="009B6DDA" w:rsidRPr="00104227">
        <w:rPr>
          <w:lang w:val="en-US"/>
        </w:rPr>
        <w:t xml:space="preserve"> ha</w:t>
      </w:r>
      <w:r w:rsidR="00F74666" w:rsidRPr="00104227">
        <w:rPr>
          <w:lang w:val="en-US"/>
        </w:rPr>
        <w:t>s recognized how specific cruel, inhuman or degrading treatment and even torture may occur in the sphere of the health care services.</w:t>
      </w:r>
      <w:r w:rsidR="009B6DDA" w:rsidRPr="00104227">
        <w:rPr>
          <w:rStyle w:val="Refdenotaalpie"/>
          <w:lang w:val="en-US"/>
        </w:rPr>
        <w:footnoteReference w:id="307"/>
      </w:r>
      <w:r w:rsidR="00F74666" w:rsidRPr="00104227">
        <w:rPr>
          <w:lang w:val="en-US"/>
        </w:rPr>
        <w:t xml:space="preserve"> It has also stressed the important </w:t>
      </w:r>
      <w:r w:rsidR="00F74666" w:rsidRPr="00104227">
        <w:rPr>
          <w:lang w:val="en-US"/>
        </w:rPr>
        <w:lastRenderedPageBreak/>
        <w:t xml:space="preserve">role that doctors and other health care professionals have in safeguarding </w:t>
      </w:r>
      <w:r w:rsidR="0094395C" w:rsidRPr="00104227">
        <w:rPr>
          <w:lang w:val="en-US"/>
        </w:rPr>
        <w:t>personal integrity</w:t>
      </w:r>
      <w:r w:rsidRPr="00104227">
        <w:rPr>
          <w:lang w:val="en-US"/>
        </w:rPr>
        <w:t xml:space="preserve"> and </w:t>
      </w:r>
      <w:r w:rsidR="009B6DDA" w:rsidRPr="00104227">
        <w:rPr>
          <w:lang w:val="en-US"/>
        </w:rPr>
        <w:t>preven</w:t>
      </w:r>
      <w:r w:rsidR="00F74666" w:rsidRPr="00104227">
        <w:rPr>
          <w:lang w:val="en-US"/>
        </w:rPr>
        <w:t>ting</w:t>
      </w:r>
      <w:r w:rsidR="009B6DDA" w:rsidRPr="00104227">
        <w:rPr>
          <w:lang w:val="en-US"/>
        </w:rPr>
        <w:t xml:space="preserve"> </w:t>
      </w:r>
      <w:r w:rsidR="00BC5201" w:rsidRPr="00104227">
        <w:rPr>
          <w:lang w:val="en-US"/>
        </w:rPr>
        <w:t>torture</w:t>
      </w:r>
      <w:r w:rsidRPr="00104227">
        <w:rPr>
          <w:lang w:val="en-US"/>
        </w:rPr>
        <w:t xml:space="preserve"> and </w:t>
      </w:r>
      <w:r w:rsidR="00F74666" w:rsidRPr="00104227">
        <w:rPr>
          <w:lang w:val="en-US"/>
        </w:rPr>
        <w:t>other ill-treatment.</w:t>
      </w:r>
      <w:r w:rsidR="009B6DDA" w:rsidRPr="00104227">
        <w:rPr>
          <w:rStyle w:val="Refdenotaalpie"/>
          <w:lang w:val="en-US"/>
        </w:rPr>
        <w:footnoteReference w:id="308"/>
      </w:r>
      <w:r w:rsidR="009B6DDA" w:rsidRPr="00104227">
        <w:rPr>
          <w:lang w:val="en-US"/>
        </w:rPr>
        <w:t xml:space="preserve"> Particular</w:t>
      </w:r>
      <w:r w:rsidR="00F74666" w:rsidRPr="00104227">
        <w:rPr>
          <w:lang w:val="en-US"/>
        </w:rPr>
        <w:t xml:space="preserve">ly in cases such as this one, the evidence </w:t>
      </w:r>
      <w:r w:rsidR="00F27D61" w:rsidRPr="00104227">
        <w:rPr>
          <w:lang w:val="en-US"/>
        </w:rPr>
        <w:t>obtained</w:t>
      </w:r>
      <w:r w:rsidR="00F74666" w:rsidRPr="00104227">
        <w:rPr>
          <w:lang w:val="en-US"/>
        </w:rPr>
        <w:t xml:space="preserve"> as a result of the medical examination plays a crucial role in investig</w:t>
      </w:r>
      <w:r w:rsidR="002060A0" w:rsidRPr="00104227">
        <w:rPr>
          <w:lang w:val="en-US"/>
        </w:rPr>
        <w:t>a</w:t>
      </w:r>
      <w:r w:rsidR="00F74666" w:rsidRPr="00104227">
        <w:rPr>
          <w:lang w:val="en-US"/>
        </w:rPr>
        <w:t>tions.</w:t>
      </w:r>
      <w:r w:rsidR="009B6DDA" w:rsidRPr="00104227">
        <w:rPr>
          <w:vertAlign w:val="superscript"/>
          <w:lang w:val="en-US"/>
        </w:rPr>
        <w:footnoteReference w:id="309"/>
      </w:r>
      <w:r w:rsidR="009B6DDA" w:rsidRPr="00104227">
        <w:rPr>
          <w:lang w:val="en-US"/>
        </w:rPr>
        <w:t xml:space="preserve"> </w:t>
      </w:r>
    </w:p>
    <w:p w14:paraId="1A4CCB92" w14:textId="77777777" w:rsidR="009B6DDA" w:rsidRPr="00104227" w:rsidRDefault="009B6DDA" w:rsidP="00E4619F">
      <w:pPr>
        <w:tabs>
          <w:tab w:val="left" w:pos="567"/>
        </w:tabs>
        <w:rPr>
          <w:lang w:eastAsia="es-MX"/>
        </w:rPr>
      </w:pPr>
    </w:p>
    <w:p w14:paraId="0F2A70E4" w14:textId="46538876" w:rsidR="009B6DDA" w:rsidRPr="00104227" w:rsidRDefault="00F74666" w:rsidP="006A258F">
      <w:pPr>
        <w:pStyle w:val="Numberedparagraphs"/>
        <w:tabs>
          <w:tab w:val="left" w:pos="567"/>
        </w:tabs>
        <w:rPr>
          <w:lang w:val="en-US"/>
        </w:rPr>
      </w:pPr>
      <w:r w:rsidRPr="00104227">
        <w:rPr>
          <w:lang w:val="en-US"/>
        </w:rPr>
        <w:t>The Court notes that the doctors who attended the women victims in this case</w:t>
      </w:r>
      <w:r w:rsidR="002060A0" w:rsidRPr="00104227">
        <w:rPr>
          <w:lang w:val="en-US"/>
        </w:rPr>
        <w:t xml:space="preserve"> </w:t>
      </w:r>
      <w:r w:rsidR="007D3CD6" w:rsidRPr="00104227">
        <w:rPr>
          <w:lang w:val="en-US"/>
        </w:rPr>
        <w:t>treated them in a</w:t>
      </w:r>
      <w:r w:rsidRPr="00104227">
        <w:rPr>
          <w:lang w:val="en-US"/>
        </w:rPr>
        <w:t xml:space="preserve"> denigrating and stereotypical </w:t>
      </w:r>
      <w:r w:rsidR="007D3CD6" w:rsidRPr="00104227">
        <w:rPr>
          <w:lang w:val="en-US"/>
        </w:rPr>
        <w:t>manner</w:t>
      </w:r>
      <w:r w:rsidRPr="00104227">
        <w:rPr>
          <w:lang w:val="en-US"/>
        </w:rPr>
        <w:t>, which was particularly serious, owing to their position of authority, the failure to comply with their care duties</w:t>
      </w:r>
      <w:r w:rsidR="007D3CD6" w:rsidRPr="00104227">
        <w:rPr>
          <w:lang w:val="en-US"/>
        </w:rPr>
        <w:t>,</w:t>
      </w:r>
      <w:r w:rsidRPr="00104227">
        <w:rPr>
          <w:lang w:val="en-US"/>
        </w:rPr>
        <w:t xml:space="preserve"> and the complicity they revealed by refusing to record the injuries suffered, but even more important</w:t>
      </w:r>
      <w:r w:rsidR="007D3CD6" w:rsidRPr="00104227">
        <w:rPr>
          <w:lang w:val="en-US"/>
        </w:rPr>
        <w:t>ly</w:t>
      </w:r>
      <w:r w:rsidRPr="00104227">
        <w:rPr>
          <w:lang w:val="en-US"/>
        </w:rPr>
        <w:t xml:space="preserve">, </w:t>
      </w:r>
      <w:r w:rsidR="006A258F" w:rsidRPr="00104227">
        <w:rPr>
          <w:lang w:val="en-US"/>
        </w:rPr>
        <w:t>owing to</w:t>
      </w:r>
      <w:r w:rsidRPr="00104227">
        <w:rPr>
          <w:lang w:val="en-US"/>
        </w:rPr>
        <w:t xml:space="preserve"> the special situation of vulnerability of the women</w:t>
      </w:r>
      <w:r w:rsidR="007D3CD6" w:rsidRPr="00104227">
        <w:rPr>
          <w:lang w:val="en-US"/>
        </w:rPr>
        <w:t>,</w:t>
      </w:r>
      <w:r w:rsidRPr="00104227">
        <w:rPr>
          <w:lang w:val="en-US"/>
        </w:rPr>
        <w:t xml:space="preserve"> bearing in mind that they had been victims of sexual torture inflicted by police agents and, in many case, these doctors were the first person to whom they tried to </w:t>
      </w:r>
      <w:r w:rsidR="007D3CD6" w:rsidRPr="00104227">
        <w:rPr>
          <w:lang w:val="en-US"/>
        </w:rPr>
        <w:t>report</w:t>
      </w:r>
      <w:r w:rsidRPr="00104227">
        <w:rPr>
          <w:lang w:val="en-US"/>
        </w:rPr>
        <w:t xml:space="preserve"> the </w:t>
      </w:r>
      <w:r w:rsidR="006A258F" w:rsidRPr="00104227">
        <w:rPr>
          <w:lang w:val="en-US"/>
        </w:rPr>
        <w:t xml:space="preserve">violations that had been </w:t>
      </w:r>
      <w:r w:rsidR="007D3CD6" w:rsidRPr="00104227">
        <w:rPr>
          <w:lang w:val="en-US"/>
        </w:rPr>
        <w:t>c</w:t>
      </w:r>
      <w:r w:rsidR="006A258F" w:rsidRPr="00104227">
        <w:rPr>
          <w:lang w:val="en-US"/>
        </w:rPr>
        <w:t>o</w:t>
      </w:r>
      <w:r w:rsidR="007D3CD6" w:rsidRPr="00104227">
        <w:rPr>
          <w:lang w:val="en-US"/>
        </w:rPr>
        <w:t>m</w:t>
      </w:r>
      <w:r w:rsidR="006A258F" w:rsidRPr="00104227">
        <w:rPr>
          <w:lang w:val="en-US"/>
        </w:rPr>
        <w:t>mitted</w:t>
      </w:r>
      <w:r w:rsidR="007D3CD6" w:rsidRPr="00104227">
        <w:rPr>
          <w:lang w:val="en-US"/>
        </w:rPr>
        <w:t>. Moreover,</w:t>
      </w:r>
      <w:r w:rsidR="006A258F" w:rsidRPr="00104227">
        <w:rPr>
          <w:lang w:val="en-US"/>
        </w:rPr>
        <w:t xml:space="preserve"> owing to their refusal to examine the women and record their injuries, they significantly jeopardized the subsequent investigations, as explained below</w:t>
      </w:r>
      <w:r w:rsidR="009B6DDA" w:rsidRPr="00104227">
        <w:rPr>
          <w:lang w:val="en-US"/>
        </w:rPr>
        <w:t xml:space="preserve"> (</w:t>
      </w:r>
      <w:r w:rsidR="00BF5241" w:rsidRPr="00104227">
        <w:rPr>
          <w:lang w:val="en-US"/>
        </w:rPr>
        <w:t>paras.</w:t>
      </w:r>
      <w:r w:rsidR="009B6DDA" w:rsidRPr="00104227">
        <w:rPr>
          <w:lang w:val="en-US"/>
        </w:rPr>
        <w:t xml:space="preserve"> </w:t>
      </w:r>
      <w:r w:rsidR="005D7481" w:rsidRPr="00104227">
        <w:rPr>
          <w:lang w:val="en-US"/>
        </w:rPr>
        <w:fldChar w:fldCharType="begin"/>
      </w:r>
      <w:r w:rsidR="005D7481" w:rsidRPr="00104227">
        <w:rPr>
          <w:lang w:val="en-US"/>
        </w:rPr>
        <w:instrText xml:space="preserve"> REF _Ref532915483 \r \h </w:instrText>
      </w:r>
      <w:r w:rsidR="00284EAE" w:rsidRPr="00104227">
        <w:rPr>
          <w:lang w:val="en-US"/>
        </w:rPr>
        <w:instrText xml:space="preserve"> \* MERGEFORMAT </w:instrText>
      </w:r>
      <w:r w:rsidR="005D7481" w:rsidRPr="00104227">
        <w:rPr>
          <w:lang w:val="en-US"/>
        </w:rPr>
      </w:r>
      <w:r w:rsidR="005D7481" w:rsidRPr="00104227">
        <w:rPr>
          <w:lang w:val="en-US"/>
        </w:rPr>
        <w:fldChar w:fldCharType="separate"/>
      </w:r>
      <w:r w:rsidR="004276BD">
        <w:rPr>
          <w:lang w:val="en-US"/>
        </w:rPr>
        <w:t>274</w:t>
      </w:r>
      <w:r w:rsidR="005D7481" w:rsidRPr="00104227">
        <w:rPr>
          <w:lang w:val="en-US"/>
        </w:rPr>
        <w:fldChar w:fldCharType="end"/>
      </w:r>
      <w:r w:rsidR="00BF5241" w:rsidRPr="00104227">
        <w:rPr>
          <w:lang w:val="en-US"/>
        </w:rPr>
        <w:t xml:space="preserve"> and</w:t>
      </w:r>
      <w:r w:rsidR="000E345C" w:rsidRPr="00104227">
        <w:rPr>
          <w:lang w:val="en-US"/>
        </w:rPr>
        <w:t xml:space="preserve"> ff.</w:t>
      </w:r>
      <w:r w:rsidR="009B6DDA" w:rsidRPr="00104227">
        <w:rPr>
          <w:lang w:val="en-US"/>
        </w:rPr>
        <w:t xml:space="preserve">). </w:t>
      </w:r>
      <w:r w:rsidR="00BF5241" w:rsidRPr="00104227">
        <w:rPr>
          <w:lang w:val="en-US"/>
        </w:rPr>
        <w:t>This Court</w:t>
      </w:r>
      <w:r w:rsidR="009B6DDA" w:rsidRPr="00104227">
        <w:rPr>
          <w:lang w:val="en-US"/>
        </w:rPr>
        <w:t xml:space="preserve"> </w:t>
      </w:r>
      <w:r w:rsidR="006A258F" w:rsidRPr="00104227">
        <w:rPr>
          <w:lang w:val="en-US"/>
        </w:rPr>
        <w:t xml:space="preserve">finds that the treatment received from the doctors constituted an additional element of the </w:t>
      </w:r>
      <w:r w:rsidR="00814266" w:rsidRPr="00104227">
        <w:rPr>
          <w:lang w:val="en-US"/>
        </w:rPr>
        <w:t>sexual violence</w:t>
      </w:r>
      <w:r w:rsidR="00BF5241" w:rsidRPr="00104227">
        <w:rPr>
          <w:lang w:val="en-US"/>
        </w:rPr>
        <w:t xml:space="preserve"> and </w:t>
      </w:r>
      <w:r w:rsidR="009B6DDA" w:rsidRPr="00104227">
        <w:rPr>
          <w:lang w:val="en-US"/>
        </w:rPr>
        <w:t>discriminat</w:t>
      </w:r>
      <w:r w:rsidR="006A258F" w:rsidRPr="00104227">
        <w:rPr>
          <w:lang w:val="en-US"/>
        </w:rPr>
        <w:t>ion to which the victims were subjected.</w:t>
      </w:r>
    </w:p>
    <w:p w14:paraId="1E9D264D" w14:textId="3449A711" w:rsidR="000C22FD" w:rsidRPr="00104227" w:rsidRDefault="000C22FD" w:rsidP="00E4619F">
      <w:pPr>
        <w:tabs>
          <w:tab w:val="left" w:pos="567"/>
        </w:tabs>
        <w:rPr>
          <w:lang w:eastAsia="es-MX"/>
        </w:rPr>
      </w:pPr>
      <w:bookmarkStart w:id="293" w:name="_Ref528624661"/>
    </w:p>
    <w:p w14:paraId="73E3928C" w14:textId="404427D6" w:rsidR="000C22FD" w:rsidRPr="00104227" w:rsidRDefault="000C22FD" w:rsidP="00885693">
      <w:pPr>
        <w:pStyle w:val="Ttulo4"/>
        <w:rPr>
          <w:lang w:val="en-US"/>
        </w:rPr>
      </w:pPr>
      <w:r w:rsidRPr="00104227">
        <w:rPr>
          <w:lang w:val="en-US"/>
        </w:rPr>
        <w:t>B.2.</w:t>
      </w:r>
      <w:r w:rsidR="009B6DDA" w:rsidRPr="00104227">
        <w:rPr>
          <w:lang w:val="en-US"/>
        </w:rPr>
        <w:t>e</w:t>
      </w:r>
      <w:r w:rsidRPr="00104227">
        <w:rPr>
          <w:lang w:val="en-US"/>
        </w:rPr>
        <w:t xml:space="preserve"> </w:t>
      </w:r>
      <w:r w:rsidR="000948A4" w:rsidRPr="00104227">
        <w:rPr>
          <w:lang w:val="en-US"/>
        </w:rPr>
        <w:t>Conclusion</w:t>
      </w:r>
      <w:r w:rsidRPr="00104227">
        <w:rPr>
          <w:lang w:val="en-US"/>
        </w:rPr>
        <w:t xml:space="preserve"> </w:t>
      </w:r>
    </w:p>
    <w:p w14:paraId="4906063F" w14:textId="77777777" w:rsidR="005E1CDD" w:rsidRPr="00104227" w:rsidRDefault="005E1CDD" w:rsidP="00E4619F">
      <w:pPr>
        <w:tabs>
          <w:tab w:val="left" w:pos="567"/>
        </w:tabs>
        <w:rPr>
          <w:lang w:eastAsia="es-MX"/>
        </w:rPr>
      </w:pPr>
    </w:p>
    <w:p w14:paraId="4B2AC69A" w14:textId="4F501785" w:rsidR="00D1447D" w:rsidRPr="00104227" w:rsidRDefault="000948A4" w:rsidP="00E4619F">
      <w:pPr>
        <w:pStyle w:val="Numberedparagraphs"/>
        <w:tabs>
          <w:tab w:val="left" w:pos="567"/>
        </w:tabs>
        <w:rPr>
          <w:lang w:val="en-US"/>
        </w:rPr>
      </w:pPr>
      <w:r w:rsidRPr="00104227">
        <w:rPr>
          <w:lang w:val="en-US"/>
        </w:rPr>
        <w:t xml:space="preserve">Based on the foregoing, the Court considers that the treatment to which the women were subjected by the doctors who attended them was not only denigrating and stereotypical, but also formed part of the </w:t>
      </w:r>
      <w:r w:rsidR="00814266" w:rsidRPr="00104227">
        <w:rPr>
          <w:lang w:val="en-US"/>
        </w:rPr>
        <w:t>sexual violence</w:t>
      </w:r>
      <w:r w:rsidR="00D1447D" w:rsidRPr="00104227">
        <w:rPr>
          <w:lang w:val="en-US"/>
        </w:rPr>
        <w:t xml:space="preserve"> </w:t>
      </w:r>
      <w:r w:rsidRPr="00104227">
        <w:rPr>
          <w:lang w:val="en-US"/>
        </w:rPr>
        <w:t>of which they were victims.</w:t>
      </w:r>
      <w:r w:rsidR="00D1447D" w:rsidRPr="00104227">
        <w:rPr>
          <w:lang w:val="en-US"/>
        </w:rPr>
        <w:t xml:space="preserve"> </w:t>
      </w:r>
    </w:p>
    <w:p w14:paraId="41EBF87C" w14:textId="77777777" w:rsidR="00D1447D" w:rsidRPr="00104227" w:rsidRDefault="00D1447D" w:rsidP="00E4619F">
      <w:pPr>
        <w:tabs>
          <w:tab w:val="left" w:pos="567"/>
        </w:tabs>
      </w:pPr>
    </w:p>
    <w:p w14:paraId="4B59658D" w14:textId="6C8C528F" w:rsidR="000948A4" w:rsidRPr="00104227" w:rsidRDefault="00D1447D" w:rsidP="00E4619F">
      <w:pPr>
        <w:pStyle w:val="Numberedparagraphs"/>
        <w:tabs>
          <w:tab w:val="left" w:pos="567"/>
        </w:tabs>
        <w:rPr>
          <w:lang w:val="en-US" w:eastAsia="es-MX"/>
        </w:rPr>
      </w:pPr>
      <w:r w:rsidRPr="00104227">
        <w:rPr>
          <w:lang w:val="en-US"/>
        </w:rPr>
        <w:t>Ad</w:t>
      </w:r>
      <w:r w:rsidR="000948A4" w:rsidRPr="00104227">
        <w:rPr>
          <w:lang w:val="en-US"/>
        </w:rPr>
        <w:t xml:space="preserve">ditionally, it concludes that </w:t>
      </w:r>
      <w:r w:rsidR="00F12946" w:rsidRPr="00104227">
        <w:rPr>
          <w:lang w:val="en-US"/>
        </w:rPr>
        <w:t>the eleven women</w:t>
      </w:r>
      <w:r w:rsidRPr="00104227">
        <w:rPr>
          <w:lang w:val="en-US"/>
        </w:rPr>
        <w:t xml:space="preserve"> </w:t>
      </w:r>
      <w:r w:rsidR="000948A4" w:rsidRPr="00104227">
        <w:rPr>
          <w:lang w:val="en-US"/>
        </w:rPr>
        <w:t xml:space="preserve">victims in this case were subjected to </w:t>
      </w:r>
      <w:r w:rsidR="00BC5201" w:rsidRPr="00104227">
        <w:rPr>
          <w:lang w:val="en-US"/>
        </w:rPr>
        <w:t>torture</w:t>
      </w:r>
      <w:r w:rsidR="00BF5241" w:rsidRPr="00104227">
        <w:rPr>
          <w:lang w:val="en-US"/>
        </w:rPr>
        <w:t xml:space="preserve"> and </w:t>
      </w:r>
      <w:r w:rsidR="00D25554" w:rsidRPr="00104227">
        <w:rPr>
          <w:lang w:val="en-US"/>
        </w:rPr>
        <w:t>sexual violence</w:t>
      </w:r>
      <w:r w:rsidRPr="00104227">
        <w:rPr>
          <w:lang w:val="en-US"/>
        </w:rPr>
        <w:t>, inclu</w:t>
      </w:r>
      <w:r w:rsidR="000948A4" w:rsidRPr="00104227">
        <w:rPr>
          <w:lang w:val="en-US"/>
        </w:rPr>
        <w:t>ding rape in the case of the seven women referred to above</w:t>
      </w:r>
      <w:r w:rsidRPr="00104227">
        <w:rPr>
          <w:lang w:val="en-US"/>
        </w:rPr>
        <w:t xml:space="preserve">. </w:t>
      </w:r>
      <w:r w:rsidR="000948A4" w:rsidRPr="00104227">
        <w:rPr>
          <w:lang w:val="en-US"/>
        </w:rPr>
        <w:t>The</w:t>
      </w:r>
      <w:r w:rsidR="00BF5241" w:rsidRPr="00104227">
        <w:rPr>
          <w:lang w:val="en-US"/>
        </w:rPr>
        <w:t xml:space="preserve"> Court</w:t>
      </w:r>
      <w:r w:rsidR="005E1CDD" w:rsidRPr="00104227">
        <w:rPr>
          <w:lang w:val="en-US"/>
        </w:rPr>
        <w:t xml:space="preserve"> </w:t>
      </w:r>
      <w:r w:rsidR="000948A4" w:rsidRPr="00104227">
        <w:rPr>
          <w:lang w:val="en-US"/>
        </w:rPr>
        <w:t xml:space="preserve">also finds that the severity of the </w:t>
      </w:r>
      <w:r w:rsidR="00814266" w:rsidRPr="00104227">
        <w:rPr>
          <w:lang w:val="en-US"/>
        </w:rPr>
        <w:t>sexual violence</w:t>
      </w:r>
      <w:r w:rsidR="005E1CDD" w:rsidRPr="00104227">
        <w:rPr>
          <w:lang w:val="en-US"/>
        </w:rPr>
        <w:t xml:space="preserve"> </w:t>
      </w:r>
      <w:r w:rsidR="00816E4E" w:rsidRPr="00104227">
        <w:rPr>
          <w:lang w:val="en-US"/>
        </w:rPr>
        <w:t>in this case</w:t>
      </w:r>
      <w:r w:rsidR="005E1CDD" w:rsidRPr="00104227">
        <w:rPr>
          <w:lang w:val="en-US"/>
        </w:rPr>
        <w:t xml:space="preserve"> </w:t>
      </w:r>
      <w:r w:rsidR="000948A4" w:rsidRPr="00104227">
        <w:rPr>
          <w:lang w:val="en-US"/>
        </w:rPr>
        <w:t>was increased because this especially reprehensible and discriminatory form of violence was used by state agents as a form of control of public order to humiliate, inhibit an</w:t>
      </w:r>
      <w:r w:rsidR="007D3CD6" w:rsidRPr="00104227">
        <w:rPr>
          <w:lang w:val="en-US"/>
        </w:rPr>
        <w:t>d</w:t>
      </w:r>
      <w:r w:rsidR="000948A4" w:rsidRPr="00104227">
        <w:rPr>
          <w:lang w:val="en-US"/>
        </w:rPr>
        <w:t xml:space="preserve"> impose their domination over a sector of the civilian population that the police, far from protecting, treated as an enemy that had to be crushed, </w:t>
      </w:r>
      <w:r w:rsidR="007D3CD6" w:rsidRPr="00104227">
        <w:rPr>
          <w:lang w:val="en-US"/>
        </w:rPr>
        <w:t>without caring whether</w:t>
      </w:r>
      <w:r w:rsidR="000948A4" w:rsidRPr="00104227">
        <w:rPr>
          <w:lang w:val="en-US"/>
        </w:rPr>
        <w:t>, to this end, they used the women detained as just one more tool in their public order strategy.</w:t>
      </w:r>
    </w:p>
    <w:p w14:paraId="5A00CED7" w14:textId="706991E5" w:rsidR="00365AD8" w:rsidRPr="00104227" w:rsidRDefault="00365AD8" w:rsidP="00E4619F">
      <w:pPr>
        <w:tabs>
          <w:tab w:val="left" w:pos="567"/>
        </w:tabs>
        <w:rPr>
          <w:lang w:eastAsia="es-MX"/>
        </w:rPr>
      </w:pPr>
    </w:p>
    <w:p w14:paraId="066025EA" w14:textId="59893406" w:rsidR="00365AD8" w:rsidRPr="00104227" w:rsidRDefault="00365AD8" w:rsidP="00E4619F">
      <w:pPr>
        <w:pStyle w:val="Ttulo3"/>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bookmarkStart w:id="294" w:name="_Toc31290592"/>
      <w:r w:rsidRPr="00104227">
        <w:rPr>
          <w:lang w:val="en-US"/>
        </w:rPr>
        <w:t>B.</w:t>
      </w:r>
      <w:r w:rsidR="004712FC" w:rsidRPr="00104227">
        <w:rPr>
          <w:lang w:val="en-US"/>
        </w:rPr>
        <w:t>3</w:t>
      </w:r>
      <w:r w:rsidRPr="00104227">
        <w:rPr>
          <w:lang w:val="en-US"/>
        </w:rPr>
        <w:t xml:space="preserve"> </w:t>
      </w:r>
      <w:r w:rsidR="00A23F38" w:rsidRPr="00104227">
        <w:rPr>
          <w:lang w:val="en-US"/>
        </w:rPr>
        <w:t>Gender-based discrimination</w:t>
      </w:r>
      <w:r w:rsidR="00BF5241" w:rsidRPr="00104227">
        <w:rPr>
          <w:lang w:val="en-US"/>
        </w:rPr>
        <w:t xml:space="preserve"> and </w:t>
      </w:r>
      <w:r w:rsidR="000948A4" w:rsidRPr="00104227">
        <w:rPr>
          <w:lang w:val="en-US"/>
        </w:rPr>
        <w:t xml:space="preserve">verbal violence </w:t>
      </w:r>
      <w:r w:rsidR="005E5DCC" w:rsidRPr="00104227">
        <w:rPr>
          <w:lang w:val="en-US"/>
        </w:rPr>
        <w:t>based on discriminatory female stereotypes</w:t>
      </w:r>
      <w:bookmarkEnd w:id="294"/>
    </w:p>
    <w:p w14:paraId="1D0EFFBF" w14:textId="77777777" w:rsidR="00365AD8" w:rsidRPr="00104227" w:rsidRDefault="00365AD8" w:rsidP="00E4619F">
      <w:pPr>
        <w:tabs>
          <w:tab w:val="left" w:pos="567"/>
        </w:tabs>
        <w:rPr>
          <w:lang w:eastAsia="es-MX"/>
        </w:rPr>
      </w:pPr>
    </w:p>
    <w:p w14:paraId="7AC309EE" w14:textId="385D0AD1" w:rsidR="004712FC" w:rsidRPr="00104227" w:rsidRDefault="00E2287B" w:rsidP="00E4619F">
      <w:pPr>
        <w:pStyle w:val="Numberedparagraphs"/>
        <w:tabs>
          <w:tab w:val="left" w:pos="567"/>
        </w:tabs>
        <w:rPr>
          <w:lang w:val="en-US"/>
        </w:rPr>
      </w:pPr>
      <w:bookmarkStart w:id="295" w:name="_Ref532908704"/>
      <w:r w:rsidRPr="00104227">
        <w:rPr>
          <w:lang w:val="en-US"/>
        </w:rPr>
        <w:t>Article</w:t>
      </w:r>
      <w:r w:rsidR="00C2124F" w:rsidRPr="00104227">
        <w:rPr>
          <w:lang w:val="en-US"/>
        </w:rPr>
        <w:t xml:space="preserve"> 1(1)</w:t>
      </w:r>
      <w:r w:rsidR="00BF5241" w:rsidRPr="00104227">
        <w:rPr>
          <w:lang w:val="en-US"/>
        </w:rPr>
        <w:t xml:space="preserve"> of the Convention</w:t>
      </w:r>
      <w:r w:rsidR="004712FC" w:rsidRPr="00104227">
        <w:rPr>
          <w:lang w:val="en-US"/>
        </w:rPr>
        <w:t xml:space="preserve"> </w:t>
      </w:r>
      <w:r w:rsidR="004C10BC" w:rsidRPr="00104227">
        <w:rPr>
          <w:lang w:val="en-US"/>
        </w:rPr>
        <w:t xml:space="preserve">is a general rule </w:t>
      </w:r>
      <w:r w:rsidR="001873DA" w:rsidRPr="00104227">
        <w:rPr>
          <w:lang w:val="en-US"/>
        </w:rPr>
        <w:t>whose</w:t>
      </w:r>
      <w:r w:rsidR="004C10BC" w:rsidRPr="00104227">
        <w:rPr>
          <w:lang w:val="en-US"/>
        </w:rPr>
        <w:t xml:space="preserve"> content extends to all the provisions of the treaty and </w:t>
      </w:r>
      <w:r w:rsidR="001873DA" w:rsidRPr="00104227">
        <w:rPr>
          <w:lang w:val="en-US"/>
        </w:rPr>
        <w:t xml:space="preserve">it </w:t>
      </w:r>
      <w:r w:rsidR="004C10BC" w:rsidRPr="00104227">
        <w:rPr>
          <w:lang w:val="en-US"/>
        </w:rPr>
        <w:t xml:space="preserve">establishes the obligation of the States Parties to respect and to ensure  </w:t>
      </w:r>
      <w:r w:rsidR="004C10BC" w:rsidRPr="00104227">
        <w:rPr>
          <w:spacing w:val="-3"/>
          <w:lang w:val="en-US"/>
        </w:rPr>
        <w:t>the free and full exercise of the rights and freedoms, recogn</w:t>
      </w:r>
      <w:r w:rsidR="00F27D61" w:rsidRPr="00104227">
        <w:rPr>
          <w:spacing w:val="-3"/>
          <w:lang w:val="en-US"/>
        </w:rPr>
        <w:t>iz</w:t>
      </w:r>
      <w:r w:rsidR="004C10BC" w:rsidRPr="00104227">
        <w:rPr>
          <w:spacing w:val="-3"/>
          <w:lang w:val="en-US"/>
        </w:rPr>
        <w:t>ed therein “without any discrimination.” In other words, what</w:t>
      </w:r>
      <w:r w:rsidR="001873DA" w:rsidRPr="00104227">
        <w:rPr>
          <w:spacing w:val="-3"/>
          <w:lang w:val="en-US"/>
        </w:rPr>
        <w:t>soever</w:t>
      </w:r>
      <w:r w:rsidR="004C10BC" w:rsidRPr="00104227">
        <w:rPr>
          <w:spacing w:val="-3"/>
          <w:lang w:val="en-US"/>
        </w:rPr>
        <w:t xml:space="preserve"> </w:t>
      </w:r>
      <w:r w:rsidR="001873DA" w:rsidRPr="00104227">
        <w:rPr>
          <w:spacing w:val="-3"/>
          <w:lang w:val="en-US"/>
        </w:rPr>
        <w:t>its</w:t>
      </w:r>
      <w:r w:rsidR="004C10BC" w:rsidRPr="00104227">
        <w:rPr>
          <w:spacing w:val="-3"/>
          <w:lang w:val="en-US"/>
        </w:rPr>
        <w:t xml:space="preserve"> origin</w:t>
      </w:r>
      <w:r w:rsidR="004C10BC" w:rsidRPr="00104227">
        <w:rPr>
          <w:lang w:val="en-US"/>
        </w:rPr>
        <w:t xml:space="preserve"> or the form it assumes, any treatment that may be considered discriminatory </w:t>
      </w:r>
      <w:r w:rsidR="00E31E41" w:rsidRPr="00104227">
        <w:rPr>
          <w:lang w:val="en-US"/>
        </w:rPr>
        <w:t>with regard to</w:t>
      </w:r>
      <w:r w:rsidR="004C10BC" w:rsidRPr="00104227">
        <w:rPr>
          <w:lang w:val="en-US"/>
        </w:rPr>
        <w:t xml:space="preserve"> the exercise of any of the rights recognized in the Convention is, </w:t>
      </w:r>
      <w:r w:rsidR="004C10BC" w:rsidRPr="00104227">
        <w:rPr>
          <w:i/>
          <w:iCs/>
          <w:lang w:val="en-US"/>
        </w:rPr>
        <w:t xml:space="preserve">per </w:t>
      </w:r>
      <w:r w:rsidR="004C10BC" w:rsidRPr="00104227">
        <w:rPr>
          <w:i/>
          <w:iCs/>
          <w:lang w:val="en-US"/>
        </w:rPr>
        <w:lastRenderedPageBreak/>
        <w:t>se</w:t>
      </w:r>
      <w:r w:rsidR="004C10BC" w:rsidRPr="00104227">
        <w:rPr>
          <w:lang w:val="en-US"/>
        </w:rPr>
        <w:t>, incompatible with this instrument.</w:t>
      </w:r>
      <w:r w:rsidR="004712FC" w:rsidRPr="00104227">
        <w:rPr>
          <w:rStyle w:val="Refdenotaalpie"/>
          <w:lang w:val="en-US"/>
        </w:rPr>
        <w:footnoteReference w:id="310"/>
      </w:r>
      <w:r w:rsidR="004712FC" w:rsidRPr="00104227">
        <w:rPr>
          <w:lang w:val="en-US"/>
        </w:rPr>
        <w:t xml:space="preserve"> </w:t>
      </w:r>
      <w:r w:rsidR="004C10BC" w:rsidRPr="00104227">
        <w:rPr>
          <w:lang w:val="en-US"/>
        </w:rPr>
        <w:t>Non-c</w:t>
      </w:r>
      <w:r w:rsidR="00965723" w:rsidRPr="00104227">
        <w:rPr>
          <w:lang w:val="en-US"/>
        </w:rPr>
        <w:t>ompliance by the State</w:t>
      </w:r>
      <w:r w:rsidR="001873DA" w:rsidRPr="00104227">
        <w:rPr>
          <w:lang w:val="en-US"/>
        </w:rPr>
        <w:t xml:space="preserve"> with</w:t>
      </w:r>
      <w:r w:rsidR="00965723" w:rsidRPr="00104227">
        <w:rPr>
          <w:lang w:val="en-US"/>
        </w:rPr>
        <w:t xml:space="preserve"> the general obligation to respect and to ensure human rights, </w:t>
      </w:r>
      <w:r w:rsidR="001873DA" w:rsidRPr="00104227">
        <w:rPr>
          <w:lang w:val="en-US"/>
        </w:rPr>
        <w:t xml:space="preserve">owing to any discriminatory treatment, </w:t>
      </w:r>
      <w:r w:rsidR="00965723" w:rsidRPr="00104227">
        <w:rPr>
          <w:lang w:val="en-US"/>
        </w:rPr>
        <w:t>gives rise to its international responsibility</w:t>
      </w:r>
      <w:r w:rsidR="004712FC" w:rsidRPr="00104227">
        <w:rPr>
          <w:lang w:val="en-US"/>
        </w:rPr>
        <w:t>.</w:t>
      </w:r>
      <w:r w:rsidR="000A6DE0" w:rsidRPr="00104227">
        <w:rPr>
          <w:lang w:val="en-US"/>
        </w:rPr>
        <w:t xml:space="preserve"> </w:t>
      </w:r>
      <w:r w:rsidR="00965723" w:rsidRPr="00104227">
        <w:rPr>
          <w:lang w:val="en-US"/>
        </w:rPr>
        <w:t>Thus, there is an indissoluble link between the obligation to respect and to ensure human rights and the principle of equality and non-discrimination.</w:t>
      </w:r>
      <w:r w:rsidR="004712FC" w:rsidRPr="00104227">
        <w:rPr>
          <w:rStyle w:val="Refdenotaalpie"/>
          <w:lang w:val="en-US"/>
        </w:rPr>
        <w:footnoteReference w:id="311"/>
      </w:r>
      <w:bookmarkEnd w:id="295"/>
    </w:p>
    <w:p w14:paraId="4092743E" w14:textId="77777777" w:rsidR="004712FC" w:rsidRPr="00104227" w:rsidRDefault="004712FC" w:rsidP="00E4619F">
      <w:pPr>
        <w:tabs>
          <w:tab w:val="left" w:pos="567"/>
        </w:tabs>
        <w:rPr>
          <w:lang w:eastAsia="es-MX"/>
        </w:rPr>
      </w:pPr>
    </w:p>
    <w:p w14:paraId="537C9CCF" w14:textId="1CB0AEF5" w:rsidR="00965723" w:rsidRPr="00104227" w:rsidRDefault="00BF5241" w:rsidP="00965723">
      <w:pPr>
        <w:pStyle w:val="Numberedparagraphs"/>
        <w:tabs>
          <w:tab w:val="left" w:pos="567"/>
        </w:tabs>
        <w:rPr>
          <w:lang w:val="en-US"/>
        </w:rPr>
      </w:pPr>
      <w:r w:rsidRPr="00104227">
        <w:rPr>
          <w:lang w:val="en-US"/>
        </w:rPr>
        <w:t>The Court</w:t>
      </w:r>
      <w:r w:rsidR="00B578E5" w:rsidRPr="00104227">
        <w:rPr>
          <w:lang w:val="en-US"/>
        </w:rPr>
        <w:t xml:space="preserve"> </w:t>
      </w:r>
      <w:r w:rsidR="00965723" w:rsidRPr="00104227">
        <w:rPr>
          <w:lang w:val="en-US"/>
        </w:rPr>
        <w:t>considers that ge</w:t>
      </w:r>
      <w:r w:rsidR="000A6DE0" w:rsidRPr="00104227">
        <w:rPr>
          <w:lang w:val="en-US"/>
        </w:rPr>
        <w:t>n</w:t>
      </w:r>
      <w:r w:rsidR="00965723" w:rsidRPr="00104227">
        <w:rPr>
          <w:lang w:val="en-US"/>
        </w:rPr>
        <w:t>der-based violence</w:t>
      </w:r>
      <w:r w:rsidR="000A6DE0" w:rsidRPr="00104227">
        <w:rPr>
          <w:lang w:val="en-US"/>
        </w:rPr>
        <w:t xml:space="preserve"> – tha</w:t>
      </w:r>
      <w:r w:rsidR="00965723" w:rsidRPr="00104227">
        <w:rPr>
          <w:lang w:val="en-US"/>
        </w:rPr>
        <w:t>t is, violence against a woman because she is a woman</w:t>
      </w:r>
      <w:r w:rsidR="000A6DE0" w:rsidRPr="00104227">
        <w:rPr>
          <w:lang w:val="en-US"/>
        </w:rPr>
        <w:t xml:space="preserve"> – or </w:t>
      </w:r>
      <w:r w:rsidR="00965723" w:rsidRPr="00104227">
        <w:rPr>
          <w:lang w:val="en-US"/>
        </w:rPr>
        <w:t xml:space="preserve">violence that affects women disproportionately, is a form of </w:t>
      </w:r>
      <w:r w:rsidR="00814266" w:rsidRPr="00104227">
        <w:rPr>
          <w:lang w:val="en-US"/>
        </w:rPr>
        <w:t>discrimination</w:t>
      </w:r>
      <w:r w:rsidR="00B578E5" w:rsidRPr="00104227">
        <w:rPr>
          <w:lang w:val="en-US"/>
        </w:rPr>
        <w:t xml:space="preserve"> </w:t>
      </w:r>
      <w:r w:rsidR="00965723" w:rsidRPr="00104227">
        <w:rPr>
          <w:lang w:val="en-US"/>
        </w:rPr>
        <w:t>against women.</w:t>
      </w:r>
      <w:r w:rsidR="00B578E5" w:rsidRPr="00104227">
        <w:rPr>
          <w:rStyle w:val="Refdenotaalpie"/>
          <w:bCs/>
          <w:lang w:val="en-US"/>
        </w:rPr>
        <w:footnoteReference w:id="312"/>
      </w:r>
      <w:r w:rsidR="00B578E5" w:rsidRPr="00104227">
        <w:rPr>
          <w:lang w:val="en-US"/>
        </w:rPr>
        <w:t xml:space="preserve"> </w:t>
      </w:r>
      <w:r w:rsidR="00965723" w:rsidRPr="00104227">
        <w:rPr>
          <w:lang w:val="en-US"/>
        </w:rPr>
        <w:t>Both</w:t>
      </w:r>
      <w:r w:rsidR="00B578E5" w:rsidRPr="00104227">
        <w:rPr>
          <w:lang w:val="en-US"/>
        </w:rPr>
        <w:t xml:space="preserve"> </w:t>
      </w:r>
      <w:r w:rsidRPr="00104227">
        <w:rPr>
          <w:lang w:val="en-US"/>
        </w:rPr>
        <w:t>the Convention</w:t>
      </w:r>
      <w:r w:rsidR="00B578E5" w:rsidRPr="00104227">
        <w:rPr>
          <w:lang w:val="en-US"/>
        </w:rPr>
        <w:t xml:space="preserve"> </w:t>
      </w:r>
      <w:r w:rsidR="0094395C" w:rsidRPr="00104227">
        <w:rPr>
          <w:lang w:val="en-US"/>
        </w:rPr>
        <w:t>of Belém</w:t>
      </w:r>
      <w:r w:rsidR="00B578E5" w:rsidRPr="00104227">
        <w:rPr>
          <w:lang w:val="en-US"/>
        </w:rPr>
        <w:t xml:space="preserve"> do Pará, </w:t>
      </w:r>
      <w:r w:rsidR="00965723" w:rsidRPr="00104227">
        <w:rPr>
          <w:lang w:val="en-US"/>
        </w:rPr>
        <w:t>and</w:t>
      </w:r>
      <w:r w:rsidR="00B578E5" w:rsidRPr="00104227">
        <w:rPr>
          <w:lang w:val="en-US"/>
        </w:rPr>
        <w:t xml:space="preserve"> </w:t>
      </w:r>
      <w:r w:rsidRPr="00104227">
        <w:rPr>
          <w:lang w:val="en-US"/>
        </w:rPr>
        <w:t>the Convention</w:t>
      </w:r>
      <w:r w:rsidR="00B578E5" w:rsidRPr="00104227">
        <w:rPr>
          <w:lang w:val="en-US"/>
        </w:rPr>
        <w:t xml:space="preserve"> </w:t>
      </w:r>
      <w:r w:rsidR="00965723" w:rsidRPr="00104227">
        <w:rPr>
          <w:lang w:val="en-US"/>
        </w:rPr>
        <w:t xml:space="preserve">on the </w:t>
      </w:r>
      <w:r w:rsidR="00A24A0B" w:rsidRPr="00104227">
        <w:rPr>
          <w:lang w:val="en-US"/>
        </w:rPr>
        <w:t>E</w:t>
      </w:r>
      <w:r w:rsidR="00965723" w:rsidRPr="00104227">
        <w:rPr>
          <w:lang w:val="en-US"/>
        </w:rPr>
        <w:t xml:space="preserve">limination of All </w:t>
      </w:r>
      <w:r w:rsidR="00A24A0B" w:rsidRPr="00104227">
        <w:rPr>
          <w:lang w:val="en-US"/>
        </w:rPr>
        <w:t>F</w:t>
      </w:r>
      <w:r w:rsidR="00965723" w:rsidRPr="00104227">
        <w:rPr>
          <w:lang w:val="en-US"/>
        </w:rPr>
        <w:t xml:space="preserve">orms of Discrimination against Women and its monitoring mechanism have recognized  the link that exists between </w:t>
      </w:r>
      <w:r w:rsidR="00D25554" w:rsidRPr="00104227">
        <w:rPr>
          <w:lang w:val="en-US"/>
        </w:rPr>
        <w:t>violence against women</w:t>
      </w:r>
      <w:r w:rsidRPr="00104227">
        <w:rPr>
          <w:lang w:val="en-US"/>
        </w:rPr>
        <w:t xml:space="preserve"> and</w:t>
      </w:r>
      <w:r w:rsidR="00B578E5" w:rsidRPr="00104227">
        <w:rPr>
          <w:lang w:val="en-US"/>
        </w:rPr>
        <w:t xml:space="preserve"> </w:t>
      </w:r>
      <w:r w:rsidR="00814266" w:rsidRPr="00104227">
        <w:rPr>
          <w:lang w:val="en-US"/>
        </w:rPr>
        <w:t>discrimination</w:t>
      </w:r>
      <w:r w:rsidR="00965723" w:rsidRPr="00104227">
        <w:rPr>
          <w:lang w:val="en-US"/>
        </w:rPr>
        <w:t>.</w:t>
      </w:r>
      <w:r w:rsidR="00B578E5" w:rsidRPr="00104227">
        <w:rPr>
          <w:rStyle w:val="Refdenotaalpie"/>
          <w:lang w:val="en-US"/>
        </w:rPr>
        <w:footnoteReference w:id="313"/>
      </w:r>
      <w:r w:rsidR="00965723" w:rsidRPr="00104227">
        <w:rPr>
          <w:lang w:val="en-US"/>
        </w:rPr>
        <w:t xml:space="preserve"> In the instant case, the Court considers that the physical violence committed against </w:t>
      </w:r>
      <w:r w:rsidR="00F12946" w:rsidRPr="00104227">
        <w:rPr>
          <w:lang w:val="en-US"/>
        </w:rPr>
        <w:t>the eleven women</w:t>
      </w:r>
      <w:r w:rsidR="00B578E5" w:rsidRPr="00104227">
        <w:rPr>
          <w:lang w:val="en-US"/>
        </w:rPr>
        <w:t xml:space="preserve"> constitu</w:t>
      </w:r>
      <w:r w:rsidR="00965723" w:rsidRPr="00104227">
        <w:rPr>
          <w:lang w:val="en-US"/>
        </w:rPr>
        <w:t xml:space="preserve">ted a form of </w:t>
      </w:r>
      <w:r w:rsidR="00A23F38" w:rsidRPr="00104227">
        <w:rPr>
          <w:lang w:val="en-US"/>
        </w:rPr>
        <w:t>gender-based discrimination</w:t>
      </w:r>
      <w:r w:rsidR="00965723" w:rsidRPr="00104227">
        <w:rPr>
          <w:lang w:val="en-US"/>
        </w:rPr>
        <w:t xml:space="preserve"> because the sexual abuse was applied to the women, because they were women. Even though the men detained during the operations were also subjected to an excessive use of force, the women were affected by differentiated forms of violence, </w:t>
      </w:r>
      <w:r w:rsidR="000A6DE0" w:rsidRPr="00104227">
        <w:rPr>
          <w:lang w:val="en-US"/>
        </w:rPr>
        <w:t>which were</w:t>
      </w:r>
      <w:r w:rsidR="00965723" w:rsidRPr="00104227">
        <w:rPr>
          <w:lang w:val="en-US"/>
        </w:rPr>
        <w:t xml:space="preserve"> clearly </w:t>
      </w:r>
      <w:r w:rsidR="000A6DE0" w:rsidRPr="00104227">
        <w:rPr>
          <w:lang w:val="en-US"/>
        </w:rPr>
        <w:t xml:space="preserve">of a </w:t>
      </w:r>
      <w:r w:rsidR="00965723" w:rsidRPr="00104227">
        <w:rPr>
          <w:lang w:val="en-US"/>
        </w:rPr>
        <w:t xml:space="preserve">sexual nature and focused on intimate parts of their bodies, </w:t>
      </w:r>
      <w:r w:rsidR="000A6DE0" w:rsidRPr="00104227">
        <w:rPr>
          <w:lang w:val="en-US"/>
        </w:rPr>
        <w:t xml:space="preserve">and that were laden </w:t>
      </w:r>
      <w:r w:rsidR="00965723" w:rsidRPr="00104227">
        <w:rPr>
          <w:lang w:val="en-US"/>
        </w:rPr>
        <w:t>with stereotypes concerning their sexual role and their role in the home and in society, and also with regard to their credibility</w:t>
      </w:r>
      <w:r w:rsidR="000A6DE0" w:rsidRPr="00104227">
        <w:rPr>
          <w:lang w:val="en-US"/>
        </w:rPr>
        <w:t xml:space="preserve">. Furthermore, it had </w:t>
      </w:r>
      <w:r w:rsidR="00965723" w:rsidRPr="00104227">
        <w:rPr>
          <w:lang w:val="en-US"/>
        </w:rPr>
        <w:t xml:space="preserve">the distinctive purpose of humiliating and punishing them for being women who, presumably, were participating in a public protest against a decision of the </w:t>
      </w:r>
      <w:r w:rsidR="000A6DE0" w:rsidRPr="00104227">
        <w:rPr>
          <w:lang w:val="en-US"/>
        </w:rPr>
        <w:t>S</w:t>
      </w:r>
      <w:r w:rsidR="00965723" w:rsidRPr="00104227">
        <w:rPr>
          <w:lang w:val="en-US"/>
        </w:rPr>
        <w:t>tate authority.</w:t>
      </w:r>
    </w:p>
    <w:p w14:paraId="57F5C16B" w14:textId="730280DE" w:rsidR="004712FC" w:rsidRPr="00104227" w:rsidRDefault="004712FC" w:rsidP="00E4619F">
      <w:pPr>
        <w:tabs>
          <w:tab w:val="left" w:pos="567"/>
        </w:tabs>
        <w:rPr>
          <w:lang w:eastAsia="es-MX"/>
        </w:rPr>
      </w:pPr>
    </w:p>
    <w:p w14:paraId="162C7007" w14:textId="2AE76E7B" w:rsidR="00365AD8" w:rsidRPr="00104227" w:rsidRDefault="00965723" w:rsidP="00965723">
      <w:pPr>
        <w:pStyle w:val="Numberedparagraphs"/>
        <w:tabs>
          <w:tab w:val="left" w:pos="567"/>
        </w:tabs>
        <w:rPr>
          <w:lang w:val="en-US"/>
        </w:rPr>
      </w:pPr>
      <w:r w:rsidRPr="00104227">
        <w:rPr>
          <w:lang w:val="en-US"/>
        </w:rPr>
        <w:t xml:space="preserve">Furthermore, although it has already been </w:t>
      </w:r>
      <w:r w:rsidR="00612B2F" w:rsidRPr="00104227">
        <w:rPr>
          <w:lang w:val="en-US"/>
        </w:rPr>
        <w:t>concluded that</w:t>
      </w:r>
      <w:r w:rsidR="000E7B4C" w:rsidRPr="00104227">
        <w:rPr>
          <w:lang w:val="en-US"/>
        </w:rPr>
        <w:t xml:space="preserve"> </w:t>
      </w:r>
      <w:r w:rsidRPr="00104227">
        <w:rPr>
          <w:lang w:val="en-US"/>
        </w:rPr>
        <w:t xml:space="preserve">the series of assaults committed by the police against </w:t>
      </w:r>
      <w:r w:rsidR="00F12946" w:rsidRPr="00104227">
        <w:rPr>
          <w:lang w:val="en-US"/>
        </w:rPr>
        <w:t>the eleven women</w:t>
      </w:r>
      <w:r w:rsidR="000E7B4C" w:rsidRPr="00104227">
        <w:rPr>
          <w:lang w:val="en-US"/>
        </w:rPr>
        <w:t xml:space="preserve"> constitu</w:t>
      </w:r>
      <w:r w:rsidRPr="00104227">
        <w:rPr>
          <w:lang w:val="en-US"/>
        </w:rPr>
        <w:t xml:space="preserve">ted </w:t>
      </w:r>
      <w:r w:rsidR="00BC5201" w:rsidRPr="00104227">
        <w:rPr>
          <w:lang w:val="en-US"/>
        </w:rPr>
        <w:t>torture</w:t>
      </w:r>
      <w:r w:rsidR="00BF5241" w:rsidRPr="00104227">
        <w:rPr>
          <w:lang w:val="en-US"/>
        </w:rPr>
        <w:t xml:space="preserve"> and </w:t>
      </w:r>
      <w:r w:rsidR="00D25554" w:rsidRPr="00104227">
        <w:rPr>
          <w:lang w:val="en-US"/>
        </w:rPr>
        <w:t>sexual violence</w:t>
      </w:r>
      <w:r w:rsidR="000E7B4C" w:rsidRPr="00104227">
        <w:rPr>
          <w:lang w:val="en-US"/>
        </w:rPr>
        <w:t>,</w:t>
      </w:r>
      <w:r w:rsidRPr="00104227">
        <w:rPr>
          <w:lang w:val="en-US"/>
        </w:rPr>
        <w:t xml:space="preserve"> the Court deems it pertinent to include some additional consideration</w:t>
      </w:r>
      <w:r w:rsidR="000A6DE0" w:rsidRPr="00104227">
        <w:rPr>
          <w:lang w:val="en-US"/>
        </w:rPr>
        <w:t xml:space="preserve">s </w:t>
      </w:r>
      <w:r w:rsidRPr="00104227">
        <w:rPr>
          <w:lang w:val="en-US"/>
        </w:rPr>
        <w:t>on the stereotypical verbal violence to which t</w:t>
      </w:r>
      <w:r w:rsidR="000A6DE0" w:rsidRPr="00104227">
        <w:rPr>
          <w:lang w:val="en-US"/>
        </w:rPr>
        <w:t>h</w:t>
      </w:r>
      <w:r w:rsidRPr="00104227">
        <w:rPr>
          <w:lang w:val="en-US"/>
        </w:rPr>
        <w:t>ey were subjected in the context of these facts, owing to the nature of those expressions, their consistent and repetitive nature</w:t>
      </w:r>
      <w:r w:rsidR="000A6DE0" w:rsidRPr="00104227">
        <w:rPr>
          <w:lang w:val="en-US"/>
        </w:rPr>
        <w:t>,</w:t>
      </w:r>
      <w:r w:rsidRPr="00104227">
        <w:rPr>
          <w:lang w:val="en-US"/>
        </w:rPr>
        <w:t xml:space="preserve"> and the absence of an adequate response by the State in this regar</w:t>
      </w:r>
      <w:r w:rsidR="000A6DE0" w:rsidRPr="00104227">
        <w:rPr>
          <w:lang w:val="en-US"/>
        </w:rPr>
        <w:t>d</w:t>
      </w:r>
      <w:r w:rsidRPr="00104227">
        <w:rPr>
          <w:lang w:val="en-US"/>
        </w:rPr>
        <w:t>. The physical violence to which the victims were subjected, and which has already been described, was severe but</w:t>
      </w:r>
      <w:r w:rsidR="000A6DE0" w:rsidRPr="00104227">
        <w:rPr>
          <w:lang w:val="en-US"/>
        </w:rPr>
        <w:t>,</w:t>
      </w:r>
      <w:r w:rsidRPr="00104227">
        <w:rPr>
          <w:lang w:val="en-US"/>
        </w:rPr>
        <w:t xml:space="preserve"> despite this, the gravity of the verbal and psychological violence to which they were also repeatedly subjected by insults and threats with highly sexual, </w:t>
      </w:r>
      <w:r w:rsidRPr="00104227">
        <w:rPr>
          <w:i/>
          <w:iCs/>
          <w:lang w:val="en-US"/>
        </w:rPr>
        <w:t>mach</w:t>
      </w:r>
      <w:r w:rsidR="000A6DE0" w:rsidRPr="00104227">
        <w:rPr>
          <w:i/>
          <w:iCs/>
          <w:lang w:val="en-US"/>
        </w:rPr>
        <w:t>o</w:t>
      </w:r>
      <w:r w:rsidRPr="00104227">
        <w:rPr>
          <w:lang w:val="en-US"/>
        </w:rPr>
        <w:t xml:space="preserve">, discriminatory and, in some case, misogynous connotations should not be obscured. Therefore, in this section, the Court will analyze, in particular, the stereotypical verbal abuse and expressions to which </w:t>
      </w:r>
      <w:r w:rsidR="00F12946" w:rsidRPr="00104227">
        <w:rPr>
          <w:lang w:val="en-US"/>
        </w:rPr>
        <w:t>the eleven women</w:t>
      </w:r>
      <w:r w:rsidR="000E7B4C" w:rsidRPr="00104227">
        <w:rPr>
          <w:lang w:val="en-US"/>
        </w:rPr>
        <w:t xml:space="preserve"> </w:t>
      </w:r>
      <w:r w:rsidRPr="00104227">
        <w:rPr>
          <w:lang w:val="en-US"/>
        </w:rPr>
        <w:t xml:space="preserve">were subjected </w:t>
      </w:r>
      <w:r w:rsidR="00AF4ADA" w:rsidRPr="00104227">
        <w:rPr>
          <w:lang w:val="en-US"/>
        </w:rPr>
        <w:t xml:space="preserve">at the time of </w:t>
      </w:r>
      <w:r w:rsidRPr="00104227">
        <w:rPr>
          <w:lang w:val="en-US"/>
        </w:rPr>
        <w:t>their</w:t>
      </w:r>
      <w:r w:rsidR="00AF4ADA" w:rsidRPr="00104227">
        <w:rPr>
          <w:lang w:val="en-US"/>
        </w:rPr>
        <w:t xml:space="preserve"> detention</w:t>
      </w:r>
      <w:r w:rsidR="000E7B4C" w:rsidRPr="00104227">
        <w:rPr>
          <w:lang w:val="en-US"/>
        </w:rPr>
        <w:t>, dur</w:t>
      </w:r>
      <w:r w:rsidRPr="00104227">
        <w:rPr>
          <w:lang w:val="en-US"/>
        </w:rPr>
        <w:t xml:space="preserve">ing </w:t>
      </w:r>
      <w:r w:rsidR="008C6D02" w:rsidRPr="00104227">
        <w:rPr>
          <w:lang w:val="en-US"/>
        </w:rPr>
        <w:t>the transfers</w:t>
      </w:r>
      <w:r w:rsidR="00BF5241" w:rsidRPr="00104227">
        <w:rPr>
          <w:lang w:val="en-US"/>
        </w:rPr>
        <w:t xml:space="preserve"> and </w:t>
      </w:r>
      <w:r w:rsidRPr="00104227">
        <w:rPr>
          <w:lang w:val="en-US"/>
        </w:rPr>
        <w:t>on</w:t>
      </w:r>
      <w:r w:rsidR="00051BEF" w:rsidRPr="00104227">
        <w:rPr>
          <w:lang w:val="en-US"/>
        </w:rPr>
        <w:t xml:space="preserve"> arrival at</w:t>
      </w:r>
      <w:r w:rsidR="000E7B4C" w:rsidRPr="00104227">
        <w:rPr>
          <w:lang w:val="en-US"/>
        </w:rPr>
        <w:t xml:space="preserve"> CEPRESO </w:t>
      </w:r>
      <w:r w:rsidRPr="00104227">
        <w:rPr>
          <w:lang w:val="en-US"/>
        </w:rPr>
        <w:t>by the police agents who carried out the operations. The Court will also refer to the immediate reaction</w:t>
      </w:r>
      <w:r w:rsidR="000E7B4C" w:rsidRPr="00104227">
        <w:rPr>
          <w:lang w:val="en-US"/>
        </w:rPr>
        <w:t xml:space="preserve">, </w:t>
      </w:r>
      <w:r w:rsidRPr="00104227">
        <w:rPr>
          <w:lang w:val="en-US"/>
        </w:rPr>
        <w:t>also laden with stereotypes, of senior government authorities when confronted with the reports of the abuses that had been or were being committed.</w:t>
      </w:r>
      <w:bookmarkEnd w:id="293"/>
    </w:p>
    <w:p w14:paraId="21702FF5" w14:textId="77777777" w:rsidR="00365AD8" w:rsidRPr="00104227" w:rsidRDefault="00365AD8" w:rsidP="00E4619F">
      <w:pPr>
        <w:tabs>
          <w:tab w:val="left" w:pos="567"/>
        </w:tabs>
        <w:rPr>
          <w:lang w:eastAsia="es-MX"/>
        </w:rPr>
      </w:pPr>
    </w:p>
    <w:p w14:paraId="7CDBE328" w14:textId="21B5D757" w:rsidR="00365AD8" w:rsidRPr="00104227" w:rsidRDefault="00A24A0B" w:rsidP="002764DD">
      <w:pPr>
        <w:pStyle w:val="Numberedparagraphs"/>
        <w:tabs>
          <w:tab w:val="left" w:pos="567"/>
        </w:tabs>
        <w:rPr>
          <w:lang w:val="en-US"/>
        </w:rPr>
      </w:pPr>
      <w:r w:rsidRPr="00104227">
        <w:rPr>
          <w:lang w:val="en-US"/>
        </w:rPr>
        <w:lastRenderedPageBreak/>
        <w:t xml:space="preserve">A gender-based stereotype refers to a preconception of attributes, conducts or characteristics possessed by, or roles that are or should be played by, men and women, respectively, and it is possible to associate the subordination of women to practices based on socially dominant and persistent gender-based stereotypes. In this regard, their creation and use becomes one of the causes and consequences of gender-based violence against women, a situation that is exacerbated when </w:t>
      </w:r>
      <w:r w:rsidR="002764DD" w:rsidRPr="00104227">
        <w:rPr>
          <w:lang w:val="en-US"/>
        </w:rPr>
        <w:t>they are reflected, implicitly and explicitly, in policies and practices, particularly in the thinking and language of the State authorities.</w:t>
      </w:r>
      <w:r w:rsidR="000E7B4C" w:rsidRPr="00104227">
        <w:rPr>
          <w:rStyle w:val="Refdenotaalpie"/>
          <w:lang w:val="en-US"/>
        </w:rPr>
        <w:footnoteReference w:id="314"/>
      </w:r>
    </w:p>
    <w:p w14:paraId="6C1B5840" w14:textId="77777777" w:rsidR="00365AD8" w:rsidRPr="00104227" w:rsidRDefault="00365AD8" w:rsidP="00E4619F">
      <w:pPr>
        <w:tabs>
          <w:tab w:val="left" w:pos="567"/>
        </w:tabs>
        <w:rPr>
          <w:lang w:eastAsia="es-MX"/>
        </w:rPr>
      </w:pPr>
    </w:p>
    <w:p w14:paraId="14BB38F1" w14:textId="4DBED4C2" w:rsidR="00365AD8" w:rsidRPr="00104227" w:rsidRDefault="002764DD" w:rsidP="00E4619F">
      <w:pPr>
        <w:pStyle w:val="Numberedparagraphs"/>
        <w:tabs>
          <w:tab w:val="left" w:pos="567"/>
        </w:tabs>
        <w:rPr>
          <w:lang w:val="en-US"/>
        </w:rPr>
      </w:pPr>
      <w:r w:rsidRPr="00104227">
        <w:rPr>
          <w:lang w:val="en-US"/>
        </w:rPr>
        <w:t xml:space="preserve">As verified above </w:t>
      </w:r>
      <w:r w:rsidR="00D7501D" w:rsidRPr="00104227">
        <w:rPr>
          <w:lang w:val="en-US"/>
        </w:rPr>
        <w:t>(</w:t>
      </w:r>
      <w:r w:rsidR="00BF5241" w:rsidRPr="00104227">
        <w:rPr>
          <w:lang w:val="en-US"/>
        </w:rPr>
        <w:t>paras.</w:t>
      </w:r>
      <w:r w:rsidR="00D7501D" w:rsidRPr="00104227">
        <w:rPr>
          <w:lang w:val="en-US"/>
        </w:rPr>
        <w:t xml:space="preserve"> </w:t>
      </w:r>
      <w:r w:rsidR="00D7501D" w:rsidRPr="00104227">
        <w:rPr>
          <w:lang w:val="en-US"/>
        </w:rPr>
        <w:fldChar w:fldCharType="begin"/>
      </w:r>
      <w:r w:rsidR="00D7501D" w:rsidRPr="00104227">
        <w:rPr>
          <w:lang w:val="en-US"/>
        </w:rPr>
        <w:instrText xml:space="preserve"> REF _Ref532935559 \r \h </w:instrText>
      </w:r>
      <w:r w:rsidR="00284EAE" w:rsidRPr="00104227">
        <w:rPr>
          <w:lang w:val="en-US"/>
        </w:rPr>
        <w:instrText xml:space="preserve"> \* MERGEFORMAT </w:instrText>
      </w:r>
      <w:r w:rsidR="00D7501D" w:rsidRPr="00104227">
        <w:rPr>
          <w:lang w:val="en-US"/>
        </w:rPr>
      </w:r>
      <w:r w:rsidR="00D7501D" w:rsidRPr="00104227">
        <w:rPr>
          <w:lang w:val="en-US"/>
        </w:rPr>
        <w:fldChar w:fldCharType="separate"/>
      </w:r>
      <w:r w:rsidR="004276BD">
        <w:rPr>
          <w:lang w:val="en-US"/>
        </w:rPr>
        <w:t>75</w:t>
      </w:r>
      <w:r w:rsidR="00D7501D" w:rsidRPr="00104227">
        <w:rPr>
          <w:lang w:val="en-US"/>
        </w:rPr>
        <w:fldChar w:fldCharType="end"/>
      </w:r>
      <w:r w:rsidR="00D7501D" w:rsidRPr="00104227">
        <w:rPr>
          <w:lang w:val="en-US"/>
        </w:rPr>
        <w:t xml:space="preserve"> </w:t>
      </w:r>
      <w:r w:rsidRPr="00104227">
        <w:rPr>
          <w:lang w:val="en-US"/>
        </w:rPr>
        <w:t>to</w:t>
      </w:r>
      <w:r w:rsidR="00D7501D" w:rsidRPr="00104227">
        <w:rPr>
          <w:lang w:val="en-US"/>
        </w:rPr>
        <w:t xml:space="preserve"> </w:t>
      </w:r>
      <w:r w:rsidR="00D7501D" w:rsidRPr="00104227">
        <w:rPr>
          <w:lang w:val="en-US"/>
        </w:rPr>
        <w:fldChar w:fldCharType="begin"/>
      </w:r>
      <w:r w:rsidR="00D7501D" w:rsidRPr="00104227">
        <w:rPr>
          <w:lang w:val="en-US"/>
        </w:rPr>
        <w:instrText xml:space="preserve"> REF _Ref532935645 \r \h </w:instrText>
      </w:r>
      <w:r w:rsidR="00284EAE" w:rsidRPr="00104227">
        <w:rPr>
          <w:lang w:val="en-US"/>
        </w:rPr>
        <w:instrText xml:space="preserve"> \* MERGEFORMAT </w:instrText>
      </w:r>
      <w:r w:rsidR="00D7501D" w:rsidRPr="00104227">
        <w:rPr>
          <w:lang w:val="en-US"/>
        </w:rPr>
      </w:r>
      <w:r w:rsidR="00D7501D" w:rsidRPr="00104227">
        <w:rPr>
          <w:lang w:val="en-US"/>
        </w:rPr>
        <w:fldChar w:fldCharType="separate"/>
      </w:r>
      <w:r w:rsidR="004276BD">
        <w:rPr>
          <w:lang w:val="en-US"/>
        </w:rPr>
        <w:t>105</w:t>
      </w:r>
      <w:r w:rsidR="00D7501D" w:rsidRPr="00104227">
        <w:rPr>
          <w:lang w:val="en-US"/>
        </w:rPr>
        <w:fldChar w:fldCharType="end"/>
      </w:r>
      <w:r w:rsidR="00D7501D" w:rsidRPr="00104227">
        <w:rPr>
          <w:lang w:val="en-US"/>
        </w:rPr>
        <w:t>)</w:t>
      </w:r>
      <w:r w:rsidR="000E7B4C" w:rsidRPr="00104227">
        <w:rPr>
          <w:lang w:val="en-US"/>
        </w:rPr>
        <w:t xml:space="preserve">, </w:t>
      </w:r>
      <w:r w:rsidRPr="00104227">
        <w:rPr>
          <w:lang w:val="en-US"/>
        </w:rPr>
        <w:t xml:space="preserve">the violence used by the police against </w:t>
      </w:r>
      <w:r w:rsidR="00F12946" w:rsidRPr="00104227">
        <w:rPr>
          <w:lang w:val="en-US"/>
        </w:rPr>
        <w:t>the eleven women</w:t>
      </w:r>
      <w:r w:rsidR="000E7B4C" w:rsidRPr="00104227">
        <w:rPr>
          <w:lang w:val="en-US"/>
        </w:rPr>
        <w:t xml:space="preserve"> </w:t>
      </w:r>
      <w:r w:rsidR="00816E4E" w:rsidRPr="00104227">
        <w:rPr>
          <w:lang w:val="en-US"/>
        </w:rPr>
        <w:t>in this case</w:t>
      </w:r>
      <w:r w:rsidR="000E7B4C" w:rsidRPr="00104227">
        <w:rPr>
          <w:lang w:val="en-US"/>
        </w:rPr>
        <w:t xml:space="preserve"> inclu</w:t>
      </w:r>
      <w:r w:rsidRPr="00104227">
        <w:rPr>
          <w:lang w:val="en-US"/>
        </w:rPr>
        <w:t>ded</w:t>
      </w:r>
      <w:r w:rsidR="000E7B4C" w:rsidRPr="00104227">
        <w:rPr>
          <w:lang w:val="en-US"/>
        </w:rPr>
        <w:t xml:space="preserve"> </w:t>
      </w:r>
      <w:r w:rsidRPr="00104227">
        <w:rPr>
          <w:lang w:val="en-US"/>
        </w:rPr>
        <w:t xml:space="preserve"> stereotyped </w:t>
      </w:r>
      <w:r w:rsidR="000E7B4C" w:rsidRPr="00104227">
        <w:rPr>
          <w:lang w:val="en-US"/>
        </w:rPr>
        <w:t>insults</w:t>
      </w:r>
      <w:r w:rsidRPr="00104227">
        <w:rPr>
          <w:lang w:val="en-US"/>
        </w:rPr>
        <w:t xml:space="preserve"> and threats of being subjected to different forms of </w:t>
      </w:r>
      <w:r w:rsidR="00D25554" w:rsidRPr="00104227">
        <w:rPr>
          <w:lang w:val="en-US"/>
        </w:rPr>
        <w:t>sexual violence</w:t>
      </w:r>
      <w:r w:rsidR="000E7B4C" w:rsidRPr="00104227">
        <w:rPr>
          <w:lang w:val="en-US"/>
        </w:rPr>
        <w:t xml:space="preserve">. </w:t>
      </w:r>
      <w:r w:rsidRPr="00104227">
        <w:rPr>
          <w:lang w:val="en-US"/>
        </w:rPr>
        <w:t>In</w:t>
      </w:r>
      <w:r w:rsidR="000E7B4C" w:rsidRPr="00104227">
        <w:rPr>
          <w:lang w:val="en-US"/>
        </w:rPr>
        <w:t xml:space="preserve"> particular, </w:t>
      </w:r>
      <w:r w:rsidRPr="00104227">
        <w:rPr>
          <w:lang w:val="en-US"/>
        </w:rPr>
        <w:t>the Court has noted the following</w:t>
      </w:r>
      <w:r w:rsidR="000E7B4C" w:rsidRPr="00104227">
        <w:rPr>
          <w:lang w:val="en-US"/>
        </w:rPr>
        <w:t xml:space="preserve">: </w:t>
      </w:r>
    </w:p>
    <w:p w14:paraId="1A2525E0" w14:textId="17A96362" w:rsidR="00365AD8" w:rsidRPr="00104227" w:rsidRDefault="00365AD8" w:rsidP="00E4619F">
      <w:pPr>
        <w:tabs>
          <w:tab w:val="left" w:pos="567"/>
        </w:tabs>
        <w:rPr>
          <w:lang w:eastAsia="es-MX"/>
        </w:rPr>
      </w:pPr>
    </w:p>
    <w:p w14:paraId="394FF831" w14:textId="0A511CF3" w:rsidR="00365AD8" w:rsidRPr="00104227" w:rsidRDefault="00365AD8" w:rsidP="00E4619F">
      <w:pPr>
        <w:pStyle w:val="Prrafodelista"/>
        <w:numPr>
          <w:ilvl w:val="0"/>
          <w:numId w:val="84"/>
        </w:numPr>
        <w:tabs>
          <w:tab w:val="left" w:pos="567"/>
          <w:tab w:val="left" w:pos="720"/>
        </w:tabs>
        <w:rPr>
          <w:i/>
          <w:lang w:eastAsia="es-MX"/>
        </w:rPr>
      </w:pPr>
      <w:r w:rsidRPr="00104227">
        <w:rPr>
          <w:i/>
        </w:rPr>
        <w:t>Yolanda Muñoz Diosdada,</w:t>
      </w:r>
      <w:r w:rsidRPr="00104227">
        <w:t xml:space="preserve"> re</w:t>
      </w:r>
      <w:r w:rsidR="002764DD" w:rsidRPr="00104227">
        <w:t>counted that, after beating her, a polic</w:t>
      </w:r>
      <w:r w:rsidR="00063C24" w:rsidRPr="00104227">
        <w:t>e</w:t>
      </w:r>
      <w:r w:rsidR="002764DD" w:rsidRPr="00104227">
        <w:t xml:space="preserve"> agent told her that they were all </w:t>
      </w:r>
      <w:r w:rsidRPr="00104227">
        <w:t>“</w:t>
      </w:r>
      <w:r w:rsidR="00063C24" w:rsidRPr="00104227">
        <w:t>whores, bitches, now you’re fucked</w:t>
      </w:r>
      <w:r w:rsidR="001D798E" w:rsidRPr="00104227">
        <w:t>!</w:t>
      </w:r>
      <w:r w:rsidR="00063C24" w:rsidRPr="00104227">
        <w:t>”</w:t>
      </w:r>
    </w:p>
    <w:p w14:paraId="4341B3D5" w14:textId="0E889460" w:rsidR="00365AD8" w:rsidRPr="00104227" w:rsidRDefault="00365AD8" w:rsidP="00E4619F">
      <w:pPr>
        <w:pStyle w:val="Prrafodelista"/>
        <w:numPr>
          <w:ilvl w:val="0"/>
          <w:numId w:val="84"/>
        </w:numPr>
        <w:tabs>
          <w:tab w:val="left" w:pos="567"/>
          <w:tab w:val="left" w:pos="720"/>
        </w:tabs>
      </w:pPr>
      <w:r w:rsidRPr="00104227">
        <w:rPr>
          <w:i/>
        </w:rPr>
        <w:t>Norma Aidé Jiménez Osorio</w:t>
      </w:r>
      <w:r w:rsidRPr="00104227">
        <w:t xml:space="preserve"> declar</w:t>
      </w:r>
      <w:r w:rsidR="002764DD" w:rsidRPr="00104227">
        <w:t xml:space="preserve">ed that the police, when assaulting her, told her that this was happening “because [she] was not at home, washing dishes” and that she was a whore, telling them that they “should be at home cooking instead of out and about; that [they] were not thinking about [their] families or [their] children.” Also, during the transfer, they threatened her and her family, </w:t>
      </w:r>
      <w:r w:rsidR="00063C24" w:rsidRPr="00104227">
        <w:t>t</w:t>
      </w:r>
      <w:r w:rsidR="002764DD" w:rsidRPr="00104227">
        <w:t>elling her that her mother</w:t>
      </w:r>
      <w:r w:rsidR="00063C24" w:rsidRPr="00104227">
        <w:t xml:space="preserve"> would</w:t>
      </w:r>
      <w:r w:rsidR="002764DD" w:rsidRPr="00104227">
        <w:t xml:space="preserve"> also</w:t>
      </w:r>
      <w:r w:rsidR="00063C24" w:rsidRPr="00104227">
        <w:t xml:space="preserve"> be “fucked,”</w:t>
      </w:r>
      <w:r w:rsidR="002764DD" w:rsidRPr="00104227">
        <w:t xml:space="preserve"> and that</w:t>
      </w:r>
      <w:r w:rsidR="00BF5241" w:rsidRPr="00104227">
        <w:t xml:space="preserve"> </w:t>
      </w:r>
      <w:r w:rsidRPr="00104227">
        <w:t>“</w:t>
      </w:r>
      <w:r w:rsidR="002764DD" w:rsidRPr="00104227">
        <w:t>soon, we’re going to rape you and</w:t>
      </w:r>
      <w:r w:rsidR="00063C24" w:rsidRPr="00104227">
        <w:t xml:space="preserve"> then</w:t>
      </w:r>
      <w:r w:rsidR="002764DD" w:rsidRPr="00104227">
        <w:t xml:space="preserve"> we’re going to make you disappear.”</w:t>
      </w:r>
    </w:p>
    <w:p w14:paraId="4A9CDA74" w14:textId="6B9B009A" w:rsidR="00365AD8" w:rsidRPr="00104227" w:rsidRDefault="00365AD8" w:rsidP="00E4619F">
      <w:pPr>
        <w:pStyle w:val="Prrafodelista"/>
        <w:numPr>
          <w:ilvl w:val="0"/>
          <w:numId w:val="84"/>
        </w:numPr>
        <w:tabs>
          <w:tab w:val="left" w:pos="567"/>
          <w:tab w:val="left" w:pos="720"/>
        </w:tabs>
      </w:pPr>
      <w:r w:rsidRPr="00104227">
        <w:rPr>
          <w:i/>
        </w:rPr>
        <w:t xml:space="preserve">María Patricia Romero Hernández </w:t>
      </w:r>
      <w:r w:rsidR="002764DD" w:rsidRPr="00104227">
        <w:t>stated that, when she refused to undress, several agents beat her saying she was “aggressive” and that</w:t>
      </w:r>
      <w:r w:rsidR="00063C24" w:rsidRPr="00104227">
        <w:t xml:space="preserve"> “this will teach you</w:t>
      </w:r>
      <w:r w:rsidR="002764DD" w:rsidRPr="00104227">
        <w:t xml:space="preserve"> a lesson, </w:t>
      </w:r>
      <w:r w:rsidR="00063C24" w:rsidRPr="00104227">
        <w:t>bitch</w:t>
      </w:r>
      <w:r w:rsidR="002764DD" w:rsidRPr="00104227">
        <w:t>.</w:t>
      </w:r>
      <w:r w:rsidRPr="00104227">
        <w:t>”</w:t>
      </w:r>
      <w:r w:rsidR="002764DD" w:rsidRPr="00104227">
        <w:t xml:space="preserve"> She also recounted how the police threatened her in front of her son and her father, saying “we’re going to fuck you,” “you’re a bitch and </w:t>
      </w:r>
      <w:r w:rsidR="00063C24" w:rsidRPr="00104227">
        <w:t>don’t deserve to live</w:t>
      </w:r>
      <w:r w:rsidR="002764DD" w:rsidRPr="00104227">
        <w:t>,” “we’re going to kill you,” and “we’re going to</w:t>
      </w:r>
      <w:r w:rsidR="000B1081" w:rsidRPr="00104227">
        <w:t xml:space="preserve"> rape you</w:t>
      </w:r>
      <w:r w:rsidRPr="00104227">
        <w:t xml:space="preserve">, </w:t>
      </w:r>
      <w:r w:rsidR="00063C24" w:rsidRPr="00104227">
        <w:t>you fucking bitch.</w:t>
      </w:r>
      <w:r w:rsidRPr="00104227">
        <w:t>”</w:t>
      </w:r>
    </w:p>
    <w:p w14:paraId="7E757971" w14:textId="6CE4ADF4" w:rsidR="00365AD8" w:rsidRPr="00104227" w:rsidRDefault="00365AD8" w:rsidP="00E4619F">
      <w:pPr>
        <w:pStyle w:val="Prrafodelista"/>
        <w:numPr>
          <w:ilvl w:val="0"/>
          <w:numId w:val="84"/>
        </w:numPr>
        <w:tabs>
          <w:tab w:val="left" w:pos="567"/>
          <w:tab w:val="left" w:pos="720"/>
        </w:tabs>
        <w:rPr>
          <w:b/>
        </w:rPr>
      </w:pPr>
      <w:r w:rsidRPr="00104227">
        <w:rPr>
          <w:i/>
        </w:rPr>
        <w:t>Mariana Selvas Gómez</w:t>
      </w:r>
      <w:r w:rsidRPr="00104227">
        <w:t xml:space="preserve"> </w:t>
      </w:r>
      <w:r w:rsidR="000B1081" w:rsidRPr="00104227">
        <w:t xml:space="preserve">stated that, while they were beating her, the agents insulted her saying things like </w:t>
      </w:r>
      <w:r w:rsidRPr="00104227">
        <w:t>“</w:t>
      </w:r>
      <w:r w:rsidR="00063C24" w:rsidRPr="00104227">
        <w:t>fucking whore, bitch</w:t>
      </w:r>
      <w:r w:rsidR="000B1081" w:rsidRPr="00104227">
        <w:t>.</w:t>
      </w:r>
      <w:r w:rsidRPr="00104227">
        <w:t>”</w:t>
      </w:r>
      <w:r w:rsidRPr="00104227">
        <w:rPr>
          <w:b/>
        </w:rPr>
        <w:t xml:space="preserve"> </w:t>
      </w:r>
      <w:r w:rsidR="000B1081" w:rsidRPr="00104227">
        <w:t xml:space="preserve">She explained that they then continued to ask for her </w:t>
      </w:r>
      <w:r w:rsidR="00595698" w:rsidRPr="00104227">
        <w:t>personal data</w:t>
      </w:r>
      <w:r w:rsidR="000B1081" w:rsidRPr="00104227">
        <w:t xml:space="preserve"> while they insulted her and that “as she was a woman, during the whole journey, they were saying</w:t>
      </w:r>
      <w:r w:rsidR="00063C24" w:rsidRPr="00104227">
        <w:t xml:space="preserve"> “</w:t>
      </w:r>
      <w:r w:rsidR="005B75DA" w:rsidRPr="00104227">
        <w:t xml:space="preserve">damn whore, bitch, murderer, damn </w:t>
      </w:r>
      <w:r w:rsidR="00F27D61" w:rsidRPr="00104227">
        <w:t>Samaritan</w:t>
      </w:r>
      <w:r w:rsidR="005B75DA" w:rsidRPr="00104227">
        <w:t>, rebel, we’re going to fuck you […</w:t>
      </w:r>
      <w:r w:rsidR="00327A7D" w:rsidRPr="00104227">
        <w:t>]</w:t>
      </w:r>
      <w:r w:rsidR="005B75DA" w:rsidRPr="00104227">
        <w:t>.</w:t>
      </w:r>
      <w:r w:rsidR="00327A7D" w:rsidRPr="00104227">
        <w:t>”</w:t>
      </w:r>
    </w:p>
    <w:p w14:paraId="7BC0D411" w14:textId="0555A4AF" w:rsidR="00365AD8" w:rsidRPr="00104227" w:rsidRDefault="00365AD8" w:rsidP="00E4619F">
      <w:pPr>
        <w:pStyle w:val="Prrafodelista"/>
        <w:numPr>
          <w:ilvl w:val="0"/>
          <w:numId w:val="84"/>
        </w:numPr>
        <w:tabs>
          <w:tab w:val="left" w:pos="567"/>
          <w:tab w:val="left" w:pos="720"/>
        </w:tabs>
        <w:rPr>
          <w:b/>
        </w:rPr>
      </w:pPr>
      <w:r w:rsidRPr="00104227">
        <w:rPr>
          <w:i/>
        </w:rPr>
        <w:t xml:space="preserve">Georgina Edith </w:t>
      </w:r>
      <w:r w:rsidR="00DA23B8" w:rsidRPr="00104227">
        <w:rPr>
          <w:i/>
        </w:rPr>
        <w:t>Rosales</w:t>
      </w:r>
      <w:r w:rsidRPr="00104227">
        <w:rPr>
          <w:i/>
        </w:rPr>
        <w:t xml:space="preserve"> Gutiérrez</w:t>
      </w:r>
      <w:r w:rsidRPr="00104227">
        <w:rPr>
          <w:b/>
        </w:rPr>
        <w:t xml:space="preserve"> </w:t>
      </w:r>
      <w:r w:rsidR="000B1081" w:rsidRPr="00104227">
        <w:t>indic</w:t>
      </w:r>
      <w:r w:rsidR="00DA2A70" w:rsidRPr="00104227">
        <w:t>a</w:t>
      </w:r>
      <w:r w:rsidR="000B1081" w:rsidRPr="00104227">
        <w:t xml:space="preserve">ted that they insulted her saying </w:t>
      </w:r>
      <w:r w:rsidRPr="00104227">
        <w:t>“</w:t>
      </w:r>
      <w:r w:rsidR="000B1081" w:rsidRPr="00104227">
        <w:t>whore, bitch,</w:t>
      </w:r>
      <w:r w:rsidRPr="00104227">
        <w:t xml:space="preserve"> </w:t>
      </w:r>
      <w:r w:rsidR="005B75DA" w:rsidRPr="00104227">
        <w:t>soon you’re going to see what’s coming to you!</w:t>
      </w:r>
      <w:r w:rsidR="00DA2A70" w:rsidRPr="00104227">
        <w:t>”</w:t>
      </w:r>
      <w:r w:rsidR="000B1081" w:rsidRPr="00104227">
        <w:t xml:space="preserve"> In addition, she heard another agent shouting: </w:t>
      </w:r>
      <w:r w:rsidRPr="00104227">
        <w:t>“</w:t>
      </w:r>
      <w:r w:rsidR="005B75DA" w:rsidRPr="00104227">
        <w:t>fuck these bitches from behind to calm them down</w:t>
      </w:r>
      <w:r w:rsidR="00327A7D" w:rsidRPr="00104227">
        <w:t>!”</w:t>
      </w:r>
    </w:p>
    <w:p w14:paraId="2F947F4C" w14:textId="63B52F81" w:rsidR="00365AD8" w:rsidRPr="00104227" w:rsidRDefault="00365AD8" w:rsidP="00E4619F">
      <w:pPr>
        <w:pStyle w:val="Prrafodelista"/>
        <w:numPr>
          <w:ilvl w:val="0"/>
          <w:numId w:val="84"/>
        </w:numPr>
        <w:tabs>
          <w:tab w:val="left" w:pos="567"/>
          <w:tab w:val="left" w:pos="720"/>
        </w:tabs>
        <w:rPr>
          <w:b/>
        </w:rPr>
      </w:pPr>
      <w:r w:rsidRPr="00104227">
        <w:rPr>
          <w:i/>
        </w:rPr>
        <w:t>Ana María Velasco Rodríguez</w:t>
      </w:r>
      <w:r w:rsidRPr="00104227">
        <w:rPr>
          <w:b/>
        </w:rPr>
        <w:t xml:space="preserve"> </w:t>
      </w:r>
      <w:r w:rsidRPr="00104227">
        <w:t>re</w:t>
      </w:r>
      <w:r w:rsidR="000B1081" w:rsidRPr="00104227">
        <w:t xml:space="preserve">counted how, when she did not give the answer </w:t>
      </w:r>
      <w:r w:rsidR="00F27D61" w:rsidRPr="00104227">
        <w:t>that</w:t>
      </w:r>
      <w:r w:rsidR="000B1081" w:rsidRPr="00104227">
        <w:t xml:space="preserve"> the police were seeking, they beat her and insulted her as “bitch” and “whore.” Seeing that she was not bleeding</w:t>
      </w:r>
      <w:r w:rsidRPr="00104227">
        <w:t xml:space="preserve">, </w:t>
      </w:r>
      <w:r w:rsidR="005B75DA" w:rsidRPr="00104227">
        <w:t>“they used more force and said: ‘this bitch is clean, hit her more.’</w:t>
      </w:r>
      <w:r w:rsidRPr="00104227">
        <w:t>”</w:t>
      </w:r>
    </w:p>
    <w:p w14:paraId="6EE44878" w14:textId="1F70205F" w:rsidR="00365AD8" w:rsidRPr="00104227" w:rsidRDefault="00365AD8" w:rsidP="00E4619F">
      <w:pPr>
        <w:pStyle w:val="Prrafodelista"/>
        <w:numPr>
          <w:ilvl w:val="0"/>
          <w:numId w:val="84"/>
        </w:numPr>
        <w:tabs>
          <w:tab w:val="left" w:pos="567"/>
          <w:tab w:val="left" w:pos="720"/>
        </w:tabs>
        <w:rPr>
          <w:b/>
        </w:rPr>
      </w:pPr>
      <w:r w:rsidRPr="00104227">
        <w:rPr>
          <w:i/>
          <w:lang w:eastAsia="es-MX"/>
        </w:rPr>
        <w:t>Suhelen Gabriela Cuevas Jaramillo</w:t>
      </w:r>
      <w:r w:rsidRPr="00104227">
        <w:rPr>
          <w:b/>
          <w:lang w:eastAsia="es-MX"/>
        </w:rPr>
        <w:t xml:space="preserve"> </w:t>
      </w:r>
      <w:r w:rsidRPr="00104227">
        <w:rPr>
          <w:lang w:eastAsia="es-MX"/>
        </w:rPr>
        <w:t>re</w:t>
      </w:r>
      <w:r w:rsidR="000B1081" w:rsidRPr="00104227">
        <w:rPr>
          <w:lang w:eastAsia="es-MX"/>
        </w:rPr>
        <w:t xml:space="preserve">counted how, on </w:t>
      </w:r>
      <w:r w:rsidR="005B75DA" w:rsidRPr="00104227">
        <w:rPr>
          <w:lang w:eastAsia="es-MX"/>
        </w:rPr>
        <w:t>arresting</w:t>
      </w:r>
      <w:r w:rsidR="000B1081" w:rsidRPr="00104227">
        <w:rPr>
          <w:lang w:eastAsia="es-MX"/>
        </w:rPr>
        <w:t xml:space="preserve"> her, the police asked her why she was not studying and told her that she “was a whore.” In addition, she stated that, </w:t>
      </w:r>
      <w:r w:rsidR="002654DE" w:rsidRPr="00104227">
        <w:t>during the transfer</w:t>
      </w:r>
      <w:r w:rsidRPr="00104227">
        <w:t xml:space="preserve">, </w:t>
      </w:r>
      <w:r w:rsidR="000B1081" w:rsidRPr="00104227">
        <w:t>while they assaulted</w:t>
      </w:r>
      <w:r w:rsidR="00DA2A70" w:rsidRPr="00104227">
        <w:t xml:space="preserve"> </w:t>
      </w:r>
      <w:r w:rsidR="000B1081" w:rsidRPr="00104227">
        <w:t>her, they shou</w:t>
      </w:r>
      <w:r w:rsidR="00DA2A70" w:rsidRPr="00104227">
        <w:t>t</w:t>
      </w:r>
      <w:r w:rsidR="000B1081" w:rsidRPr="00104227">
        <w:t>ed that she “was a</w:t>
      </w:r>
      <w:r w:rsidR="00DA2A70" w:rsidRPr="00104227">
        <w:t xml:space="preserve"> </w:t>
      </w:r>
      <w:r w:rsidR="000B1081" w:rsidRPr="00104227">
        <w:t>whore and what was [she] doing there, and that [she] should go back to making tortillas.</w:t>
      </w:r>
      <w:r w:rsidR="00327A7D" w:rsidRPr="00104227">
        <w:t>”</w:t>
      </w:r>
    </w:p>
    <w:p w14:paraId="79C4B6AC" w14:textId="3F88E0D8" w:rsidR="000B1081" w:rsidRPr="00104227" w:rsidRDefault="00365AD8" w:rsidP="001D798E">
      <w:pPr>
        <w:pStyle w:val="Prrafodelista"/>
        <w:numPr>
          <w:ilvl w:val="0"/>
          <w:numId w:val="84"/>
        </w:numPr>
        <w:tabs>
          <w:tab w:val="left" w:pos="567"/>
          <w:tab w:val="left" w:pos="720"/>
          <w:tab w:val="left" w:pos="4590"/>
        </w:tabs>
        <w:rPr>
          <w:b/>
        </w:rPr>
      </w:pPr>
      <w:r w:rsidRPr="00104227">
        <w:rPr>
          <w:i/>
        </w:rPr>
        <w:t>Bárbara Italia Méndez Moreno</w:t>
      </w:r>
      <w:r w:rsidRPr="00104227">
        <w:rPr>
          <w:b/>
        </w:rPr>
        <w:t xml:space="preserve"> </w:t>
      </w:r>
      <w:r w:rsidRPr="00104227">
        <w:t>re</w:t>
      </w:r>
      <w:r w:rsidR="000B1081" w:rsidRPr="00104227">
        <w:t xml:space="preserve">counted how the police insulted her, calling her a “bitch” while they hit her; also, they yelled: </w:t>
      </w:r>
      <w:r w:rsidRPr="00104227">
        <w:rPr>
          <w:lang w:eastAsia="ko-KR"/>
        </w:rPr>
        <w:t>“</w:t>
      </w:r>
      <w:r w:rsidR="00DA2A70" w:rsidRPr="00104227">
        <w:rPr>
          <w:lang w:eastAsia="ko-KR"/>
        </w:rPr>
        <w:t xml:space="preserve">it’s her! It’s the bitch, mark her!”’ </w:t>
      </w:r>
      <w:r w:rsidRPr="00104227">
        <w:rPr>
          <w:lang w:eastAsia="ko-KR"/>
        </w:rPr>
        <w:t>“</w:t>
      </w:r>
      <w:r w:rsidR="000B1081" w:rsidRPr="00104227">
        <w:rPr>
          <w:lang w:eastAsia="ko-KR"/>
        </w:rPr>
        <w:t>Bitch</w:t>
      </w:r>
      <w:r w:rsidRPr="00104227">
        <w:rPr>
          <w:lang w:eastAsia="ko-KR"/>
        </w:rPr>
        <w:t xml:space="preserve"> </w:t>
      </w:r>
      <w:r w:rsidR="00DA2A70" w:rsidRPr="00104227">
        <w:rPr>
          <w:lang w:eastAsia="ko-KR"/>
        </w:rPr>
        <w:t xml:space="preserve">How does this feel? I’m going to kill you! I’m going to fuck you and then I’ll kill you!” </w:t>
      </w:r>
      <w:r w:rsidR="000B1081" w:rsidRPr="00104227">
        <w:t xml:space="preserve">She </w:t>
      </w:r>
      <w:r w:rsidR="00DA2A70" w:rsidRPr="00104227">
        <w:t>narrated</w:t>
      </w:r>
      <w:r w:rsidR="000B1081" w:rsidRPr="00104227">
        <w:t xml:space="preserve"> that they began “to </w:t>
      </w:r>
      <w:r w:rsidR="00DA2A70" w:rsidRPr="00104227">
        <w:t>yell</w:t>
      </w:r>
      <w:r w:rsidR="000B1081" w:rsidRPr="00104227">
        <w:t xml:space="preserve"> obscene </w:t>
      </w:r>
      <w:r w:rsidR="00DA2A70" w:rsidRPr="00104227">
        <w:t>expressions</w:t>
      </w:r>
      <w:r w:rsidR="000B1081" w:rsidRPr="00104227">
        <w:t xml:space="preserve"> about [her] body, about </w:t>
      </w:r>
      <w:r w:rsidR="000B1081" w:rsidRPr="00104227">
        <w:lastRenderedPageBreak/>
        <w:t xml:space="preserve">[her] </w:t>
      </w:r>
      <w:r w:rsidR="00DA2A70" w:rsidRPr="00104227">
        <w:t>being</w:t>
      </w:r>
      <w:r w:rsidR="000B1081" w:rsidRPr="00104227">
        <w:t xml:space="preserve"> a woman, </w:t>
      </w:r>
      <w:r w:rsidR="00DA2A70" w:rsidRPr="00104227">
        <w:t xml:space="preserve">they told [her] that this was happening because [she] had not stayed home to look after [her] children.” </w:t>
      </w:r>
      <w:r w:rsidR="00C1003E" w:rsidRPr="00104227">
        <w:t>She also described how, while they beat her, they shouted “</w:t>
      </w:r>
      <w:r w:rsidR="00DA2A70" w:rsidRPr="00104227">
        <w:t>whore, say I’m a cowboy, say I can ride you or I’ll kill you; go on say it!</w:t>
      </w:r>
      <w:r w:rsidR="00C1003E" w:rsidRPr="00104227">
        <w:t>”</w:t>
      </w:r>
      <w:r w:rsidR="00C1003E" w:rsidRPr="00104227">
        <w:rPr>
          <w:rStyle w:val="Refdenotaalpie"/>
        </w:rPr>
        <w:footnoteReference w:id="315"/>
      </w:r>
      <w:r w:rsidR="00C1003E" w:rsidRPr="00104227">
        <w:t xml:space="preserve"> Also, while they were raping her, they said “</w:t>
      </w:r>
      <w:r w:rsidR="001D798E" w:rsidRPr="00104227">
        <w:t>You like this, whore, don’t you? How will you not like it if you’re a bitch; as soon as I finish with you, I’m going to kill you, I’m going to fuck your mother and I’ll kill her also</w:t>
      </w:r>
      <w:r w:rsidR="00D453F4" w:rsidRPr="00104227">
        <w:t>!”; at the same time, he encourage</w:t>
      </w:r>
      <w:r w:rsidR="001D798E" w:rsidRPr="00104227">
        <w:t>d</w:t>
      </w:r>
      <w:r w:rsidR="00D453F4" w:rsidRPr="00104227">
        <w:t xml:space="preserve"> other agents to rape her with expressions such as “Come, shut this whore up, try her, she’ll enjoy it! Whore, of course you enjoy it!” or “Come and feel this whore.”</w:t>
      </w:r>
    </w:p>
    <w:p w14:paraId="5F21D14E" w14:textId="07A9D4DE" w:rsidR="00365AD8" w:rsidRPr="00104227" w:rsidRDefault="00365AD8" w:rsidP="00E4619F">
      <w:pPr>
        <w:pStyle w:val="Prrafodelista"/>
        <w:numPr>
          <w:ilvl w:val="0"/>
          <w:numId w:val="84"/>
        </w:numPr>
        <w:tabs>
          <w:tab w:val="left" w:pos="567"/>
          <w:tab w:val="left" w:pos="720"/>
        </w:tabs>
        <w:rPr>
          <w:b/>
        </w:rPr>
      </w:pPr>
      <w:r w:rsidRPr="00104227">
        <w:rPr>
          <w:i/>
        </w:rPr>
        <w:t>María Cristina Sánchez Hernández</w:t>
      </w:r>
      <w:r w:rsidRPr="00104227">
        <w:rPr>
          <w:b/>
        </w:rPr>
        <w:t xml:space="preserve"> </w:t>
      </w:r>
      <w:r w:rsidR="00D453F4" w:rsidRPr="00104227">
        <w:t xml:space="preserve">stated that, while they assaulted her, the agents said to her “why weren’t you […] at home, damn bitch” and many other strong </w:t>
      </w:r>
      <w:r w:rsidR="001D798E" w:rsidRPr="00104227">
        <w:t>words</w:t>
      </w:r>
      <w:r w:rsidR="00D453F4" w:rsidRPr="00104227">
        <w:t>.</w:t>
      </w:r>
    </w:p>
    <w:p w14:paraId="2F6774B4" w14:textId="71CFA0E8" w:rsidR="00365AD8" w:rsidRPr="00104227" w:rsidRDefault="0047539E" w:rsidP="00E4619F">
      <w:pPr>
        <w:pStyle w:val="Prrafodelista"/>
        <w:numPr>
          <w:ilvl w:val="0"/>
          <w:numId w:val="84"/>
        </w:numPr>
        <w:tabs>
          <w:tab w:val="left" w:pos="567"/>
          <w:tab w:val="left" w:pos="720"/>
        </w:tabs>
        <w:rPr>
          <w:b/>
        </w:rPr>
      </w:pPr>
      <w:r w:rsidRPr="00104227">
        <w:rPr>
          <w:i/>
        </w:rPr>
        <w:t>Angélica Patricia Torres</w:t>
      </w:r>
      <w:r w:rsidR="00365AD8" w:rsidRPr="00104227">
        <w:rPr>
          <w:i/>
        </w:rPr>
        <w:t xml:space="preserve"> Linares</w:t>
      </w:r>
      <w:r w:rsidR="00365AD8" w:rsidRPr="00104227">
        <w:rPr>
          <w:b/>
        </w:rPr>
        <w:t xml:space="preserve"> </w:t>
      </w:r>
      <w:r w:rsidR="00365AD8" w:rsidRPr="00104227">
        <w:t>re</w:t>
      </w:r>
      <w:r w:rsidR="00D453F4" w:rsidRPr="00104227">
        <w:t xml:space="preserve">counted how while they beat her, they </w:t>
      </w:r>
      <w:r w:rsidR="001D798E" w:rsidRPr="00104227">
        <w:t>asked</w:t>
      </w:r>
      <w:r w:rsidR="00D453F4" w:rsidRPr="00104227">
        <w:t xml:space="preserve"> her “what was [she] doing there</w:t>
      </w:r>
      <w:r w:rsidR="001D798E" w:rsidRPr="00104227">
        <w:t>?</w:t>
      </w:r>
      <w:r w:rsidR="00D453F4" w:rsidRPr="00104227">
        <w:t xml:space="preserve"> that women </w:t>
      </w:r>
      <w:r w:rsidR="001D798E" w:rsidRPr="00104227">
        <w:t>are only useful for</w:t>
      </w:r>
      <w:r w:rsidR="00D453F4" w:rsidRPr="00104227">
        <w:t xml:space="preserve"> mak</w:t>
      </w:r>
      <w:r w:rsidR="001D798E" w:rsidRPr="00104227">
        <w:t>ing</w:t>
      </w:r>
      <w:r w:rsidR="00D453F4" w:rsidRPr="00104227">
        <w:t xml:space="preserve"> </w:t>
      </w:r>
      <w:r w:rsidR="00F27D61" w:rsidRPr="00104227">
        <w:t>tortillas</w:t>
      </w:r>
      <w:r w:rsidR="00D453F4" w:rsidRPr="00104227">
        <w:t xml:space="preserve">; that [she should be at home; that this </w:t>
      </w:r>
      <w:r w:rsidR="001D798E" w:rsidRPr="00104227">
        <w:t>was</w:t>
      </w:r>
      <w:r w:rsidR="00D453F4" w:rsidRPr="00104227">
        <w:t xml:space="preserve"> happen</w:t>
      </w:r>
      <w:r w:rsidR="001D798E" w:rsidRPr="00104227">
        <w:t>ing</w:t>
      </w:r>
      <w:r w:rsidR="00D453F4" w:rsidRPr="00104227">
        <w:t xml:space="preserve"> because [she] was not at home.</w:t>
      </w:r>
      <w:r w:rsidR="00327A7D" w:rsidRPr="00104227">
        <w:t>”</w:t>
      </w:r>
    </w:p>
    <w:p w14:paraId="6C12DAAB" w14:textId="085128A2" w:rsidR="0043412D" w:rsidRPr="00104227" w:rsidRDefault="00365AD8" w:rsidP="00E4619F">
      <w:pPr>
        <w:pStyle w:val="Prrafodelista"/>
        <w:numPr>
          <w:ilvl w:val="0"/>
          <w:numId w:val="84"/>
        </w:numPr>
        <w:tabs>
          <w:tab w:val="left" w:pos="567"/>
          <w:tab w:val="left" w:pos="720"/>
        </w:tabs>
        <w:rPr>
          <w:b/>
          <w:lang w:eastAsia="ko-KR"/>
        </w:rPr>
      </w:pPr>
      <w:r w:rsidRPr="00104227">
        <w:rPr>
          <w:i/>
          <w:lang w:eastAsia="ko-KR"/>
        </w:rPr>
        <w:t>Claudia Hernández Martínez</w:t>
      </w:r>
      <w:r w:rsidRPr="00104227">
        <w:rPr>
          <w:lang w:eastAsia="ko-KR"/>
        </w:rPr>
        <w:t>,</w:t>
      </w:r>
      <w:r w:rsidRPr="00104227">
        <w:rPr>
          <w:b/>
          <w:lang w:eastAsia="ko-KR"/>
        </w:rPr>
        <w:t xml:space="preserve"> </w:t>
      </w:r>
      <w:r w:rsidRPr="00104227">
        <w:rPr>
          <w:lang w:eastAsia="ja-JP"/>
        </w:rPr>
        <w:t>re</w:t>
      </w:r>
      <w:r w:rsidR="0043412D" w:rsidRPr="00104227">
        <w:rPr>
          <w:lang w:eastAsia="ja-JP"/>
        </w:rPr>
        <w:t xml:space="preserve">counted that, when she said where she came from, </w:t>
      </w:r>
      <w:r w:rsidR="00DA10D6" w:rsidRPr="00104227">
        <w:rPr>
          <w:lang w:eastAsia="ja-JP"/>
        </w:rPr>
        <w:t>a</w:t>
      </w:r>
      <w:r w:rsidR="0043412D" w:rsidRPr="00104227">
        <w:rPr>
          <w:lang w:eastAsia="ja-JP"/>
        </w:rPr>
        <w:t xml:space="preserve"> police </w:t>
      </w:r>
      <w:r w:rsidR="00DA10D6" w:rsidRPr="00104227">
        <w:rPr>
          <w:lang w:eastAsia="ja-JP"/>
        </w:rPr>
        <w:t xml:space="preserve">agent </w:t>
      </w:r>
      <w:r w:rsidR="0043412D" w:rsidRPr="00104227">
        <w:rPr>
          <w:lang w:eastAsia="ja-JP"/>
        </w:rPr>
        <w:t>yelled, “</w:t>
      </w:r>
      <w:r w:rsidR="001D798E" w:rsidRPr="00104227">
        <w:rPr>
          <w:lang w:eastAsia="ja-JP"/>
        </w:rPr>
        <w:t xml:space="preserve">hey, </w:t>
      </w:r>
      <w:r w:rsidR="0043412D" w:rsidRPr="00104227">
        <w:rPr>
          <w:lang w:eastAsia="ja-JP"/>
        </w:rPr>
        <w:t>look</w:t>
      </w:r>
      <w:r w:rsidR="001D798E" w:rsidRPr="00104227">
        <w:rPr>
          <w:lang w:eastAsia="ja-JP"/>
        </w:rPr>
        <w:t>,</w:t>
      </w:r>
      <w:r w:rsidR="0043412D" w:rsidRPr="00104227">
        <w:rPr>
          <w:lang w:eastAsia="ja-JP"/>
        </w:rPr>
        <w:t xml:space="preserve"> this bitch</w:t>
      </w:r>
      <w:r w:rsidR="001D798E" w:rsidRPr="00104227">
        <w:rPr>
          <w:lang w:eastAsia="ja-JP"/>
        </w:rPr>
        <w:t xml:space="preserve"> if</w:t>
      </w:r>
      <w:r w:rsidR="0043412D" w:rsidRPr="00104227">
        <w:rPr>
          <w:lang w:eastAsia="ja-JP"/>
        </w:rPr>
        <w:t xml:space="preserve"> from Tepito, </w:t>
      </w:r>
      <w:r w:rsidR="001D798E" w:rsidRPr="00104227">
        <w:rPr>
          <w:lang w:eastAsia="ja-JP"/>
        </w:rPr>
        <w:t>let’s warm her up</w:t>
      </w:r>
      <w:r w:rsidR="001D798E" w:rsidRPr="00104227">
        <w:t>!</w:t>
      </w:r>
      <w:r w:rsidR="0043412D" w:rsidRPr="00104227">
        <w:t xml:space="preserve">” On realizing that she was menstruating, he </w:t>
      </w:r>
      <w:r w:rsidR="001D798E" w:rsidRPr="00104227">
        <w:t>yelled</w:t>
      </w:r>
      <w:r w:rsidR="0043412D" w:rsidRPr="00104227">
        <w:t xml:space="preserve"> to the others, “look, this bitch is bleeding, let’s dirty her a little more.” Also, during the transfer, when threatening her, the</w:t>
      </w:r>
      <w:r w:rsidR="00DA10D6" w:rsidRPr="00104227">
        <w:t xml:space="preserve"> agents</w:t>
      </w:r>
      <w:r w:rsidR="0043412D" w:rsidRPr="00104227">
        <w:t xml:space="preserve"> said that “if </w:t>
      </w:r>
      <w:r w:rsidR="00DA10D6" w:rsidRPr="00104227">
        <w:t>[they]</w:t>
      </w:r>
      <w:r w:rsidR="0043412D" w:rsidRPr="00104227">
        <w:t xml:space="preserve"> had been </w:t>
      </w:r>
      <w:r w:rsidR="001D798E" w:rsidRPr="00104227">
        <w:t>at home</w:t>
      </w:r>
      <w:r w:rsidR="0043412D" w:rsidRPr="00104227">
        <w:t xml:space="preserve"> </w:t>
      </w:r>
      <w:r w:rsidR="00F27D61" w:rsidRPr="00104227">
        <w:t>making</w:t>
      </w:r>
      <w:r w:rsidR="0043412D" w:rsidRPr="00104227">
        <w:t xml:space="preserve"> tortillas this would not have happened to </w:t>
      </w:r>
      <w:r w:rsidR="00DA10D6" w:rsidRPr="00104227">
        <w:t>[them]</w:t>
      </w:r>
      <w:r w:rsidR="0043412D" w:rsidRPr="00104227">
        <w:t>.”</w:t>
      </w:r>
    </w:p>
    <w:p w14:paraId="5856738D" w14:textId="77777777" w:rsidR="00365AD8" w:rsidRPr="00104227" w:rsidRDefault="00365AD8" w:rsidP="00E4619F">
      <w:pPr>
        <w:tabs>
          <w:tab w:val="left" w:pos="567"/>
        </w:tabs>
        <w:rPr>
          <w:lang w:eastAsia="es-MX"/>
        </w:rPr>
      </w:pPr>
    </w:p>
    <w:p w14:paraId="2ED467C9" w14:textId="4E89C76B" w:rsidR="00365AD8" w:rsidRPr="00104227" w:rsidRDefault="00BF5241" w:rsidP="00E4619F">
      <w:pPr>
        <w:pStyle w:val="Numberedparagraphs"/>
        <w:tabs>
          <w:tab w:val="left" w:pos="567"/>
        </w:tabs>
        <w:rPr>
          <w:lang w:val="en-US"/>
        </w:rPr>
      </w:pPr>
      <w:r w:rsidRPr="00104227">
        <w:rPr>
          <w:lang w:val="en-US"/>
        </w:rPr>
        <w:t>The Court</w:t>
      </w:r>
      <w:r w:rsidR="000E7B4C" w:rsidRPr="00104227">
        <w:rPr>
          <w:lang w:val="en-US"/>
        </w:rPr>
        <w:t xml:space="preserve"> </w:t>
      </w:r>
      <w:r w:rsidR="0043412D" w:rsidRPr="00104227">
        <w:rPr>
          <w:lang w:val="en-US"/>
        </w:rPr>
        <w:t xml:space="preserve">notes that, </w:t>
      </w:r>
      <w:r w:rsidR="0060075A" w:rsidRPr="00104227">
        <w:rPr>
          <w:lang w:val="en-US"/>
        </w:rPr>
        <w:t xml:space="preserve">the </w:t>
      </w:r>
      <w:r w:rsidR="00CA43B0" w:rsidRPr="00104227">
        <w:rPr>
          <w:lang w:val="en-US"/>
        </w:rPr>
        <w:t xml:space="preserve">right </w:t>
      </w:r>
      <w:r w:rsidR="0043412D" w:rsidRPr="00104227">
        <w:rPr>
          <w:lang w:val="en-US"/>
        </w:rPr>
        <w:t>of women to live a life free of vi</w:t>
      </w:r>
      <w:r w:rsidR="00DA10D6" w:rsidRPr="00104227">
        <w:rPr>
          <w:lang w:val="en-US"/>
        </w:rPr>
        <w:t>o</w:t>
      </w:r>
      <w:r w:rsidR="0043412D" w:rsidRPr="00104227">
        <w:rPr>
          <w:lang w:val="en-US"/>
        </w:rPr>
        <w:t xml:space="preserve">lence and the other specific rights </w:t>
      </w:r>
      <w:r w:rsidR="005E29A3" w:rsidRPr="00104227">
        <w:rPr>
          <w:lang w:val="en-US"/>
        </w:rPr>
        <w:t>recognized in</w:t>
      </w:r>
      <w:r w:rsidR="000E7B4C" w:rsidRPr="00104227">
        <w:rPr>
          <w:lang w:val="en-US"/>
        </w:rPr>
        <w:t xml:space="preserve"> </w:t>
      </w:r>
      <w:r w:rsidRPr="00104227">
        <w:rPr>
          <w:lang w:val="en-US"/>
        </w:rPr>
        <w:t>the Convention</w:t>
      </w:r>
      <w:r w:rsidR="000E7B4C" w:rsidRPr="00104227">
        <w:rPr>
          <w:lang w:val="en-US"/>
        </w:rPr>
        <w:t xml:space="preserve"> </w:t>
      </w:r>
      <w:r w:rsidR="0094395C" w:rsidRPr="00104227">
        <w:rPr>
          <w:lang w:val="en-US"/>
        </w:rPr>
        <w:t>of Belém</w:t>
      </w:r>
      <w:r w:rsidR="000E7B4C" w:rsidRPr="00104227">
        <w:rPr>
          <w:lang w:val="en-US"/>
        </w:rPr>
        <w:t xml:space="preserve"> do Pará</w:t>
      </w:r>
      <w:r w:rsidR="0043412D" w:rsidRPr="00104227">
        <w:rPr>
          <w:lang w:val="en-US"/>
        </w:rPr>
        <w:t xml:space="preserve"> </w:t>
      </w:r>
      <w:r w:rsidR="00DA10D6" w:rsidRPr="00104227">
        <w:rPr>
          <w:lang w:val="en-US"/>
        </w:rPr>
        <w:t>result in</w:t>
      </w:r>
      <w:r w:rsidR="0043412D" w:rsidRPr="00104227">
        <w:rPr>
          <w:lang w:val="en-US"/>
        </w:rPr>
        <w:t xml:space="preserve"> the correlative obligations </w:t>
      </w:r>
      <w:r w:rsidR="002826A6" w:rsidRPr="00104227">
        <w:rPr>
          <w:lang w:val="en-US"/>
        </w:rPr>
        <w:t xml:space="preserve">of the </w:t>
      </w:r>
      <w:r w:rsidR="00AC3BFC" w:rsidRPr="00104227">
        <w:rPr>
          <w:lang w:val="en-US"/>
        </w:rPr>
        <w:t>State</w:t>
      </w:r>
      <w:r w:rsidR="000E7B4C" w:rsidRPr="00104227">
        <w:rPr>
          <w:lang w:val="en-US"/>
        </w:rPr>
        <w:t xml:space="preserve"> </w:t>
      </w:r>
      <w:r w:rsidR="0043412D" w:rsidRPr="00104227">
        <w:rPr>
          <w:lang w:val="en-US"/>
        </w:rPr>
        <w:t>to respect and to ensure those rights. The State</w:t>
      </w:r>
      <w:r w:rsidR="00DA10D6" w:rsidRPr="00104227">
        <w:rPr>
          <w:lang w:val="en-US"/>
        </w:rPr>
        <w:t xml:space="preserve"> obligations</w:t>
      </w:r>
      <w:r w:rsidR="0043412D" w:rsidRPr="00104227">
        <w:rPr>
          <w:lang w:val="en-US"/>
        </w:rPr>
        <w:t xml:space="preserve"> stipulated in </w:t>
      </w:r>
      <w:r w:rsidRPr="00104227">
        <w:rPr>
          <w:lang w:val="en-US"/>
        </w:rPr>
        <w:t>Article</w:t>
      </w:r>
      <w:r w:rsidR="000E7B4C" w:rsidRPr="00104227">
        <w:rPr>
          <w:lang w:val="en-US"/>
        </w:rPr>
        <w:t xml:space="preserve"> 7</w:t>
      </w:r>
      <w:r w:rsidRPr="00104227">
        <w:rPr>
          <w:lang w:val="en-US"/>
        </w:rPr>
        <w:t xml:space="preserve"> of the Convention</w:t>
      </w:r>
      <w:r w:rsidR="000E7B4C" w:rsidRPr="00104227">
        <w:rPr>
          <w:lang w:val="en-US"/>
        </w:rPr>
        <w:t xml:space="preserve"> </w:t>
      </w:r>
      <w:r w:rsidR="0094395C" w:rsidRPr="00104227">
        <w:rPr>
          <w:lang w:val="en-US"/>
        </w:rPr>
        <w:t>of Belém</w:t>
      </w:r>
      <w:r w:rsidR="000E7B4C" w:rsidRPr="00104227">
        <w:rPr>
          <w:lang w:val="en-US"/>
        </w:rPr>
        <w:t xml:space="preserve"> do Pará </w:t>
      </w:r>
      <w:r w:rsidR="0043412D" w:rsidRPr="00104227">
        <w:rPr>
          <w:lang w:val="en-US"/>
        </w:rPr>
        <w:t>should encompass a</w:t>
      </w:r>
      <w:r w:rsidR="00DA10D6" w:rsidRPr="00104227">
        <w:rPr>
          <w:lang w:val="en-US"/>
        </w:rPr>
        <w:t>l</w:t>
      </w:r>
      <w:r w:rsidR="0043412D" w:rsidRPr="00104227">
        <w:rPr>
          <w:lang w:val="en-US"/>
        </w:rPr>
        <w:t xml:space="preserve">l the State’s </w:t>
      </w:r>
      <w:r w:rsidR="00DA10D6" w:rsidRPr="00104227">
        <w:rPr>
          <w:lang w:val="en-US"/>
        </w:rPr>
        <w:t>spheres</w:t>
      </w:r>
      <w:r w:rsidR="0043412D" w:rsidRPr="00104227">
        <w:rPr>
          <w:lang w:val="en-US"/>
        </w:rPr>
        <w:t xml:space="preserve"> of action, transversally and vertically; that is, all the public powers (legislative, executive and judicial), at both the federal and the state or local level, as well as</w:t>
      </w:r>
      <w:r w:rsidR="00DA10D6" w:rsidRPr="00104227">
        <w:rPr>
          <w:lang w:val="en-US"/>
        </w:rPr>
        <w:t xml:space="preserve"> the</w:t>
      </w:r>
      <w:r w:rsidR="0043412D" w:rsidRPr="00104227">
        <w:rPr>
          <w:lang w:val="en-US"/>
        </w:rPr>
        <w:t xml:space="preserve"> private spheres. This calls for the e</w:t>
      </w:r>
      <w:r w:rsidR="00DA10D6" w:rsidRPr="00104227">
        <w:rPr>
          <w:lang w:val="en-US"/>
        </w:rPr>
        <w:t>nactment</w:t>
      </w:r>
      <w:r w:rsidR="0043412D" w:rsidRPr="00104227">
        <w:rPr>
          <w:lang w:val="en-US"/>
        </w:rPr>
        <w:t xml:space="preserve"> of laws and the design of public policies, institutions and mechanisms aimed at combatting all forms of </w:t>
      </w:r>
      <w:r w:rsidR="00F12946" w:rsidRPr="00104227">
        <w:rPr>
          <w:lang w:val="en-US"/>
        </w:rPr>
        <w:t>violence against women</w:t>
      </w:r>
      <w:r w:rsidR="000E7B4C" w:rsidRPr="00104227">
        <w:rPr>
          <w:lang w:val="en-US"/>
        </w:rPr>
        <w:t xml:space="preserve">, </w:t>
      </w:r>
      <w:r w:rsidR="0043412D" w:rsidRPr="00104227">
        <w:rPr>
          <w:lang w:val="en-US"/>
        </w:rPr>
        <w:t>but also requires the adoption and implementation of measures to eradicate prejudices, stereotypes and practices that constitute the fundamental causes of gender-based violence against women.</w:t>
      </w:r>
      <w:r w:rsidR="000E7B4C" w:rsidRPr="00104227">
        <w:rPr>
          <w:rStyle w:val="Refdenotaalpie"/>
          <w:lang w:val="en-US"/>
        </w:rPr>
        <w:footnoteReference w:id="316"/>
      </w:r>
      <w:r w:rsidR="00DF38B9" w:rsidRPr="00104227">
        <w:rPr>
          <w:lang w:val="en-US"/>
        </w:rPr>
        <w:t xml:space="preserve">  </w:t>
      </w:r>
    </w:p>
    <w:p w14:paraId="68240FB7" w14:textId="77777777" w:rsidR="00365AD8" w:rsidRPr="00104227" w:rsidRDefault="00365AD8" w:rsidP="00E4619F">
      <w:pPr>
        <w:pStyle w:val="PrrafodeSentencia"/>
        <w:numPr>
          <w:ilvl w:val="0"/>
          <w:numId w:val="0"/>
        </w:numPr>
        <w:rPr>
          <w:lang w:val="en-US"/>
        </w:rPr>
      </w:pPr>
    </w:p>
    <w:p w14:paraId="0B5D8D8D" w14:textId="58C58C71" w:rsidR="00281C4D" w:rsidRPr="00104227" w:rsidRDefault="00BF5241" w:rsidP="00E4619F">
      <w:pPr>
        <w:pStyle w:val="Numberedparagraphs"/>
        <w:tabs>
          <w:tab w:val="left" w:pos="567"/>
        </w:tabs>
        <w:rPr>
          <w:lang w:val="en-US"/>
        </w:rPr>
      </w:pPr>
      <w:r w:rsidRPr="00104227">
        <w:rPr>
          <w:lang w:val="en-US"/>
        </w:rPr>
        <w:t>The Court</w:t>
      </w:r>
      <w:r w:rsidR="000E7B4C" w:rsidRPr="00104227">
        <w:rPr>
          <w:lang w:val="en-US"/>
        </w:rPr>
        <w:t xml:space="preserve"> </w:t>
      </w:r>
      <w:r w:rsidR="0043412D" w:rsidRPr="00104227">
        <w:rPr>
          <w:lang w:val="en-US"/>
        </w:rPr>
        <w:t xml:space="preserve">has already indicated that justifying </w:t>
      </w:r>
      <w:r w:rsidR="0020071D" w:rsidRPr="00104227">
        <w:rPr>
          <w:lang w:val="en-US"/>
        </w:rPr>
        <w:t>violence against women</w:t>
      </w:r>
      <w:r w:rsidR="000E7B4C" w:rsidRPr="00104227">
        <w:rPr>
          <w:lang w:val="en-US"/>
        </w:rPr>
        <w:t xml:space="preserve"> </w:t>
      </w:r>
      <w:r w:rsidR="0043412D" w:rsidRPr="00104227">
        <w:rPr>
          <w:lang w:val="en-US"/>
        </w:rPr>
        <w:t xml:space="preserve">and, in some way, attributing them with responsibility owing to their </w:t>
      </w:r>
      <w:r w:rsidR="00DA10D6" w:rsidRPr="00104227">
        <w:rPr>
          <w:lang w:val="en-US"/>
        </w:rPr>
        <w:t>conduct</w:t>
      </w:r>
      <w:r w:rsidR="0043412D" w:rsidRPr="00104227">
        <w:rPr>
          <w:lang w:val="en-US"/>
        </w:rPr>
        <w:t xml:space="preserve"> is a</w:t>
      </w:r>
      <w:r w:rsidR="00DF38B9" w:rsidRPr="00104227">
        <w:rPr>
          <w:lang w:val="en-US"/>
        </w:rPr>
        <w:t>n inexcusable</w:t>
      </w:r>
      <w:r w:rsidR="0043412D" w:rsidRPr="00104227">
        <w:rPr>
          <w:lang w:val="en-US"/>
        </w:rPr>
        <w:t xml:space="preserve"> gender-based stereotype</w:t>
      </w:r>
      <w:r w:rsidR="00DF38B9" w:rsidRPr="00104227">
        <w:rPr>
          <w:lang w:val="en-US"/>
        </w:rPr>
        <w:t xml:space="preserve"> that reveals a discriminatory pattern against women, just for being women.</w:t>
      </w:r>
      <w:r w:rsidR="000E7B4C" w:rsidRPr="00104227">
        <w:rPr>
          <w:rStyle w:val="Refdenotaalpie"/>
          <w:lang w:val="en-US"/>
        </w:rPr>
        <w:footnoteReference w:id="317"/>
      </w:r>
      <w:r w:rsidR="00DF38B9" w:rsidRPr="00104227">
        <w:rPr>
          <w:lang w:val="en-US"/>
        </w:rPr>
        <w:t xml:space="preserve"> In the instant case, the extremely coarse and sexist</w:t>
      </w:r>
      <w:r w:rsidR="000E7B4C" w:rsidRPr="00104227">
        <w:rPr>
          <w:lang w:val="en-US"/>
        </w:rPr>
        <w:t xml:space="preserve"> </w:t>
      </w:r>
      <w:r w:rsidR="00DF38B9" w:rsidRPr="00104227">
        <w:rPr>
          <w:lang w:val="en-US"/>
        </w:rPr>
        <w:t>ways in which the police addressed the victims, with obscene words, alluding to their imagined sexual life and supposed failure to comply with their household</w:t>
      </w:r>
      <w:r w:rsidR="00DA10D6" w:rsidRPr="00104227">
        <w:rPr>
          <w:lang w:val="en-US"/>
        </w:rPr>
        <w:t xml:space="preserve"> roles</w:t>
      </w:r>
      <w:r w:rsidR="00DF38B9" w:rsidRPr="00104227">
        <w:rPr>
          <w:lang w:val="en-US"/>
        </w:rPr>
        <w:t xml:space="preserve">, as well as the supposed need for domestication, reveals profoundly </w:t>
      </w:r>
      <w:r w:rsidR="00DF38B9" w:rsidRPr="00104227">
        <w:rPr>
          <w:i/>
          <w:iCs/>
          <w:lang w:val="en-US"/>
        </w:rPr>
        <w:t>mach</w:t>
      </w:r>
      <w:r w:rsidR="00DA10D6" w:rsidRPr="00104227">
        <w:rPr>
          <w:i/>
          <w:iCs/>
          <w:lang w:val="en-US"/>
        </w:rPr>
        <w:t>o</w:t>
      </w:r>
      <w:r w:rsidR="00DF38B9" w:rsidRPr="00104227">
        <w:rPr>
          <w:i/>
          <w:iCs/>
          <w:lang w:val="en-US"/>
        </w:rPr>
        <w:t xml:space="preserve"> </w:t>
      </w:r>
      <w:r w:rsidR="00F27D61" w:rsidRPr="00104227">
        <w:rPr>
          <w:lang w:val="en-US"/>
        </w:rPr>
        <w:t>stereotypes</w:t>
      </w:r>
      <w:r w:rsidR="00DF38B9" w:rsidRPr="00104227">
        <w:rPr>
          <w:lang w:val="en-US"/>
        </w:rPr>
        <w:t xml:space="preserve"> </w:t>
      </w:r>
      <w:r w:rsidR="00DA10D6" w:rsidRPr="00104227">
        <w:rPr>
          <w:lang w:val="en-US"/>
        </w:rPr>
        <w:t>that</w:t>
      </w:r>
      <w:r w:rsidR="00281C4D" w:rsidRPr="00104227">
        <w:rPr>
          <w:lang w:val="en-US"/>
        </w:rPr>
        <w:t xml:space="preserve"> sought to reduce the women to a sexual or domestic function</w:t>
      </w:r>
      <w:r w:rsidR="00DA10D6" w:rsidRPr="00104227">
        <w:rPr>
          <w:lang w:val="en-US"/>
        </w:rPr>
        <w:t>,</w:t>
      </w:r>
      <w:r w:rsidR="00281C4D" w:rsidRPr="00104227">
        <w:rPr>
          <w:lang w:val="en-US"/>
        </w:rPr>
        <w:t xml:space="preserve"> where, steppin</w:t>
      </w:r>
      <w:r w:rsidR="00DA10D6" w:rsidRPr="00104227">
        <w:rPr>
          <w:lang w:val="en-US"/>
        </w:rPr>
        <w:t>g</w:t>
      </w:r>
      <w:r w:rsidR="00281C4D" w:rsidRPr="00104227">
        <w:rPr>
          <w:lang w:val="en-US"/>
        </w:rPr>
        <w:t xml:space="preserve"> out of th</w:t>
      </w:r>
      <w:r w:rsidR="00DA10D6" w:rsidRPr="00104227">
        <w:rPr>
          <w:lang w:val="en-US"/>
        </w:rPr>
        <w:t>ose</w:t>
      </w:r>
      <w:r w:rsidR="00281C4D" w:rsidRPr="00104227">
        <w:rPr>
          <w:lang w:val="en-US"/>
        </w:rPr>
        <w:t xml:space="preserve"> roles to demonstrate, protest, study or document what was happening in Texcoco and San Salvador de Atenco – in other words, th</w:t>
      </w:r>
      <w:r w:rsidR="00DA10D6" w:rsidRPr="00104227">
        <w:rPr>
          <w:lang w:val="en-US"/>
        </w:rPr>
        <w:t>eir</w:t>
      </w:r>
      <w:r w:rsidR="00281C4D" w:rsidRPr="00104227">
        <w:rPr>
          <w:lang w:val="en-US"/>
        </w:rPr>
        <w:t xml:space="preserve"> mere presence and action in the public sphere – was sufficient </w:t>
      </w:r>
      <w:r w:rsidR="00DA10D6" w:rsidRPr="00104227">
        <w:rPr>
          <w:lang w:val="en-US"/>
        </w:rPr>
        <w:t>t</w:t>
      </w:r>
      <w:r w:rsidR="00281C4D" w:rsidRPr="00104227">
        <w:rPr>
          <w:lang w:val="en-US"/>
        </w:rPr>
        <w:t>o punish them with di</w:t>
      </w:r>
      <w:r w:rsidR="00DA10D6" w:rsidRPr="00104227">
        <w:rPr>
          <w:lang w:val="en-US"/>
        </w:rPr>
        <w:t>verse</w:t>
      </w:r>
      <w:r w:rsidR="00281C4D" w:rsidRPr="00104227">
        <w:rPr>
          <w:lang w:val="en-US"/>
        </w:rPr>
        <w:t xml:space="preserve"> forms of abuse.</w:t>
      </w:r>
    </w:p>
    <w:p w14:paraId="0B6D6667" w14:textId="77777777" w:rsidR="00D959E8" w:rsidRPr="00104227" w:rsidRDefault="00D959E8" w:rsidP="00E4619F">
      <w:pPr>
        <w:tabs>
          <w:tab w:val="left" w:pos="567"/>
        </w:tabs>
        <w:rPr>
          <w:lang w:eastAsia="es-MX"/>
        </w:rPr>
      </w:pPr>
      <w:bookmarkStart w:id="296" w:name="_Ref528624685"/>
    </w:p>
    <w:p w14:paraId="0B7058B0" w14:textId="28430C06" w:rsidR="00D959E8" w:rsidRPr="00104227" w:rsidRDefault="00CF1815" w:rsidP="00E4619F">
      <w:pPr>
        <w:pStyle w:val="Numberedparagraphs"/>
        <w:tabs>
          <w:tab w:val="left" w:pos="567"/>
        </w:tabs>
        <w:rPr>
          <w:sz w:val="18"/>
          <w:szCs w:val="18"/>
          <w:lang w:val="en-US"/>
        </w:rPr>
      </w:pPr>
      <w:r w:rsidRPr="00104227">
        <w:rPr>
          <w:lang w:val="en-US"/>
        </w:rPr>
        <w:t>In this case</w:t>
      </w:r>
      <w:r w:rsidR="000E7B4C" w:rsidRPr="00104227">
        <w:rPr>
          <w:lang w:val="en-US"/>
        </w:rPr>
        <w:t xml:space="preserve"> </w:t>
      </w:r>
      <w:r w:rsidRPr="00104227">
        <w:rPr>
          <w:lang w:val="en-US"/>
        </w:rPr>
        <w:t xml:space="preserve">it has already been determined that the police actions were characterized by a lack of professionalism, discipline and adequate training </w:t>
      </w:r>
      <w:bookmarkEnd w:id="296"/>
      <w:r w:rsidR="000E7B4C" w:rsidRPr="00104227">
        <w:rPr>
          <w:lang w:val="en-US"/>
        </w:rPr>
        <w:t>(</w:t>
      </w:r>
      <w:r w:rsidR="000E7B4C" w:rsidRPr="00104227">
        <w:rPr>
          <w:i/>
          <w:lang w:val="en-US"/>
        </w:rPr>
        <w:t xml:space="preserve">supra </w:t>
      </w:r>
      <w:r w:rsidR="00BF5241" w:rsidRPr="00104227">
        <w:rPr>
          <w:lang w:val="en-US"/>
        </w:rPr>
        <w:t>paras.</w:t>
      </w:r>
      <w:r w:rsidR="00570D1B" w:rsidRPr="00104227">
        <w:rPr>
          <w:lang w:val="en-US"/>
        </w:rPr>
        <w:t xml:space="preserve"> </w:t>
      </w:r>
      <w:r w:rsidR="003E73BA" w:rsidRPr="00104227">
        <w:rPr>
          <w:lang w:val="en-US"/>
        </w:rPr>
        <w:fldChar w:fldCharType="begin"/>
      </w:r>
      <w:r w:rsidR="003E73BA" w:rsidRPr="00104227">
        <w:rPr>
          <w:lang w:val="en-US"/>
        </w:rPr>
        <w:instrText xml:space="preserve"> REF _Ref533149520 \r \h </w:instrText>
      </w:r>
      <w:r w:rsidR="00284EAE" w:rsidRPr="00104227">
        <w:rPr>
          <w:lang w:val="en-US"/>
        </w:rPr>
        <w:instrText xml:space="preserve"> \* MERGEFORMAT </w:instrText>
      </w:r>
      <w:r w:rsidR="003E73BA" w:rsidRPr="00104227">
        <w:rPr>
          <w:lang w:val="en-US"/>
        </w:rPr>
      </w:r>
      <w:r w:rsidR="003E73BA" w:rsidRPr="00104227">
        <w:rPr>
          <w:lang w:val="en-US"/>
        </w:rPr>
        <w:fldChar w:fldCharType="separate"/>
      </w:r>
      <w:r w:rsidR="004276BD">
        <w:rPr>
          <w:lang w:val="en-US"/>
        </w:rPr>
        <w:t>165</w:t>
      </w:r>
      <w:r w:rsidR="003E73BA" w:rsidRPr="00104227">
        <w:rPr>
          <w:lang w:val="en-US"/>
        </w:rPr>
        <w:fldChar w:fldCharType="end"/>
      </w:r>
      <w:r w:rsidR="00BF5241" w:rsidRPr="00104227">
        <w:rPr>
          <w:lang w:val="en-US"/>
        </w:rPr>
        <w:t xml:space="preserve"> and</w:t>
      </w:r>
      <w:r w:rsidR="000E345C" w:rsidRPr="00104227">
        <w:rPr>
          <w:lang w:val="en-US"/>
        </w:rPr>
        <w:t xml:space="preserve"> ff.</w:t>
      </w:r>
      <w:r w:rsidR="000E7B4C" w:rsidRPr="00104227">
        <w:rPr>
          <w:lang w:val="en-US"/>
        </w:rPr>
        <w:t>),</w:t>
      </w:r>
      <w:r w:rsidRPr="00104227">
        <w:rPr>
          <w:lang w:val="en-US"/>
        </w:rPr>
        <w:t xml:space="preserve"> so that the use of extremely sexist and stereotypical language in their treatment of the victims can be attributed</w:t>
      </w:r>
      <w:r w:rsidR="00BE65FB" w:rsidRPr="00104227">
        <w:rPr>
          <w:lang w:val="en-US"/>
        </w:rPr>
        <w:t>,</w:t>
      </w:r>
      <w:r w:rsidRPr="00104227">
        <w:rPr>
          <w:lang w:val="en-US"/>
        </w:rPr>
        <w:t xml:space="preserve"> in part</w:t>
      </w:r>
      <w:r w:rsidR="00BE65FB" w:rsidRPr="00104227">
        <w:rPr>
          <w:lang w:val="en-US"/>
        </w:rPr>
        <w:t>,</w:t>
      </w:r>
      <w:r w:rsidRPr="00104227">
        <w:rPr>
          <w:lang w:val="en-US"/>
        </w:rPr>
        <w:t xml:space="preserve"> to the failure of the State. However, this Court </w:t>
      </w:r>
      <w:r w:rsidR="00BE65FB" w:rsidRPr="00104227">
        <w:rPr>
          <w:lang w:val="en-US"/>
        </w:rPr>
        <w:t xml:space="preserve">is concerned </w:t>
      </w:r>
      <w:r w:rsidRPr="00104227">
        <w:rPr>
          <w:lang w:val="en-US"/>
        </w:rPr>
        <w:t>that the S</w:t>
      </w:r>
      <w:r w:rsidR="00BE65FB" w:rsidRPr="00104227">
        <w:rPr>
          <w:lang w:val="en-US"/>
        </w:rPr>
        <w:t>t</w:t>
      </w:r>
      <w:r w:rsidRPr="00104227">
        <w:rPr>
          <w:lang w:val="en-US"/>
        </w:rPr>
        <w:t xml:space="preserve">ate’s </w:t>
      </w:r>
      <w:r w:rsidR="00F27D61" w:rsidRPr="00104227">
        <w:rPr>
          <w:lang w:val="en-US"/>
        </w:rPr>
        <w:t>response</w:t>
      </w:r>
      <w:r w:rsidRPr="00104227">
        <w:rPr>
          <w:lang w:val="en-US"/>
        </w:rPr>
        <w:t xml:space="preserve"> to the events that occurred in </w:t>
      </w:r>
      <w:r w:rsidR="000E7B4C" w:rsidRPr="00104227">
        <w:rPr>
          <w:lang w:val="en-US"/>
        </w:rPr>
        <w:t>Texcoco</w:t>
      </w:r>
      <w:r w:rsidR="00BF5241" w:rsidRPr="00104227">
        <w:rPr>
          <w:lang w:val="en-US"/>
        </w:rPr>
        <w:t xml:space="preserve"> and </w:t>
      </w:r>
      <w:r w:rsidR="000E7B4C" w:rsidRPr="00104227">
        <w:rPr>
          <w:lang w:val="en-US"/>
        </w:rPr>
        <w:t xml:space="preserve">San Salvador de Atenco </w:t>
      </w:r>
      <w:r w:rsidRPr="00104227">
        <w:rPr>
          <w:lang w:val="en-US"/>
        </w:rPr>
        <w:t>on</w:t>
      </w:r>
      <w:r w:rsidR="000E7B4C" w:rsidRPr="00104227">
        <w:rPr>
          <w:lang w:val="en-US"/>
        </w:rPr>
        <w:t xml:space="preserve"> </w:t>
      </w:r>
      <w:r w:rsidR="00DF5F3C" w:rsidRPr="00104227">
        <w:rPr>
          <w:lang w:val="en-US"/>
        </w:rPr>
        <w:t>May 3 and 4,</w:t>
      </w:r>
      <w:r w:rsidR="000E7B4C" w:rsidRPr="00104227">
        <w:rPr>
          <w:lang w:val="en-US"/>
        </w:rPr>
        <w:t xml:space="preserve"> 2006</w:t>
      </w:r>
      <w:r w:rsidRPr="00104227">
        <w:rPr>
          <w:lang w:val="en-US"/>
        </w:rPr>
        <w:t>, have focused on the physical violence suffered by the victims</w:t>
      </w:r>
      <w:r w:rsidR="000E7B4C" w:rsidRPr="00104227">
        <w:rPr>
          <w:lang w:val="en-US"/>
        </w:rPr>
        <w:t xml:space="preserve"> (</w:t>
      </w:r>
      <w:r w:rsidR="000E7B4C" w:rsidRPr="00104227">
        <w:rPr>
          <w:i/>
          <w:lang w:val="en-US"/>
        </w:rPr>
        <w:t>supra</w:t>
      </w:r>
      <w:r w:rsidR="000E7B4C" w:rsidRPr="00104227">
        <w:rPr>
          <w:lang w:val="en-US"/>
        </w:rPr>
        <w:t xml:space="preserve"> </w:t>
      </w:r>
      <w:r w:rsidR="00BF5241" w:rsidRPr="00104227">
        <w:rPr>
          <w:lang w:val="en-US"/>
        </w:rPr>
        <w:t>paras.</w:t>
      </w:r>
      <w:r w:rsidR="00D959E8" w:rsidRPr="00104227">
        <w:rPr>
          <w:lang w:val="en-US"/>
        </w:rPr>
        <w:t xml:space="preserve"> </w:t>
      </w:r>
      <w:r w:rsidR="00D959E8" w:rsidRPr="00104227">
        <w:rPr>
          <w:lang w:val="en-US"/>
        </w:rPr>
        <w:fldChar w:fldCharType="begin"/>
      </w:r>
      <w:r w:rsidR="00D959E8" w:rsidRPr="00104227">
        <w:rPr>
          <w:lang w:val="en-US"/>
        </w:rPr>
        <w:instrText xml:space="preserve"> REF _Ref528937104 \r \h  \* MERGEFORMAT </w:instrText>
      </w:r>
      <w:r w:rsidR="00D959E8" w:rsidRPr="00104227">
        <w:rPr>
          <w:lang w:val="en-US"/>
        </w:rPr>
      </w:r>
      <w:r w:rsidR="00D959E8" w:rsidRPr="00104227">
        <w:rPr>
          <w:lang w:val="en-US"/>
        </w:rPr>
        <w:fldChar w:fldCharType="separate"/>
      </w:r>
      <w:r w:rsidR="004276BD">
        <w:rPr>
          <w:lang w:val="en-US"/>
        </w:rPr>
        <w:t>126</w:t>
      </w:r>
      <w:r w:rsidR="00D959E8" w:rsidRPr="00104227">
        <w:rPr>
          <w:lang w:val="en-US"/>
        </w:rPr>
        <w:fldChar w:fldCharType="end"/>
      </w:r>
      <w:r w:rsidR="00D959E8" w:rsidRPr="00104227">
        <w:rPr>
          <w:lang w:val="en-US"/>
        </w:rPr>
        <w:t xml:space="preserve"> </w:t>
      </w:r>
      <w:r w:rsidRPr="00104227">
        <w:rPr>
          <w:lang w:val="en-US"/>
        </w:rPr>
        <w:t>to</w:t>
      </w:r>
      <w:r w:rsidR="00D959E8" w:rsidRPr="00104227">
        <w:rPr>
          <w:lang w:val="en-US"/>
        </w:rPr>
        <w:t xml:space="preserve"> </w:t>
      </w:r>
      <w:r w:rsidR="00DA36F9" w:rsidRPr="00104227">
        <w:rPr>
          <w:lang w:val="en-US"/>
        </w:rPr>
        <w:fldChar w:fldCharType="begin"/>
      </w:r>
      <w:r w:rsidR="00DA36F9" w:rsidRPr="00104227">
        <w:rPr>
          <w:lang w:val="en-US"/>
        </w:rPr>
        <w:instrText xml:space="preserve"> REF _Ref533149581 \r \h </w:instrText>
      </w:r>
      <w:r w:rsidR="00284EAE" w:rsidRPr="00104227">
        <w:rPr>
          <w:lang w:val="en-US"/>
        </w:rPr>
        <w:instrText xml:space="preserve"> \* MERGEFORMAT </w:instrText>
      </w:r>
      <w:r w:rsidR="00DA36F9" w:rsidRPr="00104227">
        <w:rPr>
          <w:lang w:val="en-US"/>
        </w:rPr>
      </w:r>
      <w:r w:rsidR="00DA36F9" w:rsidRPr="00104227">
        <w:rPr>
          <w:lang w:val="en-US"/>
        </w:rPr>
        <w:fldChar w:fldCharType="separate"/>
      </w:r>
      <w:r w:rsidR="004276BD">
        <w:rPr>
          <w:lang w:val="en-US"/>
        </w:rPr>
        <w:t>147</w:t>
      </w:r>
      <w:r w:rsidR="00DA36F9" w:rsidRPr="00104227">
        <w:rPr>
          <w:lang w:val="en-US"/>
        </w:rPr>
        <w:fldChar w:fldCharType="end"/>
      </w:r>
      <w:r w:rsidR="000E7B4C" w:rsidRPr="00104227">
        <w:rPr>
          <w:lang w:val="en-US"/>
        </w:rPr>
        <w:t xml:space="preserve">). </w:t>
      </w:r>
      <w:r w:rsidRPr="00104227">
        <w:rPr>
          <w:lang w:val="en-US"/>
        </w:rPr>
        <w:t>Similarly</w:t>
      </w:r>
      <w:r w:rsidR="000E7B4C" w:rsidRPr="00104227">
        <w:rPr>
          <w:lang w:val="en-US"/>
        </w:rPr>
        <w:t xml:space="preserve">, </w:t>
      </w:r>
      <w:r w:rsidR="008F27D0" w:rsidRPr="00104227">
        <w:rPr>
          <w:lang w:val="en-US"/>
        </w:rPr>
        <w:t>the SCJN</w:t>
      </w:r>
      <w:r w:rsidR="000E7B4C" w:rsidRPr="00104227">
        <w:rPr>
          <w:lang w:val="en-US"/>
        </w:rPr>
        <w:t xml:space="preserve"> </w:t>
      </w:r>
      <w:r w:rsidRPr="00104227">
        <w:rPr>
          <w:lang w:val="en-US"/>
        </w:rPr>
        <w:t>highlighted that “the administrative and prosecutorial investigators did not address clarification” of the complaints of verbal and psychological violence.</w:t>
      </w:r>
      <w:r w:rsidR="000E7B4C" w:rsidRPr="00104227">
        <w:rPr>
          <w:rStyle w:val="Refdenotaalpie"/>
          <w:sz w:val="18"/>
          <w:szCs w:val="18"/>
          <w:lang w:val="en-US"/>
        </w:rPr>
        <w:footnoteReference w:id="318"/>
      </w:r>
    </w:p>
    <w:p w14:paraId="06DDBDCF" w14:textId="77777777" w:rsidR="00D959E8" w:rsidRPr="00104227" w:rsidRDefault="00D959E8" w:rsidP="00E4619F">
      <w:pPr>
        <w:tabs>
          <w:tab w:val="left" w:pos="567"/>
        </w:tabs>
        <w:rPr>
          <w:lang w:eastAsia="es-MX"/>
        </w:rPr>
      </w:pPr>
    </w:p>
    <w:p w14:paraId="6D7777FE" w14:textId="43EA160E" w:rsidR="00D959E8" w:rsidRPr="00104227" w:rsidRDefault="00CF1815" w:rsidP="004C5040">
      <w:pPr>
        <w:pStyle w:val="Numberedparagraphs"/>
        <w:tabs>
          <w:tab w:val="left" w:pos="567"/>
        </w:tabs>
        <w:rPr>
          <w:bCs/>
          <w:lang w:val="en-US"/>
        </w:rPr>
      </w:pPr>
      <w:r w:rsidRPr="00104227">
        <w:rPr>
          <w:lang w:val="en-US"/>
        </w:rPr>
        <w:t xml:space="preserve">As previously indicated, in order to ensure that women have real and effective equality and, particularly, bearing in mind the circumstances of this case, in order to guarantee them the possibility of taking part in public life in the same conditions as </w:t>
      </w:r>
      <w:r w:rsidR="00BE65FB" w:rsidRPr="00104227">
        <w:rPr>
          <w:lang w:val="en-US"/>
        </w:rPr>
        <w:t>men</w:t>
      </w:r>
      <w:r w:rsidRPr="00104227">
        <w:rPr>
          <w:lang w:val="en-US"/>
        </w:rPr>
        <w:t xml:space="preserve">, States must </w:t>
      </w:r>
      <w:r w:rsidR="00E5597B" w:rsidRPr="00104227">
        <w:rPr>
          <w:lang w:val="en-US"/>
        </w:rPr>
        <w:t>take</w:t>
      </w:r>
      <w:r w:rsidRPr="00104227">
        <w:rPr>
          <w:lang w:val="en-US"/>
        </w:rPr>
        <w:t xml:space="preserve"> active and positive measures to combat stereotyp</w:t>
      </w:r>
      <w:r w:rsidR="00BE65FB" w:rsidRPr="00104227">
        <w:rPr>
          <w:lang w:val="en-US"/>
        </w:rPr>
        <w:t>ical</w:t>
      </w:r>
      <w:r w:rsidRPr="00104227">
        <w:rPr>
          <w:lang w:val="en-US"/>
        </w:rPr>
        <w:t xml:space="preserve"> and discriminatory attitudes such as those demonstrated by their police agents when repressing the protests of </w:t>
      </w:r>
      <w:r w:rsidRPr="00104227">
        <w:rPr>
          <w:shd w:val="clear" w:color="auto" w:fill="FFFFFF"/>
          <w:lang w:val="en-US"/>
        </w:rPr>
        <w:t>May 3 and 4, 2006. To the extent that those conducts were based on deeply-rooted socio</w:t>
      </w:r>
      <w:r w:rsidR="00BE65FB" w:rsidRPr="00104227">
        <w:rPr>
          <w:shd w:val="clear" w:color="auto" w:fill="FFFFFF"/>
          <w:lang w:val="en-US"/>
        </w:rPr>
        <w:t>-</w:t>
      </w:r>
      <w:r w:rsidRPr="00104227">
        <w:rPr>
          <w:shd w:val="clear" w:color="auto" w:fill="FFFFFF"/>
          <w:lang w:val="en-US"/>
        </w:rPr>
        <w:t xml:space="preserve">cultural patterns and prejudices, it is not sufficient that the State adopt a passive attitude or a mere sanction, </w:t>
      </w:r>
      <w:r w:rsidR="00BE65FB" w:rsidRPr="00104227">
        <w:rPr>
          <w:shd w:val="clear" w:color="auto" w:fill="FFFFFF"/>
          <w:lang w:val="en-US"/>
        </w:rPr>
        <w:t xml:space="preserve">and even this </w:t>
      </w:r>
      <w:r w:rsidRPr="00104227">
        <w:rPr>
          <w:shd w:val="clear" w:color="auto" w:fill="FFFFFF"/>
          <w:lang w:val="en-US"/>
        </w:rPr>
        <w:t xml:space="preserve">has not occurred in this case. The State must implement programs, policies </w:t>
      </w:r>
      <w:r w:rsidR="00BE65FB" w:rsidRPr="00104227">
        <w:rPr>
          <w:shd w:val="clear" w:color="auto" w:fill="FFFFFF"/>
          <w:lang w:val="en-US"/>
        </w:rPr>
        <w:t>and</w:t>
      </w:r>
      <w:r w:rsidRPr="00104227">
        <w:rPr>
          <w:shd w:val="clear" w:color="auto" w:fill="FFFFFF"/>
          <w:lang w:val="en-US"/>
        </w:rPr>
        <w:t xml:space="preserve"> mechanisms to </w:t>
      </w:r>
      <w:r w:rsidR="004C5040" w:rsidRPr="00104227">
        <w:rPr>
          <w:shd w:val="clear" w:color="auto" w:fill="FFFFFF"/>
          <w:lang w:val="en-US"/>
        </w:rPr>
        <w:t xml:space="preserve">actively combat </w:t>
      </w:r>
      <w:r w:rsidR="00BE65FB" w:rsidRPr="00104227">
        <w:rPr>
          <w:shd w:val="clear" w:color="auto" w:fill="FFFFFF"/>
          <w:lang w:val="en-US"/>
        </w:rPr>
        <w:t>such</w:t>
      </w:r>
      <w:r w:rsidR="004C5040" w:rsidRPr="00104227">
        <w:rPr>
          <w:shd w:val="clear" w:color="auto" w:fill="FFFFFF"/>
          <w:lang w:val="en-US"/>
        </w:rPr>
        <w:t xml:space="preserve"> prejudices and ensure that women have real equality. When the State fails to take concrete actions to eradicate them, it reinforces and institutionalizes them, which gives rise to, and reproduces, </w:t>
      </w:r>
      <w:r w:rsidR="00F12946" w:rsidRPr="00104227">
        <w:rPr>
          <w:bCs/>
          <w:lang w:val="en-US"/>
        </w:rPr>
        <w:t>violence against women</w:t>
      </w:r>
      <w:r w:rsidR="004C5040" w:rsidRPr="00104227">
        <w:rPr>
          <w:bCs/>
          <w:lang w:val="en-US"/>
        </w:rPr>
        <w:t>.</w:t>
      </w:r>
      <w:r w:rsidR="000E7B4C" w:rsidRPr="00104227">
        <w:rPr>
          <w:rStyle w:val="Refdenotaalpie"/>
          <w:bCs/>
          <w:lang w:val="en-US"/>
        </w:rPr>
        <w:footnoteReference w:id="319"/>
      </w:r>
      <w:bookmarkStart w:id="297" w:name="_Ref528927313"/>
    </w:p>
    <w:p w14:paraId="6031C4B0" w14:textId="77777777" w:rsidR="00D959E8" w:rsidRPr="00104227" w:rsidRDefault="00D959E8" w:rsidP="00E4619F">
      <w:pPr>
        <w:tabs>
          <w:tab w:val="left" w:pos="567"/>
        </w:tabs>
        <w:rPr>
          <w:lang w:eastAsia="es-MX"/>
        </w:rPr>
      </w:pPr>
    </w:p>
    <w:p w14:paraId="55DB35C8" w14:textId="1F30FB00" w:rsidR="00D959E8" w:rsidRPr="00104227" w:rsidRDefault="004C5040" w:rsidP="004C5040">
      <w:pPr>
        <w:pStyle w:val="Numberedparagraphs"/>
        <w:tabs>
          <w:tab w:val="left" w:pos="567"/>
        </w:tabs>
        <w:rPr>
          <w:lang w:val="en-US"/>
        </w:rPr>
      </w:pPr>
      <w:bookmarkStart w:id="298" w:name="_Ref533065121"/>
      <w:r w:rsidRPr="00104227">
        <w:rPr>
          <w:lang w:val="en-US"/>
        </w:rPr>
        <w:t xml:space="preserve">In addition to the police violence based on stereotypical attitudes, the Court takes note of the response of the most senior </w:t>
      </w:r>
      <w:r w:rsidR="00BE65FB" w:rsidRPr="00104227">
        <w:rPr>
          <w:lang w:val="en-US"/>
        </w:rPr>
        <w:t>g</w:t>
      </w:r>
      <w:r w:rsidRPr="00104227">
        <w:rPr>
          <w:lang w:val="en-US"/>
        </w:rPr>
        <w:t>overnment authorities of the</w:t>
      </w:r>
      <w:r w:rsidR="00BE65FB" w:rsidRPr="00104227">
        <w:rPr>
          <w:lang w:val="en-US"/>
        </w:rPr>
        <w:t xml:space="preserve"> </w:t>
      </w:r>
      <w:r w:rsidRPr="00104227">
        <w:rPr>
          <w:lang w:val="en-US"/>
        </w:rPr>
        <w:t>s</w:t>
      </w:r>
      <w:r w:rsidR="00BE65FB" w:rsidRPr="00104227">
        <w:rPr>
          <w:lang w:val="en-US"/>
        </w:rPr>
        <w:t>tate</w:t>
      </w:r>
      <w:r w:rsidRPr="00104227">
        <w:rPr>
          <w:lang w:val="en-US"/>
        </w:rPr>
        <w:t xml:space="preserve"> in which the events occurred, which was also based on a stereotypical attitude</w:t>
      </w:r>
      <w:r w:rsidR="000E7B4C" w:rsidRPr="00104227">
        <w:rPr>
          <w:lang w:val="en-US"/>
        </w:rPr>
        <w:t xml:space="preserve"> (</w:t>
      </w:r>
      <w:r w:rsidR="000E7B4C" w:rsidRPr="00104227">
        <w:rPr>
          <w:i/>
          <w:lang w:val="en-US"/>
        </w:rPr>
        <w:t>supra</w:t>
      </w:r>
      <w:r w:rsidR="000E7B4C" w:rsidRPr="00104227">
        <w:rPr>
          <w:lang w:val="en-US"/>
        </w:rPr>
        <w:t xml:space="preserve"> </w:t>
      </w:r>
      <w:r w:rsidR="00BF5241" w:rsidRPr="00104227">
        <w:rPr>
          <w:lang w:val="en-US"/>
        </w:rPr>
        <w:t>paras.</w:t>
      </w:r>
      <w:r w:rsidR="000E7B4C" w:rsidRPr="00104227">
        <w:rPr>
          <w:lang w:val="en-US"/>
        </w:rPr>
        <w:t xml:space="preserve"> </w:t>
      </w:r>
      <w:r w:rsidR="003D04D7" w:rsidRPr="00104227">
        <w:rPr>
          <w:lang w:val="en-US"/>
        </w:rPr>
        <w:fldChar w:fldCharType="begin"/>
      </w:r>
      <w:r w:rsidR="003D04D7" w:rsidRPr="00104227">
        <w:rPr>
          <w:lang w:val="en-US"/>
        </w:rPr>
        <w:instrText xml:space="preserve"> REF _Ref528949566 \r \h  \* MERGEFORMAT </w:instrText>
      </w:r>
      <w:r w:rsidR="003D04D7" w:rsidRPr="00104227">
        <w:rPr>
          <w:lang w:val="en-US"/>
        </w:rPr>
      </w:r>
      <w:r w:rsidR="003D04D7" w:rsidRPr="00104227">
        <w:rPr>
          <w:lang w:val="en-US"/>
        </w:rPr>
        <w:fldChar w:fldCharType="separate"/>
      </w:r>
      <w:r w:rsidR="004276BD">
        <w:rPr>
          <w:lang w:val="en-US"/>
        </w:rPr>
        <w:t>73</w:t>
      </w:r>
      <w:r w:rsidR="003D04D7" w:rsidRPr="00104227">
        <w:rPr>
          <w:lang w:val="en-US"/>
        </w:rPr>
        <w:fldChar w:fldCharType="end"/>
      </w:r>
      <w:r w:rsidR="00BF5241" w:rsidRPr="00104227">
        <w:rPr>
          <w:lang w:val="en-US"/>
        </w:rPr>
        <w:t xml:space="preserve"> and </w:t>
      </w:r>
      <w:r w:rsidR="003D04D7" w:rsidRPr="00104227">
        <w:rPr>
          <w:lang w:val="en-US"/>
        </w:rPr>
        <w:fldChar w:fldCharType="begin"/>
      </w:r>
      <w:r w:rsidR="003D04D7" w:rsidRPr="00104227">
        <w:rPr>
          <w:lang w:val="en-US"/>
        </w:rPr>
        <w:instrText xml:space="preserve"> REF _Ref528949573 \r \h  \* MERGEFORMAT </w:instrText>
      </w:r>
      <w:r w:rsidR="003D04D7" w:rsidRPr="00104227">
        <w:rPr>
          <w:lang w:val="en-US"/>
        </w:rPr>
      </w:r>
      <w:r w:rsidR="003D04D7" w:rsidRPr="00104227">
        <w:rPr>
          <w:lang w:val="en-US"/>
        </w:rPr>
        <w:fldChar w:fldCharType="separate"/>
      </w:r>
      <w:r w:rsidR="004276BD">
        <w:rPr>
          <w:lang w:val="en-US"/>
        </w:rPr>
        <w:t>74</w:t>
      </w:r>
      <w:r w:rsidR="003D04D7" w:rsidRPr="00104227">
        <w:rPr>
          <w:lang w:val="en-US"/>
        </w:rPr>
        <w:fldChar w:fldCharType="end"/>
      </w:r>
      <w:r w:rsidR="000E7B4C" w:rsidRPr="00104227">
        <w:rPr>
          <w:lang w:val="en-US"/>
        </w:rPr>
        <w:t xml:space="preserve">). </w:t>
      </w:r>
      <w:r w:rsidRPr="00104227">
        <w:rPr>
          <w:lang w:val="en-US"/>
        </w:rPr>
        <w:t>The Court observes that, following the violence e</w:t>
      </w:r>
      <w:r w:rsidR="00BE65FB" w:rsidRPr="00104227">
        <w:rPr>
          <w:lang w:val="en-US"/>
        </w:rPr>
        <w:t>ndured</w:t>
      </w:r>
      <w:r w:rsidRPr="00104227">
        <w:rPr>
          <w:lang w:val="en-US"/>
        </w:rPr>
        <w:t xml:space="preserve"> at the hands of members of the police forces, the victims were subjected to doubts about their credibility and public stigmatization as members of the guerrilla, by </w:t>
      </w:r>
      <w:r w:rsidR="008F27D0" w:rsidRPr="00104227">
        <w:rPr>
          <w:lang w:val="en-US"/>
        </w:rPr>
        <w:t>the Governor</w:t>
      </w:r>
      <w:r w:rsidR="000E7B4C" w:rsidRPr="00104227">
        <w:rPr>
          <w:lang w:val="en-US"/>
        </w:rPr>
        <w:t xml:space="preserve">, </w:t>
      </w:r>
      <w:r w:rsidRPr="00104227">
        <w:rPr>
          <w:lang w:val="en-US"/>
        </w:rPr>
        <w:t>the</w:t>
      </w:r>
      <w:r w:rsidR="000E7B4C" w:rsidRPr="00104227">
        <w:rPr>
          <w:lang w:val="en-US"/>
        </w:rPr>
        <w:t xml:space="preserve"> </w:t>
      </w:r>
      <w:r w:rsidR="00BF5241" w:rsidRPr="00104227">
        <w:rPr>
          <w:lang w:val="en-US"/>
        </w:rPr>
        <w:t>Secretary</w:t>
      </w:r>
      <w:r w:rsidR="000E7B4C" w:rsidRPr="00104227">
        <w:rPr>
          <w:lang w:val="en-US"/>
        </w:rPr>
        <w:t xml:space="preserve"> General </w:t>
      </w:r>
      <w:r w:rsidRPr="00104227">
        <w:rPr>
          <w:lang w:val="en-US"/>
        </w:rPr>
        <w:t xml:space="preserve">of the </w:t>
      </w:r>
      <w:r w:rsidR="00BE65FB" w:rsidRPr="00104227">
        <w:rPr>
          <w:lang w:val="en-US"/>
        </w:rPr>
        <w:t>g</w:t>
      </w:r>
      <w:r w:rsidRPr="00104227">
        <w:rPr>
          <w:lang w:val="en-US"/>
        </w:rPr>
        <w:t>overnment</w:t>
      </w:r>
      <w:r w:rsidR="000E7B4C" w:rsidRPr="00104227">
        <w:rPr>
          <w:lang w:val="en-US"/>
        </w:rPr>
        <w:t xml:space="preserve"> </w:t>
      </w:r>
      <w:r w:rsidR="002826A6" w:rsidRPr="00104227">
        <w:rPr>
          <w:lang w:val="en-US"/>
        </w:rPr>
        <w:t xml:space="preserve">of the </w:t>
      </w:r>
      <w:r w:rsidR="00CA330F" w:rsidRPr="00104227">
        <w:rPr>
          <w:lang w:val="en-US"/>
        </w:rPr>
        <w:t>state of Mexico</w:t>
      </w:r>
      <w:r w:rsidR="00BF5241" w:rsidRPr="00104227">
        <w:rPr>
          <w:lang w:val="en-US"/>
        </w:rPr>
        <w:t xml:space="preserve"> and </w:t>
      </w:r>
      <w:r w:rsidRPr="00104227">
        <w:rPr>
          <w:lang w:val="en-US"/>
        </w:rPr>
        <w:t xml:space="preserve">the Commissioner </w:t>
      </w:r>
      <w:r w:rsidR="00DF0305" w:rsidRPr="00104227">
        <w:rPr>
          <w:lang w:val="en-US"/>
        </w:rPr>
        <w:t>of the state Security Agency</w:t>
      </w:r>
      <w:r w:rsidR="000E7B4C" w:rsidRPr="00104227">
        <w:rPr>
          <w:lang w:val="en-US"/>
        </w:rPr>
        <w:t xml:space="preserve">. </w:t>
      </w:r>
      <w:r w:rsidRPr="00104227">
        <w:rPr>
          <w:lang w:val="en-US"/>
        </w:rPr>
        <w:t xml:space="preserve">In this regard, </w:t>
      </w:r>
      <w:r w:rsidR="00BF5241" w:rsidRPr="00104227">
        <w:rPr>
          <w:lang w:val="en-US"/>
        </w:rPr>
        <w:t>th</w:t>
      </w:r>
      <w:r w:rsidRPr="00104227">
        <w:rPr>
          <w:lang w:val="en-US"/>
        </w:rPr>
        <w:t>e</w:t>
      </w:r>
      <w:r w:rsidR="00BF5241" w:rsidRPr="00104227">
        <w:rPr>
          <w:lang w:val="en-US"/>
        </w:rPr>
        <w:t xml:space="preserve"> Court</w:t>
      </w:r>
      <w:r w:rsidR="000E7B4C" w:rsidRPr="00104227">
        <w:rPr>
          <w:lang w:val="en-US"/>
        </w:rPr>
        <w:t xml:space="preserve"> </w:t>
      </w:r>
      <w:r w:rsidRPr="00104227">
        <w:rPr>
          <w:lang w:val="en-US"/>
        </w:rPr>
        <w:t>notes that is absolutely unacceptable that the first public reaction of the pertinent highest authorities</w:t>
      </w:r>
      <w:r w:rsidR="00066EA0" w:rsidRPr="00104227">
        <w:rPr>
          <w:lang w:val="en-US"/>
        </w:rPr>
        <w:t xml:space="preserve"> was to call into question the credibility of the women who reported sexual violence, stigmatizing them and accusing them of being members of the guerrilla, and denying what had happened when not even an investigation had been opened. Part of the compliance by the State with its obligations to prevent and to punish</w:t>
      </w:r>
      <w:r w:rsidR="000E7B4C" w:rsidRPr="00104227">
        <w:rPr>
          <w:lang w:val="en-US"/>
        </w:rPr>
        <w:t xml:space="preserve"> </w:t>
      </w:r>
      <w:r w:rsidR="0020071D" w:rsidRPr="00104227">
        <w:rPr>
          <w:lang w:val="en-US"/>
        </w:rPr>
        <w:t>violence against women</w:t>
      </w:r>
      <w:r w:rsidR="000E7B4C" w:rsidRPr="00104227">
        <w:rPr>
          <w:lang w:val="en-US"/>
        </w:rPr>
        <w:t xml:space="preserve">, </w:t>
      </w:r>
      <w:r w:rsidR="00066EA0" w:rsidRPr="00104227">
        <w:rPr>
          <w:lang w:val="en-US"/>
        </w:rPr>
        <w:t xml:space="preserve">involves </w:t>
      </w:r>
      <w:r w:rsidR="00BE65FB" w:rsidRPr="00104227">
        <w:rPr>
          <w:lang w:val="en-US"/>
        </w:rPr>
        <w:t>g</w:t>
      </w:r>
      <w:r w:rsidR="00066EA0" w:rsidRPr="00104227">
        <w:rPr>
          <w:lang w:val="en-US"/>
        </w:rPr>
        <w:t xml:space="preserve">iving due attention and importance to any complaint of violence. </w:t>
      </w:r>
      <w:r w:rsidR="00BF5241" w:rsidRPr="00104227">
        <w:rPr>
          <w:lang w:val="en-US"/>
        </w:rPr>
        <w:t>The Court</w:t>
      </w:r>
      <w:r w:rsidR="000E7B4C" w:rsidRPr="00104227">
        <w:rPr>
          <w:bCs/>
          <w:lang w:val="en-US"/>
        </w:rPr>
        <w:t xml:space="preserve"> reco</w:t>
      </w:r>
      <w:r w:rsidR="00066EA0" w:rsidRPr="00104227">
        <w:rPr>
          <w:bCs/>
          <w:lang w:val="en-US"/>
        </w:rPr>
        <w:t>gnizes and rejects the gen</w:t>
      </w:r>
      <w:r w:rsidR="00BE65FB" w:rsidRPr="00104227">
        <w:rPr>
          <w:bCs/>
          <w:lang w:val="en-US"/>
        </w:rPr>
        <w:t>d</w:t>
      </w:r>
      <w:r w:rsidR="00066EA0" w:rsidRPr="00104227">
        <w:rPr>
          <w:bCs/>
          <w:lang w:val="en-US"/>
        </w:rPr>
        <w:t xml:space="preserve">er-based stereotypes present in the response by the authorities, owing to which they denied the existence of rape </w:t>
      </w:r>
      <w:r w:rsidR="00BE65FB" w:rsidRPr="00104227">
        <w:rPr>
          <w:bCs/>
          <w:lang w:val="en-US"/>
        </w:rPr>
        <w:t>due</w:t>
      </w:r>
      <w:r w:rsidR="00066EA0" w:rsidRPr="00104227">
        <w:rPr>
          <w:bCs/>
          <w:lang w:val="en-US"/>
        </w:rPr>
        <w:t xml:space="preserve"> to the absence of physical evidence</w:t>
      </w:r>
      <w:r w:rsidR="00BE65FB" w:rsidRPr="00104227">
        <w:rPr>
          <w:bCs/>
          <w:lang w:val="en-US"/>
        </w:rPr>
        <w:t>;</w:t>
      </w:r>
      <w:r w:rsidR="00066EA0" w:rsidRPr="00104227">
        <w:rPr>
          <w:bCs/>
          <w:lang w:val="en-US"/>
        </w:rPr>
        <w:t xml:space="preserve"> blamed the victims for the failure to file complaints and</w:t>
      </w:r>
      <w:r w:rsidR="00BE65FB" w:rsidRPr="00104227">
        <w:rPr>
          <w:bCs/>
          <w:lang w:val="en-US"/>
        </w:rPr>
        <w:t xml:space="preserve"> for</w:t>
      </w:r>
      <w:r w:rsidR="00066EA0" w:rsidRPr="00104227">
        <w:rPr>
          <w:bCs/>
          <w:lang w:val="en-US"/>
        </w:rPr>
        <w:t xml:space="preserve"> the absence of medical examinations, and undermined their credibility based on an inexistent supposed membership in an insurgent group.</w:t>
      </w:r>
      <w:r w:rsidR="000E7B4C" w:rsidRPr="00104227">
        <w:rPr>
          <w:rStyle w:val="Refdenotaalpie"/>
          <w:lang w:val="en-US"/>
        </w:rPr>
        <w:footnoteReference w:id="320"/>
      </w:r>
      <w:bookmarkEnd w:id="297"/>
      <w:bookmarkEnd w:id="298"/>
      <w:r w:rsidR="000E7B4C" w:rsidRPr="00104227">
        <w:rPr>
          <w:lang w:val="en-US"/>
        </w:rPr>
        <w:t xml:space="preserve"> </w:t>
      </w:r>
    </w:p>
    <w:p w14:paraId="34ED1DF4" w14:textId="77777777" w:rsidR="00D959E8" w:rsidRPr="00104227" w:rsidRDefault="00D959E8" w:rsidP="00E4619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s-MX"/>
        </w:rPr>
      </w:pPr>
    </w:p>
    <w:p w14:paraId="0AD54754" w14:textId="3BB929EF" w:rsidR="00D959E8" w:rsidRPr="00104227" w:rsidRDefault="00BF5241" w:rsidP="00E4619F">
      <w:pPr>
        <w:pStyle w:val="Numberedparagraphs"/>
        <w:tabs>
          <w:tab w:val="left" w:pos="567"/>
        </w:tabs>
        <w:rPr>
          <w:lang w:val="en-US"/>
        </w:rPr>
      </w:pPr>
      <w:bookmarkStart w:id="299" w:name="_Ref532987245"/>
      <w:r w:rsidRPr="00104227">
        <w:rPr>
          <w:lang w:val="en-US"/>
        </w:rPr>
        <w:t>The Court</w:t>
      </w:r>
      <w:r w:rsidR="00B578E5" w:rsidRPr="00104227">
        <w:rPr>
          <w:lang w:val="en-US"/>
        </w:rPr>
        <w:t xml:space="preserve"> conclu</w:t>
      </w:r>
      <w:r w:rsidR="00066EA0" w:rsidRPr="00104227">
        <w:rPr>
          <w:lang w:val="en-US"/>
        </w:rPr>
        <w:t xml:space="preserve">des that the physical and mental violence suffered by </w:t>
      </w:r>
      <w:r w:rsidR="00F12946" w:rsidRPr="00104227">
        <w:rPr>
          <w:lang w:val="en-US"/>
        </w:rPr>
        <w:t>the eleven women</w:t>
      </w:r>
      <w:r w:rsidR="00B578E5" w:rsidRPr="00104227">
        <w:rPr>
          <w:lang w:val="en-US"/>
        </w:rPr>
        <w:t xml:space="preserve"> constitu</w:t>
      </w:r>
      <w:r w:rsidR="00066EA0" w:rsidRPr="00104227">
        <w:rPr>
          <w:lang w:val="en-US"/>
        </w:rPr>
        <w:t xml:space="preserve">ted </w:t>
      </w:r>
      <w:r w:rsidR="0082149A" w:rsidRPr="00104227">
        <w:rPr>
          <w:lang w:val="en-US"/>
        </w:rPr>
        <w:t>stereotypical and discriminatory treatment in violation of the general prohibition of discrimination contained in</w:t>
      </w:r>
      <w:r w:rsidR="00B578E5" w:rsidRPr="00104227">
        <w:rPr>
          <w:lang w:val="en-US"/>
        </w:rPr>
        <w:t xml:space="preserve"> </w:t>
      </w:r>
      <w:r w:rsidR="00C2124F" w:rsidRPr="00104227">
        <w:rPr>
          <w:lang w:val="en-US"/>
        </w:rPr>
        <w:t>Article 1(1)</w:t>
      </w:r>
      <w:r w:rsidRPr="00104227">
        <w:rPr>
          <w:lang w:val="en-US"/>
        </w:rPr>
        <w:t xml:space="preserve"> of the Convention</w:t>
      </w:r>
      <w:r w:rsidR="00B578E5" w:rsidRPr="00104227">
        <w:rPr>
          <w:lang w:val="en-US"/>
        </w:rPr>
        <w:t xml:space="preserve">. </w:t>
      </w:r>
      <w:r w:rsidR="0082149A" w:rsidRPr="00104227">
        <w:rPr>
          <w:lang w:val="en-US"/>
        </w:rPr>
        <w:t>The</w:t>
      </w:r>
      <w:r w:rsidRPr="00104227">
        <w:rPr>
          <w:lang w:val="en-US"/>
        </w:rPr>
        <w:t xml:space="preserve"> Court</w:t>
      </w:r>
      <w:r w:rsidR="00B578E5" w:rsidRPr="00104227">
        <w:rPr>
          <w:lang w:val="en-US"/>
        </w:rPr>
        <w:t xml:space="preserve"> </w:t>
      </w:r>
      <w:r w:rsidR="0082149A" w:rsidRPr="00104227">
        <w:rPr>
          <w:lang w:val="en-US"/>
        </w:rPr>
        <w:t>also recalls that</w:t>
      </w:r>
      <w:r w:rsidR="00B578E5" w:rsidRPr="00104227">
        <w:rPr>
          <w:lang w:val="en-US"/>
        </w:rPr>
        <w:t xml:space="preserve"> </w:t>
      </w:r>
      <w:r w:rsidR="00AC3BFC" w:rsidRPr="00104227">
        <w:rPr>
          <w:lang w:val="en-US"/>
        </w:rPr>
        <w:t>the State</w:t>
      </w:r>
      <w:r w:rsidR="00B578E5" w:rsidRPr="00104227">
        <w:rPr>
          <w:lang w:val="en-US"/>
        </w:rPr>
        <w:t xml:space="preserve"> </w:t>
      </w:r>
      <w:r w:rsidR="0082149A" w:rsidRPr="00104227">
        <w:rPr>
          <w:lang w:val="en-US"/>
        </w:rPr>
        <w:t>acknowledged the v</w:t>
      </w:r>
      <w:r w:rsidR="00E466FA" w:rsidRPr="00104227">
        <w:rPr>
          <w:lang w:val="en-US"/>
        </w:rPr>
        <w:t>iolation</w:t>
      </w:r>
      <w:r w:rsidR="005E29A3" w:rsidRPr="00104227">
        <w:rPr>
          <w:lang w:val="en-US"/>
        </w:rPr>
        <w:t xml:space="preserve"> of </w:t>
      </w:r>
      <w:r w:rsidRPr="00104227">
        <w:rPr>
          <w:lang w:val="en-US"/>
        </w:rPr>
        <w:t>Article</w:t>
      </w:r>
      <w:r w:rsidR="00B578E5" w:rsidRPr="00104227">
        <w:rPr>
          <w:lang w:val="en-US"/>
        </w:rPr>
        <w:t xml:space="preserve"> 24</w:t>
      </w:r>
      <w:r w:rsidRPr="00104227">
        <w:rPr>
          <w:lang w:val="en-US"/>
        </w:rPr>
        <w:t xml:space="preserve"> of the Convention</w:t>
      </w:r>
      <w:r w:rsidR="00B578E5" w:rsidRPr="00104227">
        <w:rPr>
          <w:lang w:val="en-US"/>
        </w:rPr>
        <w:t>.</w:t>
      </w:r>
      <w:bookmarkEnd w:id="299"/>
      <w:r w:rsidR="00B578E5" w:rsidRPr="00104227">
        <w:rPr>
          <w:lang w:val="en-US"/>
        </w:rPr>
        <w:t xml:space="preserve"> </w:t>
      </w:r>
    </w:p>
    <w:p w14:paraId="657B9772" w14:textId="05E37114" w:rsidR="00D959E8" w:rsidRPr="00104227" w:rsidRDefault="00D959E8" w:rsidP="00E4619F">
      <w:pPr>
        <w:tabs>
          <w:tab w:val="left" w:pos="567"/>
        </w:tabs>
        <w:rPr>
          <w:lang w:eastAsia="es-MX"/>
        </w:rPr>
      </w:pPr>
    </w:p>
    <w:p w14:paraId="481E47A8" w14:textId="7CBCFAD8" w:rsidR="00D959E8" w:rsidRPr="00104227" w:rsidRDefault="00D959E8" w:rsidP="00E4619F">
      <w:pPr>
        <w:pStyle w:val="Ttulo3"/>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bookmarkStart w:id="300" w:name="_Toc31290593"/>
      <w:r w:rsidRPr="00104227">
        <w:rPr>
          <w:lang w:val="en-US"/>
        </w:rPr>
        <w:t>B.</w:t>
      </w:r>
      <w:r w:rsidR="00B578E5" w:rsidRPr="00104227">
        <w:rPr>
          <w:lang w:val="en-US"/>
        </w:rPr>
        <w:t>4</w:t>
      </w:r>
      <w:r w:rsidRPr="00104227">
        <w:rPr>
          <w:lang w:val="en-US"/>
        </w:rPr>
        <w:t xml:space="preserve"> </w:t>
      </w:r>
      <w:r w:rsidR="000948A4" w:rsidRPr="00104227">
        <w:rPr>
          <w:lang w:val="en-US"/>
        </w:rPr>
        <w:t>Conclusion</w:t>
      </w:r>
      <w:bookmarkEnd w:id="300"/>
    </w:p>
    <w:p w14:paraId="75B5A157" w14:textId="77777777" w:rsidR="00D959E8" w:rsidRPr="00104227" w:rsidRDefault="00D959E8" w:rsidP="00E4619F">
      <w:pPr>
        <w:tabs>
          <w:tab w:val="left" w:pos="567"/>
        </w:tabs>
        <w:rPr>
          <w:lang w:eastAsia="es-MX"/>
        </w:rPr>
      </w:pPr>
    </w:p>
    <w:p w14:paraId="109AD31B" w14:textId="2E3FFA19" w:rsidR="00D959E8" w:rsidRPr="00104227" w:rsidRDefault="00D20925" w:rsidP="00650759">
      <w:pPr>
        <w:pStyle w:val="Numberedparagraphs"/>
        <w:tabs>
          <w:tab w:val="left" w:pos="567"/>
        </w:tabs>
        <w:rPr>
          <w:lang w:val="en-US"/>
        </w:rPr>
      </w:pPr>
      <w:r w:rsidRPr="00104227">
        <w:rPr>
          <w:lang w:val="en-US"/>
        </w:rPr>
        <w:t>Based on</w:t>
      </w:r>
      <w:r w:rsidR="00E16F0C" w:rsidRPr="00104227">
        <w:rPr>
          <w:lang w:val="en-US"/>
        </w:rPr>
        <w:t xml:space="preserve"> all the </w:t>
      </w:r>
      <w:r w:rsidRPr="00104227">
        <w:rPr>
          <w:lang w:val="en-US"/>
        </w:rPr>
        <w:t>preceding considerations</w:t>
      </w:r>
      <w:r w:rsidR="00E16F0C" w:rsidRPr="00104227">
        <w:rPr>
          <w:lang w:val="en-US"/>
        </w:rPr>
        <w:t xml:space="preserve">, the Court concludes that the </w:t>
      </w:r>
      <w:r w:rsidR="003F10B2" w:rsidRPr="00104227">
        <w:rPr>
          <w:lang w:val="en-US"/>
        </w:rPr>
        <w:t xml:space="preserve">State </w:t>
      </w:r>
      <w:r w:rsidR="00E16F0C" w:rsidRPr="00104227">
        <w:rPr>
          <w:lang w:val="en-US"/>
        </w:rPr>
        <w:t>failed to comply with its obligations: (i) to adopt domestic legal provisions to regulate the use of force adequately; (ii) to train and educat</w:t>
      </w:r>
      <w:r w:rsidRPr="00104227">
        <w:rPr>
          <w:lang w:val="en-US"/>
        </w:rPr>
        <w:t>e</w:t>
      </w:r>
      <w:r w:rsidR="00E16F0C" w:rsidRPr="00104227">
        <w:rPr>
          <w:lang w:val="en-US"/>
        </w:rPr>
        <w:t xml:space="preserve"> its </w:t>
      </w:r>
      <w:r w:rsidR="00B665DF" w:rsidRPr="00104227">
        <w:rPr>
          <w:lang w:val="en-US"/>
        </w:rPr>
        <w:t>law enforcement personnel</w:t>
      </w:r>
      <w:r w:rsidR="00E16F0C" w:rsidRPr="00104227">
        <w:rPr>
          <w:lang w:val="en-US"/>
        </w:rPr>
        <w:t xml:space="preserve"> with regard to the </w:t>
      </w:r>
      <w:r w:rsidRPr="00104227">
        <w:rPr>
          <w:lang w:val="en-US"/>
        </w:rPr>
        <w:t xml:space="preserve">standards and </w:t>
      </w:r>
      <w:r w:rsidR="00E16F0C" w:rsidRPr="00104227">
        <w:rPr>
          <w:lang w:val="en-US"/>
        </w:rPr>
        <w:t xml:space="preserve">principles for the protection of human rights in the management and use of force, and (iii) to establish appropriate mechanisms to </w:t>
      </w:r>
      <w:r w:rsidRPr="00104227">
        <w:rPr>
          <w:lang w:val="en-US"/>
        </w:rPr>
        <w:t xml:space="preserve">adequately </w:t>
      </w:r>
      <w:r w:rsidR="00E16F0C" w:rsidRPr="00104227">
        <w:rPr>
          <w:lang w:val="en-US"/>
        </w:rPr>
        <w:t>control the legitimacy of the use of force. In addition to non-compliance with these obligations before and during the deployment of the use of force, in the instant case, the State failed to comply wit</w:t>
      </w:r>
      <w:r w:rsidRPr="00104227">
        <w:rPr>
          <w:lang w:val="en-US"/>
        </w:rPr>
        <w:t>h</w:t>
      </w:r>
      <w:r w:rsidR="00E16F0C" w:rsidRPr="00104227">
        <w:rPr>
          <w:lang w:val="en-US"/>
        </w:rPr>
        <w:t xml:space="preserve"> its obligations to respect and to ensure the rights of the victims during the operations in which the police agents </w:t>
      </w:r>
      <w:r w:rsidRPr="00104227">
        <w:rPr>
          <w:lang w:val="en-US"/>
        </w:rPr>
        <w:t>deployed</w:t>
      </w:r>
      <w:r w:rsidR="00650759" w:rsidRPr="00104227">
        <w:rPr>
          <w:lang w:val="en-US"/>
        </w:rPr>
        <w:t xml:space="preserve"> a totally excessive use of force. In addition, owing to the absence of any conduct</w:t>
      </w:r>
      <w:r w:rsidRPr="00104227">
        <w:rPr>
          <w:lang w:val="en-US"/>
        </w:rPr>
        <w:t xml:space="preserve"> by the women</w:t>
      </w:r>
      <w:r w:rsidR="00650759" w:rsidRPr="00104227">
        <w:rPr>
          <w:lang w:val="en-US"/>
        </w:rPr>
        <w:t xml:space="preserve"> that made the use of force against them necessary, as well as the sexual nature of the violence used, the use of force against </w:t>
      </w:r>
      <w:r w:rsidR="00F12946" w:rsidRPr="00104227">
        <w:rPr>
          <w:lang w:val="en-US"/>
        </w:rPr>
        <w:t>the eleven women</w:t>
      </w:r>
      <w:r w:rsidR="000E7B4C" w:rsidRPr="00104227">
        <w:rPr>
          <w:lang w:val="en-US"/>
        </w:rPr>
        <w:t xml:space="preserve"> </w:t>
      </w:r>
      <w:r w:rsidR="00EF03E5" w:rsidRPr="00104227">
        <w:rPr>
          <w:lang w:val="en-US"/>
        </w:rPr>
        <w:t>victims in this case</w:t>
      </w:r>
      <w:r w:rsidR="000E7B4C" w:rsidRPr="00104227">
        <w:rPr>
          <w:lang w:val="en-US"/>
        </w:rPr>
        <w:t xml:space="preserve"> </w:t>
      </w:r>
      <w:r w:rsidR="00650759" w:rsidRPr="00104227">
        <w:rPr>
          <w:lang w:val="en-US"/>
        </w:rPr>
        <w:t>was not even legitimate</w:t>
      </w:r>
      <w:r w:rsidR="000E7B4C" w:rsidRPr="00104227">
        <w:rPr>
          <w:lang w:val="en-US"/>
        </w:rPr>
        <w:t xml:space="preserve">. </w:t>
      </w:r>
    </w:p>
    <w:p w14:paraId="2C08595E" w14:textId="77777777" w:rsidR="00D959E8" w:rsidRPr="00104227" w:rsidRDefault="00D959E8" w:rsidP="00E4619F">
      <w:pPr>
        <w:tabs>
          <w:tab w:val="left" w:pos="567"/>
        </w:tabs>
        <w:rPr>
          <w:lang w:eastAsia="es-MX"/>
        </w:rPr>
      </w:pPr>
    </w:p>
    <w:p w14:paraId="2B59EC64" w14:textId="4E61EDCC" w:rsidR="00D959E8" w:rsidRPr="00104227" w:rsidRDefault="000E7B4C" w:rsidP="00F32779">
      <w:pPr>
        <w:pStyle w:val="Numberedparagraphs"/>
        <w:tabs>
          <w:tab w:val="left" w:pos="567"/>
        </w:tabs>
        <w:rPr>
          <w:lang w:val="en-US"/>
        </w:rPr>
      </w:pPr>
      <w:r w:rsidRPr="00104227">
        <w:rPr>
          <w:lang w:val="en-US"/>
        </w:rPr>
        <w:t>Ad</w:t>
      </w:r>
      <w:r w:rsidR="00E3693C" w:rsidRPr="00104227">
        <w:rPr>
          <w:lang w:val="en-US"/>
        </w:rPr>
        <w:t>ditionally,</w:t>
      </w:r>
      <w:r w:rsidRPr="00104227">
        <w:rPr>
          <w:lang w:val="en-US"/>
        </w:rPr>
        <w:t xml:space="preserve"> </w:t>
      </w:r>
      <w:r w:rsidR="00BF5241" w:rsidRPr="00104227">
        <w:rPr>
          <w:lang w:val="en-US"/>
        </w:rPr>
        <w:t>the Court</w:t>
      </w:r>
      <w:r w:rsidRPr="00104227">
        <w:rPr>
          <w:lang w:val="en-US"/>
        </w:rPr>
        <w:t xml:space="preserve"> determin</w:t>
      </w:r>
      <w:r w:rsidR="00E3693C" w:rsidRPr="00104227">
        <w:rPr>
          <w:lang w:val="en-US"/>
        </w:rPr>
        <w:t xml:space="preserve">ed that: </w:t>
      </w:r>
      <w:r w:rsidRPr="00104227">
        <w:rPr>
          <w:lang w:val="en-US"/>
        </w:rPr>
        <w:t xml:space="preserve">(i) </w:t>
      </w:r>
      <w:r w:rsidR="00E3693C" w:rsidRPr="00104227">
        <w:rPr>
          <w:lang w:val="en-US"/>
        </w:rPr>
        <w:t xml:space="preserve">the eleven women suffered </w:t>
      </w:r>
      <w:r w:rsidR="00D25554" w:rsidRPr="00104227">
        <w:rPr>
          <w:lang w:val="en-US"/>
        </w:rPr>
        <w:t>sexual violence</w:t>
      </w:r>
      <w:r w:rsidRPr="00104227">
        <w:rPr>
          <w:lang w:val="en-US"/>
        </w:rPr>
        <w:t xml:space="preserve">, </w:t>
      </w:r>
      <w:r w:rsidR="00E3693C" w:rsidRPr="00104227">
        <w:rPr>
          <w:lang w:val="en-US"/>
        </w:rPr>
        <w:t>consisting of verbal and physical abuse, with sexual connotations and allusions; (ii) seven of them were also victims of rape because some of the abuse suffered included penetration of their bodies with some part of the body of the agents or an object, and (iii) all of them were victims of torture owing to the series of assaults and abuse they suffered including, but not limited to, rape, owing to the severity and the intentional nature of the suffering inflicted by the police, as well as the objective which was to humiliate and punish the victims. The Court also found that: (i) in this case, torture was used as a form of social control which increase</w:t>
      </w:r>
      <w:r w:rsidR="00D20925" w:rsidRPr="00104227">
        <w:rPr>
          <w:lang w:val="en-US"/>
        </w:rPr>
        <w:t>d</w:t>
      </w:r>
      <w:r w:rsidR="00E3693C" w:rsidRPr="00104227">
        <w:rPr>
          <w:lang w:val="en-US"/>
        </w:rPr>
        <w:t xml:space="preserve"> the egregiousness of the violations committed; (ii) the victims were subjected to d</w:t>
      </w:r>
      <w:r w:rsidR="00D20925" w:rsidRPr="00104227">
        <w:rPr>
          <w:lang w:val="en-US"/>
        </w:rPr>
        <w:t>iverse</w:t>
      </w:r>
      <w:r w:rsidR="00E3693C" w:rsidRPr="00104227">
        <w:rPr>
          <w:lang w:val="en-US"/>
        </w:rPr>
        <w:t xml:space="preserve"> forms of psychological and verbal violence that were profoundly stereotypical and discriminatory, and (iii) the treatment received from the prison doctors constituted an additional element of the cruel and degrading treatment. Lastly, </w:t>
      </w:r>
      <w:r w:rsidR="00F32779" w:rsidRPr="00104227">
        <w:rPr>
          <w:lang w:val="en-US"/>
        </w:rPr>
        <w:t xml:space="preserve">the Court considered that the </w:t>
      </w:r>
      <w:r w:rsidR="00814266" w:rsidRPr="00104227">
        <w:rPr>
          <w:lang w:val="en-US"/>
        </w:rPr>
        <w:t>sexual violence</w:t>
      </w:r>
      <w:r w:rsidR="00BF5241" w:rsidRPr="00104227">
        <w:rPr>
          <w:lang w:val="en-US"/>
        </w:rPr>
        <w:t xml:space="preserve"> and </w:t>
      </w:r>
      <w:r w:rsidR="00BC5201" w:rsidRPr="00104227">
        <w:rPr>
          <w:lang w:val="en-US"/>
        </w:rPr>
        <w:t>torture</w:t>
      </w:r>
      <w:r w:rsidR="00F32779" w:rsidRPr="00104227">
        <w:rPr>
          <w:lang w:val="en-US"/>
        </w:rPr>
        <w:t>, both physical and psychological, used against the eleven victims also constituted</w:t>
      </w:r>
      <w:r w:rsidRPr="00104227">
        <w:rPr>
          <w:lang w:val="en-US"/>
        </w:rPr>
        <w:t xml:space="preserve"> </w:t>
      </w:r>
      <w:r w:rsidR="00A23F38" w:rsidRPr="00104227">
        <w:rPr>
          <w:lang w:val="en-US"/>
        </w:rPr>
        <w:t>gender-based discrimination</w:t>
      </w:r>
      <w:r w:rsidRPr="00104227">
        <w:rPr>
          <w:lang w:val="en-US"/>
        </w:rPr>
        <w:t xml:space="preserve">, </w:t>
      </w:r>
      <w:r w:rsidR="00F32779" w:rsidRPr="00104227">
        <w:rPr>
          <w:lang w:val="en-US"/>
        </w:rPr>
        <w:t>i</w:t>
      </w:r>
      <w:r w:rsidRPr="00104227">
        <w:rPr>
          <w:lang w:val="en-US"/>
        </w:rPr>
        <w:t>n viola</w:t>
      </w:r>
      <w:r w:rsidR="00F32779" w:rsidRPr="00104227">
        <w:rPr>
          <w:lang w:val="en-US"/>
        </w:rPr>
        <w:t xml:space="preserve">tion of the general prohibition of </w:t>
      </w:r>
      <w:r w:rsidR="00814266" w:rsidRPr="00104227">
        <w:rPr>
          <w:lang w:val="en-US"/>
        </w:rPr>
        <w:t>discrimination</w:t>
      </w:r>
      <w:r w:rsidRPr="00104227">
        <w:rPr>
          <w:lang w:val="en-US"/>
        </w:rPr>
        <w:t xml:space="preserve"> </w:t>
      </w:r>
      <w:r w:rsidR="00F32779" w:rsidRPr="00104227">
        <w:rPr>
          <w:lang w:val="en-US"/>
        </w:rPr>
        <w:t>established in</w:t>
      </w:r>
      <w:r w:rsidRPr="00104227">
        <w:rPr>
          <w:lang w:val="en-US"/>
        </w:rPr>
        <w:t xml:space="preserve"> </w:t>
      </w:r>
      <w:r w:rsidR="00C2124F" w:rsidRPr="00104227">
        <w:rPr>
          <w:lang w:val="en-US"/>
        </w:rPr>
        <w:t>Article 1(1)</w:t>
      </w:r>
      <w:r w:rsidR="00BF5241" w:rsidRPr="00104227">
        <w:rPr>
          <w:lang w:val="en-US"/>
        </w:rPr>
        <w:t xml:space="preserve"> of the American Convention</w:t>
      </w:r>
      <w:r w:rsidRPr="00104227">
        <w:rPr>
          <w:lang w:val="en-US"/>
        </w:rPr>
        <w:t xml:space="preserve">. </w:t>
      </w:r>
    </w:p>
    <w:p w14:paraId="0C8F3840" w14:textId="77777777" w:rsidR="00D959E8" w:rsidRPr="00104227" w:rsidRDefault="00D959E8" w:rsidP="00E4619F">
      <w:pPr>
        <w:tabs>
          <w:tab w:val="left" w:pos="567"/>
        </w:tabs>
        <w:rPr>
          <w:lang w:eastAsia="es-MX"/>
        </w:rPr>
      </w:pPr>
    </w:p>
    <w:p w14:paraId="39FBCBEB" w14:textId="5D9E7923" w:rsidR="00D959E8" w:rsidRPr="00104227" w:rsidRDefault="00F32779" w:rsidP="00E4619F">
      <w:pPr>
        <w:pStyle w:val="Numberedparagraphs"/>
        <w:tabs>
          <w:tab w:val="left" w:pos="567"/>
        </w:tabs>
        <w:rPr>
          <w:lang w:val="en-US"/>
        </w:rPr>
      </w:pPr>
      <w:bookmarkStart w:id="301" w:name="_Ref532987514"/>
      <w:r w:rsidRPr="00104227">
        <w:rPr>
          <w:lang w:val="en-US"/>
        </w:rPr>
        <w:t xml:space="preserve">Based on all the </w:t>
      </w:r>
      <w:r w:rsidR="00D20925" w:rsidRPr="00104227">
        <w:rPr>
          <w:lang w:val="en-US"/>
        </w:rPr>
        <w:t>above</w:t>
      </w:r>
      <w:r w:rsidRPr="00104227">
        <w:rPr>
          <w:lang w:val="en-US"/>
        </w:rPr>
        <w:t xml:space="preserve">, the Court concludes that </w:t>
      </w:r>
      <w:r w:rsidR="00AC3BFC" w:rsidRPr="00104227">
        <w:rPr>
          <w:lang w:val="en-US"/>
        </w:rPr>
        <w:t>the Mexican State</w:t>
      </w:r>
      <w:r w:rsidR="000E7B4C" w:rsidRPr="00104227">
        <w:rPr>
          <w:lang w:val="en-US"/>
        </w:rPr>
        <w:t xml:space="preserve"> viol</w:t>
      </w:r>
      <w:r w:rsidRPr="00104227">
        <w:rPr>
          <w:lang w:val="en-US"/>
        </w:rPr>
        <w:t>ated</w:t>
      </w:r>
      <w:r w:rsidR="000E7B4C" w:rsidRPr="00104227">
        <w:rPr>
          <w:lang w:val="en-US"/>
        </w:rPr>
        <w:t xml:space="preserve"> </w:t>
      </w:r>
      <w:r w:rsidR="00CA43B0" w:rsidRPr="00104227">
        <w:rPr>
          <w:lang w:val="en-US"/>
        </w:rPr>
        <w:t>the rights to</w:t>
      </w:r>
      <w:r w:rsidR="000E7B4C" w:rsidRPr="00104227">
        <w:rPr>
          <w:lang w:val="en-US"/>
        </w:rPr>
        <w:t xml:space="preserve"> </w:t>
      </w:r>
      <w:r w:rsidR="0094395C" w:rsidRPr="00104227">
        <w:rPr>
          <w:lang w:val="en-US"/>
        </w:rPr>
        <w:t>personal integrity</w:t>
      </w:r>
      <w:r w:rsidR="000E7B4C" w:rsidRPr="00104227">
        <w:rPr>
          <w:lang w:val="en-US"/>
        </w:rPr>
        <w:t xml:space="preserve">, </w:t>
      </w:r>
      <w:r w:rsidR="0094395C" w:rsidRPr="00104227">
        <w:rPr>
          <w:lang w:val="en-US"/>
        </w:rPr>
        <w:t>privacy</w:t>
      </w:r>
      <w:r w:rsidR="000E7B4C" w:rsidRPr="00104227">
        <w:rPr>
          <w:lang w:val="en-US"/>
        </w:rPr>
        <w:t>,</w:t>
      </w:r>
      <w:r w:rsidR="00BF5241" w:rsidRPr="00104227">
        <w:rPr>
          <w:lang w:val="en-US"/>
        </w:rPr>
        <w:t xml:space="preserve"> and </w:t>
      </w:r>
      <w:r w:rsidR="005E29A3" w:rsidRPr="00104227">
        <w:rPr>
          <w:lang w:val="en-US"/>
        </w:rPr>
        <w:t>not to be subjected to torture</w:t>
      </w:r>
      <w:r w:rsidR="000E7B4C" w:rsidRPr="00104227">
        <w:rPr>
          <w:lang w:val="en-US"/>
        </w:rPr>
        <w:t xml:space="preserve"> </w:t>
      </w:r>
      <w:r w:rsidR="005E29A3" w:rsidRPr="00104227">
        <w:rPr>
          <w:lang w:val="en-US"/>
        </w:rPr>
        <w:t>recognized in</w:t>
      </w:r>
      <w:r w:rsidR="000E7B4C" w:rsidRPr="00104227">
        <w:rPr>
          <w:lang w:val="en-US"/>
        </w:rPr>
        <w:t xml:space="preserve"> </w:t>
      </w:r>
      <w:r w:rsidR="00BF5241" w:rsidRPr="00104227">
        <w:rPr>
          <w:lang w:val="en-US"/>
        </w:rPr>
        <w:t>Articles</w:t>
      </w:r>
      <w:r w:rsidR="000E7B4C" w:rsidRPr="00104227">
        <w:rPr>
          <w:lang w:val="en-US"/>
        </w:rPr>
        <w:t xml:space="preserve"> </w:t>
      </w:r>
      <w:r w:rsidR="0094395C" w:rsidRPr="00104227">
        <w:rPr>
          <w:lang w:val="en-US"/>
        </w:rPr>
        <w:t>5(1)</w:t>
      </w:r>
      <w:r w:rsidR="000E7B4C" w:rsidRPr="00104227">
        <w:rPr>
          <w:lang w:val="en-US"/>
        </w:rPr>
        <w:t xml:space="preserve">, </w:t>
      </w:r>
      <w:r w:rsidR="0094395C" w:rsidRPr="00104227">
        <w:rPr>
          <w:lang w:val="en-US"/>
        </w:rPr>
        <w:t>5(2)</w:t>
      </w:r>
      <w:r w:rsidR="00BF5241" w:rsidRPr="00104227">
        <w:rPr>
          <w:lang w:val="en-US"/>
        </w:rPr>
        <w:t xml:space="preserve"> and </w:t>
      </w:r>
      <w:r w:rsidR="000E7B4C" w:rsidRPr="00104227">
        <w:rPr>
          <w:lang w:val="en-US"/>
        </w:rPr>
        <w:t>11</w:t>
      </w:r>
      <w:r w:rsidR="00BF5241" w:rsidRPr="00104227">
        <w:rPr>
          <w:lang w:val="en-US"/>
        </w:rPr>
        <w:t xml:space="preserve"> of the Convention</w:t>
      </w:r>
      <w:r w:rsidR="000E7B4C" w:rsidRPr="00104227">
        <w:rPr>
          <w:lang w:val="en-US"/>
        </w:rPr>
        <w:t xml:space="preserve">, </w:t>
      </w:r>
      <w:r w:rsidRPr="00104227">
        <w:rPr>
          <w:lang w:val="en-US"/>
        </w:rPr>
        <w:t xml:space="preserve">in relation </w:t>
      </w:r>
      <w:r w:rsidR="00332721" w:rsidRPr="00104227">
        <w:rPr>
          <w:lang w:val="en-US"/>
        </w:rPr>
        <w:t>to</w:t>
      </w:r>
      <w:r w:rsidR="000E7B4C" w:rsidRPr="00104227">
        <w:rPr>
          <w:lang w:val="en-US"/>
        </w:rPr>
        <w:t xml:space="preserve"> </w:t>
      </w:r>
      <w:r w:rsidRPr="00104227">
        <w:rPr>
          <w:lang w:val="en-US"/>
        </w:rPr>
        <w:t xml:space="preserve">the obligations to respect and to ensure these rights without discrimination, established in </w:t>
      </w:r>
      <w:r w:rsidR="00C2124F" w:rsidRPr="00104227">
        <w:rPr>
          <w:lang w:val="en-US"/>
        </w:rPr>
        <w:t>Articles 1(1)</w:t>
      </w:r>
      <w:r w:rsidR="00BF5241" w:rsidRPr="00104227">
        <w:rPr>
          <w:lang w:val="en-US"/>
        </w:rPr>
        <w:t xml:space="preserve"> and </w:t>
      </w:r>
      <w:r w:rsidR="000E7B4C" w:rsidRPr="00104227">
        <w:rPr>
          <w:lang w:val="en-US"/>
        </w:rPr>
        <w:t xml:space="preserve">2 </w:t>
      </w:r>
      <w:r w:rsidR="00CA43B0" w:rsidRPr="00104227">
        <w:rPr>
          <w:lang w:val="en-US"/>
        </w:rPr>
        <w:t>of this instrument</w:t>
      </w:r>
      <w:r w:rsidR="00BF5241" w:rsidRPr="00104227">
        <w:rPr>
          <w:lang w:val="en-US"/>
        </w:rPr>
        <w:t xml:space="preserve"> and Articles</w:t>
      </w:r>
      <w:r w:rsidR="000E7B4C" w:rsidRPr="00104227">
        <w:rPr>
          <w:lang w:val="en-US"/>
        </w:rPr>
        <w:t xml:space="preserve"> 1</w:t>
      </w:r>
      <w:r w:rsidR="00BF5241" w:rsidRPr="00104227">
        <w:rPr>
          <w:lang w:val="en-US"/>
        </w:rPr>
        <w:t xml:space="preserve"> and </w:t>
      </w:r>
      <w:r w:rsidR="000E7B4C" w:rsidRPr="00104227">
        <w:rPr>
          <w:lang w:val="en-US"/>
        </w:rPr>
        <w:t>6</w:t>
      </w:r>
      <w:r w:rsidR="00BF5241" w:rsidRPr="00104227">
        <w:rPr>
          <w:lang w:val="en-US"/>
        </w:rPr>
        <w:t xml:space="preserve"> of the </w:t>
      </w:r>
      <w:r w:rsidR="007E2382" w:rsidRPr="00104227">
        <w:rPr>
          <w:lang w:val="en-US"/>
        </w:rPr>
        <w:t>Inter-American Convention against Torture</w:t>
      </w:r>
      <w:r w:rsidRPr="00104227">
        <w:rPr>
          <w:lang w:val="en-US"/>
        </w:rPr>
        <w:t>,</w:t>
      </w:r>
      <w:r w:rsidR="00BF5241" w:rsidRPr="00104227">
        <w:rPr>
          <w:lang w:val="en-US"/>
        </w:rPr>
        <w:t xml:space="preserve"> and Article</w:t>
      </w:r>
      <w:r w:rsidR="000E7B4C" w:rsidRPr="00104227">
        <w:rPr>
          <w:lang w:val="en-US"/>
        </w:rPr>
        <w:t xml:space="preserve"> 7</w:t>
      </w:r>
      <w:r w:rsidR="00BF5241" w:rsidRPr="00104227">
        <w:rPr>
          <w:lang w:val="en-US"/>
        </w:rPr>
        <w:t xml:space="preserve"> of the Convention</w:t>
      </w:r>
      <w:r w:rsidR="000E7B4C" w:rsidRPr="00104227">
        <w:rPr>
          <w:lang w:val="en-US"/>
        </w:rPr>
        <w:t xml:space="preserve"> </w:t>
      </w:r>
      <w:r w:rsidR="0094395C" w:rsidRPr="00104227">
        <w:rPr>
          <w:lang w:val="en-US"/>
        </w:rPr>
        <w:t>of Belém</w:t>
      </w:r>
      <w:r w:rsidR="000E7B4C" w:rsidRPr="00104227">
        <w:rPr>
          <w:lang w:val="en-US"/>
        </w:rPr>
        <w:t xml:space="preserve"> do Pará,</w:t>
      </w:r>
      <w:r w:rsidR="00BF5241" w:rsidRPr="00104227">
        <w:rPr>
          <w:lang w:val="en-US"/>
        </w:rPr>
        <w:t xml:space="preserve"> and </w:t>
      </w:r>
      <w:r w:rsidR="00B578E5" w:rsidRPr="00104227">
        <w:rPr>
          <w:lang w:val="en-US"/>
        </w:rPr>
        <w:t>rec</w:t>
      </w:r>
      <w:r w:rsidRPr="00104227">
        <w:rPr>
          <w:lang w:val="en-US"/>
        </w:rPr>
        <w:t>alls that</w:t>
      </w:r>
      <w:r w:rsidR="00B578E5" w:rsidRPr="00104227">
        <w:rPr>
          <w:lang w:val="en-US"/>
        </w:rPr>
        <w:t xml:space="preserve"> </w:t>
      </w:r>
      <w:r w:rsidR="00AC3BFC" w:rsidRPr="00104227">
        <w:rPr>
          <w:lang w:val="en-US"/>
        </w:rPr>
        <w:t>the State</w:t>
      </w:r>
      <w:r w:rsidR="00B578E5" w:rsidRPr="00104227">
        <w:rPr>
          <w:lang w:val="en-US"/>
        </w:rPr>
        <w:t xml:space="preserve"> </w:t>
      </w:r>
      <w:r w:rsidRPr="00104227">
        <w:rPr>
          <w:lang w:val="en-US"/>
        </w:rPr>
        <w:t>has acknowledged the</w:t>
      </w:r>
      <w:r w:rsidR="00B578E5" w:rsidRPr="00104227">
        <w:rPr>
          <w:lang w:val="en-US"/>
        </w:rPr>
        <w:t xml:space="preserve"> </w:t>
      </w:r>
      <w:r w:rsidRPr="00104227">
        <w:rPr>
          <w:lang w:val="en-US"/>
        </w:rPr>
        <w:t>v</w:t>
      </w:r>
      <w:r w:rsidR="00E466FA" w:rsidRPr="00104227">
        <w:rPr>
          <w:lang w:val="en-US"/>
        </w:rPr>
        <w:t>iolation</w:t>
      </w:r>
      <w:r w:rsidR="005E29A3" w:rsidRPr="00104227">
        <w:rPr>
          <w:lang w:val="en-US"/>
        </w:rPr>
        <w:t xml:space="preserve"> of </w:t>
      </w:r>
      <w:r w:rsidR="00BF5241" w:rsidRPr="00104227">
        <w:rPr>
          <w:lang w:val="en-US"/>
        </w:rPr>
        <w:t>Article</w:t>
      </w:r>
      <w:r w:rsidR="00B578E5" w:rsidRPr="00104227">
        <w:rPr>
          <w:lang w:val="en-US"/>
        </w:rPr>
        <w:t xml:space="preserve"> 24</w:t>
      </w:r>
      <w:r w:rsidR="00BF5241" w:rsidRPr="00104227">
        <w:rPr>
          <w:lang w:val="en-US"/>
        </w:rPr>
        <w:t xml:space="preserve"> of the Convention</w:t>
      </w:r>
      <w:r w:rsidRPr="00104227">
        <w:rPr>
          <w:lang w:val="en-US"/>
        </w:rPr>
        <w:t>,</w:t>
      </w:r>
      <w:r w:rsidR="00B578E5" w:rsidRPr="00104227">
        <w:rPr>
          <w:lang w:val="en-US"/>
        </w:rPr>
        <w:t xml:space="preserve"> </w:t>
      </w:r>
      <w:r w:rsidR="00C2124F" w:rsidRPr="00104227">
        <w:rPr>
          <w:lang w:val="en-US"/>
        </w:rPr>
        <w:t>to the detriment of</w:t>
      </w:r>
      <w:r w:rsidR="000E7B4C" w:rsidRPr="00104227">
        <w:rPr>
          <w:lang w:val="en-US"/>
        </w:rPr>
        <w:t xml:space="preserve"> Yolanda Muñoz Diosdada, Norma Aidé Jiménez Osorio, María Patricia Romero Hernández, Mariana Selvas Gómez, Georgina Edith </w:t>
      </w:r>
      <w:r w:rsidR="00DA23B8" w:rsidRPr="00104227">
        <w:rPr>
          <w:lang w:val="en-US"/>
        </w:rPr>
        <w:t>Rosales</w:t>
      </w:r>
      <w:r w:rsidR="000E7B4C" w:rsidRPr="00104227">
        <w:rPr>
          <w:lang w:val="en-US"/>
        </w:rPr>
        <w:t xml:space="preserve"> Gutiérrez, Ana María Velasco Rodríguez, Suhelen Gabriela Cuevas Jaramillo, Bárbara Italia Méndez Moreno, María Cristina Sánchez Hernández, </w:t>
      </w:r>
      <w:r w:rsidR="0047539E" w:rsidRPr="00104227">
        <w:rPr>
          <w:lang w:val="en-US"/>
        </w:rPr>
        <w:t>Angélica Patricia Torres</w:t>
      </w:r>
      <w:r w:rsidR="000E7B4C" w:rsidRPr="00104227">
        <w:rPr>
          <w:lang w:val="en-US"/>
        </w:rPr>
        <w:t xml:space="preserve"> Linares</w:t>
      </w:r>
      <w:r w:rsidR="00BF5241" w:rsidRPr="00104227">
        <w:rPr>
          <w:lang w:val="en-US"/>
        </w:rPr>
        <w:t xml:space="preserve"> and </w:t>
      </w:r>
      <w:r w:rsidR="000E7B4C" w:rsidRPr="00104227">
        <w:rPr>
          <w:lang w:val="en-US"/>
        </w:rPr>
        <w:t>Claudia Hernández Martínez.</w:t>
      </w:r>
      <w:bookmarkEnd w:id="301"/>
    </w:p>
    <w:p w14:paraId="2C14B383" w14:textId="77777777" w:rsidR="00D959E8" w:rsidRPr="00104227" w:rsidRDefault="00D959E8" w:rsidP="00E4619F">
      <w:pPr>
        <w:tabs>
          <w:tab w:val="left" w:pos="567"/>
        </w:tabs>
        <w:rPr>
          <w:lang w:eastAsia="es-MX"/>
        </w:rPr>
      </w:pPr>
    </w:p>
    <w:p w14:paraId="0ABFF97B" w14:textId="62C8E2E8" w:rsidR="00BF44DD" w:rsidRPr="00104227" w:rsidRDefault="00F32779" w:rsidP="00E4619F">
      <w:pPr>
        <w:pStyle w:val="Numberedparagraphs"/>
        <w:tabs>
          <w:tab w:val="left" w:pos="567"/>
        </w:tabs>
        <w:rPr>
          <w:lang w:val="en-US"/>
        </w:rPr>
      </w:pPr>
      <w:bookmarkStart w:id="302" w:name="_Ref532987527"/>
      <w:r w:rsidRPr="00104227">
        <w:rPr>
          <w:lang w:val="en-US"/>
        </w:rPr>
        <w:t xml:space="preserve">Furthermore, to the extent that the violence experienced constituted an unnecessary and illegitimate interference in their right of assembly, </w:t>
      </w:r>
      <w:r w:rsidR="00BF5241" w:rsidRPr="00104227">
        <w:rPr>
          <w:lang w:val="en-US"/>
        </w:rPr>
        <w:t>the Court</w:t>
      </w:r>
      <w:r w:rsidR="000E7B4C" w:rsidRPr="00104227">
        <w:rPr>
          <w:lang w:val="en-US"/>
        </w:rPr>
        <w:t xml:space="preserve"> conclu</w:t>
      </w:r>
      <w:r w:rsidRPr="00104227">
        <w:rPr>
          <w:lang w:val="en-US"/>
        </w:rPr>
        <w:t>des that</w:t>
      </w:r>
      <w:r w:rsidR="000E7B4C" w:rsidRPr="00104227">
        <w:rPr>
          <w:lang w:val="en-US"/>
        </w:rPr>
        <w:t xml:space="preserve"> </w:t>
      </w:r>
      <w:r w:rsidR="00AC3BFC" w:rsidRPr="00104227">
        <w:rPr>
          <w:lang w:val="en-US"/>
        </w:rPr>
        <w:t>the State</w:t>
      </w:r>
      <w:r w:rsidR="000E7B4C" w:rsidRPr="00104227">
        <w:rPr>
          <w:lang w:val="en-US"/>
        </w:rPr>
        <w:t xml:space="preserve"> </w:t>
      </w:r>
      <w:r w:rsidRPr="00104227">
        <w:rPr>
          <w:lang w:val="en-US"/>
        </w:rPr>
        <w:t>also violated th</w:t>
      </w:r>
      <w:r w:rsidR="00D20925" w:rsidRPr="00104227">
        <w:rPr>
          <w:lang w:val="en-US"/>
        </w:rPr>
        <w:t>is</w:t>
      </w:r>
      <w:r w:rsidRPr="00104227">
        <w:rPr>
          <w:lang w:val="en-US"/>
        </w:rPr>
        <w:t xml:space="preserve"> right recognized in </w:t>
      </w:r>
      <w:r w:rsidR="00BF5241" w:rsidRPr="00104227">
        <w:rPr>
          <w:lang w:val="en-US"/>
        </w:rPr>
        <w:t>Article</w:t>
      </w:r>
      <w:r w:rsidR="000E7B4C" w:rsidRPr="00104227">
        <w:rPr>
          <w:lang w:val="en-US"/>
        </w:rPr>
        <w:t xml:space="preserve"> 15</w:t>
      </w:r>
      <w:r w:rsidR="00BF5241" w:rsidRPr="00104227">
        <w:rPr>
          <w:lang w:val="en-US"/>
        </w:rPr>
        <w:t xml:space="preserve"> of the Convention</w:t>
      </w:r>
      <w:r w:rsidR="000E7B4C" w:rsidRPr="00104227">
        <w:rPr>
          <w:lang w:val="en-US"/>
        </w:rPr>
        <w:t xml:space="preserve">, </w:t>
      </w:r>
      <w:r w:rsidR="00C2124F" w:rsidRPr="00104227">
        <w:rPr>
          <w:lang w:val="en-US"/>
        </w:rPr>
        <w:t>in relation to Article 1(1)</w:t>
      </w:r>
      <w:r w:rsidR="000E7B4C" w:rsidRPr="00104227">
        <w:rPr>
          <w:lang w:val="en-US"/>
        </w:rPr>
        <w:t xml:space="preserve"> </w:t>
      </w:r>
      <w:r w:rsidRPr="00104227">
        <w:rPr>
          <w:lang w:val="en-US"/>
        </w:rPr>
        <w:t>of this instrument</w:t>
      </w:r>
      <w:r w:rsidR="000E7B4C" w:rsidRPr="00104227">
        <w:rPr>
          <w:lang w:val="en-US"/>
        </w:rPr>
        <w:t xml:space="preserve">, </w:t>
      </w:r>
      <w:r w:rsidR="00C2124F" w:rsidRPr="00104227">
        <w:rPr>
          <w:lang w:val="en-US"/>
        </w:rPr>
        <w:t>to the detriment of</w:t>
      </w:r>
      <w:r w:rsidR="000E7B4C" w:rsidRPr="00104227">
        <w:rPr>
          <w:lang w:val="en-US"/>
        </w:rPr>
        <w:t xml:space="preserve"> </w:t>
      </w:r>
      <w:r w:rsidR="00F27D61" w:rsidRPr="00104227">
        <w:rPr>
          <w:lang w:val="en-US"/>
        </w:rPr>
        <w:t>Norma</w:t>
      </w:r>
      <w:r w:rsidR="000E7B4C" w:rsidRPr="00104227">
        <w:rPr>
          <w:lang w:val="en-US"/>
        </w:rPr>
        <w:t xml:space="preserve"> Aidé Jiménez Osorio, Suhelen Gabriela Cuevas Jaramillo, Bárbara Italia Méndez Moreno, </w:t>
      </w:r>
      <w:r w:rsidR="0047539E" w:rsidRPr="00104227">
        <w:rPr>
          <w:lang w:val="en-US"/>
        </w:rPr>
        <w:t>Angélica Patricia Torres</w:t>
      </w:r>
      <w:r w:rsidR="000E7B4C" w:rsidRPr="00104227">
        <w:rPr>
          <w:lang w:val="en-US"/>
        </w:rPr>
        <w:t xml:space="preserve"> Linares, Claudia Hernández Martínez, Mariana Selvas Gómez</w:t>
      </w:r>
      <w:r w:rsidR="00BF5241" w:rsidRPr="00104227">
        <w:rPr>
          <w:lang w:val="en-US"/>
        </w:rPr>
        <w:t xml:space="preserve"> and </w:t>
      </w:r>
      <w:r w:rsidR="000E7B4C" w:rsidRPr="00104227">
        <w:rPr>
          <w:lang w:val="en-US"/>
        </w:rPr>
        <w:t xml:space="preserve">Georgina Edith </w:t>
      </w:r>
      <w:r w:rsidR="00DA23B8" w:rsidRPr="00104227">
        <w:rPr>
          <w:lang w:val="en-US"/>
        </w:rPr>
        <w:t>Rosales Gutiérrez</w:t>
      </w:r>
      <w:r w:rsidR="000E7B4C" w:rsidRPr="00104227">
        <w:rPr>
          <w:lang w:val="en-US"/>
        </w:rPr>
        <w:t>.</w:t>
      </w:r>
      <w:bookmarkEnd w:id="302"/>
    </w:p>
    <w:p w14:paraId="42A1175E" w14:textId="77777777" w:rsidR="00D959E8" w:rsidRPr="00104227" w:rsidRDefault="00D959E8" w:rsidP="00E4619F">
      <w:pPr>
        <w:tabs>
          <w:tab w:val="left" w:pos="567"/>
        </w:tabs>
        <w:rPr>
          <w:lang w:eastAsia="es-MX"/>
        </w:rPr>
      </w:pPr>
    </w:p>
    <w:p w14:paraId="2E0E3FF9" w14:textId="70FF9A18" w:rsidR="007822EA" w:rsidRPr="00104227" w:rsidRDefault="007822EA" w:rsidP="00801AFD">
      <w:pPr>
        <w:pStyle w:val="Ttulo1"/>
        <w:tabs>
          <w:tab w:val="left" w:pos="567"/>
          <w:tab w:val="left" w:pos="4633"/>
          <w:tab w:val="center" w:pos="4967"/>
        </w:tabs>
        <w:rPr>
          <w:spacing w:val="-4"/>
          <w:szCs w:val="20"/>
        </w:rPr>
      </w:pPr>
      <w:bookmarkStart w:id="303" w:name="_Toc31290594"/>
      <w:r w:rsidRPr="00104227">
        <w:rPr>
          <w:spacing w:val="-4"/>
          <w:szCs w:val="20"/>
        </w:rPr>
        <w:t>IX-2</w:t>
      </w:r>
      <w:bookmarkEnd w:id="303"/>
    </w:p>
    <w:p w14:paraId="73B8F730" w14:textId="3E28D72F" w:rsidR="007822EA" w:rsidRPr="00104227" w:rsidRDefault="00CA43B0" w:rsidP="00E4619F">
      <w:pPr>
        <w:pStyle w:val="Ttulo1"/>
        <w:tabs>
          <w:tab w:val="left" w:pos="567"/>
        </w:tabs>
      </w:pPr>
      <w:bookmarkStart w:id="304" w:name="_Toc528937247"/>
      <w:bookmarkStart w:id="305" w:name="_Toc529790138"/>
      <w:bookmarkStart w:id="306" w:name="_Toc531162254"/>
      <w:bookmarkStart w:id="307" w:name="_Toc531172550"/>
      <w:bookmarkStart w:id="308" w:name="_Toc31290595"/>
      <w:r w:rsidRPr="00104227">
        <w:t>RIGHTS TO</w:t>
      </w:r>
      <w:r w:rsidR="007822EA" w:rsidRPr="00104227">
        <w:t xml:space="preserve"> </w:t>
      </w:r>
      <w:r w:rsidR="0094395C" w:rsidRPr="00104227">
        <w:t>PERSONAL LIBERTY</w:t>
      </w:r>
      <w:r w:rsidR="007822EA" w:rsidRPr="00104227">
        <w:rPr>
          <w:rStyle w:val="Refdenotaalpie"/>
          <w:sz w:val="20"/>
          <w:szCs w:val="20"/>
        </w:rPr>
        <w:footnoteReference w:id="321"/>
      </w:r>
      <w:r w:rsidR="00BF5241" w:rsidRPr="00104227">
        <w:t xml:space="preserve"> </w:t>
      </w:r>
      <w:r w:rsidR="00F32779" w:rsidRPr="00104227">
        <w:t>AND TO JUDICIAL</w:t>
      </w:r>
      <w:r w:rsidR="0094395C" w:rsidRPr="00104227">
        <w:rPr>
          <w:spacing w:val="-4"/>
          <w:szCs w:val="20"/>
        </w:rPr>
        <w:t xml:space="preserve"> GUARANTEES</w:t>
      </w:r>
      <w:r w:rsidR="00F32779" w:rsidRPr="00104227">
        <w:rPr>
          <w:spacing w:val="-4"/>
          <w:szCs w:val="20"/>
        </w:rPr>
        <w:t>,</w:t>
      </w:r>
      <w:r w:rsidR="007822EA" w:rsidRPr="00104227">
        <w:rPr>
          <w:rStyle w:val="Refdenotaalpie"/>
          <w:spacing w:val="-4"/>
          <w:sz w:val="20"/>
          <w:szCs w:val="20"/>
        </w:rPr>
        <w:footnoteReference w:id="322"/>
      </w:r>
      <w:r w:rsidR="007822EA" w:rsidRPr="00104227">
        <w:t xml:space="preserve"> </w:t>
      </w:r>
      <w:r w:rsidR="00F32779" w:rsidRPr="00104227">
        <w:t>IN RELATION TO THE OBLIGATION TO RESPECT AND TO ENSURE THESE RIGHTS</w:t>
      </w:r>
      <w:bookmarkEnd w:id="304"/>
      <w:bookmarkEnd w:id="305"/>
      <w:r w:rsidR="008D0B8A" w:rsidRPr="00104227">
        <w:t xml:space="preserve">, </w:t>
      </w:r>
      <w:r w:rsidR="00F32779" w:rsidRPr="00104227">
        <w:t>WITH REGARD TO THE DETENTIONS ON MAY 3 AND</w:t>
      </w:r>
      <w:r w:rsidR="00DF5F3C" w:rsidRPr="00104227">
        <w:t xml:space="preserve"> 4,</w:t>
      </w:r>
      <w:r w:rsidR="008D0B8A" w:rsidRPr="00104227">
        <w:t xml:space="preserve"> 2006</w:t>
      </w:r>
      <w:bookmarkEnd w:id="306"/>
      <w:bookmarkEnd w:id="307"/>
      <w:bookmarkEnd w:id="308"/>
    </w:p>
    <w:p w14:paraId="19EFF46F" w14:textId="77777777" w:rsidR="007822EA" w:rsidRPr="00104227" w:rsidRDefault="007822EA" w:rsidP="00E4619F">
      <w:pPr>
        <w:tabs>
          <w:tab w:val="left" w:pos="567"/>
        </w:tabs>
        <w:rPr>
          <w:lang w:eastAsia="es-CR"/>
        </w:rPr>
      </w:pPr>
    </w:p>
    <w:p w14:paraId="258113E0" w14:textId="540A11F5" w:rsidR="007822EA" w:rsidRPr="00104227" w:rsidRDefault="00736460" w:rsidP="00E4619F">
      <w:pPr>
        <w:pStyle w:val="Ttulo2"/>
        <w:numPr>
          <w:ilvl w:val="0"/>
          <w:numId w:val="80"/>
        </w:numPr>
        <w:ind w:left="990" w:hanging="270"/>
        <w:rPr>
          <w:szCs w:val="20"/>
          <w:lang w:val="en-US"/>
        </w:rPr>
      </w:pPr>
      <w:bookmarkStart w:id="309" w:name="_Ref527585735"/>
      <w:bookmarkStart w:id="310" w:name="_Toc31290596"/>
      <w:r w:rsidRPr="00104227">
        <w:rPr>
          <w:lang w:val="en-US"/>
        </w:rPr>
        <w:t>Arguments of the parties</w:t>
      </w:r>
      <w:r w:rsidR="00BF5241" w:rsidRPr="00104227">
        <w:rPr>
          <w:szCs w:val="20"/>
          <w:lang w:val="en-US"/>
        </w:rPr>
        <w:t xml:space="preserve"> and of the Commission</w:t>
      </w:r>
      <w:bookmarkEnd w:id="309"/>
      <w:bookmarkEnd w:id="310"/>
    </w:p>
    <w:p w14:paraId="63E45223" w14:textId="77777777" w:rsidR="007822EA" w:rsidRPr="00104227" w:rsidRDefault="007822EA" w:rsidP="00E4619F">
      <w:pPr>
        <w:tabs>
          <w:tab w:val="left" w:pos="567"/>
        </w:tabs>
        <w:rPr>
          <w:lang w:eastAsia="es-MX"/>
        </w:rPr>
      </w:pPr>
    </w:p>
    <w:p w14:paraId="14F778E4" w14:textId="60C7105F" w:rsidR="00FD6F34" w:rsidRPr="00104227" w:rsidRDefault="00BF5241" w:rsidP="00E4619F">
      <w:pPr>
        <w:pStyle w:val="Numberedparagraphs"/>
        <w:tabs>
          <w:tab w:val="left" w:pos="567"/>
        </w:tabs>
        <w:rPr>
          <w:lang w:val="en-US"/>
        </w:rPr>
      </w:pPr>
      <w:r w:rsidRPr="00104227">
        <w:rPr>
          <w:lang w:val="en-US"/>
        </w:rPr>
        <w:t xml:space="preserve">The </w:t>
      </w:r>
      <w:r w:rsidRPr="00104227">
        <w:rPr>
          <w:b/>
          <w:bCs/>
          <w:i/>
          <w:iCs/>
          <w:lang w:val="en-US"/>
        </w:rPr>
        <w:t>Commission</w:t>
      </w:r>
      <w:r w:rsidR="007822EA" w:rsidRPr="00104227">
        <w:rPr>
          <w:lang w:val="en-US"/>
        </w:rPr>
        <w:t xml:space="preserve"> argu</w:t>
      </w:r>
      <w:r w:rsidR="00FD6F34" w:rsidRPr="00104227">
        <w:rPr>
          <w:lang w:val="en-US"/>
        </w:rPr>
        <w:t xml:space="preserve">ed that the detention </w:t>
      </w:r>
      <w:r w:rsidR="00F12946" w:rsidRPr="00104227">
        <w:rPr>
          <w:lang w:val="en-US"/>
        </w:rPr>
        <w:t>of the eleven women</w:t>
      </w:r>
      <w:r w:rsidR="007822EA" w:rsidRPr="00104227">
        <w:rPr>
          <w:lang w:val="en-US"/>
        </w:rPr>
        <w:t xml:space="preserve"> </w:t>
      </w:r>
      <w:r w:rsidR="00844C80" w:rsidRPr="00104227">
        <w:rPr>
          <w:lang w:val="en-US"/>
        </w:rPr>
        <w:t>victims in this case</w:t>
      </w:r>
      <w:r w:rsidR="007822EA" w:rsidRPr="00104227">
        <w:rPr>
          <w:lang w:val="en-US"/>
        </w:rPr>
        <w:t xml:space="preserve"> </w:t>
      </w:r>
      <w:r w:rsidR="00FD6F34" w:rsidRPr="00104227">
        <w:rPr>
          <w:lang w:val="en-US"/>
        </w:rPr>
        <w:t xml:space="preserve">was unlawful and, therefore, contrary to Article </w:t>
      </w:r>
      <w:r w:rsidR="00C2124F" w:rsidRPr="00104227">
        <w:rPr>
          <w:lang w:val="en-US"/>
        </w:rPr>
        <w:t>7(2)</w:t>
      </w:r>
      <w:r w:rsidRPr="00104227">
        <w:rPr>
          <w:lang w:val="en-US"/>
        </w:rPr>
        <w:t xml:space="preserve"> of the Convention</w:t>
      </w:r>
      <w:r w:rsidR="00FD6F34" w:rsidRPr="00104227">
        <w:rPr>
          <w:lang w:val="en-US"/>
        </w:rPr>
        <w:t xml:space="preserve"> because in contravened the provisions of the Mexican Constitution as it was not based on a reasoned order issued by a competent authority. It indicated that, although, in some of its briefs</w:t>
      </w:r>
      <w:r w:rsidR="00D20925" w:rsidRPr="00104227">
        <w:rPr>
          <w:lang w:val="en-US"/>
        </w:rPr>
        <w:t>,</w:t>
      </w:r>
      <w:r w:rsidR="00FD6F34" w:rsidRPr="00104227">
        <w:rPr>
          <w:lang w:val="en-US"/>
        </w:rPr>
        <w:t xml:space="preserve"> the State had argued that they had been detained </w:t>
      </w:r>
      <w:r w:rsidR="00FD6F34" w:rsidRPr="00104227">
        <w:rPr>
          <w:i/>
          <w:iCs/>
          <w:lang w:val="en-US"/>
        </w:rPr>
        <w:t>in flagrante delicto</w:t>
      </w:r>
      <w:r w:rsidR="00FD6F34" w:rsidRPr="00104227">
        <w:rPr>
          <w:lang w:val="en-US"/>
        </w:rPr>
        <w:t xml:space="preserve">, it had not justified this assertion and, to the contrary, the facts reveal the contrary. Also, it considered that the detentions were arbitrary and contrary to Article 7(3) of the Convention owing to the acts of physical, psychological and sexual violence perpetrated against the victims, both at the time of their detention, and </w:t>
      </w:r>
      <w:r w:rsidR="00D20925" w:rsidRPr="00104227">
        <w:rPr>
          <w:lang w:val="en-US"/>
        </w:rPr>
        <w:t>during</w:t>
      </w:r>
      <w:r w:rsidR="00FD6F34" w:rsidRPr="00104227">
        <w:rPr>
          <w:lang w:val="en-US"/>
        </w:rPr>
        <w:t xml:space="preserve"> the transfer to and entry into the CEPRESO. Furthermore, it affirmed that Article 7(4) and paragraphs (b), (d) and (e) of Article 8(2) had been violated because the women were not advised of the reasons for their detention; they made their first s</w:t>
      </w:r>
      <w:r w:rsidR="00D20925" w:rsidRPr="00104227">
        <w:rPr>
          <w:lang w:val="en-US"/>
        </w:rPr>
        <w:t>t</w:t>
      </w:r>
      <w:r w:rsidR="00FD6F34" w:rsidRPr="00104227">
        <w:rPr>
          <w:lang w:val="en-US"/>
        </w:rPr>
        <w:t>atements without knowing the charges or the acts attributed to them, and “without having a trusted defense counsel or, if this was not possible, a counsel provided by the State.”</w:t>
      </w:r>
    </w:p>
    <w:p w14:paraId="508E4B2B" w14:textId="77777777" w:rsidR="007822EA" w:rsidRPr="00104227" w:rsidRDefault="007822EA" w:rsidP="00E4619F">
      <w:pPr>
        <w:tabs>
          <w:tab w:val="left" w:pos="567"/>
        </w:tabs>
        <w:rPr>
          <w:lang w:eastAsia="es-MX"/>
        </w:rPr>
      </w:pPr>
    </w:p>
    <w:p w14:paraId="7DE67E78" w14:textId="2A2B61F7" w:rsidR="007822EA" w:rsidRPr="00104227" w:rsidRDefault="002826A6" w:rsidP="009D1515">
      <w:pPr>
        <w:pStyle w:val="Numberedparagraphs"/>
        <w:tabs>
          <w:tab w:val="left" w:pos="567"/>
        </w:tabs>
        <w:rPr>
          <w:b/>
          <w:lang w:val="en-US"/>
        </w:rPr>
      </w:pPr>
      <w:r w:rsidRPr="00104227">
        <w:rPr>
          <w:lang w:val="en-US"/>
        </w:rPr>
        <w:t xml:space="preserve">The </w:t>
      </w:r>
      <w:r w:rsidRPr="00104227">
        <w:rPr>
          <w:b/>
          <w:bCs/>
          <w:i/>
          <w:iCs/>
          <w:lang w:val="en-US"/>
        </w:rPr>
        <w:t>representatives</w:t>
      </w:r>
      <w:r w:rsidR="007822EA" w:rsidRPr="00104227">
        <w:rPr>
          <w:i/>
          <w:lang w:val="en-US"/>
        </w:rPr>
        <w:t xml:space="preserve"> </w:t>
      </w:r>
      <w:r w:rsidR="00FD6F34" w:rsidRPr="00104227">
        <w:rPr>
          <w:lang w:val="en-US"/>
        </w:rPr>
        <w:t xml:space="preserve">indicated that the deprivation of the </w:t>
      </w:r>
      <w:r w:rsidR="00F27D61" w:rsidRPr="00104227">
        <w:rPr>
          <w:lang w:val="en-US"/>
        </w:rPr>
        <w:t>women’s</w:t>
      </w:r>
      <w:r w:rsidR="00FD6F34" w:rsidRPr="00104227">
        <w:rPr>
          <w:lang w:val="en-US"/>
        </w:rPr>
        <w:t xml:space="preserve">’ </w:t>
      </w:r>
      <w:r w:rsidR="0094395C" w:rsidRPr="00104227">
        <w:rPr>
          <w:lang w:val="en-US"/>
        </w:rPr>
        <w:t>personal liberty</w:t>
      </w:r>
      <w:r w:rsidR="007822EA" w:rsidRPr="00104227">
        <w:rPr>
          <w:lang w:val="en-US"/>
        </w:rPr>
        <w:t xml:space="preserve"> </w:t>
      </w:r>
      <w:r w:rsidR="00FD6F34" w:rsidRPr="00104227">
        <w:rPr>
          <w:lang w:val="en-US"/>
        </w:rPr>
        <w:t xml:space="preserve">violated </w:t>
      </w:r>
      <w:r w:rsidR="00BF5241" w:rsidRPr="00104227">
        <w:rPr>
          <w:lang w:val="en-US"/>
        </w:rPr>
        <w:t>Article</w:t>
      </w:r>
      <w:r w:rsidR="007822EA" w:rsidRPr="00104227">
        <w:rPr>
          <w:lang w:val="en-US"/>
        </w:rPr>
        <w:t xml:space="preserve"> </w:t>
      </w:r>
      <w:r w:rsidR="00C2124F" w:rsidRPr="00104227">
        <w:rPr>
          <w:lang w:val="en-US"/>
        </w:rPr>
        <w:t>7(1)</w:t>
      </w:r>
      <w:r w:rsidR="007822EA" w:rsidRPr="00104227">
        <w:rPr>
          <w:lang w:val="en-US"/>
        </w:rPr>
        <w:t xml:space="preserve"> </w:t>
      </w:r>
      <w:r w:rsidR="00FD6F34" w:rsidRPr="00104227">
        <w:rPr>
          <w:lang w:val="en-US"/>
        </w:rPr>
        <w:t>because it took place “in the context of mass detention</w:t>
      </w:r>
      <w:r w:rsidR="00D20925" w:rsidRPr="00104227">
        <w:rPr>
          <w:lang w:val="en-US"/>
        </w:rPr>
        <w:t>s</w:t>
      </w:r>
      <w:r w:rsidR="00FD6F34" w:rsidRPr="00104227">
        <w:rPr>
          <w:lang w:val="en-US"/>
        </w:rPr>
        <w:t xml:space="preserve">, </w:t>
      </w:r>
      <w:r w:rsidR="009D1515" w:rsidRPr="00104227">
        <w:rPr>
          <w:lang w:val="en-US"/>
        </w:rPr>
        <w:t xml:space="preserve">merely </w:t>
      </w:r>
      <w:r w:rsidR="00B80E0F" w:rsidRPr="00104227">
        <w:rPr>
          <w:lang w:val="en-US"/>
        </w:rPr>
        <w:t>based on</w:t>
      </w:r>
      <w:r w:rsidR="009D1515" w:rsidRPr="00104227">
        <w:rPr>
          <w:lang w:val="en-US"/>
        </w:rPr>
        <w:t xml:space="preserve"> the fact that the victims were in the area” and “without there necessarily being any connection between the persons detained and the protests, and in particular with regard to any unlawful conduct.” The</w:t>
      </w:r>
      <w:r w:rsidR="00B80E0F" w:rsidRPr="00104227">
        <w:rPr>
          <w:lang w:val="en-US"/>
        </w:rPr>
        <w:t>y</w:t>
      </w:r>
      <w:r w:rsidR="009D1515" w:rsidRPr="00104227">
        <w:rPr>
          <w:lang w:val="en-US"/>
        </w:rPr>
        <w:t xml:space="preserve"> indicated that, in e</w:t>
      </w:r>
      <w:r w:rsidR="00B80E0F" w:rsidRPr="00104227">
        <w:rPr>
          <w:lang w:val="en-US"/>
        </w:rPr>
        <w:t>ach</w:t>
      </w:r>
      <w:r w:rsidR="009D1515" w:rsidRPr="00104227">
        <w:rPr>
          <w:lang w:val="en-US"/>
        </w:rPr>
        <w:t xml:space="preserve"> case, the detention was unlawful because it did not comply with the pertinent requirements indicated in the Constitution, and</w:t>
      </w:r>
      <w:r w:rsidR="00B80E0F" w:rsidRPr="00104227">
        <w:rPr>
          <w:lang w:val="en-US"/>
        </w:rPr>
        <w:t xml:space="preserve"> also</w:t>
      </w:r>
      <w:r w:rsidR="009D1515" w:rsidRPr="00104227">
        <w:rPr>
          <w:lang w:val="en-US"/>
        </w:rPr>
        <w:t xml:space="preserve"> “most of the women were detained in </w:t>
      </w:r>
      <w:r w:rsidR="00B80E0F" w:rsidRPr="00104227">
        <w:rPr>
          <w:lang w:val="en-US"/>
        </w:rPr>
        <w:t xml:space="preserve">private </w:t>
      </w:r>
      <w:r w:rsidR="009D1515" w:rsidRPr="00104227">
        <w:rPr>
          <w:lang w:val="en-US"/>
        </w:rPr>
        <w:t xml:space="preserve">houses during unauthorized searches.” They also asserted that the detentions were arbitrary </w:t>
      </w:r>
      <w:r w:rsidR="009D1515" w:rsidRPr="00104227">
        <w:rPr>
          <w:bCs/>
          <w:lang w:val="en-US"/>
        </w:rPr>
        <w:t>b</w:t>
      </w:r>
      <w:r w:rsidR="009D1515" w:rsidRPr="00104227">
        <w:rPr>
          <w:lang w:val="en-US"/>
        </w:rPr>
        <w:t xml:space="preserve">ecause the use of physical, psychological and sexual violence “as a methodology to </w:t>
      </w:r>
      <w:r w:rsidR="00B80E0F" w:rsidRPr="00104227">
        <w:rPr>
          <w:lang w:val="en-US"/>
        </w:rPr>
        <w:t>carry out arrests,</w:t>
      </w:r>
      <w:r w:rsidR="009D1515" w:rsidRPr="00104227">
        <w:rPr>
          <w:lang w:val="en-US"/>
        </w:rPr>
        <w:t xml:space="preserve"> in the moments following the deprivation of liberty</w:t>
      </w:r>
      <w:r w:rsidR="00B80E0F" w:rsidRPr="00104227">
        <w:rPr>
          <w:lang w:val="en-US"/>
        </w:rPr>
        <w:t>,</w:t>
      </w:r>
      <w:r w:rsidR="009D1515" w:rsidRPr="00104227">
        <w:rPr>
          <w:lang w:val="en-US"/>
        </w:rPr>
        <w:t xml:space="preserve"> and</w:t>
      </w:r>
      <w:r w:rsidR="00B80E0F" w:rsidRPr="00104227">
        <w:rPr>
          <w:lang w:val="en-US"/>
        </w:rPr>
        <w:t xml:space="preserve"> during the</w:t>
      </w:r>
      <w:r w:rsidR="009D1515" w:rsidRPr="00104227">
        <w:rPr>
          <w:lang w:val="en-US"/>
        </w:rPr>
        <w:t xml:space="preserve"> tra</w:t>
      </w:r>
      <w:r w:rsidR="00B80E0F" w:rsidRPr="00104227">
        <w:rPr>
          <w:lang w:val="en-US"/>
        </w:rPr>
        <w:t>n</w:t>
      </w:r>
      <w:r w:rsidR="009D1515" w:rsidRPr="00104227">
        <w:rPr>
          <w:lang w:val="en-US"/>
        </w:rPr>
        <w:t>sfer,</w:t>
      </w:r>
      <w:r w:rsidR="00B80E0F" w:rsidRPr="00104227">
        <w:rPr>
          <w:lang w:val="en-US"/>
        </w:rPr>
        <w:t xml:space="preserve"> </w:t>
      </w:r>
      <w:r w:rsidR="009D1515" w:rsidRPr="00104227">
        <w:rPr>
          <w:lang w:val="en-US"/>
        </w:rPr>
        <w:t>w</w:t>
      </w:r>
      <w:r w:rsidR="00B80E0F" w:rsidRPr="00104227">
        <w:rPr>
          <w:lang w:val="en-US"/>
        </w:rPr>
        <w:t>as</w:t>
      </w:r>
      <w:r w:rsidR="009D1515" w:rsidRPr="00104227">
        <w:rPr>
          <w:lang w:val="en-US"/>
        </w:rPr>
        <w:t xml:space="preserve"> not reasonable, predictable or proportionate and did not seek to achieve any valid purpose.</w:t>
      </w:r>
      <w:r w:rsidR="007822EA" w:rsidRPr="00104227">
        <w:rPr>
          <w:lang w:val="en-US"/>
        </w:rPr>
        <w:t xml:space="preserve">” </w:t>
      </w:r>
      <w:r w:rsidR="009D1515" w:rsidRPr="00104227">
        <w:rPr>
          <w:lang w:val="en-US"/>
        </w:rPr>
        <w:t>In addition, they argued that Article 7(4) and paragraphs (b), (d) and (e) of Article 8(2) had been violated because: (i) the women were not informed of the reasons for their detention, or (ii) notified “clearly of the charges against them and of the facts and arguments on which those charges were based before their first appearance before the Public Prosecution Service”, and (iii) “they did not have defense counsel from the start of the investigations against the</w:t>
      </w:r>
      <w:r w:rsidR="00B80E0F" w:rsidRPr="00104227">
        <w:rPr>
          <w:lang w:val="en-US"/>
        </w:rPr>
        <w:t>m</w:t>
      </w:r>
      <w:r w:rsidR="009D1515" w:rsidRPr="00104227">
        <w:rPr>
          <w:lang w:val="en-US"/>
        </w:rPr>
        <w:t xml:space="preserve">, or before their first appearance before </w:t>
      </w:r>
      <w:r w:rsidR="00024310" w:rsidRPr="00104227">
        <w:rPr>
          <w:lang w:val="en-US"/>
        </w:rPr>
        <w:t>the Public Prosecution Service</w:t>
      </w:r>
      <w:r w:rsidR="009D1515" w:rsidRPr="00104227">
        <w:rPr>
          <w:lang w:val="en-US"/>
        </w:rPr>
        <w:t>.</w:t>
      </w:r>
      <w:r w:rsidR="0052134F" w:rsidRPr="00104227">
        <w:rPr>
          <w:lang w:val="en-US"/>
        </w:rPr>
        <w:t>”</w:t>
      </w:r>
    </w:p>
    <w:p w14:paraId="0E8EB73C" w14:textId="77777777" w:rsidR="007822EA" w:rsidRPr="00104227" w:rsidRDefault="007822EA" w:rsidP="00E4619F">
      <w:pPr>
        <w:tabs>
          <w:tab w:val="left" w:pos="567"/>
        </w:tabs>
        <w:rPr>
          <w:lang w:eastAsia="es-MX"/>
        </w:rPr>
      </w:pPr>
    </w:p>
    <w:p w14:paraId="1418332B" w14:textId="7C9ADC07" w:rsidR="007822EA" w:rsidRPr="00104227" w:rsidRDefault="00AC3BFC" w:rsidP="00E4619F">
      <w:pPr>
        <w:pStyle w:val="Numberedparagraphs"/>
        <w:tabs>
          <w:tab w:val="left" w:pos="567"/>
        </w:tabs>
        <w:rPr>
          <w:lang w:val="en-US"/>
        </w:rPr>
      </w:pPr>
      <w:r w:rsidRPr="00104227">
        <w:rPr>
          <w:lang w:val="en-US"/>
        </w:rPr>
        <w:lastRenderedPageBreak/>
        <w:t>The State</w:t>
      </w:r>
      <w:r w:rsidR="007822EA" w:rsidRPr="00104227">
        <w:rPr>
          <w:lang w:val="en-US"/>
        </w:rPr>
        <w:t xml:space="preserve"> </w:t>
      </w:r>
      <w:r w:rsidR="009D1515" w:rsidRPr="00104227">
        <w:rPr>
          <w:lang w:val="en-US"/>
        </w:rPr>
        <w:t>acknowledged responsibility for the v</w:t>
      </w:r>
      <w:r w:rsidR="00E466FA" w:rsidRPr="00104227">
        <w:rPr>
          <w:lang w:val="en-US"/>
        </w:rPr>
        <w:t>iolation of the right to</w:t>
      </w:r>
      <w:r w:rsidR="007822EA" w:rsidRPr="00104227">
        <w:rPr>
          <w:lang w:val="en-US"/>
        </w:rPr>
        <w:t xml:space="preserve"> </w:t>
      </w:r>
      <w:r w:rsidR="0094395C" w:rsidRPr="00104227">
        <w:rPr>
          <w:lang w:val="en-US"/>
        </w:rPr>
        <w:t>personal liberty</w:t>
      </w:r>
      <w:r w:rsidR="007822EA" w:rsidRPr="00104227">
        <w:rPr>
          <w:lang w:val="en-US"/>
        </w:rPr>
        <w:t xml:space="preserve"> </w:t>
      </w:r>
      <w:r w:rsidR="00F12946" w:rsidRPr="00104227">
        <w:rPr>
          <w:lang w:val="en-US"/>
        </w:rPr>
        <w:t>of the eleven women</w:t>
      </w:r>
      <w:r w:rsidR="007822EA" w:rsidRPr="00104227">
        <w:rPr>
          <w:lang w:val="en-US"/>
        </w:rPr>
        <w:t xml:space="preserve"> </w:t>
      </w:r>
      <w:r w:rsidR="00844C80" w:rsidRPr="00104227">
        <w:rPr>
          <w:lang w:val="en-US"/>
        </w:rPr>
        <w:t>victims in this case</w:t>
      </w:r>
      <w:r w:rsidR="007822EA" w:rsidRPr="00104227">
        <w:rPr>
          <w:lang w:val="en-US"/>
        </w:rPr>
        <w:t xml:space="preserve">, </w:t>
      </w:r>
      <w:r w:rsidR="009D1515" w:rsidRPr="00104227">
        <w:rPr>
          <w:lang w:val="en-US"/>
        </w:rPr>
        <w:t xml:space="preserve">owing to their deprivation of liberty and the failure to notify the reasons for their detention, as well as the facts contained in </w:t>
      </w:r>
      <w:r w:rsidR="00DF5F3C" w:rsidRPr="00104227">
        <w:rPr>
          <w:lang w:val="en-US"/>
        </w:rPr>
        <w:t>paragraphs</w:t>
      </w:r>
      <w:r w:rsidR="007822EA" w:rsidRPr="00104227">
        <w:rPr>
          <w:lang w:val="en-US"/>
        </w:rPr>
        <w:t xml:space="preserve"> 122 </w:t>
      </w:r>
      <w:r w:rsidR="009D1515" w:rsidRPr="00104227">
        <w:rPr>
          <w:lang w:val="en-US"/>
        </w:rPr>
        <w:t>to</w:t>
      </w:r>
      <w:r w:rsidR="007822EA" w:rsidRPr="00104227">
        <w:rPr>
          <w:lang w:val="en-US"/>
        </w:rPr>
        <w:t xml:space="preserve"> 307 </w:t>
      </w:r>
      <w:r w:rsidR="00F12946" w:rsidRPr="00104227">
        <w:rPr>
          <w:lang w:val="en-US"/>
        </w:rPr>
        <w:t>of the Merits</w:t>
      </w:r>
      <w:r w:rsidR="002826A6" w:rsidRPr="00104227">
        <w:rPr>
          <w:lang w:val="en-US"/>
        </w:rPr>
        <w:t xml:space="preserve"> Report</w:t>
      </w:r>
      <w:r w:rsidR="007822EA" w:rsidRPr="00104227">
        <w:rPr>
          <w:lang w:val="en-US"/>
        </w:rPr>
        <w:t xml:space="preserve"> present</w:t>
      </w:r>
      <w:r w:rsidR="00A56353" w:rsidRPr="00104227">
        <w:rPr>
          <w:lang w:val="en-US"/>
        </w:rPr>
        <w:t>ed by</w:t>
      </w:r>
      <w:r w:rsidR="007822EA" w:rsidRPr="00104227">
        <w:rPr>
          <w:lang w:val="en-US"/>
        </w:rPr>
        <w:t xml:space="preserve"> </w:t>
      </w:r>
      <w:r w:rsidR="00BF5241" w:rsidRPr="00104227">
        <w:rPr>
          <w:lang w:val="en-US"/>
        </w:rPr>
        <w:t>the Commission</w:t>
      </w:r>
      <w:r w:rsidR="007822EA" w:rsidRPr="00104227">
        <w:rPr>
          <w:lang w:val="en-US"/>
        </w:rPr>
        <w:t xml:space="preserve">, </w:t>
      </w:r>
      <w:r w:rsidR="00A56353" w:rsidRPr="00104227">
        <w:rPr>
          <w:lang w:val="en-US"/>
        </w:rPr>
        <w:t>which describe the circumstances of the detentions</w:t>
      </w:r>
      <w:r w:rsidR="007822EA" w:rsidRPr="00104227">
        <w:rPr>
          <w:lang w:val="en-US"/>
        </w:rPr>
        <w:t xml:space="preserve">. </w:t>
      </w:r>
    </w:p>
    <w:p w14:paraId="7F6FBF33" w14:textId="77777777" w:rsidR="007822EA" w:rsidRPr="00104227" w:rsidRDefault="007822EA" w:rsidP="00E4619F">
      <w:pPr>
        <w:tabs>
          <w:tab w:val="left" w:pos="567"/>
        </w:tabs>
        <w:rPr>
          <w:lang w:eastAsia="es-MX"/>
        </w:rPr>
      </w:pPr>
    </w:p>
    <w:p w14:paraId="7D070BC6" w14:textId="693F2016" w:rsidR="007822EA" w:rsidRPr="00104227" w:rsidRDefault="006E13F0" w:rsidP="00E4619F">
      <w:pPr>
        <w:pStyle w:val="Ttulo2"/>
        <w:ind w:left="990" w:hanging="270"/>
        <w:rPr>
          <w:szCs w:val="20"/>
          <w:lang w:val="en-US"/>
        </w:rPr>
      </w:pPr>
      <w:bookmarkStart w:id="311" w:name="_Toc31290597"/>
      <w:r w:rsidRPr="00104227">
        <w:rPr>
          <w:szCs w:val="20"/>
          <w:lang w:val="en-US"/>
        </w:rPr>
        <w:t>Considerations</w:t>
      </w:r>
      <w:r w:rsidR="00BF5241" w:rsidRPr="00104227">
        <w:rPr>
          <w:szCs w:val="20"/>
          <w:lang w:val="en-US"/>
        </w:rPr>
        <w:t xml:space="preserve"> of the Court</w:t>
      </w:r>
      <w:bookmarkEnd w:id="311"/>
    </w:p>
    <w:p w14:paraId="125B9BB3" w14:textId="77777777" w:rsidR="007822EA" w:rsidRPr="00104227" w:rsidRDefault="007822EA" w:rsidP="00E4619F">
      <w:pPr>
        <w:tabs>
          <w:tab w:val="left" w:pos="567"/>
        </w:tabs>
        <w:rPr>
          <w:lang w:eastAsia="es-CR"/>
        </w:rPr>
      </w:pPr>
    </w:p>
    <w:p w14:paraId="08DDAEF8" w14:textId="0C50C4F1" w:rsidR="007822EA" w:rsidRPr="00104227" w:rsidRDefault="007111BC" w:rsidP="006B02D2">
      <w:pPr>
        <w:pStyle w:val="Numberedparagraphs"/>
        <w:tabs>
          <w:tab w:val="left" w:pos="567"/>
        </w:tabs>
        <w:rPr>
          <w:lang w:val="en-US" w:eastAsia="es-CR"/>
        </w:rPr>
      </w:pPr>
      <w:bookmarkStart w:id="312" w:name="_Ref532987402"/>
      <w:r w:rsidRPr="00104227">
        <w:rPr>
          <w:lang w:val="en-US"/>
        </w:rPr>
        <w:t>In this chapter</w:t>
      </w:r>
      <w:r w:rsidR="007822EA" w:rsidRPr="00104227">
        <w:rPr>
          <w:lang w:val="en-US"/>
        </w:rPr>
        <w:t xml:space="preserve">, </w:t>
      </w:r>
      <w:r w:rsidR="00BF5241" w:rsidRPr="00104227">
        <w:rPr>
          <w:lang w:val="en-US"/>
        </w:rPr>
        <w:t>the Court</w:t>
      </w:r>
      <w:r w:rsidR="007822EA" w:rsidRPr="00104227">
        <w:rPr>
          <w:lang w:val="en-US"/>
        </w:rPr>
        <w:t xml:space="preserve"> </w:t>
      </w:r>
      <w:r w:rsidRPr="00104227">
        <w:rPr>
          <w:lang w:val="en-US"/>
        </w:rPr>
        <w:t xml:space="preserve">will analyze jointly the alleged violations of the </w:t>
      </w:r>
      <w:r w:rsidR="0094395C" w:rsidRPr="00104227">
        <w:rPr>
          <w:lang w:val="en-US"/>
        </w:rPr>
        <w:t>personal liberty</w:t>
      </w:r>
      <w:r w:rsidR="00BF5241" w:rsidRPr="00104227">
        <w:rPr>
          <w:lang w:val="en-US"/>
        </w:rPr>
        <w:t xml:space="preserve"> and</w:t>
      </w:r>
      <w:r w:rsidR="00B80E0F" w:rsidRPr="00104227">
        <w:rPr>
          <w:lang w:val="en-US"/>
        </w:rPr>
        <w:t xml:space="preserve"> the</w:t>
      </w:r>
      <w:r w:rsidR="00BF5241" w:rsidRPr="00104227">
        <w:rPr>
          <w:lang w:val="en-US"/>
        </w:rPr>
        <w:t xml:space="preserve"> </w:t>
      </w:r>
      <w:r w:rsidR="0094395C" w:rsidRPr="00104227">
        <w:rPr>
          <w:lang w:val="en-US"/>
        </w:rPr>
        <w:t>judicial guarantees</w:t>
      </w:r>
      <w:r w:rsidR="007822EA" w:rsidRPr="00104227">
        <w:rPr>
          <w:lang w:val="en-US"/>
        </w:rPr>
        <w:t xml:space="preserve"> </w:t>
      </w:r>
      <w:r w:rsidR="00F12946" w:rsidRPr="00104227">
        <w:rPr>
          <w:lang w:val="en-US"/>
        </w:rPr>
        <w:t>of the eleven women</w:t>
      </w:r>
      <w:r w:rsidR="007822EA" w:rsidRPr="00104227">
        <w:rPr>
          <w:lang w:val="en-US"/>
        </w:rPr>
        <w:t xml:space="preserve"> </w:t>
      </w:r>
      <w:r w:rsidR="00844C80" w:rsidRPr="00104227">
        <w:rPr>
          <w:lang w:val="en-US"/>
        </w:rPr>
        <w:t>victims in this case</w:t>
      </w:r>
      <w:r w:rsidR="007822EA" w:rsidRPr="00104227">
        <w:rPr>
          <w:lang w:val="en-US"/>
        </w:rPr>
        <w:t xml:space="preserve">, </w:t>
      </w:r>
      <w:r w:rsidRPr="00104227">
        <w:rPr>
          <w:lang w:val="en-US"/>
        </w:rPr>
        <w:t>in the context of the preliminary inquiries that were opened following their detention, owing to the similarity of the facts that may have given rise to these violations.</w:t>
      </w:r>
      <w:bookmarkEnd w:id="312"/>
    </w:p>
    <w:p w14:paraId="6D0DEA62" w14:textId="77777777" w:rsidR="00DA0929" w:rsidRPr="00104227" w:rsidRDefault="00DA0929" w:rsidP="00E4619F">
      <w:pPr>
        <w:pStyle w:val="Numberedparagraphs"/>
        <w:numPr>
          <w:ilvl w:val="0"/>
          <w:numId w:val="0"/>
        </w:numPr>
        <w:tabs>
          <w:tab w:val="left" w:pos="567"/>
        </w:tabs>
        <w:rPr>
          <w:lang w:val="en-US" w:eastAsia="es-CR"/>
        </w:rPr>
      </w:pPr>
    </w:p>
    <w:p w14:paraId="3B8E0363" w14:textId="426FC508" w:rsidR="007822EA" w:rsidRPr="00104227" w:rsidRDefault="00BF5241" w:rsidP="007111BC">
      <w:pPr>
        <w:pStyle w:val="Numberedparagraphs"/>
        <w:tabs>
          <w:tab w:val="left" w:pos="567"/>
        </w:tabs>
        <w:rPr>
          <w:lang w:val="en-US"/>
        </w:rPr>
      </w:pPr>
      <w:r w:rsidRPr="00104227">
        <w:rPr>
          <w:lang w:val="en-US"/>
        </w:rPr>
        <w:t>The Court</w:t>
      </w:r>
      <w:r w:rsidR="007822EA" w:rsidRPr="00104227">
        <w:rPr>
          <w:lang w:val="en-US"/>
        </w:rPr>
        <w:t xml:space="preserve"> ha</w:t>
      </w:r>
      <w:r w:rsidR="007111BC" w:rsidRPr="00104227">
        <w:rPr>
          <w:lang w:val="en-US"/>
        </w:rPr>
        <w:t>s established that</w:t>
      </w:r>
      <w:r w:rsidR="007822EA" w:rsidRPr="00104227">
        <w:rPr>
          <w:lang w:val="en-US"/>
        </w:rPr>
        <w:t xml:space="preserve"> </w:t>
      </w:r>
      <w:r w:rsidRPr="00104227">
        <w:rPr>
          <w:lang w:val="en-US"/>
        </w:rPr>
        <w:t>Article</w:t>
      </w:r>
      <w:r w:rsidR="007822EA" w:rsidRPr="00104227">
        <w:rPr>
          <w:lang w:val="en-US"/>
        </w:rPr>
        <w:t xml:space="preserve"> 7</w:t>
      </w:r>
      <w:r w:rsidRPr="00104227">
        <w:rPr>
          <w:lang w:val="en-US"/>
        </w:rPr>
        <w:t xml:space="preserve"> of the American Convention</w:t>
      </w:r>
      <w:r w:rsidR="007111BC" w:rsidRPr="00104227">
        <w:rPr>
          <w:lang w:val="en-US"/>
        </w:rPr>
        <w:t xml:space="preserve"> contains two very different types of rules, one general and the other specific. The general rule is to be found in the first paragraph: “</w:t>
      </w:r>
      <w:r w:rsidR="007111BC" w:rsidRPr="00104227">
        <w:rPr>
          <w:spacing w:val="-3"/>
          <w:lang w:val="en-US"/>
        </w:rPr>
        <w:t>Every person has the right to personal liberty and security.” While, the specific rule is composed of a series of guarantees that protect the right not to be deprived of liberty unlawfully</w:t>
      </w:r>
      <w:r w:rsidR="007822EA" w:rsidRPr="00104227">
        <w:rPr>
          <w:lang w:val="en-US"/>
        </w:rPr>
        <w:t xml:space="preserve"> (</w:t>
      </w:r>
      <w:r w:rsidRPr="00104227">
        <w:rPr>
          <w:lang w:val="en-US"/>
        </w:rPr>
        <w:t>Article</w:t>
      </w:r>
      <w:r w:rsidR="007822EA" w:rsidRPr="00104227">
        <w:rPr>
          <w:lang w:val="en-US"/>
        </w:rPr>
        <w:t xml:space="preserve"> </w:t>
      </w:r>
      <w:r w:rsidR="00C2124F" w:rsidRPr="00104227">
        <w:rPr>
          <w:lang w:val="en-US"/>
        </w:rPr>
        <w:t>7(2)</w:t>
      </w:r>
      <w:r w:rsidR="007822EA" w:rsidRPr="00104227">
        <w:rPr>
          <w:lang w:val="en-US"/>
        </w:rPr>
        <w:t>) o</w:t>
      </w:r>
      <w:r w:rsidR="007111BC" w:rsidRPr="00104227">
        <w:rPr>
          <w:lang w:val="en-US"/>
        </w:rPr>
        <w:t>r</w:t>
      </w:r>
      <w:r w:rsidR="007822EA" w:rsidRPr="00104227">
        <w:rPr>
          <w:lang w:val="en-US"/>
        </w:rPr>
        <w:t xml:space="preserve"> arbitrari</w:t>
      </w:r>
      <w:r w:rsidR="007111BC" w:rsidRPr="00104227">
        <w:rPr>
          <w:lang w:val="en-US"/>
        </w:rPr>
        <w:t>ly</w:t>
      </w:r>
      <w:r w:rsidR="007822EA" w:rsidRPr="00104227">
        <w:rPr>
          <w:lang w:val="en-US"/>
        </w:rPr>
        <w:t xml:space="preserve"> (</w:t>
      </w:r>
      <w:r w:rsidRPr="00104227">
        <w:rPr>
          <w:lang w:val="en-US"/>
        </w:rPr>
        <w:t>Article</w:t>
      </w:r>
      <w:r w:rsidR="007822EA" w:rsidRPr="00104227">
        <w:rPr>
          <w:lang w:val="en-US"/>
        </w:rPr>
        <w:t xml:space="preserve"> </w:t>
      </w:r>
      <w:r w:rsidR="00C2124F" w:rsidRPr="00104227">
        <w:rPr>
          <w:lang w:val="en-US"/>
        </w:rPr>
        <w:t>7(3)</w:t>
      </w:r>
      <w:r w:rsidR="007822EA" w:rsidRPr="00104227">
        <w:rPr>
          <w:lang w:val="en-US"/>
        </w:rPr>
        <w:t xml:space="preserve">), </w:t>
      </w:r>
      <w:r w:rsidR="007111BC" w:rsidRPr="00104227">
        <w:rPr>
          <w:lang w:val="en-US"/>
        </w:rPr>
        <w:t xml:space="preserve">to be informed of the reasons for the detention </w:t>
      </w:r>
      <w:r w:rsidR="007822EA" w:rsidRPr="00104227">
        <w:rPr>
          <w:lang w:val="en-US"/>
        </w:rPr>
        <w:t>a</w:t>
      </w:r>
      <w:r w:rsidR="007111BC" w:rsidRPr="00104227">
        <w:rPr>
          <w:lang w:val="en-US"/>
        </w:rPr>
        <w:t>nd the charges against him</w:t>
      </w:r>
      <w:r w:rsidR="00B80E0F" w:rsidRPr="00104227">
        <w:rPr>
          <w:lang w:val="en-US"/>
        </w:rPr>
        <w:t xml:space="preserve"> or her</w:t>
      </w:r>
      <w:r w:rsidR="007822EA" w:rsidRPr="00104227">
        <w:rPr>
          <w:lang w:val="en-US"/>
        </w:rPr>
        <w:t xml:space="preserve"> (</w:t>
      </w:r>
      <w:r w:rsidRPr="00104227">
        <w:rPr>
          <w:lang w:val="en-US"/>
        </w:rPr>
        <w:t>Article</w:t>
      </w:r>
      <w:r w:rsidR="007822EA" w:rsidRPr="00104227">
        <w:rPr>
          <w:lang w:val="en-US"/>
        </w:rPr>
        <w:t xml:space="preserve"> </w:t>
      </w:r>
      <w:r w:rsidR="00C2124F" w:rsidRPr="00104227">
        <w:rPr>
          <w:lang w:val="en-US"/>
        </w:rPr>
        <w:t>7(4)</w:t>
      </w:r>
      <w:r w:rsidR="007822EA" w:rsidRPr="00104227">
        <w:rPr>
          <w:lang w:val="en-US"/>
        </w:rPr>
        <w:t xml:space="preserve">), </w:t>
      </w:r>
      <w:r w:rsidR="007111BC" w:rsidRPr="00104227">
        <w:rPr>
          <w:lang w:val="en-US"/>
        </w:rPr>
        <w:t xml:space="preserve">to judicial control of the deprivation of liberty </w:t>
      </w:r>
      <w:r w:rsidR="007822EA" w:rsidRPr="00104227">
        <w:rPr>
          <w:lang w:val="en-US"/>
        </w:rPr>
        <w:t>(</w:t>
      </w:r>
      <w:r w:rsidRPr="00104227">
        <w:rPr>
          <w:lang w:val="en-US"/>
        </w:rPr>
        <w:t>Article</w:t>
      </w:r>
      <w:r w:rsidR="007822EA" w:rsidRPr="00104227">
        <w:rPr>
          <w:lang w:val="en-US"/>
        </w:rPr>
        <w:t xml:space="preserve"> 7</w:t>
      </w:r>
      <w:r w:rsidR="007111BC" w:rsidRPr="00104227">
        <w:rPr>
          <w:lang w:val="en-US"/>
        </w:rPr>
        <w:t>(</w:t>
      </w:r>
      <w:r w:rsidR="007822EA" w:rsidRPr="00104227">
        <w:rPr>
          <w:lang w:val="en-US"/>
        </w:rPr>
        <w:t>5</w:t>
      </w:r>
      <w:r w:rsidR="007111BC" w:rsidRPr="00104227">
        <w:rPr>
          <w:lang w:val="en-US"/>
        </w:rPr>
        <w:t>)</w:t>
      </w:r>
      <w:r w:rsidR="007822EA" w:rsidRPr="00104227">
        <w:rPr>
          <w:lang w:val="en-US"/>
        </w:rPr>
        <w:t>)</w:t>
      </w:r>
      <w:r w:rsidRPr="00104227">
        <w:rPr>
          <w:lang w:val="en-US"/>
        </w:rPr>
        <w:t xml:space="preserve"> and </w:t>
      </w:r>
      <w:r w:rsidR="007111BC" w:rsidRPr="00104227">
        <w:rPr>
          <w:lang w:val="en-US"/>
        </w:rPr>
        <w:t xml:space="preserve">to contest the lawfulness of the detention </w:t>
      </w:r>
      <w:r w:rsidR="007822EA" w:rsidRPr="00104227">
        <w:rPr>
          <w:lang w:val="en-US"/>
        </w:rPr>
        <w:t>(</w:t>
      </w:r>
      <w:r w:rsidRPr="00104227">
        <w:rPr>
          <w:lang w:val="en-US"/>
        </w:rPr>
        <w:t>Article</w:t>
      </w:r>
      <w:r w:rsidR="007822EA" w:rsidRPr="00104227">
        <w:rPr>
          <w:lang w:val="en-US"/>
        </w:rPr>
        <w:t xml:space="preserve"> 7</w:t>
      </w:r>
      <w:r w:rsidR="007111BC" w:rsidRPr="00104227">
        <w:rPr>
          <w:lang w:val="en-US"/>
        </w:rPr>
        <w:t>(</w:t>
      </w:r>
      <w:r w:rsidR="007822EA" w:rsidRPr="00104227">
        <w:rPr>
          <w:lang w:val="en-US"/>
        </w:rPr>
        <w:t>6</w:t>
      </w:r>
      <w:r w:rsidR="007111BC" w:rsidRPr="00104227">
        <w:rPr>
          <w:lang w:val="en-US"/>
        </w:rPr>
        <w:t>)</w:t>
      </w:r>
      <w:r w:rsidR="007822EA" w:rsidRPr="00104227">
        <w:rPr>
          <w:lang w:val="en-US"/>
        </w:rPr>
        <w:t xml:space="preserve">). </w:t>
      </w:r>
      <w:r w:rsidR="007111BC" w:rsidRPr="00104227">
        <w:rPr>
          <w:lang w:val="en-US"/>
        </w:rPr>
        <w:t xml:space="preserve">Any violation of paragraphs </w:t>
      </w:r>
      <w:r w:rsidR="007822EA" w:rsidRPr="00104227">
        <w:rPr>
          <w:lang w:val="en-US"/>
        </w:rPr>
        <w:t xml:space="preserve">2 </w:t>
      </w:r>
      <w:r w:rsidR="007111BC" w:rsidRPr="00104227">
        <w:rPr>
          <w:lang w:val="en-US"/>
        </w:rPr>
        <w:t>to</w:t>
      </w:r>
      <w:r w:rsidR="007822EA" w:rsidRPr="00104227">
        <w:rPr>
          <w:lang w:val="en-US"/>
        </w:rPr>
        <w:t xml:space="preserve"> 7 </w:t>
      </w:r>
      <w:r w:rsidR="0060075A" w:rsidRPr="00104227">
        <w:rPr>
          <w:lang w:val="en-US"/>
        </w:rPr>
        <w:t>of Article</w:t>
      </w:r>
      <w:r w:rsidR="007822EA" w:rsidRPr="00104227">
        <w:rPr>
          <w:lang w:val="en-US"/>
        </w:rPr>
        <w:t xml:space="preserve"> 7</w:t>
      </w:r>
      <w:r w:rsidRPr="00104227">
        <w:rPr>
          <w:lang w:val="en-US"/>
        </w:rPr>
        <w:t xml:space="preserve"> of the Convention</w:t>
      </w:r>
      <w:r w:rsidR="007822EA" w:rsidRPr="00104227">
        <w:rPr>
          <w:lang w:val="en-US"/>
        </w:rPr>
        <w:t xml:space="preserve"> </w:t>
      </w:r>
      <w:r w:rsidR="007111BC" w:rsidRPr="00104227">
        <w:rPr>
          <w:lang w:val="en-US"/>
        </w:rPr>
        <w:t xml:space="preserve">necessarily results in </w:t>
      </w:r>
      <w:r w:rsidR="0060075A" w:rsidRPr="00104227">
        <w:rPr>
          <w:lang w:val="en-US"/>
        </w:rPr>
        <w:t>the violation</w:t>
      </w:r>
      <w:r w:rsidR="007822EA" w:rsidRPr="00104227">
        <w:rPr>
          <w:lang w:val="en-US"/>
        </w:rPr>
        <w:t xml:space="preserve"> </w:t>
      </w:r>
      <w:r w:rsidR="0060075A" w:rsidRPr="00104227">
        <w:rPr>
          <w:lang w:val="en-US"/>
        </w:rPr>
        <w:t>of Article</w:t>
      </w:r>
      <w:r w:rsidR="007822EA" w:rsidRPr="00104227">
        <w:rPr>
          <w:lang w:val="en-US"/>
        </w:rPr>
        <w:t xml:space="preserve"> </w:t>
      </w:r>
      <w:r w:rsidR="00C2124F" w:rsidRPr="00104227">
        <w:rPr>
          <w:lang w:val="en-US"/>
        </w:rPr>
        <w:t>7(1)</w:t>
      </w:r>
      <w:r w:rsidR="007822EA" w:rsidRPr="00104227">
        <w:rPr>
          <w:lang w:val="en-US"/>
        </w:rPr>
        <w:t xml:space="preserve"> </w:t>
      </w:r>
      <w:r w:rsidR="007111BC" w:rsidRPr="00104227">
        <w:rPr>
          <w:lang w:val="en-US"/>
        </w:rPr>
        <w:t>thereof.</w:t>
      </w:r>
      <w:r w:rsidR="007822EA" w:rsidRPr="00104227">
        <w:rPr>
          <w:rStyle w:val="Refdenotaalpie"/>
          <w:lang w:val="en-US"/>
        </w:rPr>
        <w:footnoteReference w:id="323"/>
      </w:r>
      <w:r w:rsidR="007822EA" w:rsidRPr="00104227">
        <w:rPr>
          <w:lang w:val="en-US"/>
        </w:rPr>
        <w:t xml:space="preserve"> </w:t>
      </w:r>
    </w:p>
    <w:p w14:paraId="5224B5A5" w14:textId="77777777" w:rsidR="007822EA" w:rsidRPr="00104227" w:rsidRDefault="007822EA" w:rsidP="00E4619F">
      <w:pPr>
        <w:tabs>
          <w:tab w:val="left" w:pos="567"/>
        </w:tabs>
      </w:pPr>
    </w:p>
    <w:p w14:paraId="303001A8" w14:textId="5D1776E8" w:rsidR="007822EA" w:rsidRPr="00104227" w:rsidRDefault="00E2287B" w:rsidP="008B21A2">
      <w:pPr>
        <w:pStyle w:val="Numberedparagraphs"/>
        <w:tabs>
          <w:tab w:val="left" w:pos="567"/>
        </w:tabs>
        <w:rPr>
          <w:lang w:val="en-US" w:eastAsia="es-MX"/>
        </w:rPr>
      </w:pPr>
      <w:r w:rsidRPr="00104227">
        <w:rPr>
          <w:lang w:val="en-US"/>
        </w:rPr>
        <w:t>Article</w:t>
      </w:r>
      <w:r w:rsidR="007822EA" w:rsidRPr="00104227">
        <w:rPr>
          <w:lang w:val="en-US"/>
        </w:rPr>
        <w:t xml:space="preserve"> </w:t>
      </w:r>
      <w:r w:rsidR="00C2124F" w:rsidRPr="00104227">
        <w:rPr>
          <w:lang w:val="en-US"/>
        </w:rPr>
        <w:t>7(2)</w:t>
      </w:r>
      <w:r w:rsidR="00BF5241" w:rsidRPr="00104227">
        <w:rPr>
          <w:lang w:val="en-US"/>
        </w:rPr>
        <w:t xml:space="preserve"> of the American Convention</w:t>
      </w:r>
      <w:r w:rsidR="007822EA" w:rsidRPr="00104227">
        <w:rPr>
          <w:lang w:val="en-US"/>
        </w:rPr>
        <w:t xml:space="preserve"> establ</w:t>
      </w:r>
      <w:r w:rsidR="00F27D61" w:rsidRPr="00104227">
        <w:rPr>
          <w:lang w:val="en-US"/>
        </w:rPr>
        <w:t>ishes that</w:t>
      </w:r>
      <w:r w:rsidR="007822EA" w:rsidRPr="00104227">
        <w:rPr>
          <w:lang w:val="en-US"/>
        </w:rPr>
        <w:t xml:space="preserve"> “</w:t>
      </w:r>
      <w:r w:rsidR="007111BC" w:rsidRPr="00104227">
        <w:rPr>
          <w:lang w:val="en-US"/>
        </w:rPr>
        <w:t>[n]</w:t>
      </w:r>
      <w:r w:rsidR="007111BC" w:rsidRPr="00104227">
        <w:rPr>
          <w:spacing w:val="-3"/>
          <w:lang w:val="en-US"/>
        </w:rPr>
        <w:t xml:space="preserve">o one shall be deprived of his physical liberty except for the reasons and under the conditions established beforehand by the Constitution of the State Party concerned or by a law established pursuant thereto.” This Court has indicated that </w:t>
      </w:r>
      <w:r w:rsidR="00B73D64" w:rsidRPr="00104227">
        <w:rPr>
          <w:spacing w:val="-3"/>
          <w:lang w:val="en-US"/>
        </w:rPr>
        <w:t>owing to the</w:t>
      </w:r>
      <w:r w:rsidR="007111BC" w:rsidRPr="00104227">
        <w:rPr>
          <w:spacing w:val="-3"/>
          <w:lang w:val="en-US"/>
        </w:rPr>
        <w:t xml:space="preserve"> reference to the Constitution of the State Part</w:t>
      </w:r>
      <w:r w:rsidR="00B80E0F" w:rsidRPr="00104227">
        <w:rPr>
          <w:spacing w:val="-3"/>
          <w:lang w:val="en-US"/>
        </w:rPr>
        <w:t>y</w:t>
      </w:r>
      <w:r w:rsidR="007111BC" w:rsidRPr="00104227">
        <w:rPr>
          <w:spacing w:val="-3"/>
          <w:lang w:val="en-US"/>
        </w:rPr>
        <w:t xml:space="preserve"> or to </w:t>
      </w:r>
      <w:r w:rsidR="00B80E0F" w:rsidRPr="00104227">
        <w:rPr>
          <w:spacing w:val="-3"/>
          <w:lang w:val="en-US"/>
        </w:rPr>
        <w:t xml:space="preserve">a </w:t>
      </w:r>
      <w:r w:rsidR="00B73D64" w:rsidRPr="00104227">
        <w:rPr>
          <w:spacing w:val="-3"/>
          <w:lang w:val="en-US"/>
        </w:rPr>
        <w:t xml:space="preserve">law established “pursuant thereto,” examination of the observance of </w:t>
      </w:r>
      <w:r w:rsidR="00B73D64" w:rsidRPr="00104227">
        <w:rPr>
          <w:lang w:val="en-US"/>
        </w:rPr>
        <w:t xml:space="preserve">Article 7(2) of the Convention entails an analysis of compliance with the requirements established as specifically as possible and “beforehand” in the said laws as regards the “reasons” and “conditions” for the deprivation of physical liberty. If both the formal and material requirements of domestic law are not met when depriving a person of their liberty, this deprivation will be unlawful and contrary to </w:t>
      </w:r>
      <w:r w:rsidR="00BF5241" w:rsidRPr="00104227">
        <w:rPr>
          <w:lang w:val="en-US"/>
        </w:rPr>
        <w:t>the American Convention</w:t>
      </w:r>
      <w:r w:rsidR="007822EA" w:rsidRPr="00104227">
        <w:rPr>
          <w:lang w:val="en-US"/>
        </w:rPr>
        <w:t xml:space="preserve">, </w:t>
      </w:r>
      <w:r w:rsidR="00B73D64" w:rsidRPr="00104227">
        <w:rPr>
          <w:lang w:val="en-US"/>
        </w:rPr>
        <w:t>in light</w:t>
      </w:r>
      <w:r w:rsidR="007822EA" w:rsidRPr="00104227">
        <w:rPr>
          <w:lang w:val="en-US"/>
        </w:rPr>
        <w:t xml:space="preserve"> </w:t>
      </w:r>
      <w:r w:rsidR="0060075A" w:rsidRPr="00104227">
        <w:rPr>
          <w:lang w:val="en-US"/>
        </w:rPr>
        <w:t>of Article</w:t>
      </w:r>
      <w:r w:rsidR="007822EA" w:rsidRPr="00104227">
        <w:rPr>
          <w:lang w:val="en-US"/>
        </w:rPr>
        <w:t xml:space="preserve"> </w:t>
      </w:r>
      <w:r w:rsidR="00C2124F" w:rsidRPr="00104227">
        <w:rPr>
          <w:lang w:val="en-US"/>
        </w:rPr>
        <w:t>7(2)</w:t>
      </w:r>
      <w:r w:rsidR="00B73D64" w:rsidRPr="00104227">
        <w:rPr>
          <w:lang w:val="en-US"/>
        </w:rPr>
        <w:t>.</w:t>
      </w:r>
      <w:r w:rsidR="007822EA" w:rsidRPr="00104227">
        <w:rPr>
          <w:rStyle w:val="Refdenotaalpie"/>
          <w:sz w:val="20"/>
          <w:szCs w:val="20"/>
          <w:lang w:val="en-US"/>
        </w:rPr>
        <w:footnoteReference w:id="324"/>
      </w:r>
      <w:r w:rsidR="007822EA" w:rsidRPr="00104227">
        <w:rPr>
          <w:lang w:val="en-US"/>
        </w:rPr>
        <w:t xml:space="preserve"> </w:t>
      </w:r>
      <w:r w:rsidR="00B73D64" w:rsidRPr="00104227">
        <w:rPr>
          <w:lang w:val="en-US"/>
        </w:rPr>
        <w:t>Consequently, t</w:t>
      </w:r>
      <w:r w:rsidR="00BF5241" w:rsidRPr="00104227">
        <w:rPr>
          <w:lang w:val="en-US"/>
        </w:rPr>
        <w:t>he Court</w:t>
      </w:r>
      <w:r w:rsidR="00B73D64" w:rsidRPr="00104227">
        <w:rPr>
          <w:lang w:val="en-US"/>
        </w:rPr>
        <w:t xml:space="preserve"> must verify whether the detentions </w:t>
      </w:r>
      <w:r w:rsidR="007822EA" w:rsidRPr="00104227">
        <w:rPr>
          <w:lang w:val="en-US"/>
        </w:rPr>
        <w:t xml:space="preserve"> </w:t>
      </w:r>
      <w:r w:rsidR="00F12946" w:rsidRPr="00104227">
        <w:rPr>
          <w:lang w:val="en-US"/>
        </w:rPr>
        <w:t>of the eleven women</w:t>
      </w:r>
      <w:r w:rsidR="007822EA" w:rsidRPr="00104227">
        <w:rPr>
          <w:lang w:val="en-US"/>
        </w:rPr>
        <w:t xml:space="preserve"> </w:t>
      </w:r>
      <w:r w:rsidR="00844C80" w:rsidRPr="00104227">
        <w:rPr>
          <w:lang w:val="en-US"/>
        </w:rPr>
        <w:t>victims in this case</w:t>
      </w:r>
      <w:r w:rsidR="007822EA" w:rsidRPr="00104227">
        <w:rPr>
          <w:lang w:val="en-US"/>
        </w:rPr>
        <w:t xml:space="preserve"> </w:t>
      </w:r>
      <w:r w:rsidR="00B73D64" w:rsidRPr="00104227">
        <w:rPr>
          <w:lang w:val="en-US"/>
        </w:rPr>
        <w:t>were made in accordance with the laws of Mexico.</w:t>
      </w:r>
    </w:p>
    <w:p w14:paraId="289532A6" w14:textId="77777777" w:rsidR="00B73D64" w:rsidRPr="00104227" w:rsidRDefault="00B73D64" w:rsidP="00B73D64">
      <w:pPr>
        <w:rPr>
          <w:lang w:eastAsia="es-MX"/>
        </w:rPr>
      </w:pPr>
    </w:p>
    <w:p w14:paraId="3CBC4F31" w14:textId="0D36AC91" w:rsidR="007822EA" w:rsidRPr="00104227" w:rsidRDefault="007822EA" w:rsidP="00E4619F">
      <w:pPr>
        <w:pStyle w:val="Numberedparagraphs"/>
        <w:tabs>
          <w:tab w:val="left" w:pos="567"/>
        </w:tabs>
        <w:rPr>
          <w:lang w:val="en-US"/>
        </w:rPr>
      </w:pPr>
      <w:bookmarkStart w:id="313" w:name="_Ref527574337"/>
      <w:r w:rsidRPr="00104227">
        <w:rPr>
          <w:lang w:val="en-US"/>
        </w:rPr>
        <w:t>Re</w:t>
      </w:r>
      <w:r w:rsidR="00B73D64" w:rsidRPr="00104227">
        <w:rPr>
          <w:lang w:val="en-US"/>
        </w:rPr>
        <w:t>garding the arbitrariness referred to in</w:t>
      </w:r>
      <w:r w:rsidRPr="00104227">
        <w:rPr>
          <w:lang w:val="en-US"/>
        </w:rPr>
        <w:t xml:space="preserve"> </w:t>
      </w:r>
      <w:r w:rsidR="00BF5241" w:rsidRPr="00104227">
        <w:rPr>
          <w:lang w:val="en-US"/>
        </w:rPr>
        <w:t>Article</w:t>
      </w:r>
      <w:r w:rsidRPr="00104227">
        <w:rPr>
          <w:lang w:val="en-US"/>
        </w:rPr>
        <w:t xml:space="preserve"> </w:t>
      </w:r>
      <w:r w:rsidR="00C2124F" w:rsidRPr="00104227">
        <w:rPr>
          <w:lang w:val="en-US"/>
        </w:rPr>
        <w:t>7(3)</w:t>
      </w:r>
      <w:r w:rsidR="00BF5241" w:rsidRPr="00104227">
        <w:rPr>
          <w:lang w:val="en-US"/>
        </w:rPr>
        <w:t xml:space="preserve"> of the Convention</w:t>
      </w:r>
      <w:r w:rsidRPr="00104227">
        <w:rPr>
          <w:lang w:val="en-US"/>
        </w:rPr>
        <w:t xml:space="preserve">, </w:t>
      </w:r>
      <w:r w:rsidR="00BF5241" w:rsidRPr="00104227">
        <w:rPr>
          <w:lang w:val="en-US"/>
        </w:rPr>
        <w:t>the Court</w:t>
      </w:r>
      <w:r w:rsidRPr="00104227">
        <w:rPr>
          <w:lang w:val="en-US"/>
        </w:rPr>
        <w:t xml:space="preserve"> ha</w:t>
      </w:r>
      <w:r w:rsidR="00B73D64" w:rsidRPr="00104227">
        <w:rPr>
          <w:lang w:val="en-US"/>
        </w:rPr>
        <w:t>s established that no one may be subjected to detention or imprisonment based</w:t>
      </w:r>
      <w:r w:rsidR="004B77B1" w:rsidRPr="00104227">
        <w:rPr>
          <w:lang w:val="en-US"/>
        </w:rPr>
        <w:t xml:space="preserve"> </w:t>
      </w:r>
      <w:r w:rsidR="00B73D64" w:rsidRPr="00104227">
        <w:rPr>
          <w:lang w:val="en-US"/>
        </w:rPr>
        <w:t xml:space="preserve">on reasons and methods that – even though they are classified as legal – may be considered incompatible with respect for the fundamental rights of the individual because, among other </w:t>
      </w:r>
      <w:r w:rsidR="00B33447" w:rsidRPr="00104227">
        <w:rPr>
          <w:lang w:val="en-US"/>
        </w:rPr>
        <w:t>matters</w:t>
      </w:r>
      <w:r w:rsidR="00B73D64" w:rsidRPr="00104227">
        <w:rPr>
          <w:lang w:val="en-US"/>
        </w:rPr>
        <w:t>, they are unreasonable, unpredictable or disproportionate.</w:t>
      </w:r>
      <w:r w:rsidRPr="00104227">
        <w:rPr>
          <w:rStyle w:val="Refdenotaalpie"/>
          <w:lang w:val="en-US"/>
        </w:rPr>
        <w:footnoteReference w:id="325"/>
      </w:r>
      <w:r w:rsidR="00B73D64" w:rsidRPr="00104227">
        <w:rPr>
          <w:lang w:val="en-US"/>
        </w:rPr>
        <w:t xml:space="preserve"> </w:t>
      </w:r>
      <w:r w:rsidR="00B33447" w:rsidRPr="00104227">
        <w:rPr>
          <w:lang w:val="en-US"/>
        </w:rPr>
        <w:t>Moreover</w:t>
      </w:r>
      <w:r w:rsidR="00B73D64" w:rsidRPr="00104227">
        <w:rPr>
          <w:lang w:val="en-US"/>
        </w:rPr>
        <w:t>, the domestic law, the ap</w:t>
      </w:r>
      <w:r w:rsidR="00B33447" w:rsidRPr="00104227">
        <w:rPr>
          <w:lang w:val="en-US"/>
        </w:rPr>
        <w:t>p</w:t>
      </w:r>
      <w:r w:rsidR="00B73D64" w:rsidRPr="00104227">
        <w:rPr>
          <w:lang w:val="en-US"/>
        </w:rPr>
        <w:t xml:space="preserve">licable procedure and the corresponding general express or tacit principles </w:t>
      </w:r>
      <w:r w:rsidR="00B33447" w:rsidRPr="00104227">
        <w:rPr>
          <w:lang w:val="en-US"/>
        </w:rPr>
        <w:t>must</w:t>
      </w:r>
      <w:r w:rsidR="00B73D64" w:rsidRPr="00104227">
        <w:rPr>
          <w:lang w:val="en-US"/>
        </w:rPr>
        <w:t xml:space="preserve"> also </w:t>
      </w:r>
      <w:r w:rsidR="00B33447" w:rsidRPr="00104227">
        <w:rPr>
          <w:lang w:val="en-US"/>
        </w:rPr>
        <w:t xml:space="preserve">be </w:t>
      </w:r>
      <w:r w:rsidRPr="00104227">
        <w:rPr>
          <w:lang w:val="en-US"/>
        </w:rPr>
        <w:t xml:space="preserve">compatible </w:t>
      </w:r>
      <w:r w:rsidR="00B73D64" w:rsidRPr="00104227">
        <w:rPr>
          <w:lang w:val="en-US"/>
        </w:rPr>
        <w:t>with</w:t>
      </w:r>
      <w:r w:rsidRPr="00104227">
        <w:rPr>
          <w:lang w:val="en-US"/>
        </w:rPr>
        <w:t xml:space="preserve"> </w:t>
      </w:r>
      <w:r w:rsidR="00BF5241" w:rsidRPr="00104227">
        <w:rPr>
          <w:lang w:val="en-US"/>
        </w:rPr>
        <w:lastRenderedPageBreak/>
        <w:t>the Convention</w:t>
      </w:r>
      <w:r w:rsidR="00B73D64" w:rsidRPr="00104227">
        <w:rPr>
          <w:lang w:val="en-US"/>
        </w:rPr>
        <w:t>.</w:t>
      </w:r>
      <w:r w:rsidRPr="00104227">
        <w:rPr>
          <w:rStyle w:val="Refdenotaalpie"/>
          <w:lang w:val="en-US"/>
        </w:rPr>
        <w:footnoteReference w:id="326"/>
      </w:r>
      <w:r w:rsidR="00B73D64" w:rsidRPr="00104227">
        <w:rPr>
          <w:lang w:val="en-US"/>
        </w:rPr>
        <w:t xml:space="preserve"> Thus, the concept of “arbitrariness” should not be equated with “contrary to the law,” but should be interpreted in a broad</w:t>
      </w:r>
      <w:r w:rsidR="00B33447" w:rsidRPr="00104227">
        <w:rPr>
          <w:lang w:val="en-US"/>
        </w:rPr>
        <w:t>er</w:t>
      </w:r>
      <w:r w:rsidR="00B73D64" w:rsidRPr="00104227">
        <w:rPr>
          <w:lang w:val="en-US"/>
        </w:rPr>
        <w:t xml:space="preserve"> sense in order to include elements </w:t>
      </w:r>
      <w:r w:rsidR="004B77B1" w:rsidRPr="00104227">
        <w:rPr>
          <w:lang w:val="en-US"/>
        </w:rPr>
        <w:t>of</w:t>
      </w:r>
      <w:r w:rsidR="00B73D64" w:rsidRPr="00104227">
        <w:rPr>
          <w:lang w:val="en-US"/>
        </w:rPr>
        <w:t xml:space="preserve"> </w:t>
      </w:r>
      <w:r w:rsidR="00B33447" w:rsidRPr="00104227">
        <w:rPr>
          <w:lang w:val="en-US"/>
        </w:rPr>
        <w:t>wrongness</w:t>
      </w:r>
      <w:r w:rsidR="004B77B1" w:rsidRPr="00104227">
        <w:rPr>
          <w:lang w:val="en-US"/>
        </w:rPr>
        <w:t xml:space="preserve">, injustice and </w:t>
      </w:r>
      <w:r w:rsidR="00B33447" w:rsidRPr="00104227">
        <w:rPr>
          <w:lang w:val="en-US"/>
        </w:rPr>
        <w:t>un</w:t>
      </w:r>
      <w:r w:rsidR="004B77B1" w:rsidRPr="00104227">
        <w:rPr>
          <w:lang w:val="en-US"/>
        </w:rPr>
        <w:t>predictability.</w:t>
      </w:r>
      <w:r w:rsidRPr="00104227">
        <w:rPr>
          <w:rStyle w:val="Refdenotaalpie"/>
          <w:lang w:val="en-US"/>
        </w:rPr>
        <w:footnoteReference w:id="327"/>
      </w:r>
      <w:r w:rsidR="004B77B1" w:rsidRPr="00104227">
        <w:rPr>
          <w:lang w:val="en-US"/>
        </w:rPr>
        <w:t xml:space="preserve"> Furthermore, the Court underscores that the prohibition of arbitrary deprivation of liberty is a non-derogable right, w</w:t>
      </w:r>
      <w:r w:rsidR="00B33447" w:rsidRPr="00104227">
        <w:rPr>
          <w:lang w:val="en-US"/>
        </w:rPr>
        <w:t>h</w:t>
      </w:r>
      <w:r w:rsidR="004B77B1" w:rsidRPr="00104227">
        <w:rPr>
          <w:lang w:val="en-US"/>
        </w:rPr>
        <w:t xml:space="preserve">ich may not be suspended and is applicable even in cases in which the detention is </w:t>
      </w:r>
      <w:r w:rsidR="00B33447" w:rsidRPr="00104227">
        <w:rPr>
          <w:lang w:val="en-US"/>
        </w:rPr>
        <w:t>executed</w:t>
      </w:r>
      <w:r w:rsidR="004B77B1" w:rsidRPr="00104227">
        <w:rPr>
          <w:lang w:val="en-US"/>
        </w:rPr>
        <w:t xml:space="preserve"> for reasons of public safety.</w:t>
      </w:r>
      <w:r w:rsidRPr="00104227">
        <w:rPr>
          <w:rStyle w:val="Refdenotaalpie"/>
          <w:lang w:val="en-US"/>
        </w:rPr>
        <w:footnoteReference w:id="328"/>
      </w:r>
      <w:bookmarkEnd w:id="313"/>
    </w:p>
    <w:p w14:paraId="1F36D761" w14:textId="77777777" w:rsidR="007822EA" w:rsidRPr="00104227" w:rsidRDefault="007822EA" w:rsidP="00E4619F">
      <w:pPr>
        <w:tabs>
          <w:tab w:val="left" w:pos="567"/>
        </w:tabs>
        <w:rPr>
          <w:lang w:eastAsia="es-MX"/>
        </w:rPr>
      </w:pPr>
    </w:p>
    <w:p w14:paraId="15F17025" w14:textId="0586E9DB" w:rsidR="007822EA" w:rsidRPr="00104227" w:rsidRDefault="004B77B1" w:rsidP="00E4619F">
      <w:pPr>
        <w:pStyle w:val="Numberedparagraphs"/>
        <w:tabs>
          <w:tab w:val="left" w:pos="567"/>
        </w:tabs>
        <w:rPr>
          <w:lang w:val="en-US"/>
        </w:rPr>
      </w:pPr>
      <w:r w:rsidRPr="00104227">
        <w:rPr>
          <w:lang w:val="en-US"/>
        </w:rPr>
        <w:t>Based on the above, the Court will analyze: (1) the in</w:t>
      </w:r>
      <w:r w:rsidR="00B33447" w:rsidRPr="00104227">
        <w:rPr>
          <w:lang w:val="en-US"/>
        </w:rPr>
        <w:t>i</w:t>
      </w:r>
      <w:r w:rsidRPr="00104227">
        <w:rPr>
          <w:lang w:val="en-US"/>
        </w:rPr>
        <w:t xml:space="preserve">tial detention of the women; (2) the alleged violations regarding the failure to notify the reasons for the detention and the right of defense, jointly, and </w:t>
      </w:r>
      <w:r w:rsidR="007822EA" w:rsidRPr="00104227">
        <w:rPr>
          <w:lang w:val="en-US"/>
        </w:rPr>
        <w:t xml:space="preserve">(3) </w:t>
      </w:r>
      <w:r w:rsidRPr="00104227">
        <w:rPr>
          <w:lang w:val="en-US"/>
        </w:rPr>
        <w:t>the preventive detention of the victims.</w:t>
      </w:r>
    </w:p>
    <w:p w14:paraId="6A67EEFD" w14:textId="77777777" w:rsidR="007822EA" w:rsidRPr="00104227" w:rsidRDefault="007822EA" w:rsidP="00E4619F">
      <w:pPr>
        <w:pStyle w:val="PrrafodeSentencia"/>
        <w:numPr>
          <w:ilvl w:val="0"/>
          <w:numId w:val="0"/>
        </w:numPr>
        <w:rPr>
          <w:lang w:val="en-US"/>
        </w:rPr>
      </w:pPr>
    </w:p>
    <w:p w14:paraId="30485EEA" w14:textId="1281FD49" w:rsidR="007822EA" w:rsidRPr="00104227" w:rsidRDefault="007822EA" w:rsidP="00E4619F">
      <w:pPr>
        <w:pStyle w:val="Ttulo3"/>
        <w:tabs>
          <w:tab w:val="left" w:pos="567"/>
        </w:tabs>
        <w:rPr>
          <w:lang w:val="en-US" w:eastAsia="es-MX"/>
        </w:rPr>
      </w:pPr>
      <w:bookmarkStart w:id="314" w:name="_Toc31290598"/>
      <w:r w:rsidRPr="00104227">
        <w:rPr>
          <w:lang w:val="en-US" w:eastAsia="es-MX"/>
        </w:rPr>
        <w:t xml:space="preserve">B.1. </w:t>
      </w:r>
      <w:r w:rsidR="004B77B1" w:rsidRPr="00104227">
        <w:rPr>
          <w:lang w:val="en-US" w:eastAsia="es-MX"/>
        </w:rPr>
        <w:t>Unlawfulness</w:t>
      </w:r>
      <w:r w:rsidR="00BF5241" w:rsidRPr="00104227">
        <w:rPr>
          <w:lang w:val="en-US" w:eastAsia="es-MX"/>
        </w:rPr>
        <w:t xml:space="preserve"> and </w:t>
      </w:r>
      <w:r w:rsidR="004B77B1" w:rsidRPr="00104227">
        <w:rPr>
          <w:lang w:val="en-US" w:eastAsia="es-MX"/>
        </w:rPr>
        <w:t>arbitrariness</w:t>
      </w:r>
      <w:r w:rsidR="00650467" w:rsidRPr="00104227">
        <w:rPr>
          <w:lang w:val="en-US" w:eastAsia="es-MX"/>
        </w:rPr>
        <w:t xml:space="preserve"> of </w:t>
      </w:r>
      <w:r w:rsidR="004B77B1" w:rsidRPr="00104227">
        <w:rPr>
          <w:lang w:val="en-US" w:eastAsia="es-MX"/>
        </w:rPr>
        <w:t>the initial</w:t>
      </w:r>
      <w:r w:rsidR="008C6D02" w:rsidRPr="00104227">
        <w:rPr>
          <w:lang w:val="en-US" w:eastAsia="es-MX"/>
        </w:rPr>
        <w:t xml:space="preserve"> detentions</w:t>
      </w:r>
      <w:r w:rsidRPr="00104227">
        <w:rPr>
          <w:lang w:val="en-US" w:eastAsia="es-MX"/>
        </w:rPr>
        <w:t xml:space="preserve"> </w:t>
      </w:r>
      <w:r w:rsidR="00F12946" w:rsidRPr="00104227">
        <w:rPr>
          <w:lang w:val="en-US" w:eastAsia="es-MX"/>
        </w:rPr>
        <w:t>of the eleven women</w:t>
      </w:r>
      <w:r w:rsidRPr="00104227">
        <w:rPr>
          <w:lang w:val="en-US" w:eastAsia="es-MX"/>
        </w:rPr>
        <w:t xml:space="preserve"> </w:t>
      </w:r>
      <w:r w:rsidR="00EF03E5" w:rsidRPr="00104227">
        <w:rPr>
          <w:lang w:val="en-US" w:eastAsia="es-MX"/>
        </w:rPr>
        <w:t>victims in this case</w:t>
      </w:r>
      <w:bookmarkEnd w:id="314"/>
    </w:p>
    <w:p w14:paraId="636E0C46" w14:textId="77777777" w:rsidR="007822EA" w:rsidRPr="00104227" w:rsidRDefault="007822EA" w:rsidP="00E4619F">
      <w:pPr>
        <w:tabs>
          <w:tab w:val="left" w:pos="567"/>
        </w:tabs>
        <w:rPr>
          <w:lang w:eastAsia="es-MX"/>
        </w:rPr>
      </w:pPr>
    </w:p>
    <w:p w14:paraId="0FD9CE65" w14:textId="26CFDDDC" w:rsidR="007822EA" w:rsidRPr="00104227" w:rsidRDefault="007822EA" w:rsidP="00885693">
      <w:pPr>
        <w:pStyle w:val="Ttulo4"/>
        <w:rPr>
          <w:lang w:val="en-US" w:eastAsia="es-MX"/>
        </w:rPr>
      </w:pPr>
      <w:r w:rsidRPr="00104227">
        <w:rPr>
          <w:lang w:val="en-US" w:eastAsia="es-MX"/>
        </w:rPr>
        <w:t xml:space="preserve">B.1.a </w:t>
      </w:r>
      <w:r w:rsidR="004B77B1" w:rsidRPr="00104227">
        <w:rPr>
          <w:lang w:val="en-US" w:eastAsia="es-MX"/>
        </w:rPr>
        <w:t>Unlawfulness</w:t>
      </w:r>
      <w:r w:rsidRPr="00104227">
        <w:rPr>
          <w:lang w:val="en-US" w:eastAsia="es-MX"/>
        </w:rPr>
        <w:t xml:space="preserve"> </w:t>
      </w:r>
      <w:r w:rsidR="004B77B1" w:rsidRPr="00104227">
        <w:rPr>
          <w:lang w:val="en-US" w:eastAsia="es-MX"/>
        </w:rPr>
        <w:t>of the detentions</w:t>
      </w:r>
      <w:r w:rsidRPr="00104227">
        <w:rPr>
          <w:lang w:val="en-US" w:eastAsia="es-MX"/>
        </w:rPr>
        <w:t xml:space="preserve"> </w:t>
      </w:r>
    </w:p>
    <w:p w14:paraId="31CFC0EC" w14:textId="77777777" w:rsidR="007822EA" w:rsidRPr="00104227" w:rsidRDefault="007822EA" w:rsidP="00E4619F">
      <w:pPr>
        <w:tabs>
          <w:tab w:val="left" w:pos="567"/>
        </w:tabs>
        <w:rPr>
          <w:lang w:eastAsia="es-MX"/>
        </w:rPr>
      </w:pPr>
    </w:p>
    <w:p w14:paraId="0A28FB79" w14:textId="5BB2C50C" w:rsidR="007822EA" w:rsidRPr="00104227" w:rsidRDefault="00BF5241" w:rsidP="00E4619F">
      <w:pPr>
        <w:pStyle w:val="Numberedparagraphs"/>
        <w:tabs>
          <w:tab w:val="left" w:pos="567"/>
        </w:tabs>
        <w:rPr>
          <w:lang w:val="en-US"/>
        </w:rPr>
      </w:pPr>
      <w:r w:rsidRPr="00104227">
        <w:rPr>
          <w:lang w:val="en-US"/>
        </w:rPr>
        <w:t>The Court</w:t>
      </w:r>
      <w:r w:rsidR="007822EA" w:rsidRPr="00104227">
        <w:rPr>
          <w:lang w:val="en-US"/>
        </w:rPr>
        <w:t xml:space="preserve"> </w:t>
      </w:r>
      <w:r w:rsidR="004B77B1" w:rsidRPr="00104227">
        <w:rPr>
          <w:lang w:val="en-US"/>
        </w:rPr>
        <w:t>observes that</w:t>
      </w:r>
      <w:r w:rsidR="007822EA" w:rsidRPr="00104227">
        <w:rPr>
          <w:lang w:val="en-US"/>
        </w:rPr>
        <w:t xml:space="preserve"> </w:t>
      </w:r>
      <w:r w:rsidRPr="00104227">
        <w:rPr>
          <w:lang w:val="en-US"/>
        </w:rPr>
        <w:t>Article</w:t>
      </w:r>
      <w:r w:rsidR="007822EA" w:rsidRPr="00104227">
        <w:rPr>
          <w:lang w:val="en-US"/>
        </w:rPr>
        <w:t xml:space="preserve"> 16 </w:t>
      </w:r>
      <w:r w:rsidR="00684C3C" w:rsidRPr="00104227">
        <w:rPr>
          <w:lang w:val="en-US"/>
        </w:rPr>
        <w:t>of</w:t>
      </w:r>
      <w:r w:rsidR="007822EA" w:rsidRPr="00104227">
        <w:rPr>
          <w:lang w:val="en-US"/>
        </w:rPr>
        <w:t xml:space="preserve"> </w:t>
      </w:r>
      <w:r w:rsidR="004B77B1" w:rsidRPr="00104227">
        <w:rPr>
          <w:lang w:val="en-US"/>
        </w:rPr>
        <w:t>the Mexican Constitution</w:t>
      </w:r>
      <w:r w:rsidR="007822EA" w:rsidRPr="00104227">
        <w:rPr>
          <w:lang w:val="en-US"/>
        </w:rPr>
        <w:t>,</w:t>
      </w:r>
      <w:r w:rsidR="004B77B1" w:rsidRPr="00104227">
        <w:rPr>
          <w:lang w:val="en-US"/>
        </w:rPr>
        <w:t xml:space="preserve"> in force at the time of the facts, establishes: </w:t>
      </w:r>
    </w:p>
    <w:p w14:paraId="61440D59" w14:textId="77777777" w:rsidR="007822EA" w:rsidRPr="00104227" w:rsidRDefault="007822EA" w:rsidP="00E4619F">
      <w:pPr>
        <w:tabs>
          <w:tab w:val="left" w:pos="567"/>
        </w:tabs>
        <w:rPr>
          <w:lang w:eastAsia="es-MX"/>
        </w:rPr>
      </w:pPr>
    </w:p>
    <w:p w14:paraId="0AC0F89C" w14:textId="74D203DA" w:rsidR="007822EA" w:rsidRPr="00104227" w:rsidRDefault="002B3A89" w:rsidP="00E4619F">
      <w:pPr>
        <w:tabs>
          <w:tab w:val="left" w:pos="567"/>
          <w:tab w:val="left" w:pos="9333"/>
          <w:tab w:val="left" w:pos="9360"/>
        </w:tabs>
        <w:ind w:left="708" w:right="576"/>
        <w:rPr>
          <w:sz w:val="18"/>
          <w:lang w:eastAsia="es-MX"/>
        </w:rPr>
      </w:pPr>
      <w:r w:rsidRPr="00104227">
        <w:rPr>
          <w:sz w:val="18"/>
          <w:lang w:eastAsia="es-MX"/>
        </w:rPr>
        <w:t xml:space="preserve">No one may </w:t>
      </w:r>
      <w:r w:rsidR="00B33447" w:rsidRPr="00104227">
        <w:rPr>
          <w:sz w:val="18"/>
          <w:lang w:eastAsia="es-MX"/>
        </w:rPr>
        <w:t>suffer interference with</w:t>
      </w:r>
      <w:r w:rsidRPr="00104227">
        <w:rPr>
          <w:sz w:val="18"/>
          <w:lang w:eastAsia="es-MX"/>
        </w:rPr>
        <w:t xml:space="preserve"> their person, family, domicile, papers or possessions unless it is by a written order issued by a competent authority that justifies and provides the grounds </w:t>
      </w:r>
      <w:r w:rsidR="00B33447" w:rsidRPr="00104227">
        <w:rPr>
          <w:sz w:val="18"/>
          <w:lang w:eastAsia="es-MX"/>
        </w:rPr>
        <w:t>for</w:t>
      </w:r>
      <w:r w:rsidRPr="00104227">
        <w:rPr>
          <w:sz w:val="18"/>
          <w:lang w:eastAsia="es-MX"/>
        </w:rPr>
        <w:t xml:space="preserve"> the </w:t>
      </w:r>
      <w:r w:rsidR="00B33447" w:rsidRPr="00104227">
        <w:rPr>
          <w:sz w:val="18"/>
          <w:lang w:eastAsia="es-MX"/>
        </w:rPr>
        <w:t>legality of</w:t>
      </w:r>
      <w:r w:rsidRPr="00104227">
        <w:rPr>
          <w:sz w:val="18"/>
          <w:lang w:eastAsia="es-MX"/>
        </w:rPr>
        <w:t xml:space="preserve"> the procedure</w:t>
      </w:r>
      <w:r w:rsidR="00B33447" w:rsidRPr="00104227">
        <w:rPr>
          <w:sz w:val="18"/>
          <w:lang w:eastAsia="es-MX"/>
        </w:rPr>
        <w:t>.</w:t>
      </w:r>
      <w:r w:rsidRPr="00104227">
        <w:rPr>
          <w:sz w:val="18"/>
          <w:lang w:eastAsia="es-MX"/>
        </w:rPr>
        <w:t xml:space="preserve"> </w:t>
      </w:r>
      <w:r w:rsidR="007822EA" w:rsidRPr="00104227">
        <w:rPr>
          <w:sz w:val="18"/>
          <w:lang w:eastAsia="es-MX"/>
        </w:rPr>
        <w:t>[…]</w:t>
      </w:r>
    </w:p>
    <w:p w14:paraId="280E3404" w14:textId="77777777" w:rsidR="007822EA" w:rsidRPr="00104227" w:rsidRDefault="007822EA" w:rsidP="00E4619F">
      <w:pPr>
        <w:tabs>
          <w:tab w:val="left" w:pos="567"/>
          <w:tab w:val="left" w:pos="9333"/>
          <w:tab w:val="left" w:pos="9360"/>
        </w:tabs>
        <w:ind w:left="708" w:right="576"/>
        <w:rPr>
          <w:sz w:val="18"/>
          <w:lang w:eastAsia="es-MX"/>
        </w:rPr>
      </w:pPr>
    </w:p>
    <w:p w14:paraId="43EE51E6" w14:textId="13C7A376" w:rsidR="007822EA" w:rsidRPr="00104227" w:rsidRDefault="002B3A89" w:rsidP="00E4619F">
      <w:pPr>
        <w:tabs>
          <w:tab w:val="left" w:pos="567"/>
          <w:tab w:val="left" w:pos="9333"/>
          <w:tab w:val="left" w:pos="9360"/>
        </w:tabs>
        <w:ind w:left="708" w:right="576"/>
        <w:rPr>
          <w:sz w:val="18"/>
          <w:lang w:eastAsia="es-MX"/>
        </w:rPr>
      </w:pPr>
      <w:r w:rsidRPr="00104227">
        <w:rPr>
          <w:sz w:val="18"/>
          <w:lang w:eastAsia="es-MX"/>
        </w:rPr>
        <w:t xml:space="preserve">In cases of </w:t>
      </w:r>
      <w:r w:rsidRPr="00104227">
        <w:rPr>
          <w:i/>
          <w:iCs/>
          <w:sz w:val="18"/>
          <w:lang w:eastAsia="es-MX"/>
        </w:rPr>
        <w:t>flagrante delicto</w:t>
      </w:r>
      <w:r w:rsidRPr="00104227">
        <w:rPr>
          <w:sz w:val="18"/>
          <w:lang w:eastAsia="es-MX"/>
        </w:rPr>
        <w:t xml:space="preserve">, any person may detain the suspect bringing him immediately before the </w:t>
      </w:r>
      <w:r w:rsidR="00DD1B42" w:rsidRPr="00104227">
        <w:rPr>
          <w:sz w:val="18"/>
          <w:lang w:eastAsia="es-MX"/>
        </w:rPr>
        <w:t>nearest</w:t>
      </w:r>
      <w:r w:rsidRPr="00104227">
        <w:rPr>
          <w:sz w:val="18"/>
          <w:lang w:eastAsia="es-MX"/>
        </w:rPr>
        <w:t xml:space="preserve"> authority and the latter, with the same promptness, shall bring him before </w:t>
      </w:r>
      <w:r w:rsidR="000B2982" w:rsidRPr="00104227">
        <w:rPr>
          <w:sz w:val="18"/>
          <w:lang w:eastAsia="es-MX"/>
        </w:rPr>
        <w:t xml:space="preserve">the </w:t>
      </w:r>
      <w:r w:rsidR="00024310" w:rsidRPr="00104227">
        <w:rPr>
          <w:sz w:val="18"/>
          <w:lang w:eastAsia="es-MX"/>
        </w:rPr>
        <w:t>Public Prosecution Service</w:t>
      </w:r>
      <w:r w:rsidR="007822EA" w:rsidRPr="00104227">
        <w:rPr>
          <w:sz w:val="18"/>
          <w:lang w:eastAsia="es-MX"/>
        </w:rPr>
        <w:t xml:space="preserve">. </w:t>
      </w:r>
    </w:p>
    <w:p w14:paraId="28C8B33B" w14:textId="77777777" w:rsidR="007822EA" w:rsidRPr="00104227" w:rsidRDefault="007822EA" w:rsidP="00E4619F">
      <w:pPr>
        <w:tabs>
          <w:tab w:val="left" w:pos="567"/>
          <w:tab w:val="left" w:pos="9333"/>
          <w:tab w:val="left" w:pos="9360"/>
        </w:tabs>
        <w:ind w:left="708" w:right="576"/>
        <w:rPr>
          <w:sz w:val="18"/>
          <w:lang w:eastAsia="es-MX"/>
        </w:rPr>
      </w:pPr>
    </w:p>
    <w:p w14:paraId="3690ADA2" w14:textId="5FB054A1" w:rsidR="007822EA" w:rsidRPr="00104227" w:rsidRDefault="002B3A89" w:rsidP="002B3A89">
      <w:pPr>
        <w:tabs>
          <w:tab w:val="left" w:pos="567"/>
          <w:tab w:val="left" w:pos="9333"/>
          <w:tab w:val="left" w:pos="9360"/>
        </w:tabs>
        <w:ind w:left="708" w:right="576"/>
        <w:rPr>
          <w:sz w:val="18"/>
          <w:lang w:eastAsia="es-MX"/>
        </w:rPr>
      </w:pPr>
      <w:r w:rsidRPr="00104227">
        <w:rPr>
          <w:sz w:val="18"/>
          <w:lang w:eastAsia="es-MX"/>
        </w:rPr>
        <w:t xml:space="preserve">Only in urgent cases, </w:t>
      </w:r>
      <w:r w:rsidR="00DD1B42" w:rsidRPr="00104227">
        <w:rPr>
          <w:sz w:val="18"/>
          <w:lang w:eastAsia="es-MX"/>
        </w:rPr>
        <w:t>if</w:t>
      </w:r>
      <w:r w:rsidRPr="00104227">
        <w:rPr>
          <w:sz w:val="18"/>
          <w:lang w:eastAsia="es-MX"/>
        </w:rPr>
        <w:t xml:space="preserve"> a serious offense, so classified by the law,</w:t>
      </w:r>
      <w:r w:rsidR="00DD1B42" w:rsidRPr="00104227">
        <w:rPr>
          <w:sz w:val="18"/>
          <w:lang w:eastAsia="es-MX"/>
        </w:rPr>
        <w:t xml:space="preserve"> is involved</w:t>
      </w:r>
      <w:r w:rsidRPr="00104227">
        <w:rPr>
          <w:sz w:val="18"/>
          <w:lang w:eastAsia="es-MX"/>
        </w:rPr>
        <w:t xml:space="preserve"> and </w:t>
      </w:r>
      <w:r w:rsidR="00DD1B42" w:rsidRPr="00104227">
        <w:rPr>
          <w:sz w:val="18"/>
          <w:lang w:eastAsia="es-MX"/>
        </w:rPr>
        <w:t>there is a</w:t>
      </w:r>
      <w:r w:rsidRPr="00104227">
        <w:rPr>
          <w:sz w:val="18"/>
          <w:lang w:eastAsia="es-MX"/>
        </w:rPr>
        <w:t xml:space="preserve"> </w:t>
      </w:r>
      <w:r w:rsidR="00DD1B42" w:rsidRPr="00104227">
        <w:rPr>
          <w:sz w:val="18"/>
          <w:lang w:eastAsia="es-MX"/>
        </w:rPr>
        <w:t>substantiated</w:t>
      </w:r>
      <w:r w:rsidRPr="00104227">
        <w:rPr>
          <w:sz w:val="18"/>
          <w:lang w:eastAsia="es-MX"/>
        </w:rPr>
        <w:t xml:space="preserve"> risk that the suspect may evade the action of justice, provided that it is not possible to go before the judicial authority owing to the time, the place or the circumstances, </w:t>
      </w:r>
      <w:r w:rsidR="00024310" w:rsidRPr="00104227">
        <w:rPr>
          <w:sz w:val="18"/>
          <w:lang w:eastAsia="es-MX"/>
        </w:rPr>
        <w:t>the Public Prosecution Service</w:t>
      </w:r>
      <w:r w:rsidR="007822EA" w:rsidRPr="00104227">
        <w:rPr>
          <w:sz w:val="18"/>
          <w:lang w:eastAsia="es-MX"/>
        </w:rPr>
        <w:t xml:space="preserve"> </w:t>
      </w:r>
      <w:r w:rsidRPr="00104227">
        <w:rPr>
          <w:sz w:val="18"/>
          <w:lang w:eastAsia="es-MX"/>
        </w:rPr>
        <w:t xml:space="preserve">may, under its responsibility, order his detention, providing the grounds and </w:t>
      </w:r>
      <w:r w:rsidR="00DD1B42" w:rsidRPr="00104227">
        <w:rPr>
          <w:sz w:val="18"/>
          <w:lang w:eastAsia="es-MX"/>
        </w:rPr>
        <w:t>indica</w:t>
      </w:r>
      <w:r w:rsidRPr="00104227">
        <w:rPr>
          <w:sz w:val="18"/>
          <w:lang w:eastAsia="es-MX"/>
        </w:rPr>
        <w:t xml:space="preserve">ting the evidence for this procedure </w:t>
      </w:r>
      <w:r w:rsidR="007822EA" w:rsidRPr="00104227">
        <w:rPr>
          <w:sz w:val="18"/>
          <w:lang w:eastAsia="es-MX"/>
        </w:rPr>
        <w:t>[…]</w:t>
      </w:r>
      <w:r w:rsidRPr="00104227">
        <w:rPr>
          <w:sz w:val="18"/>
          <w:lang w:eastAsia="es-MX"/>
        </w:rPr>
        <w:t>.</w:t>
      </w:r>
      <w:r w:rsidR="007822EA" w:rsidRPr="00104227">
        <w:rPr>
          <w:rStyle w:val="Refdenotaalpie"/>
          <w:lang w:eastAsia="es-MX"/>
        </w:rPr>
        <w:footnoteReference w:id="329"/>
      </w:r>
    </w:p>
    <w:p w14:paraId="6761F977" w14:textId="77777777" w:rsidR="007822EA" w:rsidRPr="00104227" w:rsidRDefault="007822EA" w:rsidP="00E4619F">
      <w:pPr>
        <w:pStyle w:val="PrrafodeSentencia"/>
        <w:numPr>
          <w:ilvl w:val="0"/>
          <w:numId w:val="0"/>
        </w:numPr>
        <w:rPr>
          <w:lang w:val="en-US"/>
        </w:rPr>
      </w:pPr>
    </w:p>
    <w:p w14:paraId="7B84FEA6" w14:textId="31D6AD40" w:rsidR="00FE30CA" w:rsidRPr="00104227" w:rsidRDefault="00B01B48" w:rsidP="00E4619F">
      <w:pPr>
        <w:pStyle w:val="Numberedparagraphs"/>
        <w:tabs>
          <w:tab w:val="left" w:pos="567"/>
        </w:tabs>
        <w:rPr>
          <w:lang w:val="en-US"/>
        </w:rPr>
      </w:pPr>
      <w:r w:rsidRPr="00104227">
        <w:rPr>
          <w:lang w:val="en-US"/>
        </w:rPr>
        <w:t>According to</w:t>
      </w:r>
      <w:r w:rsidR="00FE30CA" w:rsidRPr="00104227">
        <w:rPr>
          <w:lang w:val="en-US"/>
        </w:rPr>
        <w:t xml:space="preserve"> </w:t>
      </w:r>
      <w:r w:rsidRPr="00104227">
        <w:rPr>
          <w:lang w:val="en-US"/>
        </w:rPr>
        <w:t>a</w:t>
      </w:r>
      <w:r w:rsidR="00E2287B" w:rsidRPr="00104227">
        <w:rPr>
          <w:lang w:val="en-US"/>
        </w:rPr>
        <w:t>rticle</w:t>
      </w:r>
      <w:r w:rsidR="00FE30CA" w:rsidRPr="00104227">
        <w:rPr>
          <w:lang w:val="en-US"/>
        </w:rPr>
        <w:t xml:space="preserve"> 14</w:t>
      </w:r>
      <w:r w:rsidR="002D218B" w:rsidRPr="00104227">
        <w:rPr>
          <w:lang w:val="en-US"/>
        </w:rPr>
        <w:t>2</w:t>
      </w:r>
      <w:r w:rsidR="00D04B8B" w:rsidRPr="00104227">
        <w:rPr>
          <w:lang w:val="en-US"/>
        </w:rPr>
        <w:t xml:space="preserve"> of the Code of Criminal Procedure</w:t>
      </w:r>
      <w:r w:rsidR="002826A6" w:rsidRPr="00104227">
        <w:rPr>
          <w:lang w:val="en-US"/>
        </w:rPr>
        <w:t xml:space="preserve"> of the </w:t>
      </w:r>
      <w:r w:rsidR="00CA330F" w:rsidRPr="00104227">
        <w:rPr>
          <w:lang w:val="en-US"/>
        </w:rPr>
        <w:t>state of Mexico</w:t>
      </w:r>
      <w:r w:rsidR="00FE30CA" w:rsidRPr="00104227">
        <w:rPr>
          <w:lang w:val="en-US"/>
        </w:rPr>
        <w:t xml:space="preserve"> </w:t>
      </w:r>
      <w:r w:rsidRPr="00104227">
        <w:rPr>
          <w:lang w:val="en-US"/>
        </w:rPr>
        <w:t xml:space="preserve">in force at the time of the events, </w:t>
      </w:r>
      <w:r w:rsidRPr="00104227">
        <w:rPr>
          <w:i/>
          <w:iCs/>
          <w:lang w:val="en-US"/>
        </w:rPr>
        <w:t>flagrante delicto</w:t>
      </w:r>
      <w:r w:rsidRPr="00104227">
        <w:rPr>
          <w:lang w:val="en-US"/>
        </w:rPr>
        <w:t xml:space="preserve"> exists when “the person is detained as he is committing the act, or when the suspect is pursued substantively, uninterruptedly and immediately after committing it.</w:t>
      </w:r>
      <w:r w:rsidR="00FE30CA" w:rsidRPr="00104227">
        <w:rPr>
          <w:lang w:val="en-US"/>
        </w:rPr>
        <w:t>”</w:t>
      </w:r>
      <w:r w:rsidR="00FE30CA" w:rsidRPr="00104227">
        <w:rPr>
          <w:rStyle w:val="Refdenotaalpie"/>
          <w:lang w:val="en-US" w:eastAsia="es-MX"/>
        </w:rPr>
        <w:footnoteReference w:id="330"/>
      </w:r>
    </w:p>
    <w:p w14:paraId="1F32024C" w14:textId="77777777" w:rsidR="00FE30CA" w:rsidRPr="00104227" w:rsidRDefault="00FE30CA" w:rsidP="00E4619F">
      <w:pPr>
        <w:tabs>
          <w:tab w:val="left" w:pos="567"/>
        </w:tabs>
        <w:rPr>
          <w:sz w:val="18"/>
          <w:lang w:eastAsia="es-MX"/>
        </w:rPr>
      </w:pPr>
    </w:p>
    <w:p w14:paraId="61584128" w14:textId="40005DC8" w:rsidR="007822EA" w:rsidRPr="00104227" w:rsidRDefault="00B01B48" w:rsidP="00E4619F">
      <w:pPr>
        <w:pStyle w:val="Numberedparagraphs"/>
        <w:tabs>
          <w:tab w:val="left" w:pos="567"/>
        </w:tabs>
        <w:rPr>
          <w:lang w:val="en-US"/>
        </w:rPr>
      </w:pPr>
      <w:r w:rsidRPr="00104227">
        <w:rPr>
          <w:lang w:val="en-US"/>
        </w:rPr>
        <w:t xml:space="preserve">According to the said articles, at the </w:t>
      </w:r>
      <w:r w:rsidR="00DD1B42" w:rsidRPr="00104227">
        <w:rPr>
          <w:lang w:val="en-US"/>
        </w:rPr>
        <w:t>time</w:t>
      </w:r>
      <w:r w:rsidRPr="00104227">
        <w:rPr>
          <w:lang w:val="en-US"/>
        </w:rPr>
        <w:t xml:space="preserve"> of the facts, under Mexico’s domestic law, detentions could be lawful if there were based</w:t>
      </w:r>
      <w:r w:rsidR="00DD1B42" w:rsidRPr="00104227">
        <w:rPr>
          <w:lang w:val="en-US"/>
        </w:rPr>
        <w:t xml:space="preserve"> </w:t>
      </w:r>
      <w:r w:rsidRPr="00104227">
        <w:rPr>
          <w:lang w:val="en-US"/>
        </w:rPr>
        <w:t xml:space="preserve">on: (a) a court order; (b) an order </w:t>
      </w:r>
      <w:r w:rsidR="000B2982" w:rsidRPr="00104227">
        <w:rPr>
          <w:lang w:val="en-US"/>
        </w:rPr>
        <w:t xml:space="preserve">of the </w:t>
      </w:r>
      <w:r w:rsidR="00024310" w:rsidRPr="00104227">
        <w:rPr>
          <w:lang w:val="en-US"/>
        </w:rPr>
        <w:t>Public Prosecution Service</w:t>
      </w:r>
      <w:r w:rsidR="007822EA" w:rsidRPr="00104227">
        <w:rPr>
          <w:lang w:val="en-US"/>
        </w:rPr>
        <w:t xml:space="preserve">, </w:t>
      </w:r>
      <w:r w:rsidRPr="00104227">
        <w:rPr>
          <w:lang w:val="en-US"/>
        </w:rPr>
        <w:t xml:space="preserve">in urgent cases when it was not possible to obtain a court order, or (c) in cases of </w:t>
      </w:r>
      <w:r w:rsidRPr="00104227">
        <w:rPr>
          <w:i/>
          <w:iCs/>
          <w:lang w:val="en-US"/>
        </w:rPr>
        <w:t>flagrante delicto</w:t>
      </w:r>
      <w:r w:rsidRPr="00104227">
        <w:rPr>
          <w:lang w:val="en-US"/>
        </w:rPr>
        <w:t>, in either of its forms. In this case, the Court notes that the detention</w:t>
      </w:r>
      <w:r w:rsidR="007822EA" w:rsidRPr="00104227">
        <w:rPr>
          <w:lang w:val="en-US"/>
        </w:rPr>
        <w:t xml:space="preserve"> </w:t>
      </w:r>
      <w:r w:rsidR="00F12946" w:rsidRPr="00104227">
        <w:rPr>
          <w:lang w:val="en-US"/>
        </w:rPr>
        <w:t>of the eleven women</w:t>
      </w:r>
      <w:r w:rsidR="007822EA" w:rsidRPr="00104227">
        <w:rPr>
          <w:lang w:val="en-US"/>
        </w:rPr>
        <w:t xml:space="preserve"> </w:t>
      </w:r>
      <w:r w:rsidR="00844C80" w:rsidRPr="00104227">
        <w:rPr>
          <w:lang w:val="en-US"/>
        </w:rPr>
        <w:t>victims in this case</w:t>
      </w:r>
      <w:r w:rsidRPr="00104227">
        <w:rPr>
          <w:lang w:val="en-US"/>
        </w:rPr>
        <w:t xml:space="preserve"> was carried out pursuant to quasi-</w:t>
      </w:r>
      <w:r w:rsidRPr="00104227">
        <w:rPr>
          <w:i/>
          <w:iCs/>
          <w:lang w:val="en-US"/>
        </w:rPr>
        <w:t>flagrante delicto</w:t>
      </w:r>
      <w:r w:rsidRPr="00104227">
        <w:rPr>
          <w:lang w:val="en-US"/>
        </w:rPr>
        <w:t>.</w:t>
      </w:r>
      <w:r w:rsidR="007822EA" w:rsidRPr="00104227">
        <w:rPr>
          <w:rStyle w:val="Refdenotaalpie"/>
          <w:lang w:val="en-US"/>
        </w:rPr>
        <w:footnoteReference w:id="331"/>
      </w:r>
      <w:r w:rsidR="00C726C5" w:rsidRPr="00104227">
        <w:rPr>
          <w:lang w:val="en-US"/>
        </w:rPr>
        <w:t xml:space="preserve"> </w:t>
      </w:r>
    </w:p>
    <w:p w14:paraId="11C8735A" w14:textId="77777777" w:rsidR="007822EA" w:rsidRPr="00104227" w:rsidRDefault="007822EA" w:rsidP="00E4619F">
      <w:pPr>
        <w:tabs>
          <w:tab w:val="left" w:pos="567"/>
        </w:tabs>
        <w:rPr>
          <w:lang w:eastAsia="es-MX"/>
        </w:rPr>
      </w:pPr>
    </w:p>
    <w:p w14:paraId="51FDF2AD" w14:textId="091641E7" w:rsidR="007822EA" w:rsidRPr="00104227" w:rsidRDefault="00534B6A" w:rsidP="00534B6A">
      <w:pPr>
        <w:pStyle w:val="Numberedparagraphs"/>
        <w:tabs>
          <w:tab w:val="left" w:pos="567"/>
        </w:tabs>
        <w:rPr>
          <w:lang w:val="en-US"/>
        </w:rPr>
      </w:pPr>
      <w:bookmarkStart w:id="315" w:name="_Ref528939229"/>
      <w:r w:rsidRPr="00104227">
        <w:rPr>
          <w:lang w:val="en-US"/>
        </w:rPr>
        <w:t xml:space="preserve">In this regard, the Court has noted that, in order to evaluate the lawfulness of a deprivation of liberty under the American Convention, the State must prove that it was carried out in accordance with the pertinent </w:t>
      </w:r>
      <w:r w:rsidR="00DD1B42" w:rsidRPr="00104227">
        <w:rPr>
          <w:lang w:val="en-US"/>
        </w:rPr>
        <w:t>domestic</w:t>
      </w:r>
      <w:r w:rsidRPr="00104227">
        <w:rPr>
          <w:lang w:val="en-US"/>
        </w:rPr>
        <w:t xml:space="preserve"> law, as regards both the reasons and the procedure.</w:t>
      </w:r>
      <w:r w:rsidR="007822EA" w:rsidRPr="00104227">
        <w:rPr>
          <w:rStyle w:val="Refdenotaalpie"/>
          <w:lang w:val="en-US"/>
        </w:rPr>
        <w:footnoteReference w:id="332"/>
      </w:r>
      <w:r w:rsidR="007822EA" w:rsidRPr="00104227">
        <w:rPr>
          <w:lang w:val="en-US"/>
        </w:rPr>
        <w:t xml:space="preserve"> </w:t>
      </w:r>
      <w:r w:rsidRPr="00104227">
        <w:rPr>
          <w:lang w:val="en-US"/>
        </w:rPr>
        <w:t>Specifically, in</w:t>
      </w:r>
      <w:r w:rsidR="00DD1B42" w:rsidRPr="00104227">
        <w:rPr>
          <w:lang w:val="en-US"/>
        </w:rPr>
        <w:t xml:space="preserve"> the</w:t>
      </w:r>
      <w:r w:rsidRPr="00104227">
        <w:rPr>
          <w:lang w:val="en-US"/>
        </w:rPr>
        <w:t xml:space="preserve"> case of the presumption of </w:t>
      </w:r>
      <w:r w:rsidRPr="00104227">
        <w:rPr>
          <w:i/>
          <w:iCs/>
          <w:lang w:val="en-US"/>
        </w:rPr>
        <w:t>flagrante delicto</w:t>
      </w:r>
      <w:r w:rsidRPr="00104227">
        <w:rPr>
          <w:lang w:val="en-US"/>
        </w:rPr>
        <w:t>, this Court has indicated that the State must prove that the detention was carried out</w:t>
      </w:r>
      <w:r w:rsidRPr="00104227">
        <w:rPr>
          <w:i/>
          <w:iCs/>
          <w:lang w:val="en-US"/>
        </w:rPr>
        <w:t xml:space="preserve"> in</w:t>
      </w:r>
      <w:r w:rsidRPr="00104227">
        <w:rPr>
          <w:lang w:val="en-US"/>
        </w:rPr>
        <w:t xml:space="preserve"> </w:t>
      </w:r>
      <w:r w:rsidRPr="00104227">
        <w:rPr>
          <w:i/>
          <w:iCs/>
          <w:lang w:val="en-US"/>
        </w:rPr>
        <w:t>flagrante delicto</w:t>
      </w:r>
      <w:r w:rsidR="006B6C9D" w:rsidRPr="00104227">
        <w:rPr>
          <w:i/>
          <w:iCs/>
          <w:lang w:val="en-US"/>
        </w:rPr>
        <w:t>.</w:t>
      </w:r>
      <w:r w:rsidRPr="00104227">
        <w:rPr>
          <w:rStyle w:val="Refdenotaalpie"/>
          <w:lang w:val="en-US"/>
        </w:rPr>
        <w:footnoteReference w:id="333"/>
      </w:r>
      <w:r w:rsidRPr="00104227">
        <w:rPr>
          <w:lang w:val="en-US"/>
        </w:rPr>
        <w:t xml:space="preserve"> In the instant case, the State has not proved the existence of elements that, reasonably, allow the </w:t>
      </w:r>
      <w:r w:rsidRPr="00104227">
        <w:rPr>
          <w:i/>
          <w:iCs/>
          <w:lang w:val="en-US"/>
        </w:rPr>
        <w:t>flagrante delicto</w:t>
      </w:r>
      <w:r w:rsidRPr="00104227">
        <w:rPr>
          <w:lang w:val="en-US"/>
        </w:rPr>
        <w:t xml:space="preserve"> required by domestic law to be supposed; to the contrary, it has acknowledged that the detention of the eleven women victims in this case was carried out in violation of Article 7(2) of the Convention. Furthermore, the statements of the eleven women victims in this case reveal that they were </w:t>
      </w:r>
      <w:r w:rsidR="00DD1B42" w:rsidRPr="00104227">
        <w:rPr>
          <w:lang w:val="en-US"/>
        </w:rPr>
        <w:t>arrested</w:t>
      </w:r>
      <w:r w:rsidRPr="00104227">
        <w:rPr>
          <w:lang w:val="en-US"/>
        </w:rPr>
        <w:t xml:space="preserve"> when they were walking down the street, waiting for buses, shopping, going to work, carrying out research or journalism, providing medical care, and even when they had taken shelter in private homes</w:t>
      </w:r>
      <w:r w:rsidR="007822EA" w:rsidRPr="00104227">
        <w:rPr>
          <w:lang w:val="en-US"/>
        </w:rPr>
        <w:t xml:space="preserve"> (</w:t>
      </w:r>
      <w:r w:rsidR="007822EA" w:rsidRPr="00104227">
        <w:rPr>
          <w:i/>
          <w:lang w:val="en-US"/>
        </w:rPr>
        <w:t>infra</w:t>
      </w:r>
      <w:r w:rsidR="007822EA" w:rsidRPr="00104227">
        <w:rPr>
          <w:lang w:val="en-US"/>
        </w:rPr>
        <w:t xml:space="preserve"> </w:t>
      </w:r>
      <w:r w:rsidR="00BF5241" w:rsidRPr="00104227">
        <w:rPr>
          <w:lang w:val="en-US"/>
        </w:rPr>
        <w:t>para.</w:t>
      </w:r>
      <w:r w:rsidR="007822EA" w:rsidRPr="00104227">
        <w:rPr>
          <w:lang w:val="en-US"/>
        </w:rPr>
        <w:t xml:space="preserve"> </w:t>
      </w:r>
      <w:r w:rsidR="007822EA" w:rsidRPr="00104227">
        <w:rPr>
          <w:lang w:val="en-US"/>
        </w:rPr>
        <w:fldChar w:fldCharType="begin"/>
      </w:r>
      <w:r w:rsidR="007822EA" w:rsidRPr="00104227">
        <w:rPr>
          <w:lang w:val="en-US"/>
        </w:rPr>
        <w:instrText xml:space="preserve"> REF _Ref527576574 \r \h </w:instrText>
      </w:r>
      <w:r w:rsidR="006E365C" w:rsidRPr="00104227">
        <w:rPr>
          <w:lang w:val="en-US"/>
        </w:rPr>
        <w:instrText xml:space="preserve"> \* MERGEFORMAT </w:instrText>
      </w:r>
      <w:r w:rsidR="007822EA" w:rsidRPr="00104227">
        <w:rPr>
          <w:lang w:val="en-US"/>
        </w:rPr>
        <w:fldChar w:fldCharType="separate"/>
      </w:r>
      <w:r w:rsidR="004276BD">
        <w:rPr>
          <w:b/>
          <w:bCs/>
          <w:lang w:val="es-ES"/>
        </w:rPr>
        <w:t>¡Error! No se encuentra el origen de la referencia.</w:t>
      </w:r>
      <w:r w:rsidR="007822EA" w:rsidRPr="00104227">
        <w:rPr>
          <w:lang w:val="en-US"/>
        </w:rPr>
        <w:fldChar w:fldCharType="end"/>
      </w:r>
      <w:r w:rsidR="00153922" w:rsidRPr="00104227">
        <w:rPr>
          <w:lang w:val="en-US"/>
        </w:rPr>
        <w:t xml:space="preserve">). </w:t>
      </w:r>
      <w:r w:rsidRPr="00104227">
        <w:rPr>
          <w:lang w:val="en-US"/>
        </w:rPr>
        <w:t>In its</w:t>
      </w:r>
      <w:r w:rsidR="007822EA" w:rsidRPr="00104227">
        <w:rPr>
          <w:lang w:val="en-US"/>
        </w:rPr>
        <w:t xml:space="preserve"> </w:t>
      </w:r>
      <w:r w:rsidR="00856FE0" w:rsidRPr="00104227">
        <w:rPr>
          <w:lang w:val="en-US"/>
        </w:rPr>
        <w:t>Recommendation</w:t>
      </w:r>
      <w:r w:rsidR="007822EA" w:rsidRPr="00104227">
        <w:rPr>
          <w:lang w:val="en-US"/>
        </w:rPr>
        <w:t xml:space="preserve"> 38/2006, </w:t>
      </w:r>
      <w:r w:rsidR="0065009A" w:rsidRPr="00104227">
        <w:rPr>
          <w:lang w:val="en-US"/>
        </w:rPr>
        <w:t>the CNDH</w:t>
      </w:r>
      <w:r w:rsidR="007822EA" w:rsidRPr="00104227">
        <w:rPr>
          <w:lang w:val="en-US"/>
        </w:rPr>
        <w:t xml:space="preserve"> observ</w:t>
      </w:r>
      <w:r w:rsidRPr="00104227">
        <w:rPr>
          <w:lang w:val="en-US"/>
        </w:rPr>
        <w:t xml:space="preserve">ed that nine </w:t>
      </w:r>
      <w:r w:rsidR="00F12946" w:rsidRPr="00104227">
        <w:rPr>
          <w:lang w:val="en-US"/>
        </w:rPr>
        <w:t>of the eleven women</w:t>
      </w:r>
      <w:r w:rsidR="007822EA" w:rsidRPr="00104227">
        <w:rPr>
          <w:lang w:val="en-US"/>
        </w:rPr>
        <w:t xml:space="preserve"> </w:t>
      </w:r>
      <w:r w:rsidR="00844C80" w:rsidRPr="00104227">
        <w:rPr>
          <w:lang w:val="en-US"/>
        </w:rPr>
        <w:t>victims in this case</w:t>
      </w:r>
      <w:r w:rsidR="007822EA" w:rsidRPr="00104227">
        <w:rPr>
          <w:lang w:val="en-US"/>
        </w:rPr>
        <w:t xml:space="preserve"> </w:t>
      </w:r>
      <w:r w:rsidRPr="00104227">
        <w:rPr>
          <w:lang w:val="en-US"/>
        </w:rPr>
        <w:t xml:space="preserve">were detained in the context of </w:t>
      </w:r>
      <w:r w:rsidR="000201A5" w:rsidRPr="00104227">
        <w:rPr>
          <w:lang w:val="en-US"/>
        </w:rPr>
        <w:t>“raids” without a court order, thus contravening the provisions of domestic law an</w:t>
      </w:r>
      <w:r w:rsidR="00214296" w:rsidRPr="00104227">
        <w:rPr>
          <w:lang w:val="en-US"/>
        </w:rPr>
        <w:t>d</w:t>
      </w:r>
      <w:r w:rsidR="000201A5" w:rsidRPr="00104227">
        <w:rPr>
          <w:lang w:val="en-US"/>
        </w:rPr>
        <w:t xml:space="preserve"> “without the certainty that they might have participated in </w:t>
      </w:r>
      <w:r w:rsidR="00214296" w:rsidRPr="00104227">
        <w:rPr>
          <w:lang w:val="en-US"/>
        </w:rPr>
        <w:t>the perpetration of</w:t>
      </w:r>
      <w:r w:rsidR="000201A5" w:rsidRPr="00104227">
        <w:rPr>
          <w:lang w:val="en-US"/>
        </w:rPr>
        <w:t xml:space="preserve"> a wrongful act.</w:t>
      </w:r>
      <w:r w:rsidR="007822EA" w:rsidRPr="00104227">
        <w:rPr>
          <w:lang w:val="en-US"/>
        </w:rPr>
        <w:t>”</w:t>
      </w:r>
      <w:r w:rsidR="007822EA" w:rsidRPr="00104227">
        <w:rPr>
          <w:rStyle w:val="Refdenotaalpie"/>
          <w:lang w:val="en-US"/>
        </w:rPr>
        <w:footnoteReference w:id="334"/>
      </w:r>
      <w:bookmarkEnd w:id="315"/>
      <w:r w:rsidR="007822EA" w:rsidRPr="00104227">
        <w:rPr>
          <w:lang w:val="en-US"/>
        </w:rPr>
        <w:t xml:space="preserve"> </w:t>
      </w:r>
    </w:p>
    <w:p w14:paraId="1653AC6B" w14:textId="77777777" w:rsidR="007822EA" w:rsidRPr="00104227" w:rsidRDefault="007822EA" w:rsidP="00E4619F">
      <w:pPr>
        <w:tabs>
          <w:tab w:val="left" w:pos="567"/>
        </w:tabs>
        <w:rPr>
          <w:lang w:eastAsia="es-MX"/>
        </w:rPr>
      </w:pPr>
    </w:p>
    <w:p w14:paraId="230A48FC" w14:textId="14F740A2" w:rsidR="007822EA" w:rsidRPr="00104227" w:rsidRDefault="00BF5241" w:rsidP="00E4619F">
      <w:pPr>
        <w:pStyle w:val="Numberedparagraphs"/>
        <w:tabs>
          <w:tab w:val="left" w:pos="567"/>
        </w:tabs>
        <w:rPr>
          <w:lang w:val="en-US"/>
        </w:rPr>
      </w:pPr>
      <w:bookmarkStart w:id="316" w:name="_Ref527576186"/>
      <w:r w:rsidRPr="00104227">
        <w:rPr>
          <w:lang w:val="en-US"/>
        </w:rPr>
        <w:t>The Court</w:t>
      </w:r>
      <w:r w:rsidR="007822EA" w:rsidRPr="00104227">
        <w:rPr>
          <w:lang w:val="en-US"/>
        </w:rPr>
        <w:t xml:space="preserve"> </w:t>
      </w:r>
      <w:r w:rsidR="006B6C9D" w:rsidRPr="00104227">
        <w:rPr>
          <w:lang w:val="en-US"/>
        </w:rPr>
        <w:t xml:space="preserve">finds that the detentions were executed unlawfully, because the situation of </w:t>
      </w:r>
      <w:r w:rsidR="006B6C9D" w:rsidRPr="00104227">
        <w:rPr>
          <w:i/>
          <w:iCs/>
          <w:lang w:val="en-US"/>
        </w:rPr>
        <w:t>flagrante delicto</w:t>
      </w:r>
      <w:r w:rsidR="006B6C9D" w:rsidRPr="00104227">
        <w:rPr>
          <w:lang w:val="en-US"/>
        </w:rPr>
        <w:t xml:space="preserve"> required by domestic law – and on the basis of which they were detained – was not proved</w:t>
      </w:r>
      <w:r w:rsidR="007822EA" w:rsidRPr="00104227">
        <w:rPr>
          <w:lang w:val="en-US"/>
        </w:rPr>
        <w:t xml:space="preserve">. </w:t>
      </w:r>
      <w:r w:rsidR="006B6C9D" w:rsidRPr="00104227">
        <w:rPr>
          <w:lang w:val="en-US"/>
        </w:rPr>
        <w:t>Therefore</w:t>
      </w:r>
      <w:r w:rsidR="00153922" w:rsidRPr="00104227">
        <w:rPr>
          <w:lang w:val="en-US"/>
        </w:rPr>
        <w:t xml:space="preserve">, </w:t>
      </w:r>
      <w:r w:rsidR="00AC3BFC" w:rsidRPr="00104227">
        <w:rPr>
          <w:lang w:val="en-US"/>
        </w:rPr>
        <w:t>the State</w:t>
      </w:r>
      <w:r w:rsidR="00153922" w:rsidRPr="00104227">
        <w:rPr>
          <w:lang w:val="en-US"/>
        </w:rPr>
        <w:t xml:space="preserve"> viol</w:t>
      </w:r>
      <w:r w:rsidR="006B6C9D" w:rsidRPr="00104227">
        <w:rPr>
          <w:lang w:val="en-US"/>
        </w:rPr>
        <w:t>ated</w:t>
      </w:r>
      <w:r w:rsidR="00153922" w:rsidRPr="00104227">
        <w:rPr>
          <w:lang w:val="en-US"/>
        </w:rPr>
        <w:t xml:space="preserve"> </w:t>
      </w:r>
      <w:r w:rsidRPr="00104227">
        <w:rPr>
          <w:lang w:val="en-US"/>
        </w:rPr>
        <w:t>Articles</w:t>
      </w:r>
      <w:r w:rsidR="007822EA" w:rsidRPr="00104227">
        <w:rPr>
          <w:lang w:val="en-US"/>
        </w:rPr>
        <w:t xml:space="preserve"> </w:t>
      </w:r>
      <w:r w:rsidR="00C2124F" w:rsidRPr="00104227">
        <w:rPr>
          <w:lang w:val="en-US"/>
        </w:rPr>
        <w:t>7(1)</w:t>
      </w:r>
      <w:r w:rsidRPr="00104227">
        <w:rPr>
          <w:lang w:val="en-US"/>
        </w:rPr>
        <w:t xml:space="preserve"> and </w:t>
      </w:r>
      <w:r w:rsidR="00C2124F" w:rsidRPr="00104227">
        <w:rPr>
          <w:lang w:val="en-US"/>
        </w:rPr>
        <w:t>7(2)</w:t>
      </w:r>
      <w:r w:rsidRPr="00104227">
        <w:rPr>
          <w:lang w:val="en-US"/>
        </w:rPr>
        <w:t xml:space="preserve"> of the Convention</w:t>
      </w:r>
      <w:r w:rsidR="007822EA" w:rsidRPr="00104227">
        <w:rPr>
          <w:lang w:val="en-US"/>
        </w:rPr>
        <w:t xml:space="preserve">, </w:t>
      </w:r>
      <w:r w:rsidR="00C2124F" w:rsidRPr="00104227">
        <w:rPr>
          <w:lang w:val="en-US"/>
        </w:rPr>
        <w:t>in relation to Article 1(1)</w:t>
      </w:r>
      <w:r w:rsidR="007822EA" w:rsidRPr="00104227">
        <w:rPr>
          <w:lang w:val="en-US"/>
        </w:rPr>
        <w:t xml:space="preserve"> </w:t>
      </w:r>
      <w:r w:rsidR="006B6C9D" w:rsidRPr="00104227">
        <w:rPr>
          <w:lang w:val="en-US"/>
        </w:rPr>
        <w:t>of this instrument</w:t>
      </w:r>
      <w:r w:rsidR="007822EA" w:rsidRPr="00104227">
        <w:rPr>
          <w:lang w:val="en-US"/>
        </w:rPr>
        <w:t xml:space="preserve">, </w:t>
      </w:r>
      <w:r w:rsidR="00C2124F" w:rsidRPr="00104227">
        <w:rPr>
          <w:lang w:val="en-US"/>
        </w:rPr>
        <w:t>to the detriment of</w:t>
      </w:r>
      <w:r w:rsidR="007822EA" w:rsidRPr="00104227">
        <w:rPr>
          <w:lang w:val="en-US"/>
        </w:rPr>
        <w:t xml:space="preserve"> </w:t>
      </w:r>
      <w:r w:rsidR="00F12946" w:rsidRPr="00104227">
        <w:rPr>
          <w:lang w:val="en-US"/>
        </w:rPr>
        <w:t>the eleven women</w:t>
      </w:r>
      <w:r w:rsidR="007822EA" w:rsidRPr="00104227">
        <w:rPr>
          <w:lang w:val="en-US"/>
        </w:rPr>
        <w:t xml:space="preserve"> </w:t>
      </w:r>
      <w:r w:rsidR="00844C80" w:rsidRPr="00104227">
        <w:rPr>
          <w:lang w:val="en-US"/>
        </w:rPr>
        <w:t>victims in this case</w:t>
      </w:r>
      <w:r w:rsidR="007822EA" w:rsidRPr="00104227">
        <w:rPr>
          <w:lang w:val="en-US"/>
        </w:rPr>
        <w:t>.</w:t>
      </w:r>
      <w:bookmarkEnd w:id="316"/>
      <w:r w:rsidR="007822EA" w:rsidRPr="00104227">
        <w:rPr>
          <w:lang w:val="en-US"/>
        </w:rPr>
        <w:t xml:space="preserve"> </w:t>
      </w:r>
    </w:p>
    <w:p w14:paraId="5C9EA34B" w14:textId="77777777" w:rsidR="007822EA" w:rsidRPr="00104227" w:rsidRDefault="007822EA" w:rsidP="00E4619F">
      <w:pPr>
        <w:tabs>
          <w:tab w:val="left" w:pos="567"/>
        </w:tabs>
        <w:rPr>
          <w:lang w:eastAsia="es-MX"/>
        </w:rPr>
      </w:pPr>
    </w:p>
    <w:p w14:paraId="4CEB537B" w14:textId="56FB084C" w:rsidR="007822EA" w:rsidRPr="00104227" w:rsidRDefault="007822EA" w:rsidP="00885693">
      <w:pPr>
        <w:pStyle w:val="Ttulo4"/>
        <w:rPr>
          <w:lang w:val="en-US" w:eastAsia="es-MX"/>
        </w:rPr>
      </w:pPr>
      <w:r w:rsidRPr="00104227">
        <w:rPr>
          <w:lang w:val="en-US" w:eastAsia="es-MX"/>
        </w:rPr>
        <w:t xml:space="preserve">B.1.b </w:t>
      </w:r>
      <w:r w:rsidR="004B77B1" w:rsidRPr="00104227">
        <w:rPr>
          <w:lang w:val="en-US" w:eastAsia="es-MX"/>
        </w:rPr>
        <w:t>Arbitrariness</w:t>
      </w:r>
      <w:r w:rsidRPr="00104227">
        <w:rPr>
          <w:lang w:val="en-US" w:eastAsia="es-MX"/>
        </w:rPr>
        <w:t xml:space="preserve"> </w:t>
      </w:r>
      <w:r w:rsidR="004B77B1" w:rsidRPr="00104227">
        <w:rPr>
          <w:lang w:val="en-US" w:eastAsia="es-MX"/>
        </w:rPr>
        <w:t>of the detentions</w:t>
      </w:r>
      <w:r w:rsidRPr="00104227">
        <w:rPr>
          <w:lang w:val="en-US" w:eastAsia="es-MX"/>
        </w:rPr>
        <w:t xml:space="preserve"> </w:t>
      </w:r>
    </w:p>
    <w:p w14:paraId="7AEE6A59" w14:textId="77777777" w:rsidR="007822EA" w:rsidRPr="00104227" w:rsidRDefault="007822EA" w:rsidP="00E4619F">
      <w:pPr>
        <w:tabs>
          <w:tab w:val="left" w:pos="567"/>
        </w:tabs>
        <w:rPr>
          <w:lang w:eastAsia="es-MX"/>
        </w:rPr>
      </w:pPr>
    </w:p>
    <w:p w14:paraId="2772E247" w14:textId="1E7B725E" w:rsidR="007822EA" w:rsidRPr="00104227" w:rsidRDefault="006C1150" w:rsidP="00E4619F">
      <w:pPr>
        <w:pStyle w:val="Numberedparagraphs"/>
        <w:tabs>
          <w:tab w:val="left" w:pos="567"/>
        </w:tabs>
        <w:rPr>
          <w:lang w:val="en-US"/>
        </w:rPr>
      </w:pPr>
      <w:bookmarkStart w:id="317" w:name="_Ref527576460"/>
      <w:r w:rsidRPr="00104227">
        <w:rPr>
          <w:lang w:val="en-US"/>
        </w:rPr>
        <w:t xml:space="preserve">This Court also notes that, in the instant case, in addition to the reasons why the State declared that the detention of the eleven women victims in this case was unlawful, it also acknowledged the </w:t>
      </w:r>
      <w:r w:rsidR="004B77B1" w:rsidRPr="00104227">
        <w:rPr>
          <w:lang w:val="en-US"/>
        </w:rPr>
        <w:t>arbitrariness</w:t>
      </w:r>
      <w:r w:rsidR="007822EA" w:rsidRPr="00104227">
        <w:rPr>
          <w:lang w:val="en-US"/>
        </w:rPr>
        <w:t xml:space="preserve"> </w:t>
      </w:r>
      <w:r w:rsidRPr="00104227">
        <w:rPr>
          <w:lang w:val="en-US"/>
        </w:rPr>
        <w:t xml:space="preserve">of the deprivation of their liberty in the context of the operations carried out in </w:t>
      </w:r>
      <w:r w:rsidR="007822EA" w:rsidRPr="00104227">
        <w:rPr>
          <w:lang w:val="en-US"/>
        </w:rPr>
        <w:t>Texcoco</w:t>
      </w:r>
      <w:r w:rsidR="00BF5241" w:rsidRPr="00104227">
        <w:rPr>
          <w:lang w:val="en-US"/>
        </w:rPr>
        <w:t xml:space="preserve"> and </w:t>
      </w:r>
      <w:r w:rsidR="007822EA" w:rsidRPr="00104227">
        <w:rPr>
          <w:lang w:val="en-US"/>
        </w:rPr>
        <w:t xml:space="preserve">San Salvador Atenco </w:t>
      </w:r>
      <w:r w:rsidRPr="00104227">
        <w:rPr>
          <w:lang w:val="en-US"/>
        </w:rPr>
        <w:t>on</w:t>
      </w:r>
      <w:r w:rsidR="007822EA" w:rsidRPr="00104227">
        <w:rPr>
          <w:lang w:val="en-US"/>
        </w:rPr>
        <w:t xml:space="preserve"> </w:t>
      </w:r>
      <w:r w:rsidR="00DF5F3C" w:rsidRPr="00104227">
        <w:rPr>
          <w:lang w:val="en-US"/>
        </w:rPr>
        <w:t>May 3 and 4,</w:t>
      </w:r>
      <w:r w:rsidR="007822EA" w:rsidRPr="00104227">
        <w:rPr>
          <w:lang w:val="en-US"/>
        </w:rPr>
        <w:t xml:space="preserve"> 2006. </w:t>
      </w:r>
      <w:r w:rsidRPr="00104227">
        <w:rPr>
          <w:lang w:val="en-US"/>
        </w:rPr>
        <w:t>In this regard</w:t>
      </w:r>
      <w:r w:rsidR="007822EA" w:rsidRPr="00104227">
        <w:rPr>
          <w:lang w:val="en-US"/>
        </w:rPr>
        <w:t xml:space="preserve">, </w:t>
      </w:r>
      <w:r w:rsidR="00BF5241" w:rsidRPr="00104227">
        <w:rPr>
          <w:lang w:val="en-US"/>
        </w:rPr>
        <w:t>the Court</w:t>
      </w:r>
      <w:r w:rsidR="007822EA" w:rsidRPr="00104227">
        <w:rPr>
          <w:lang w:val="en-US"/>
        </w:rPr>
        <w:t xml:space="preserve"> </w:t>
      </w:r>
      <w:r w:rsidR="007822EA" w:rsidRPr="00104227">
        <w:rPr>
          <w:lang w:val="en-US"/>
        </w:rPr>
        <w:lastRenderedPageBreak/>
        <w:t>not</w:t>
      </w:r>
      <w:r w:rsidRPr="00104227">
        <w:rPr>
          <w:lang w:val="en-US"/>
        </w:rPr>
        <w:t>es that the detention</w:t>
      </w:r>
      <w:r w:rsidR="007822EA" w:rsidRPr="00104227">
        <w:rPr>
          <w:lang w:val="en-US"/>
        </w:rPr>
        <w:t xml:space="preserve"> </w:t>
      </w:r>
      <w:r w:rsidR="00F12946" w:rsidRPr="00104227">
        <w:rPr>
          <w:lang w:val="en-US"/>
        </w:rPr>
        <w:t>of the eleven women</w:t>
      </w:r>
      <w:r w:rsidR="007822EA" w:rsidRPr="00104227">
        <w:rPr>
          <w:lang w:val="en-US"/>
        </w:rPr>
        <w:t xml:space="preserve"> oc</w:t>
      </w:r>
      <w:r w:rsidRPr="00104227">
        <w:rPr>
          <w:lang w:val="en-US"/>
        </w:rPr>
        <w:t>c</w:t>
      </w:r>
      <w:r w:rsidR="007822EA" w:rsidRPr="00104227">
        <w:rPr>
          <w:lang w:val="en-US"/>
        </w:rPr>
        <w:t>urr</w:t>
      </w:r>
      <w:r w:rsidRPr="00104227">
        <w:rPr>
          <w:lang w:val="en-US"/>
        </w:rPr>
        <w:t>ed in a context of “numerous arbitrary de</w:t>
      </w:r>
      <w:r w:rsidR="00214296" w:rsidRPr="00104227">
        <w:rPr>
          <w:lang w:val="en-US"/>
        </w:rPr>
        <w:t>t</w:t>
      </w:r>
      <w:r w:rsidRPr="00104227">
        <w:rPr>
          <w:lang w:val="en-US"/>
        </w:rPr>
        <w:t xml:space="preserve">entions,” as determined by </w:t>
      </w:r>
      <w:r w:rsidR="008F27D0" w:rsidRPr="00104227">
        <w:rPr>
          <w:lang w:val="en-US"/>
        </w:rPr>
        <w:t>the SCJN</w:t>
      </w:r>
      <w:r w:rsidR="007822EA" w:rsidRPr="00104227">
        <w:rPr>
          <w:lang w:val="en-US"/>
        </w:rPr>
        <w:t xml:space="preserve">, </w:t>
      </w:r>
      <w:r w:rsidRPr="00104227">
        <w:rPr>
          <w:lang w:val="en-US"/>
        </w:rPr>
        <w:t>which indicated the following</w:t>
      </w:r>
      <w:r w:rsidR="007822EA" w:rsidRPr="00104227">
        <w:rPr>
          <w:lang w:val="en-US"/>
        </w:rPr>
        <w:t>:</w:t>
      </w:r>
      <w:bookmarkEnd w:id="317"/>
      <w:r w:rsidR="007822EA" w:rsidRPr="00104227">
        <w:rPr>
          <w:lang w:val="en-US"/>
        </w:rPr>
        <w:t xml:space="preserve"> </w:t>
      </w:r>
    </w:p>
    <w:p w14:paraId="7D5F80B3" w14:textId="77777777" w:rsidR="007822EA" w:rsidRPr="00104227" w:rsidRDefault="007822EA" w:rsidP="00E4619F">
      <w:pPr>
        <w:tabs>
          <w:tab w:val="left" w:pos="567"/>
        </w:tabs>
        <w:rPr>
          <w:lang w:eastAsia="es-MX"/>
        </w:rPr>
      </w:pPr>
    </w:p>
    <w:p w14:paraId="53D95B19" w14:textId="3B7ED143" w:rsidR="007822EA" w:rsidRPr="00104227" w:rsidRDefault="006C1150" w:rsidP="00DB0414">
      <w:pPr>
        <w:tabs>
          <w:tab w:val="left" w:pos="567"/>
        </w:tabs>
        <w:ind w:left="720" w:right="576"/>
        <w:rPr>
          <w:sz w:val="18"/>
          <w:szCs w:val="18"/>
          <w:lang w:eastAsia="es-MX"/>
        </w:rPr>
      </w:pPr>
      <w:r w:rsidRPr="00104227">
        <w:rPr>
          <w:sz w:val="18"/>
          <w:szCs w:val="18"/>
        </w:rPr>
        <w:t>During the events in question, it has been proved that numerous arbitr</w:t>
      </w:r>
      <w:r w:rsidR="00214296" w:rsidRPr="00104227">
        <w:rPr>
          <w:sz w:val="18"/>
          <w:szCs w:val="18"/>
        </w:rPr>
        <w:t>a</w:t>
      </w:r>
      <w:r w:rsidRPr="00104227">
        <w:rPr>
          <w:sz w:val="18"/>
          <w:szCs w:val="18"/>
        </w:rPr>
        <w:t xml:space="preserve">ry detentions were </w:t>
      </w:r>
      <w:r w:rsidR="00214296" w:rsidRPr="00104227">
        <w:rPr>
          <w:sz w:val="18"/>
          <w:szCs w:val="18"/>
        </w:rPr>
        <w:t>executed</w:t>
      </w:r>
      <w:r w:rsidRPr="00104227">
        <w:rPr>
          <w:sz w:val="18"/>
          <w:szCs w:val="18"/>
        </w:rPr>
        <w:t>, which could be explained, although not justified, by the vertigi</w:t>
      </w:r>
      <w:r w:rsidR="008B21A2" w:rsidRPr="00104227">
        <w:rPr>
          <w:sz w:val="18"/>
          <w:szCs w:val="18"/>
        </w:rPr>
        <w:t>n</w:t>
      </w:r>
      <w:r w:rsidRPr="00104227">
        <w:rPr>
          <w:sz w:val="18"/>
          <w:szCs w:val="18"/>
        </w:rPr>
        <w:t xml:space="preserve">ous nature of the events, especially those that occurred </w:t>
      </w:r>
      <w:r w:rsidR="008B21A2" w:rsidRPr="00104227">
        <w:rPr>
          <w:sz w:val="18"/>
          <w:szCs w:val="18"/>
        </w:rPr>
        <w:t>o</w:t>
      </w:r>
      <w:r w:rsidRPr="00104227">
        <w:rPr>
          <w:sz w:val="18"/>
          <w:szCs w:val="18"/>
        </w:rPr>
        <w:t xml:space="preserve">n the blocked highway and surrounding areas, and </w:t>
      </w:r>
      <w:r w:rsidR="008B21A2" w:rsidRPr="00104227">
        <w:rPr>
          <w:sz w:val="18"/>
          <w:szCs w:val="18"/>
        </w:rPr>
        <w:t xml:space="preserve">given the many members and supporters of the </w:t>
      </w:r>
      <w:r w:rsidR="008B21A2" w:rsidRPr="00104227">
        <w:rPr>
          <w:sz w:val="18"/>
          <w:szCs w:val="18"/>
          <w:lang w:eastAsia="es-MX"/>
        </w:rPr>
        <w:t xml:space="preserve">Peoples’ Front who took part in the events, and others who, without forming part of that group, were in the village of Atenco. </w:t>
      </w:r>
      <w:r w:rsidR="008B21A2" w:rsidRPr="00104227">
        <w:rPr>
          <w:i/>
          <w:iCs/>
          <w:sz w:val="18"/>
          <w:szCs w:val="18"/>
          <w:lang w:eastAsia="es-MX"/>
        </w:rPr>
        <w:t xml:space="preserve">The police, without much consideration or delay, swept in, in what the factual context led them to believe was a case of </w:t>
      </w:r>
      <w:r w:rsidR="008B21A2" w:rsidRPr="00104227">
        <w:rPr>
          <w:sz w:val="18"/>
          <w:szCs w:val="18"/>
          <w:lang w:eastAsia="es-MX"/>
        </w:rPr>
        <w:t>flagrante delicto</w:t>
      </w:r>
      <w:r w:rsidR="008B21A2" w:rsidRPr="00104227">
        <w:rPr>
          <w:i/>
          <w:iCs/>
          <w:sz w:val="18"/>
          <w:szCs w:val="18"/>
          <w:lang w:eastAsia="es-MX"/>
        </w:rPr>
        <w:t>, detaining people indiscriminately, without knowing for sure, to begin with, whether th</w:t>
      </w:r>
      <w:r w:rsidR="00DB0414" w:rsidRPr="00104227">
        <w:rPr>
          <w:i/>
          <w:iCs/>
          <w:sz w:val="18"/>
          <w:szCs w:val="18"/>
          <w:lang w:eastAsia="es-MX"/>
        </w:rPr>
        <w:t>ose people</w:t>
      </w:r>
      <w:r w:rsidR="008B21A2" w:rsidRPr="00104227">
        <w:rPr>
          <w:i/>
          <w:iCs/>
          <w:sz w:val="18"/>
          <w:szCs w:val="18"/>
          <w:lang w:eastAsia="es-MX"/>
        </w:rPr>
        <w:t xml:space="preserve"> had take</w:t>
      </w:r>
      <w:r w:rsidR="00DB0414" w:rsidRPr="00104227">
        <w:rPr>
          <w:i/>
          <w:iCs/>
          <w:sz w:val="18"/>
          <w:szCs w:val="18"/>
          <w:lang w:eastAsia="es-MX"/>
        </w:rPr>
        <w:t>n</w:t>
      </w:r>
      <w:r w:rsidR="008B21A2" w:rsidRPr="00104227">
        <w:rPr>
          <w:i/>
          <w:iCs/>
          <w:sz w:val="18"/>
          <w:szCs w:val="18"/>
          <w:lang w:eastAsia="es-MX"/>
        </w:rPr>
        <w:t xml:space="preserve"> part in the perpetration of </w:t>
      </w:r>
      <w:r w:rsidR="00DB0414" w:rsidRPr="00104227">
        <w:rPr>
          <w:i/>
          <w:iCs/>
          <w:sz w:val="18"/>
          <w:szCs w:val="18"/>
          <w:lang w:eastAsia="es-MX"/>
        </w:rPr>
        <w:t xml:space="preserve">the </w:t>
      </w:r>
      <w:r w:rsidR="008B21A2" w:rsidRPr="00104227">
        <w:rPr>
          <w:i/>
          <w:iCs/>
          <w:sz w:val="18"/>
          <w:szCs w:val="18"/>
          <w:lang w:eastAsia="es-MX"/>
        </w:rPr>
        <w:t>wrongful acts they were repressing</w:t>
      </w:r>
      <w:r w:rsidR="00DB0414" w:rsidRPr="00104227">
        <w:rPr>
          <w:i/>
          <w:iCs/>
          <w:sz w:val="18"/>
          <w:szCs w:val="18"/>
          <w:lang w:eastAsia="es-MX"/>
        </w:rPr>
        <w:t>,</w:t>
      </w:r>
      <w:r w:rsidR="008B21A2" w:rsidRPr="00104227">
        <w:rPr>
          <w:i/>
          <w:iCs/>
          <w:sz w:val="18"/>
          <w:szCs w:val="18"/>
          <w:lang w:eastAsia="es-MX"/>
        </w:rPr>
        <w:t xml:space="preserve"> o</w:t>
      </w:r>
      <w:r w:rsidR="00DB0414" w:rsidRPr="00104227">
        <w:rPr>
          <w:i/>
          <w:iCs/>
          <w:sz w:val="18"/>
          <w:szCs w:val="18"/>
          <w:lang w:eastAsia="es-MX"/>
        </w:rPr>
        <w:t>r</w:t>
      </w:r>
      <w:r w:rsidR="008B21A2" w:rsidRPr="00104227">
        <w:rPr>
          <w:i/>
          <w:iCs/>
          <w:sz w:val="18"/>
          <w:szCs w:val="18"/>
          <w:lang w:eastAsia="es-MX"/>
        </w:rPr>
        <w:t xml:space="preserve"> what </w:t>
      </w:r>
      <w:r w:rsidR="00DB0414" w:rsidRPr="00104227">
        <w:rPr>
          <w:i/>
          <w:iCs/>
          <w:sz w:val="18"/>
          <w:szCs w:val="18"/>
          <w:lang w:eastAsia="es-MX"/>
        </w:rPr>
        <w:t xml:space="preserve">their </w:t>
      </w:r>
      <w:r w:rsidR="008B21A2" w:rsidRPr="00104227">
        <w:rPr>
          <w:i/>
          <w:iCs/>
          <w:sz w:val="18"/>
          <w:szCs w:val="18"/>
          <w:lang w:eastAsia="es-MX"/>
        </w:rPr>
        <w:t xml:space="preserve">participation </w:t>
      </w:r>
      <w:r w:rsidR="00DB0414" w:rsidRPr="00104227">
        <w:rPr>
          <w:i/>
          <w:iCs/>
          <w:sz w:val="18"/>
          <w:szCs w:val="18"/>
          <w:lang w:eastAsia="es-MX"/>
        </w:rPr>
        <w:t>in such acts had been.</w:t>
      </w:r>
      <w:r w:rsidR="007822EA" w:rsidRPr="00104227">
        <w:rPr>
          <w:rStyle w:val="Refdenotaalpie"/>
        </w:rPr>
        <w:footnoteReference w:id="335"/>
      </w:r>
    </w:p>
    <w:p w14:paraId="5488A286" w14:textId="77777777" w:rsidR="007822EA" w:rsidRPr="00104227" w:rsidRDefault="007822EA" w:rsidP="00E4619F">
      <w:pPr>
        <w:pStyle w:val="PrrafodeSentencia"/>
        <w:numPr>
          <w:ilvl w:val="0"/>
          <w:numId w:val="0"/>
        </w:numPr>
        <w:rPr>
          <w:lang w:val="en-US"/>
        </w:rPr>
      </w:pPr>
    </w:p>
    <w:p w14:paraId="18CFE3B8" w14:textId="026036F1" w:rsidR="007822EA" w:rsidRPr="00104227" w:rsidRDefault="00DB0414" w:rsidP="00DB0414">
      <w:pPr>
        <w:pStyle w:val="Numberedparagraphs"/>
        <w:tabs>
          <w:tab w:val="left" w:pos="567"/>
        </w:tabs>
        <w:rPr>
          <w:lang w:val="en-US"/>
        </w:rPr>
      </w:pPr>
      <w:bookmarkStart w:id="318" w:name="_Ref523952755"/>
      <w:r w:rsidRPr="00104227">
        <w:rPr>
          <w:lang w:val="en-US"/>
        </w:rPr>
        <w:t xml:space="preserve">Bearing this in mind, and notwithstanding the State’s acknowledgement, the Court finds it pertinent to include some specific considerations on the treaty-based obligations of the States with regard to collective detentions such as those that occurred in this case. In this regard, the Court has recognized that collective detentions </w:t>
      </w:r>
      <w:r w:rsidR="000A2877" w:rsidRPr="00104227">
        <w:rPr>
          <w:lang w:val="en-US"/>
        </w:rPr>
        <w:t>could</w:t>
      </w:r>
      <w:r w:rsidRPr="00104227">
        <w:rPr>
          <w:lang w:val="en-US"/>
        </w:rPr>
        <w:t xml:space="preserve"> constitute a mechanism to ensure public safety when the State has evidence </w:t>
      </w:r>
      <w:r w:rsidR="000A2877" w:rsidRPr="00104227">
        <w:rPr>
          <w:lang w:val="en-US"/>
        </w:rPr>
        <w:t xml:space="preserve">to </w:t>
      </w:r>
      <w:r w:rsidRPr="00104227">
        <w:rPr>
          <w:lang w:val="en-US"/>
        </w:rPr>
        <w:t>prov</w:t>
      </w:r>
      <w:r w:rsidR="000A2877" w:rsidRPr="00104227">
        <w:rPr>
          <w:lang w:val="en-US"/>
        </w:rPr>
        <w:t>e</w:t>
      </w:r>
      <w:r w:rsidRPr="00104227">
        <w:rPr>
          <w:lang w:val="en-US"/>
        </w:rPr>
        <w:t xml:space="preserve"> that the actions of each of the individuals concerned </w:t>
      </w:r>
      <w:r w:rsidR="000A2877" w:rsidRPr="00104227">
        <w:rPr>
          <w:lang w:val="en-US"/>
        </w:rPr>
        <w:t>me</w:t>
      </w:r>
      <w:r w:rsidR="00214296" w:rsidRPr="00104227">
        <w:rPr>
          <w:lang w:val="en-US"/>
        </w:rPr>
        <w:t>et</w:t>
      </w:r>
      <w:r w:rsidR="000A2877" w:rsidRPr="00104227">
        <w:rPr>
          <w:lang w:val="en-US"/>
        </w:rPr>
        <w:t xml:space="preserve"> the requirements</w:t>
      </w:r>
      <w:r w:rsidRPr="00104227">
        <w:rPr>
          <w:lang w:val="en-US"/>
        </w:rPr>
        <w:t xml:space="preserve"> for detention established by its domestic law and that are in keeping with </w:t>
      </w:r>
      <w:r w:rsidR="00BF5241" w:rsidRPr="00104227">
        <w:rPr>
          <w:lang w:val="en-US"/>
        </w:rPr>
        <w:t>the Convention</w:t>
      </w:r>
      <w:r w:rsidRPr="00104227">
        <w:rPr>
          <w:lang w:val="en-US"/>
        </w:rPr>
        <w:t>.</w:t>
      </w:r>
      <w:r w:rsidR="007822EA" w:rsidRPr="00104227">
        <w:rPr>
          <w:rStyle w:val="Refdenotaalpie"/>
          <w:lang w:val="en-US"/>
        </w:rPr>
        <w:footnoteReference w:id="336"/>
      </w:r>
      <w:r w:rsidR="007822EA" w:rsidRPr="00104227">
        <w:rPr>
          <w:lang w:val="en-US"/>
        </w:rPr>
        <w:t xml:space="preserve"> </w:t>
      </w:r>
      <w:r w:rsidRPr="00104227">
        <w:rPr>
          <w:lang w:val="en-US"/>
        </w:rPr>
        <w:t>In other words, evidence must exist to individualize and separate the conduct of each detainee and, also, the detentions must be controlled by the judicial authority.</w:t>
      </w:r>
      <w:r w:rsidR="007822EA" w:rsidRPr="00104227">
        <w:rPr>
          <w:rStyle w:val="Refdenotaalpie"/>
          <w:sz w:val="20"/>
          <w:szCs w:val="20"/>
          <w:lang w:val="en-US"/>
        </w:rPr>
        <w:footnoteReference w:id="337"/>
      </w:r>
      <w:r w:rsidR="007822EA" w:rsidRPr="00104227">
        <w:rPr>
          <w:lang w:val="en-US"/>
        </w:rPr>
        <w:t xml:space="preserve"> </w:t>
      </w:r>
      <w:bookmarkEnd w:id="318"/>
    </w:p>
    <w:p w14:paraId="2561232C" w14:textId="77777777" w:rsidR="007822EA" w:rsidRPr="00104227" w:rsidRDefault="007822EA" w:rsidP="00E4619F">
      <w:pPr>
        <w:tabs>
          <w:tab w:val="left" w:pos="567"/>
        </w:tabs>
        <w:rPr>
          <w:lang w:eastAsia="es-MX"/>
        </w:rPr>
      </w:pPr>
    </w:p>
    <w:p w14:paraId="1A8F254E" w14:textId="658904DD" w:rsidR="007822EA" w:rsidRPr="00104227" w:rsidRDefault="00DB0414" w:rsidP="00944286">
      <w:pPr>
        <w:pStyle w:val="Numberedparagraphs"/>
        <w:tabs>
          <w:tab w:val="left" w:pos="567"/>
        </w:tabs>
        <w:rPr>
          <w:lang w:val="en-US"/>
        </w:rPr>
      </w:pPr>
      <w:bookmarkStart w:id="319" w:name="_Ref523952916"/>
      <w:r w:rsidRPr="00104227">
        <w:rPr>
          <w:lang w:val="en-US"/>
        </w:rPr>
        <w:t xml:space="preserve">This Court has established that, in the case of collective detentions, the State must </w:t>
      </w:r>
      <w:r w:rsidR="00944286" w:rsidRPr="00104227">
        <w:rPr>
          <w:lang w:val="en-US"/>
        </w:rPr>
        <w:t xml:space="preserve">substantiate and prove, in the specific case, the existence of sufficient evidence to reasonably suppose the criminal conduct of the individual and that the detention is strictly necessary. Therefore, the detention cannot be based on a mere suspicion or personal perception that the detainee </w:t>
      </w:r>
      <w:r w:rsidR="000A2877" w:rsidRPr="00104227">
        <w:rPr>
          <w:lang w:val="en-US"/>
        </w:rPr>
        <w:t>is a member of</w:t>
      </w:r>
      <w:r w:rsidR="00944286" w:rsidRPr="00104227">
        <w:rPr>
          <w:lang w:val="en-US"/>
        </w:rPr>
        <w:t xml:space="preserve"> a specific group.</w:t>
      </w:r>
      <w:r w:rsidR="007822EA" w:rsidRPr="00104227">
        <w:rPr>
          <w:rStyle w:val="Refdenotaalpie"/>
          <w:lang w:val="en-US"/>
        </w:rPr>
        <w:footnoteReference w:id="338"/>
      </w:r>
      <w:bookmarkEnd w:id="319"/>
      <w:r w:rsidR="007822EA" w:rsidRPr="00104227">
        <w:rPr>
          <w:lang w:val="en-US"/>
        </w:rPr>
        <w:t xml:space="preserve"> </w:t>
      </w:r>
      <w:r w:rsidR="000A2877" w:rsidRPr="00104227">
        <w:rPr>
          <w:lang w:val="en-US"/>
        </w:rPr>
        <w:t>In particular,</w:t>
      </w:r>
      <w:r w:rsidR="00944286" w:rsidRPr="00104227">
        <w:rPr>
          <w:lang w:val="en-US"/>
        </w:rPr>
        <w:t xml:space="preserve"> in the context of demonstrations or social protests, the United Nations Special Rapporteur on the rights to freedom of peaceful assembly </w:t>
      </w:r>
      <w:r w:rsidR="00944286" w:rsidRPr="00104227">
        <w:rPr>
          <w:rStyle w:val="st"/>
          <w:lang w:val="en-US"/>
        </w:rPr>
        <w:t>and of association</w:t>
      </w:r>
      <w:r w:rsidR="00944286" w:rsidRPr="00104227">
        <w:rPr>
          <w:lang w:val="en-US"/>
        </w:rPr>
        <w:t xml:space="preserve"> </w:t>
      </w:r>
      <w:r w:rsidR="00797068" w:rsidRPr="00104227">
        <w:rPr>
          <w:lang w:val="en-US"/>
        </w:rPr>
        <w:t>has indicated that</w:t>
      </w:r>
      <w:r w:rsidR="007822EA" w:rsidRPr="00104227">
        <w:rPr>
          <w:lang w:val="en-US"/>
        </w:rPr>
        <w:t xml:space="preserve"> “</w:t>
      </w:r>
      <w:r w:rsidR="00797068" w:rsidRPr="00104227">
        <w:rPr>
          <w:lang w:val="en-US"/>
        </w:rPr>
        <w:t xml:space="preserve">[t]he presence of a few people engaging in violence in and around a protest does not authorize police to brand the entire protest non-peaceful. It does not give the State </w:t>
      </w:r>
      <w:r w:rsidR="00797068" w:rsidRPr="00104227">
        <w:rPr>
          <w:i/>
          <w:iCs/>
          <w:lang w:val="en-US"/>
        </w:rPr>
        <w:t>carte blanche</w:t>
      </w:r>
      <w:r w:rsidR="00797068" w:rsidRPr="00104227">
        <w:rPr>
          <w:lang w:val="en-US"/>
        </w:rPr>
        <w:t xml:space="preserve"> to use force against or carry out indiscriminate arrests.</w:t>
      </w:r>
      <w:r w:rsidR="007822EA" w:rsidRPr="00104227">
        <w:rPr>
          <w:lang w:val="en-US"/>
        </w:rPr>
        <w:t>”</w:t>
      </w:r>
      <w:r w:rsidR="007822EA" w:rsidRPr="00104227">
        <w:rPr>
          <w:rStyle w:val="Refdenotaalpie"/>
          <w:lang w:val="en-US"/>
        </w:rPr>
        <w:footnoteReference w:id="339"/>
      </w:r>
      <w:r w:rsidR="007822EA" w:rsidRPr="00104227">
        <w:rPr>
          <w:lang w:val="en-US"/>
        </w:rPr>
        <w:t xml:space="preserve"> </w:t>
      </w:r>
      <w:r w:rsidR="00DC59B6" w:rsidRPr="00104227">
        <w:rPr>
          <w:lang w:val="en-US"/>
        </w:rPr>
        <w:t xml:space="preserve">In such cases, violent conduct should not be presumed, </w:t>
      </w:r>
      <w:r w:rsidR="00D43AD3" w:rsidRPr="00104227">
        <w:rPr>
          <w:lang w:val="en-US"/>
        </w:rPr>
        <w:t>and</w:t>
      </w:r>
      <w:r w:rsidR="00DC59B6" w:rsidRPr="00104227">
        <w:rPr>
          <w:lang w:val="en-US"/>
        </w:rPr>
        <w:t xml:space="preserve"> </w:t>
      </w:r>
      <w:r w:rsidR="00D43AD3" w:rsidRPr="00104227">
        <w:rPr>
          <w:lang w:val="en-US"/>
        </w:rPr>
        <w:t>“[a]ssembly organizers should not be held liable for the violent behaviour committed by others. Instead, police have the duty to remove violent individuals from the crowd in order to allow protesters to exercise their basic rights to assemble and express themselves peacefully.”</w:t>
      </w:r>
      <w:r w:rsidR="007822EA" w:rsidRPr="00104227">
        <w:rPr>
          <w:rStyle w:val="Refdenotaalpie"/>
          <w:lang w:val="en-US"/>
        </w:rPr>
        <w:footnoteReference w:id="340"/>
      </w:r>
      <w:r w:rsidR="007822EA" w:rsidRPr="00104227">
        <w:rPr>
          <w:lang w:val="en-US"/>
        </w:rPr>
        <w:t xml:space="preserve"> </w:t>
      </w:r>
    </w:p>
    <w:p w14:paraId="0096DE68" w14:textId="77777777" w:rsidR="007822EA" w:rsidRPr="00104227" w:rsidRDefault="007822EA" w:rsidP="00E4619F">
      <w:pPr>
        <w:tabs>
          <w:tab w:val="left" w:pos="567"/>
        </w:tabs>
        <w:rPr>
          <w:lang w:eastAsia="es-MX"/>
        </w:rPr>
      </w:pPr>
    </w:p>
    <w:p w14:paraId="7CFA0914" w14:textId="65B47A1F" w:rsidR="007822EA" w:rsidRPr="00104227" w:rsidRDefault="00D43AD3" w:rsidP="009E06B9">
      <w:pPr>
        <w:pStyle w:val="Numberedparagraphs"/>
        <w:tabs>
          <w:tab w:val="left" w:pos="567"/>
        </w:tabs>
        <w:rPr>
          <w:lang w:val="en-US"/>
        </w:rPr>
      </w:pPr>
      <w:r w:rsidRPr="00104227">
        <w:rPr>
          <w:lang w:val="en-US"/>
        </w:rPr>
        <w:t xml:space="preserve">In summary, the Court considers that, to avoid </w:t>
      </w:r>
      <w:r w:rsidR="004B77B1" w:rsidRPr="00104227">
        <w:rPr>
          <w:lang w:val="en-US"/>
        </w:rPr>
        <w:t>arbitrariness</w:t>
      </w:r>
      <w:r w:rsidR="007822EA" w:rsidRPr="00104227">
        <w:rPr>
          <w:lang w:val="en-US"/>
        </w:rPr>
        <w:t xml:space="preserve"> </w:t>
      </w:r>
      <w:r w:rsidRPr="00104227">
        <w:rPr>
          <w:lang w:val="en-US"/>
        </w:rPr>
        <w:t xml:space="preserve">in collective detentions, States must: (i) </w:t>
      </w:r>
      <w:r w:rsidR="009E06B9" w:rsidRPr="00104227">
        <w:rPr>
          <w:lang w:val="en-US"/>
        </w:rPr>
        <w:t xml:space="preserve">individualize and separate the conducts of each </w:t>
      </w:r>
      <w:r w:rsidR="000A2877" w:rsidRPr="00104227">
        <w:rPr>
          <w:lang w:val="en-US"/>
        </w:rPr>
        <w:t xml:space="preserve">of the </w:t>
      </w:r>
      <w:r w:rsidR="009E06B9" w:rsidRPr="00104227">
        <w:rPr>
          <w:lang w:val="en-US"/>
        </w:rPr>
        <w:t>person</w:t>
      </w:r>
      <w:r w:rsidR="000A2877" w:rsidRPr="00104227">
        <w:rPr>
          <w:lang w:val="en-US"/>
        </w:rPr>
        <w:t>s</w:t>
      </w:r>
      <w:r w:rsidR="009E06B9" w:rsidRPr="00104227">
        <w:rPr>
          <w:lang w:val="en-US"/>
        </w:rPr>
        <w:t xml:space="preserve"> detained</w:t>
      </w:r>
      <w:r w:rsidR="000A2877" w:rsidRPr="00104227">
        <w:rPr>
          <w:lang w:val="en-US"/>
        </w:rPr>
        <w:t xml:space="preserve"> to </w:t>
      </w:r>
      <w:r w:rsidR="009E06B9" w:rsidRPr="00104227">
        <w:rPr>
          <w:lang w:val="en-US"/>
        </w:rPr>
        <w:t xml:space="preserve">prove that there are reasonable indications, based on objective information, that the conduct of each detainee </w:t>
      </w:r>
      <w:r w:rsidR="000A2877" w:rsidRPr="00104227">
        <w:rPr>
          <w:lang w:val="en-US"/>
        </w:rPr>
        <w:t>meets the requirements</w:t>
      </w:r>
      <w:r w:rsidR="009E06B9" w:rsidRPr="00104227">
        <w:rPr>
          <w:lang w:val="en-US"/>
        </w:rPr>
        <w:t xml:space="preserve"> for detention established in domestic law in keeping with the Convention; (ii) </w:t>
      </w:r>
      <w:r w:rsidR="000A2877" w:rsidRPr="00104227">
        <w:rPr>
          <w:lang w:val="en-US"/>
        </w:rPr>
        <w:t xml:space="preserve">ensure that </w:t>
      </w:r>
      <w:r w:rsidR="009E06B9" w:rsidRPr="00104227">
        <w:rPr>
          <w:lang w:val="en-US"/>
        </w:rPr>
        <w:t xml:space="preserve">the detention </w:t>
      </w:r>
      <w:r w:rsidR="000A2877" w:rsidRPr="00104227">
        <w:rPr>
          <w:lang w:val="en-US"/>
        </w:rPr>
        <w:t>is</w:t>
      </w:r>
      <w:r w:rsidR="009E06B9" w:rsidRPr="00104227">
        <w:rPr>
          <w:lang w:val="en-US"/>
        </w:rPr>
        <w:t xml:space="preserve"> necessary and proportionate to guarantee a purpose permitted by the Convention, such as </w:t>
      </w:r>
      <w:r w:rsidR="000A2877" w:rsidRPr="00104227">
        <w:rPr>
          <w:lang w:val="en-US"/>
        </w:rPr>
        <w:t xml:space="preserve">the general </w:t>
      </w:r>
      <w:r w:rsidR="009E06B9" w:rsidRPr="00104227">
        <w:rPr>
          <w:lang w:val="en-US"/>
        </w:rPr>
        <w:t xml:space="preserve">interest, and also (iii) </w:t>
      </w:r>
      <w:r w:rsidR="000A2877" w:rsidRPr="00104227">
        <w:rPr>
          <w:lang w:val="en-US"/>
        </w:rPr>
        <w:t xml:space="preserve">ensure that detentions are </w:t>
      </w:r>
      <w:r w:rsidR="009E06B9" w:rsidRPr="00104227">
        <w:rPr>
          <w:lang w:val="en-US"/>
        </w:rPr>
        <w:t>subject to judicial control,</w:t>
      </w:r>
      <w:r w:rsidR="000A2877" w:rsidRPr="00104227">
        <w:rPr>
          <w:lang w:val="en-US"/>
        </w:rPr>
        <w:t xml:space="preserve"> in addition to</w:t>
      </w:r>
      <w:r w:rsidR="009E06B9" w:rsidRPr="00104227">
        <w:rPr>
          <w:lang w:val="en-US"/>
        </w:rPr>
        <w:t xml:space="preserve"> the other conditions </w:t>
      </w:r>
      <w:r w:rsidR="000A2877" w:rsidRPr="00104227">
        <w:rPr>
          <w:lang w:val="en-US"/>
        </w:rPr>
        <w:t>established</w:t>
      </w:r>
      <w:r w:rsidR="009E06B9" w:rsidRPr="00104227">
        <w:rPr>
          <w:lang w:val="en-US"/>
        </w:rPr>
        <w:t xml:space="preserve"> in </w:t>
      </w:r>
      <w:r w:rsidR="0060075A" w:rsidRPr="00104227">
        <w:rPr>
          <w:lang w:val="en-US"/>
        </w:rPr>
        <w:t>Article</w:t>
      </w:r>
      <w:r w:rsidR="007822EA" w:rsidRPr="00104227">
        <w:rPr>
          <w:lang w:val="en-US"/>
        </w:rPr>
        <w:t xml:space="preserve"> 7</w:t>
      </w:r>
      <w:r w:rsidR="00BF5241" w:rsidRPr="00104227">
        <w:rPr>
          <w:lang w:val="en-US"/>
        </w:rPr>
        <w:t xml:space="preserve"> of the American Convention</w:t>
      </w:r>
      <w:r w:rsidR="007822EA" w:rsidRPr="00104227">
        <w:rPr>
          <w:lang w:val="en-US"/>
        </w:rPr>
        <w:t>.</w:t>
      </w:r>
      <w:r w:rsidR="00C726C5" w:rsidRPr="00104227">
        <w:rPr>
          <w:lang w:val="en-US"/>
        </w:rPr>
        <w:t xml:space="preserve"> </w:t>
      </w:r>
    </w:p>
    <w:p w14:paraId="1096727C" w14:textId="77777777" w:rsidR="000A170E" w:rsidRPr="00104227" w:rsidRDefault="000A170E" w:rsidP="000A170E"/>
    <w:p w14:paraId="7B416DD7" w14:textId="2A669B22" w:rsidR="007822EA" w:rsidRPr="00104227" w:rsidRDefault="009E06B9" w:rsidP="000A170E">
      <w:pPr>
        <w:pStyle w:val="Numberedparagraphs"/>
        <w:tabs>
          <w:tab w:val="left" w:pos="567"/>
        </w:tabs>
        <w:rPr>
          <w:lang w:val="en-US"/>
        </w:rPr>
      </w:pPr>
      <w:bookmarkStart w:id="321" w:name="_Ref527585742"/>
      <w:r w:rsidRPr="00104227">
        <w:rPr>
          <w:lang w:val="en-US"/>
        </w:rPr>
        <w:t xml:space="preserve">In this case, </w:t>
      </w:r>
      <w:r w:rsidR="000A170E" w:rsidRPr="00104227">
        <w:rPr>
          <w:lang w:val="en-US"/>
        </w:rPr>
        <w:t xml:space="preserve">regarding the requirement to individualize and </w:t>
      </w:r>
      <w:r w:rsidR="001942D5" w:rsidRPr="00104227">
        <w:rPr>
          <w:lang w:val="en-US"/>
        </w:rPr>
        <w:t xml:space="preserve">to </w:t>
      </w:r>
      <w:r w:rsidR="000A170E" w:rsidRPr="00104227">
        <w:rPr>
          <w:lang w:val="en-US"/>
        </w:rPr>
        <w:t xml:space="preserve">separate the conducts, the Court </w:t>
      </w:r>
      <w:r w:rsidR="001942D5" w:rsidRPr="00104227">
        <w:rPr>
          <w:lang w:val="en-US"/>
        </w:rPr>
        <w:t xml:space="preserve">takes note </w:t>
      </w:r>
      <w:r w:rsidR="000A170E" w:rsidRPr="00104227">
        <w:rPr>
          <w:lang w:val="en-US"/>
        </w:rPr>
        <w:t>that the SCJN verified that, during the operations of May 3 and 4, 2006, in Texcoco and San Salvador de Atenco, “</w:t>
      </w:r>
      <w:r w:rsidR="00D873CD" w:rsidRPr="00104227">
        <w:rPr>
          <w:lang w:val="en-US"/>
        </w:rPr>
        <w:t>in</w:t>
      </w:r>
      <w:r w:rsidR="000A170E" w:rsidRPr="00104227">
        <w:rPr>
          <w:lang w:val="en-US"/>
        </w:rPr>
        <w:t xml:space="preserve"> many cases</w:t>
      </w:r>
      <w:r w:rsidR="00D873CD" w:rsidRPr="00104227">
        <w:rPr>
          <w:lang w:val="en-US"/>
        </w:rPr>
        <w:t xml:space="preserve">, </w:t>
      </w:r>
      <w:r w:rsidR="000A170E" w:rsidRPr="00104227">
        <w:rPr>
          <w:lang w:val="en-US"/>
        </w:rPr>
        <w:t>individuals who were not taking part in criminal activities</w:t>
      </w:r>
      <w:r w:rsidR="00D873CD" w:rsidRPr="00104227">
        <w:rPr>
          <w:lang w:val="en-US"/>
        </w:rPr>
        <w:t xml:space="preserve"> were detained</w:t>
      </w:r>
      <w:r w:rsidR="000A170E" w:rsidRPr="00104227">
        <w:rPr>
          <w:lang w:val="en-US"/>
        </w:rPr>
        <w:t>,” because the police detained people indiscriminately, presuming that they were all “</w:t>
      </w:r>
      <w:r w:rsidR="000A170E" w:rsidRPr="00104227">
        <w:rPr>
          <w:i/>
          <w:iCs/>
          <w:lang w:val="en-US"/>
        </w:rPr>
        <w:t>in flagrante delicto</w:t>
      </w:r>
      <w:r w:rsidR="000A170E" w:rsidRPr="00104227">
        <w:rPr>
          <w:lang w:val="en-US"/>
        </w:rPr>
        <w:t>.”</w:t>
      </w:r>
      <w:r w:rsidR="000A170E" w:rsidRPr="00104227">
        <w:rPr>
          <w:rStyle w:val="Refdenotaalpie"/>
          <w:lang w:val="en-US"/>
        </w:rPr>
        <w:footnoteReference w:id="341"/>
      </w:r>
      <w:r w:rsidR="000A170E" w:rsidRPr="00104227">
        <w:rPr>
          <w:lang w:val="en-US"/>
        </w:rPr>
        <w:t xml:space="preserve"> Similarly, the CNDH noted that “several people [were detained] who had not taken part in the events, or committed the violent acts attributed to them,” and underlined that some people were detained “without any reason or justification and, according to the reasoning of the police, merely because they were at the </w:t>
      </w:r>
      <w:r w:rsidR="002D3F2C" w:rsidRPr="00104227">
        <w:rPr>
          <w:lang w:val="en-US"/>
        </w:rPr>
        <w:t>scene</w:t>
      </w:r>
      <w:r w:rsidR="000A170E" w:rsidRPr="00104227">
        <w:rPr>
          <w:lang w:val="en-US"/>
        </w:rPr>
        <w:t xml:space="preserve"> observing what was happening.</w:t>
      </w:r>
      <w:r w:rsidR="007822EA" w:rsidRPr="00104227">
        <w:rPr>
          <w:lang w:val="en-US"/>
        </w:rPr>
        <w:t>”</w:t>
      </w:r>
      <w:r w:rsidR="007822EA" w:rsidRPr="00104227">
        <w:rPr>
          <w:rStyle w:val="Refdenotaalpie"/>
          <w:lang w:val="en-US"/>
        </w:rPr>
        <w:footnoteReference w:id="342"/>
      </w:r>
      <w:r w:rsidR="007822EA" w:rsidRPr="00104227">
        <w:rPr>
          <w:lang w:val="en-US"/>
        </w:rPr>
        <w:t xml:space="preserve"> Particular</w:t>
      </w:r>
      <w:r w:rsidR="000A170E" w:rsidRPr="00104227">
        <w:rPr>
          <w:lang w:val="en-US"/>
        </w:rPr>
        <w:t xml:space="preserve">ly, with regard to </w:t>
      </w:r>
      <w:r w:rsidR="00F12946" w:rsidRPr="00104227">
        <w:rPr>
          <w:lang w:val="en-US"/>
        </w:rPr>
        <w:t>the eleven women</w:t>
      </w:r>
      <w:r w:rsidR="007822EA" w:rsidRPr="00104227">
        <w:rPr>
          <w:lang w:val="en-US"/>
        </w:rPr>
        <w:t xml:space="preserve"> </w:t>
      </w:r>
      <w:r w:rsidR="000A170E" w:rsidRPr="00104227">
        <w:rPr>
          <w:lang w:val="en-US"/>
        </w:rPr>
        <w:t xml:space="preserve">in this case, according to the facts acknowledged by the State, the Court notes that there are no indications that lead to a reasonable </w:t>
      </w:r>
      <w:r w:rsidR="00D873CD" w:rsidRPr="00104227">
        <w:rPr>
          <w:lang w:val="en-US"/>
        </w:rPr>
        <w:t>presumption</w:t>
      </w:r>
      <w:r w:rsidR="000A170E" w:rsidRPr="00104227">
        <w:rPr>
          <w:lang w:val="en-US"/>
        </w:rPr>
        <w:t xml:space="preserve"> of their participation in any misdemeanor or offense; rather, to the contrary, everything would appear to indicate that they were subsumed within a group of individuals who were detained </w:t>
      </w:r>
      <w:r w:rsidR="000A170E" w:rsidRPr="00104227">
        <w:rPr>
          <w:i/>
          <w:iCs/>
          <w:lang w:val="en-US"/>
        </w:rPr>
        <w:t>en masse</w:t>
      </w:r>
      <w:r w:rsidR="000A170E" w:rsidRPr="00104227">
        <w:rPr>
          <w:lang w:val="en-US"/>
        </w:rPr>
        <w:t>, merely because they were at the scene.</w:t>
      </w:r>
      <w:bookmarkEnd w:id="321"/>
      <w:r w:rsidR="007822EA" w:rsidRPr="00104227">
        <w:rPr>
          <w:rStyle w:val="Refdenotaalpie"/>
          <w:lang w:val="en-US"/>
        </w:rPr>
        <w:footnoteReference w:id="343"/>
      </w:r>
      <w:r w:rsidR="007822EA" w:rsidRPr="00104227">
        <w:rPr>
          <w:lang w:val="en-US"/>
        </w:rPr>
        <w:t xml:space="preserve"> </w:t>
      </w:r>
    </w:p>
    <w:p w14:paraId="181FD488" w14:textId="77777777" w:rsidR="007822EA" w:rsidRPr="00104227" w:rsidRDefault="007822EA" w:rsidP="00E4619F">
      <w:pPr>
        <w:tabs>
          <w:tab w:val="left" w:pos="567"/>
        </w:tabs>
        <w:rPr>
          <w:lang w:eastAsia="es-MX"/>
        </w:rPr>
      </w:pPr>
    </w:p>
    <w:p w14:paraId="18292FF6" w14:textId="02CE8207" w:rsidR="007822EA" w:rsidRPr="00104227" w:rsidRDefault="002D3F2C" w:rsidP="004D39DD">
      <w:pPr>
        <w:pStyle w:val="Numberedparagraphs"/>
        <w:tabs>
          <w:tab w:val="left" w:pos="567"/>
        </w:tabs>
        <w:rPr>
          <w:lang w:val="en-US"/>
        </w:rPr>
      </w:pPr>
      <w:r w:rsidRPr="00104227">
        <w:rPr>
          <w:lang w:val="en-US"/>
        </w:rPr>
        <w:t xml:space="preserve">Regarding the necessity and proportionality of the detentions, the Court underscores that  the </w:t>
      </w:r>
      <w:r w:rsidR="0065009A" w:rsidRPr="00104227">
        <w:rPr>
          <w:lang w:val="en-US"/>
        </w:rPr>
        <w:t>CNDH</w:t>
      </w:r>
      <w:r w:rsidR="007822EA" w:rsidRPr="00104227">
        <w:rPr>
          <w:lang w:val="en-US"/>
        </w:rPr>
        <w:t xml:space="preserve"> conclu</w:t>
      </w:r>
      <w:r w:rsidRPr="00104227">
        <w:rPr>
          <w:lang w:val="en-US"/>
        </w:rPr>
        <w:t xml:space="preserve">ded that, during the </w:t>
      </w:r>
      <w:r w:rsidR="00D873CD" w:rsidRPr="00104227">
        <w:rPr>
          <w:lang w:val="en-US"/>
        </w:rPr>
        <w:t>o</w:t>
      </w:r>
      <w:r w:rsidRPr="00104227">
        <w:rPr>
          <w:lang w:val="en-US"/>
        </w:rPr>
        <w:t>perations of May</w:t>
      </w:r>
      <w:r w:rsidR="007822EA" w:rsidRPr="00104227">
        <w:rPr>
          <w:lang w:val="en-US"/>
        </w:rPr>
        <w:t xml:space="preserve"> 3</w:t>
      </w:r>
      <w:r w:rsidR="00BF5241" w:rsidRPr="00104227">
        <w:rPr>
          <w:lang w:val="en-US"/>
        </w:rPr>
        <w:t xml:space="preserve"> and </w:t>
      </w:r>
      <w:r w:rsidR="00D873CD" w:rsidRPr="00104227">
        <w:rPr>
          <w:lang w:val="en-US"/>
        </w:rPr>
        <w:t>4</w:t>
      </w:r>
      <w:r w:rsidRPr="00104227">
        <w:rPr>
          <w:lang w:val="en-US"/>
        </w:rPr>
        <w:t>,</w:t>
      </w:r>
      <w:r w:rsidR="007822EA" w:rsidRPr="00104227">
        <w:rPr>
          <w:lang w:val="en-US"/>
        </w:rPr>
        <w:t xml:space="preserve"> “</w:t>
      </w:r>
      <w:r w:rsidR="00CA43B0" w:rsidRPr="00104227">
        <w:rPr>
          <w:lang w:val="en-US"/>
        </w:rPr>
        <w:t>the right to</w:t>
      </w:r>
      <w:r w:rsidRPr="00104227">
        <w:rPr>
          <w:lang w:val="en-US"/>
        </w:rPr>
        <w:t xml:space="preserve"> life of at least 207 people who were detained was jeopardized, in addition to those who, without being involved in the said events, owing to being there</w:t>
      </w:r>
      <w:r w:rsidR="00D873CD" w:rsidRPr="00104227">
        <w:rPr>
          <w:lang w:val="en-US"/>
        </w:rPr>
        <w:t xml:space="preserve"> </w:t>
      </w:r>
      <w:r w:rsidRPr="00104227">
        <w:rPr>
          <w:lang w:val="en-US"/>
        </w:rPr>
        <w:t>tempora</w:t>
      </w:r>
      <w:r w:rsidR="00D873CD" w:rsidRPr="00104227">
        <w:rPr>
          <w:lang w:val="en-US"/>
        </w:rPr>
        <w:t>rily</w:t>
      </w:r>
      <w:r w:rsidRPr="00104227">
        <w:rPr>
          <w:lang w:val="en-US"/>
        </w:rPr>
        <w:t xml:space="preserve"> or in transit</w:t>
      </w:r>
      <w:r w:rsidR="007822EA" w:rsidRPr="00104227">
        <w:rPr>
          <w:lang w:val="en-US"/>
        </w:rPr>
        <w:t>,</w:t>
      </w:r>
      <w:r w:rsidRPr="00104227">
        <w:rPr>
          <w:lang w:val="en-US"/>
        </w:rPr>
        <w:t xml:space="preserve"> put themselves in danger of being assaulted.</w:t>
      </w:r>
      <w:r w:rsidR="007822EA" w:rsidRPr="00104227">
        <w:rPr>
          <w:lang w:val="en-US"/>
        </w:rPr>
        <w:t>”</w:t>
      </w:r>
      <w:r w:rsidR="007822EA" w:rsidRPr="00104227">
        <w:rPr>
          <w:rStyle w:val="Refdenotaalpie"/>
          <w:lang w:val="en-US"/>
        </w:rPr>
        <w:footnoteReference w:id="344"/>
      </w:r>
      <w:r w:rsidRPr="00104227">
        <w:rPr>
          <w:lang w:val="en-US"/>
        </w:rPr>
        <w:t xml:space="preserve"> In addition, the facts acknowledged by the State reveal that the detentions of the eleven women victims in this case were not the inevitable result of circumstances beyo</w:t>
      </w:r>
      <w:r w:rsidR="00D873CD" w:rsidRPr="00104227">
        <w:rPr>
          <w:lang w:val="en-US"/>
        </w:rPr>
        <w:t>n</w:t>
      </w:r>
      <w:r w:rsidRPr="00104227">
        <w:rPr>
          <w:lang w:val="en-US"/>
        </w:rPr>
        <w:t>d the control of the authorities</w:t>
      </w:r>
      <w:r w:rsidR="00D873CD" w:rsidRPr="00104227">
        <w:rPr>
          <w:lang w:val="en-US"/>
        </w:rPr>
        <w:t>,</w:t>
      </w:r>
      <w:r w:rsidRPr="00104227">
        <w:rPr>
          <w:lang w:val="en-US"/>
        </w:rPr>
        <w:t xml:space="preserve"> and necessary to avoid a real risk of serious harm to people or property; rather they were the result of a practice of equating presence on the scene with probable participation in criminal acts. Lastly, the measures taken by the police were not limited to what was strictly necessary and proportionate, because the eleven women in this case were detained in the context of a police operation characterized by </w:t>
      </w:r>
      <w:r w:rsidR="00D873CD" w:rsidRPr="00104227">
        <w:rPr>
          <w:lang w:val="en-US"/>
        </w:rPr>
        <w:t xml:space="preserve">a </w:t>
      </w:r>
      <w:r w:rsidRPr="00104227">
        <w:rPr>
          <w:lang w:val="en-US"/>
        </w:rPr>
        <w:t xml:space="preserve">disproportionate use of force, </w:t>
      </w:r>
      <w:r w:rsidR="00D873CD" w:rsidRPr="00104227">
        <w:rPr>
          <w:lang w:val="en-US"/>
        </w:rPr>
        <w:t>in which</w:t>
      </w:r>
      <w:r w:rsidRPr="00104227">
        <w:rPr>
          <w:lang w:val="en-US"/>
        </w:rPr>
        <w:t xml:space="preserve"> they were subjected to sexual violence and torture</w:t>
      </w:r>
      <w:r w:rsidR="004D39DD" w:rsidRPr="00104227">
        <w:rPr>
          <w:lang w:val="en-US"/>
        </w:rPr>
        <w:t xml:space="preserve"> at the time of their </w:t>
      </w:r>
      <w:r w:rsidR="00D873CD" w:rsidRPr="00104227">
        <w:rPr>
          <w:lang w:val="en-US"/>
        </w:rPr>
        <w:t>arrests</w:t>
      </w:r>
      <w:r w:rsidR="004D39DD" w:rsidRPr="00104227">
        <w:rPr>
          <w:lang w:val="en-US"/>
        </w:rPr>
        <w:t>, during their transfers, and on arrival at CEPRESO (</w:t>
      </w:r>
      <w:r w:rsidR="004D39DD" w:rsidRPr="00104227">
        <w:rPr>
          <w:i/>
          <w:lang w:val="en-US"/>
        </w:rPr>
        <w:t>supra</w:t>
      </w:r>
      <w:r w:rsidR="004D39DD" w:rsidRPr="00104227">
        <w:rPr>
          <w:lang w:val="en-US"/>
        </w:rPr>
        <w:t xml:space="preserve"> paras. </w:t>
      </w:r>
      <w:r w:rsidR="004D39DD" w:rsidRPr="00104227">
        <w:rPr>
          <w:lang w:val="en-US"/>
        </w:rPr>
        <w:fldChar w:fldCharType="begin"/>
      </w:r>
      <w:r w:rsidR="004D39DD" w:rsidRPr="00104227">
        <w:rPr>
          <w:lang w:val="en-US"/>
        </w:rPr>
        <w:instrText xml:space="preserve"> REF _Ref532935559 \r \h  \* MERGEFORMAT </w:instrText>
      </w:r>
      <w:r w:rsidR="004D39DD" w:rsidRPr="00104227">
        <w:rPr>
          <w:lang w:val="en-US"/>
        </w:rPr>
      </w:r>
      <w:r w:rsidR="004D39DD" w:rsidRPr="00104227">
        <w:rPr>
          <w:lang w:val="en-US"/>
        </w:rPr>
        <w:fldChar w:fldCharType="separate"/>
      </w:r>
      <w:r w:rsidR="004276BD">
        <w:rPr>
          <w:lang w:val="en-US"/>
        </w:rPr>
        <w:t>75</w:t>
      </w:r>
      <w:r w:rsidR="004D39DD" w:rsidRPr="00104227">
        <w:rPr>
          <w:lang w:val="en-US"/>
        </w:rPr>
        <w:fldChar w:fldCharType="end"/>
      </w:r>
      <w:r w:rsidR="004D39DD" w:rsidRPr="00104227">
        <w:rPr>
          <w:lang w:val="en-US"/>
        </w:rPr>
        <w:t xml:space="preserve"> to </w:t>
      </w:r>
      <w:r w:rsidR="004D39DD" w:rsidRPr="00104227">
        <w:rPr>
          <w:lang w:val="en-US"/>
        </w:rPr>
        <w:fldChar w:fldCharType="begin"/>
      </w:r>
      <w:r w:rsidR="004D39DD" w:rsidRPr="00104227">
        <w:rPr>
          <w:lang w:val="en-US"/>
        </w:rPr>
        <w:instrText xml:space="preserve"> REF _Ref532935645 \r \h  \* MERGEFORMAT </w:instrText>
      </w:r>
      <w:r w:rsidR="004D39DD" w:rsidRPr="00104227">
        <w:rPr>
          <w:lang w:val="en-US"/>
        </w:rPr>
      </w:r>
      <w:r w:rsidR="004D39DD" w:rsidRPr="00104227">
        <w:rPr>
          <w:lang w:val="en-US"/>
        </w:rPr>
        <w:fldChar w:fldCharType="separate"/>
      </w:r>
      <w:r w:rsidR="004276BD">
        <w:rPr>
          <w:lang w:val="en-US"/>
        </w:rPr>
        <w:t>105</w:t>
      </w:r>
      <w:r w:rsidR="004D39DD" w:rsidRPr="00104227">
        <w:rPr>
          <w:lang w:val="en-US"/>
        </w:rPr>
        <w:fldChar w:fldCharType="end"/>
      </w:r>
      <w:r w:rsidR="004D39DD" w:rsidRPr="00104227">
        <w:rPr>
          <w:lang w:val="en-US"/>
        </w:rPr>
        <w:t xml:space="preserve">). In this regard, the Court has </w:t>
      </w:r>
      <w:r w:rsidR="004D39DD" w:rsidRPr="00104227">
        <w:rPr>
          <w:lang w:val="en-US"/>
        </w:rPr>
        <w:lastRenderedPageBreak/>
        <w:t>established that detention may become arbitrary if, while underway, acts occur that can be attributed to the State that are incompatible with respect for the human rights of the detainee.</w:t>
      </w:r>
      <w:r w:rsidR="007822EA" w:rsidRPr="00104227">
        <w:rPr>
          <w:rStyle w:val="Refdenotaalpie"/>
          <w:lang w:val="en-US"/>
        </w:rPr>
        <w:footnoteReference w:id="345"/>
      </w:r>
      <w:r w:rsidR="004D39DD" w:rsidRPr="00104227">
        <w:rPr>
          <w:lang w:val="en-US"/>
        </w:rPr>
        <w:t xml:space="preserve"> In the inst</w:t>
      </w:r>
      <w:r w:rsidR="004B7B35" w:rsidRPr="00104227">
        <w:rPr>
          <w:lang w:val="en-US"/>
        </w:rPr>
        <w:t>a</w:t>
      </w:r>
      <w:r w:rsidR="004D39DD" w:rsidRPr="00104227">
        <w:rPr>
          <w:lang w:val="en-US"/>
        </w:rPr>
        <w:t xml:space="preserve">nt case, it is evidence that the methods used by the </w:t>
      </w:r>
      <w:r w:rsidR="004B7B35" w:rsidRPr="00104227">
        <w:rPr>
          <w:lang w:val="en-US"/>
        </w:rPr>
        <w:t>law enforcement agents</w:t>
      </w:r>
      <w:r w:rsidR="004D39DD" w:rsidRPr="00104227">
        <w:rPr>
          <w:lang w:val="en-US"/>
        </w:rPr>
        <w:t xml:space="preserve"> who detained, transferred and entered </w:t>
      </w:r>
      <w:r w:rsidR="00F12946" w:rsidRPr="00104227">
        <w:rPr>
          <w:lang w:val="en-US"/>
        </w:rPr>
        <w:t>the eleven women</w:t>
      </w:r>
      <w:r w:rsidR="007822EA" w:rsidRPr="00104227">
        <w:rPr>
          <w:lang w:val="en-US"/>
        </w:rPr>
        <w:t xml:space="preserve"> </w:t>
      </w:r>
      <w:r w:rsidR="00844C80" w:rsidRPr="00104227">
        <w:rPr>
          <w:lang w:val="en-US"/>
        </w:rPr>
        <w:t>victims in this case</w:t>
      </w:r>
      <w:r w:rsidR="007822EA" w:rsidRPr="00104227">
        <w:rPr>
          <w:lang w:val="en-US"/>
        </w:rPr>
        <w:t xml:space="preserve"> </w:t>
      </w:r>
      <w:r w:rsidR="004D39DD" w:rsidRPr="00104227">
        <w:rPr>
          <w:lang w:val="en-US"/>
        </w:rPr>
        <w:t xml:space="preserve">into the prison were disproportionate </w:t>
      </w:r>
      <w:r w:rsidR="004B7B35" w:rsidRPr="00104227">
        <w:rPr>
          <w:lang w:val="en-US"/>
        </w:rPr>
        <w:t>a</w:t>
      </w:r>
      <w:r w:rsidR="004D39DD" w:rsidRPr="00104227">
        <w:rPr>
          <w:lang w:val="en-US"/>
        </w:rPr>
        <w:t xml:space="preserve">nd incompatible with respect </w:t>
      </w:r>
      <w:r w:rsidR="004B7B35" w:rsidRPr="00104227">
        <w:rPr>
          <w:lang w:val="en-US"/>
        </w:rPr>
        <w:t>for</w:t>
      </w:r>
      <w:r w:rsidR="004D39DD" w:rsidRPr="00104227">
        <w:rPr>
          <w:lang w:val="en-US"/>
        </w:rPr>
        <w:t xml:space="preserve"> the fundamental rights recognized in the Convention, </w:t>
      </w:r>
      <w:r w:rsidR="004B7B35" w:rsidRPr="00104227">
        <w:rPr>
          <w:lang w:val="en-US"/>
        </w:rPr>
        <w:t>and this</w:t>
      </w:r>
      <w:r w:rsidR="004D39DD" w:rsidRPr="00104227">
        <w:rPr>
          <w:lang w:val="en-US"/>
        </w:rPr>
        <w:t xml:space="preserve"> constitute</w:t>
      </w:r>
      <w:r w:rsidR="004B7B35" w:rsidRPr="00104227">
        <w:rPr>
          <w:lang w:val="en-US"/>
        </w:rPr>
        <w:t>d</w:t>
      </w:r>
      <w:r w:rsidR="004D39DD" w:rsidRPr="00104227">
        <w:rPr>
          <w:lang w:val="en-US"/>
        </w:rPr>
        <w:t xml:space="preserve"> an additional </w:t>
      </w:r>
      <w:r w:rsidR="004B7B35" w:rsidRPr="00104227">
        <w:rPr>
          <w:lang w:val="en-US"/>
        </w:rPr>
        <w:t>factor in</w:t>
      </w:r>
      <w:r w:rsidR="004D39DD" w:rsidRPr="00104227">
        <w:rPr>
          <w:lang w:val="en-US"/>
        </w:rPr>
        <w:t xml:space="preserve"> the </w:t>
      </w:r>
      <w:r w:rsidR="004B77B1" w:rsidRPr="00104227">
        <w:rPr>
          <w:lang w:val="en-US"/>
        </w:rPr>
        <w:t>arbitrar</w:t>
      </w:r>
      <w:r w:rsidR="004B7B35" w:rsidRPr="00104227">
        <w:rPr>
          <w:lang w:val="en-US"/>
        </w:rPr>
        <w:t>y nature</w:t>
      </w:r>
      <w:r w:rsidR="007822EA" w:rsidRPr="00104227">
        <w:rPr>
          <w:lang w:val="en-US"/>
        </w:rPr>
        <w:t xml:space="preserve"> </w:t>
      </w:r>
      <w:r w:rsidR="004D39DD" w:rsidRPr="00104227">
        <w:rPr>
          <w:lang w:val="en-US"/>
        </w:rPr>
        <w:t>of their detentions.</w:t>
      </w:r>
    </w:p>
    <w:p w14:paraId="7F21BFF0" w14:textId="77777777" w:rsidR="007822EA" w:rsidRPr="00104227" w:rsidRDefault="007822EA" w:rsidP="00E4619F">
      <w:pPr>
        <w:tabs>
          <w:tab w:val="left" w:pos="567"/>
        </w:tabs>
        <w:rPr>
          <w:lang w:eastAsia="es-MX"/>
        </w:rPr>
      </w:pPr>
    </w:p>
    <w:p w14:paraId="4CCD56A5" w14:textId="25210702" w:rsidR="007822EA" w:rsidRPr="00104227" w:rsidRDefault="004D39DD" w:rsidP="004D39DD">
      <w:pPr>
        <w:pStyle w:val="Numberedparagraphs"/>
        <w:tabs>
          <w:tab w:val="left" w:pos="567"/>
        </w:tabs>
        <w:rPr>
          <w:lang w:val="en-US"/>
        </w:rPr>
      </w:pPr>
      <w:r w:rsidRPr="00104227">
        <w:rPr>
          <w:lang w:val="en-US"/>
        </w:rPr>
        <w:t xml:space="preserve">Based on the foregoing considerations, the Court concludes that the deprivation of </w:t>
      </w:r>
      <w:r w:rsidR="004B7B35" w:rsidRPr="00104227">
        <w:rPr>
          <w:lang w:val="en-US"/>
        </w:rPr>
        <w:t xml:space="preserve">the </w:t>
      </w:r>
      <w:r w:rsidRPr="00104227">
        <w:rPr>
          <w:lang w:val="en-US"/>
        </w:rPr>
        <w:t xml:space="preserve">personal liberty </w:t>
      </w:r>
      <w:r w:rsidR="00F12946" w:rsidRPr="00104227">
        <w:rPr>
          <w:lang w:val="en-US"/>
        </w:rPr>
        <w:t xml:space="preserve">of the eleven </w:t>
      </w:r>
      <w:r w:rsidRPr="00104227">
        <w:rPr>
          <w:lang w:val="en-US"/>
        </w:rPr>
        <w:t>women in this case w</w:t>
      </w:r>
      <w:r w:rsidR="004B7B35" w:rsidRPr="00104227">
        <w:rPr>
          <w:lang w:val="en-US"/>
        </w:rPr>
        <w:t>as</w:t>
      </w:r>
      <w:r w:rsidRPr="00104227">
        <w:rPr>
          <w:lang w:val="en-US"/>
        </w:rPr>
        <w:t xml:space="preserve"> carried out in the context of a collective detention that was unlawful and </w:t>
      </w:r>
      <w:r w:rsidR="00F27D61" w:rsidRPr="00104227">
        <w:rPr>
          <w:lang w:val="en-US"/>
        </w:rPr>
        <w:t>arbitrary</w:t>
      </w:r>
      <w:r w:rsidRPr="00104227">
        <w:rPr>
          <w:lang w:val="en-US"/>
        </w:rPr>
        <w:t xml:space="preserve">, because: </w:t>
      </w:r>
      <w:r w:rsidR="007822EA" w:rsidRPr="00104227">
        <w:rPr>
          <w:lang w:val="en-US"/>
        </w:rPr>
        <w:t xml:space="preserve">(i) </w:t>
      </w:r>
      <w:r w:rsidRPr="00104227">
        <w:rPr>
          <w:lang w:val="en-US"/>
        </w:rPr>
        <w:t xml:space="preserve">it was not in keeping with the causes established by law, or </w:t>
      </w:r>
      <w:r w:rsidR="004B7B35" w:rsidRPr="00104227">
        <w:rPr>
          <w:lang w:val="en-US"/>
        </w:rPr>
        <w:t>executed</w:t>
      </w:r>
      <w:r w:rsidRPr="00104227">
        <w:rPr>
          <w:lang w:val="en-US"/>
        </w:rPr>
        <w:t xml:space="preserve"> </w:t>
      </w:r>
      <w:r w:rsidR="00F27D61" w:rsidRPr="00104227">
        <w:rPr>
          <w:lang w:val="en-US"/>
        </w:rPr>
        <w:t>pursuant</w:t>
      </w:r>
      <w:r w:rsidRPr="00104227">
        <w:rPr>
          <w:lang w:val="en-US"/>
        </w:rPr>
        <w:t xml:space="preserve"> to the procedures established by law; (ii) it did not include an individualization of their conduct in order to prove a reasonable suspicion that they had taken part in criminal acts or </w:t>
      </w:r>
      <w:r w:rsidR="004B7B35" w:rsidRPr="00104227">
        <w:rPr>
          <w:lang w:val="en-US"/>
        </w:rPr>
        <w:t>committed</w:t>
      </w:r>
      <w:r w:rsidRPr="00104227">
        <w:rPr>
          <w:lang w:val="en-US"/>
        </w:rPr>
        <w:t xml:space="preserve"> any other </w:t>
      </w:r>
      <w:r w:rsidR="004B7B35" w:rsidRPr="00104227">
        <w:rPr>
          <w:lang w:val="en-US"/>
        </w:rPr>
        <w:t xml:space="preserve">act that was a </w:t>
      </w:r>
      <w:r w:rsidRPr="00104227">
        <w:rPr>
          <w:lang w:val="en-US"/>
        </w:rPr>
        <w:t xml:space="preserve">cause for deprivation of liberty established by domestic law, and (iii) it was not proved that the detentions were necessary or proportionate to guarantee a purpose permitted by </w:t>
      </w:r>
      <w:r w:rsidR="00BF5241" w:rsidRPr="00104227">
        <w:rPr>
          <w:lang w:val="en-US"/>
        </w:rPr>
        <w:t>the Convention</w:t>
      </w:r>
      <w:r w:rsidR="007822EA" w:rsidRPr="00104227">
        <w:rPr>
          <w:lang w:val="en-US"/>
        </w:rPr>
        <w:t xml:space="preserve">. </w:t>
      </w:r>
    </w:p>
    <w:p w14:paraId="3E98DF4E" w14:textId="77777777" w:rsidR="007822EA" w:rsidRPr="00104227" w:rsidRDefault="007822EA" w:rsidP="00E4619F">
      <w:pPr>
        <w:tabs>
          <w:tab w:val="left" w:pos="567"/>
        </w:tabs>
      </w:pPr>
    </w:p>
    <w:p w14:paraId="09BB9618" w14:textId="0E2D2623" w:rsidR="007822EA" w:rsidRPr="00104227" w:rsidRDefault="004D39DD" w:rsidP="00E4619F">
      <w:pPr>
        <w:pStyle w:val="Numberedparagraphs"/>
        <w:tabs>
          <w:tab w:val="left" w:pos="567"/>
        </w:tabs>
        <w:rPr>
          <w:lang w:val="en-US"/>
        </w:rPr>
      </w:pPr>
      <w:r w:rsidRPr="00104227">
        <w:rPr>
          <w:lang w:val="en-US"/>
        </w:rPr>
        <w:t xml:space="preserve">Based on all the above, the Court concludes that the detentions </w:t>
      </w:r>
      <w:r w:rsidR="00F12946" w:rsidRPr="00104227">
        <w:rPr>
          <w:lang w:val="en-US"/>
        </w:rPr>
        <w:t>of the eleven women</w:t>
      </w:r>
      <w:r w:rsidR="007822EA" w:rsidRPr="00104227">
        <w:rPr>
          <w:lang w:val="en-US"/>
        </w:rPr>
        <w:t xml:space="preserve"> </w:t>
      </w:r>
      <w:r w:rsidR="00844C80" w:rsidRPr="00104227">
        <w:rPr>
          <w:lang w:val="en-US"/>
        </w:rPr>
        <w:t>victims in this case</w:t>
      </w:r>
      <w:r w:rsidR="001F7190" w:rsidRPr="00104227">
        <w:rPr>
          <w:lang w:val="en-US"/>
        </w:rPr>
        <w:t xml:space="preserve">, </w:t>
      </w:r>
      <w:r w:rsidRPr="00104227">
        <w:rPr>
          <w:lang w:val="en-US"/>
        </w:rPr>
        <w:t>in addition to being unlawful, were also arbitrary. Co</w:t>
      </w:r>
      <w:r w:rsidR="004B7B35" w:rsidRPr="00104227">
        <w:rPr>
          <w:lang w:val="en-US"/>
        </w:rPr>
        <w:t>n</w:t>
      </w:r>
      <w:r w:rsidRPr="00104227">
        <w:rPr>
          <w:lang w:val="en-US"/>
        </w:rPr>
        <w:t xml:space="preserve">sequently, the State also violated </w:t>
      </w:r>
      <w:r w:rsidR="0060075A" w:rsidRPr="00104227">
        <w:rPr>
          <w:lang w:val="en-US"/>
        </w:rPr>
        <w:t>Article</w:t>
      </w:r>
      <w:r w:rsidR="007822EA" w:rsidRPr="00104227">
        <w:rPr>
          <w:lang w:val="en-US"/>
        </w:rPr>
        <w:t xml:space="preserve"> </w:t>
      </w:r>
      <w:r w:rsidR="00C2124F" w:rsidRPr="00104227">
        <w:rPr>
          <w:lang w:val="en-US"/>
        </w:rPr>
        <w:t>7(1)</w:t>
      </w:r>
      <w:r w:rsidR="00BF5241" w:rsidRPr="00104227">
        <w:rPr>
          <w:lang w:val="en-US"/>
        </w:rPr>
        <w:t xml:space="preserve"> and </w:t>
      </w:r>
      <w:r w:rsidR="00C2124F" w:rsidRPr="00104227">
        <w:rPr>
          <w:lang w:val="en-US"/>
        </w:rPr>
        <w:t>7(3)</w:t>
      </w:r>
      <w:r w:rsidR="00BF5241" w:rsidRPr="00104227">
        <w:rPr>
          <w:lang w:val="en-US"/>
        </w:rPr>
        <w:t xml:space="preserve"> of the Convention</w:t>
      </w:r>
      <w:r w:rsidR="007822EA" w:rsidRPr="00104227">
        <w:rPr>
          <w:lang w:val="en-US"/>
        </w:rPr>
        <w:t xml:space="preserve">, </w:t>
      </w:r>
      <w:r w:rsidR="00C2124F" w:rsidRPr="00104227">
        <w:rPr>
          <w:lang w:val="en-US"/>
        </w:rPr>
        <w:t>in relation to Article 1(1)</w:t>
      </w:r>
      <w:r w:rsidR="007822EA" w:rsidRPr="00104227">
        <w:rPr>
          <w:lang w:val="en-US"/>
        </w:rPr>
        <w:t xml:space="preserve"> </w:t>
      </w:r>
      <w:r w:rsidR="00CA43B0" w:rsidRPr="00104227">
        <w:rPr>
          <w:lang w:val="en-US"/>
        </w:rPr>
        <w:t>of this instrument</w:t>
      </w:r>
      <w:r w:rsidR="007822EA" w:rsidRPr="00104227">
        <w:rPr>
          <w:lang w:val="en-US"/>
        </w:rPr>
        <w:t xml:space="preserve">, </w:t>
      </w:r>
      <w:r w:rsidR="00C2124F" w:rsidRPr="00104227">
        <w:rPr>
          <w:lang w:val="en-US"/>
        </w:rPr>
        <w:t>to the detriment of</w:t>
      </w:r>
      <w:r w:rsidR="003F1244" w:rsidRPr="00104227">
        <w:rPr>
          <w:lang w:val="en-US"/>
        </w:rPr>
        <w:t xml:space="preserve"> Yolanda Muñoz Diosdada, Norma Aidé Jiménez Osorio, María Patricia Romero Hernández, Mariana Selvas Gómez, Georgina Edith Rosales Gutiérrez, Ana María Velasco Rodríguez, Suhelen Gabriela Cuevas Jaramillo, Bárbara Italia Méndez Moreno, María Cristina Sánchez Hernández, </w:t>
      </w:r>
      <w:r w:rsidR="0047539E" w:rsidRPr="00104227">
        <w:rPr>
          <w:lang w:val="en-US"/>
        </w:rPr>
        <w:t>Angélica Patricia Torres</w:t>
      </w:r>
      <w:r w:rsidR="003F1244" w:rsidRPr="00104227">
        <w:rPr>
          <w:lang w:val="en-US"/>
        </w:rPr>
        <w:t xml:space="preserve"> Linares</w:t>
      </w:r>
      <w:r w:rsidR="00BF5241" w:rsidRPr="00104227">
        <w:rPr>
          <w:lang w:val="en-US"/>
        </w:rPr>
        <w:t xml:space="preserve"> and </w:t>
      </w:r>
      <w:r w:rsidR="003F1244" w:rsidRPr="00104227">
        <w:rPr>
          <w:lang w:val="en-US"/>
        </w:rPr>
        <w:t>Claudia Hernández Martínez</w:t>
      </w:r>
      <w:r w:rsidR="007822EA" w:rsidRPr="00104227">
        <w:rPr>
          <w:lang w:val="en-US"/>
        </w:rPr>
        <w:t xml:space="preserve">. </w:t>
      </w:r>
    </w:p>
    <w:p w14:paraId="7C79D9A0" w14:textId="77777777" w:rsidR="007822EA" w:rsidRPr="00104227" w:rsidRDefault="007822EA" w:rsidP="00E4619F">
      <w:pPr>
        <w:tabs>
          <w:tab w:val="left" w:pos="567"/>
        </w:tabs>
        <w:rPr>
          <w:lang w:eastAsia="es-MX"/>
        </w:rPr>
      </w:pPr>
    </w:p>
    <w:p w14:paraId="699ED731" w14:textId="21EF6F9F" w:rsidR="007822EA" w:rsidRPr="00104227" w:rsidRDefault="007822EA" w:rsidP="00E4619F">
      <w:pPr>
        <w:pStyle w:val="Ttulo3"/>
        <w:tabs>
          <w:tab w:val="left" w:pos="567"/>
        </w:tabs>
        <w:rPr>
          <w:lang w:val="en-US" w:eastAsia="es-MX"/>
        </w:rPr>
      </w:pPr>
      <w:bookmarkStart w:id="322" w:name="_Toc31290599"/>
      <w:r w:rsidRPr="00104227">
        <w:rPr>
          <w:lang w:val="en-US" w:eastAsia="es-MX"/>
        </w:rPr>
        <w:t xml:space="preserve">B.2 </w:t>
      </w:r>
      <w:r w:rsidR="004D39DD" w:rsidRPr="00104227">
        <w:rPr>
          <w:lang w:val="en-US" w:eastAsia="es-MX"/>
        </w:rPr>
        <w:t>Notification of the reasons for the detention and the right of defense</w:t>
      </w:r>
      <w:bookmarkEnd w:id="322"/>
    </w:p>
    <w:p w14:paraId="6CF3DE4D" w14:textId="77777777" w:rsidR="007822EA" w:rsidRPr="00104227" w:rsidRDefault="007822EA" w:rsidP="00E4619F">
      <w:pPr>
        <w:tabs>
          <w:tab w:val="left" w:pos="567"/>
        </w:tabs>
        <w:rPr>
          <w:lang w:eastAsia="es-MX"/>
        </w:rPr>
      </w:pPr>
    </w:p>
    <w:p w14:paraId="15DAE008" w14:textId="5D9D540D" w:rsidR="00047657" w:rsidRPr="00104227" w:rsidRDefault="00047657" w:rsidP="00E4619F">
      <w:pPr>
        <w:pStyle w:val="Numberedparagraphs"/>
        <w:tabs>
          <w:tab w:val="left" w:pos="567"/>
        </w:tabs>
        <w:rPr>
          <w:lang w:val="en-US"/>
        </w:rPr>
      </w:pPr>
      <w:r w:rsidRPr="00104227">
        <w:rPr>
          <w:lang w:val="en-US"/>
        </w:rPr>
        <w:t>Re</w:t>
      </w:r>
      <w:r w:rsidR="004D39DD" w:rsidRPr="00104227">
        <w:rPr>
          <w:lang w:val="en-US"/>
        </w:rPr>
        <w:t xml:space="preserve">garding the right </w:t>
      </w:r>
      <w:r w:rsidR="00F27D61" w:rsidRPr="00104227">
        <w:rPr>
          <w:lang w:val="en-US"/>
        </w:rPr>
        <w:t>recognized</w:t>
      </w:r>
      <w:r w:rsidR="004D39DD" w:rsidRPr="00104227">
        <w:rPr>
          <w:lang w:val="en-US"/>
        </w:rPr>
        <w:t xml:space="preserve"> </w:t>
      </w:r>
      <w:r w:rsidR="00E466FA" w:rsidRPr="00104227">
        <w:rPr>
          <w:lang w:val="en-US"/>
        </w:rPr>
        <w:t>in</w:t>
      </w:r>
      <w:r w:rsidRPr="00104227">
        <w:rPr>
          <w:lang w:val="en-US"/>
        </w:rPr>
        <w:t xml:space="preserve"> </w:t>
      </w:r>
      <w:r w:rsidR="00BF5241" w:rsidRPr="00104227">
        <w:rPr>
          <w:lang w:val="en-US"/>
        </w:rPr>
        <w:t>Article</w:t>
      </w:r>
      <w:r w:rsidRPr="00104227">
        <w:rPr>
          <w:lang w:val="en-US"/>
        </w:rPr>
        <w:t xml:space="preserve"> </w:t>
      </w:r>
      <w:r w:rsidR="00C2124F" w:rsidRPr="00104227">
        <w:rPr>
          <w:lang w:val="en-US"/>
        </w:rPr>
        <w:t>7(4)</w:t>
      </w:r>
      <w:r w:rsidR="00BF5241" w:rsidRPr="00104227">
        <w:rPr>
          <w:lang w:val="en-US"/>
        </w:rPr>
        <w:t xml:space="preserve"> of the American Convention</w:t>
      </w:r>
      <w:r w:rsidRPr="00104227">
        <w:rPr>
          <w:lang w:val="en-US"/>
        </w:rPr>
        <w:t xml:space="preserve">, </w:t>
      </w:r>
      <w:r w:rsidR="004D39DD" w:rsidRPr="00104227">
        <w:rPr>
          <w:lang w:val="en-US"/>
        </w:rPr>
        <w:t>this Court has indic</w:t>
      </w:r>
      <w:r w:rsidR="000507AD" w:rsidRPr="00104227">
        <w:rPr>
          <w:lang w:val="en-US"/>
        </w:rPr>
        <w:t>a</w:t>
      </w:r>
      <w:r w:rsidR="004D39DD" w:rsidRPr="00104227">
        <w:rPr>
          <w:lang w:val="en-US"/>
        </w:rPr>
        <w:t>ted that this refers to two guarantees for the individual who is being detained: (i) oral or written information on the reasons for the detention, and (ii) notification of the charges, which must be in writing</w:t>
      </w:r>
      <w:r w:rsidRPr="00104227">
        <w:rPr>
          <w:lang w:val="en-US"/>
        </w:rPr>
        <w:t xml:space="preserve">. </w:t>
      </w:r>
      <w:r w:rsidR="004D39DD" w:rsidRPr="00104227">
        <w:rPr>
          <w:lang w:val="en-US"/>
        </w:rPr>
        <w:t xml:space="preserve">The information on the “reasons” for the detention must be provided “at the time of the arrest,” and this is a mechanism to avoid unlawful or arbitrary detentions at the very moment of the deprivation of liberty and, also, </w:t>
      </w:r>
      <w:r w:rsidR="000507AD" w:rsidRPr="00104227">
        <w:rPr>
          <w:lang w:val="en-US"/>
        </w:rPr>
        <w:t xml:space="preserve">to </w:t>
      </w:r>
      <w:r w:rsidR="004D39DD" w:rsidRPr="00104227">
        <w:rPr>
          <w:lang w:val="en-US"/>
        </w:rPr>
        <w:t>ensure the individual’s right of defense.  In addition, this Court has indicated that the agent who makes the arrest must provide information, in simple, jarg</w:t>
      </w:r>
      <w:r w:rsidR="000507AD" w:rsidRPr="00104227">
        <w:rPr>
          <w:lang w:val="en-US"/>
        </w:rPr>
        <w:t>o</w:t>
      </w:r>
      <w:r w:rsidR="004D39DD" w:rsidRPr="00104227">
        <w:rPr>
          <w:lang w:val="en-US"/>
        </w:rPr>
        <w:t>n-free language of the</w:t>
      </w:r>
      <w:r w:rsidR="000507AD" w:rsidRPr="00104227">
        <w:rPr>
          <w:lang w:val="en-US"/>
        </w:rPr>
        <w:t xml:space="preserve"> fundamental</w:t>
      </w:r>
      <w:r w:rsidR="004D39DD" w:rsidRPr="00104227">
        <w:rPr>
          <w:lang w:val="en-US"/>
        </w:rPr>
        <w:t xml:space="preserve"> fac</w:t>
      </w:r>
      <w:r w:rsidR="000507AD" w:rsidRPr="00104227">
        <w:rPr>
          <w:lang w:val="en-US"/>
        </w:rPr>
        <w:t>t</w:t>
      </w:r>
      <w:r w:rsidR="004D39DD" w:rsidRPr="00104227">
        <w:rPr>
          <w:lang w:val="en-US"/>
        </w:rPr>
        <w:t>s and legal grounds on which the de</w:t>
      </w:r>
      <w:r w:rsidR="000507AD" w:rsidRPr="00104227">
        <w:rPr>
          <w:lang w:val="en-US"/>
        </w:rPr>
        <w:t>t</w:t>
      </w:r>
      <w:r w:rsidR="004D39DD" w:rsidRPr="00104227">
        <w:rPr>
          <w:lang w:val="en-US"/>
        </w:rPr>
        <w:t xml:space="preserve">ention is based and </w:t>
      </w:r>
      <w:r w:rsidR="000507AD" w:rsidRPr="00104227">
        <w:rPr>
          <w:lang w:val="en-US"/>
        </w:rPr>
        <w:t xml:space="preserve">that </w:t>
      </w:r>
      <w:r w:rsidR="004D39DD" w:rsidRPr="00104227">
        <w:rPr>
          <w:lang w:val="en-US"/>
        </w:rPr>
        <w:t xml:space="preserve">the provisions of </w:t>
      </w:r>
      <w:r w:rsidR="00BF5241" w:rsidRPr="00104227">
        <w:rPr>
          <w:lang w:val="en-US"/>
        </w:rPr>
        <w:t>Article</w:t>
      </w:r>
      <w:r w:rsidRPr="00104227">
        <w:rPr>
          <w:lang w:val="en-US"/>
        </w:rPr>
        <w:t xml:space="preserve"> </w:t>
      </w:r>
      <w:r w:rsidR="00C2124F" w:rsidRPr="00104227">
        <w:rPr>
          <w:lang w:val="en-US"/>
        </w:rPr>
        <w:t>7(4)</w:t>
      </w:r>
      <w:r w:rsidR="00BF5241" w:rsidRPr="00104227">
        <w:rPr>
          <w:lang w:val="en-US"/>
        </w:rPr>
        <w:t xml:space="preserve"> of the</w:t>
      </w:r>
      <w:r w:rsidR="004D39DD" w:rsidRPr="00104227">
        <w:rPr>
          <w:lang w:val="en-US"/>
        </w:rPr>
        <w:t xml:space="preserve"> Convention are not met if only the legal grounds are mentioned. If the persons is not adequately informed of the reasons for the detention, including the facts and their legal grounds</w:t>
      </w:r>
      <w:r w:rsidRPr="00104227">
        <w:rPr>
          <w:lang w:val="en-US"/>
        </w:rPr>
        <w:t xml:space="preserve">, </w:t>
      </w:r>
      <w:r w:rsidR="004D39DD" w:rsidRPr="00104227">
        <w:rPr>
          <w:lang w:val="en-US"/>
        </w:rPr>
        <w:t>he does not know the charges against which he must defend himself and, consequently, the judicial control is illusory.</w:t>
      </w:r>
      <w:r w:rsidRPr="00104227">
        <w:rPr>
          <w:rStyle w:val="Refdenotaalpie"/>
          <w:sz w:val="20"/>
          <w:szCs w:val="20"/>
          <w:lang w:val="en-US"/>
        </w:rPr>
        <w:footnoteReference w:id="346"/>
      </w:r>
    </w:p>
    <w:p w14:paraId="08D14F01" w14:textId="77777777" w:rsidR="00047657" w:rsidRPr="00104227" w:rsidRDefault="00047657" w:rsidP="00E4619F">
      <w:pPr>
        <w:tabs>
          <w:tab w:val="left" w:pos="567"/>
        </w:tabs>
        <w:rPr>
          <w:szCs w:val="20"/>
          <w:lang w:eastAsia="es-MX"/>
        </w:rPr>
      </w:pPr>
    </w:p>
    <w:p w14:paraId="62075219" w14:textId="5A66B570" w:rsidR="00047657" w:rsidRPr="00104227" w:rsidRDefault="00BF5241" w:rsidP="00F132BC">
      <w:pPr>
        <w:pStyle w:val="Numberedparagraphs"/>
        <w:tabs>
          <w:tab w:val="left" w:pos="567"/>
        </w:tabs>
        <w:rPr>
          <w:lang w:val="en-US"/>
        </w:rPr>
      </w:pPr>
      <w:r w:rsidRPr="00104227">
        <w:rPr>
          <w:lang w:val="en-US"/>
        </w:rPr>
        <w:t>The Court</w:t>
      </w:r>
      <w:r w:rsidR="00047657" w:rsidRPr="00104227">
        <w:rPr>
          <w:lang w:val="en-US"/>
        </w:rPr>
        <w:t xml:space="preserve"> not</w:t>
      </w:r>
      <w:r w:rsidR="003C54FE" w:rsidRPr="00104227">
        <w:rPr>
          <w:lang w:val="en-US"/>
        </w:rPr>
        <w:t xml:space="preserve">es that, in this case, the facts </w:t>
      </w:r>
      <w:r w:rsidR="000507AD" w:rsidRPr="00104227">
        <w:rPr>
          <w:lang w:val="en-US"/>
        </w:rPr>
        <w:t>concerning</w:t>
      </w:r>
      <w:r w:rsidR="003C54FE" w:rsidRPr="00104227">
        <w:rPr>
          <w:lang w:val="en-US"/>
        </w:rPr>
        <w:t xml:space="preserve"> the obligation to notify promptly and in writing the charges against</w:t>
      </w:r>
      <w:r w:rsidR="00047657" w:rsidRPr="00104227">
        <w:rPr>
          <w:lang w:val="en-US"/>
        </w:rPr>
        <w:t xml:space="preserve"> </w:t>
      </w:r>
      <w:r w:rsidR="00F12946" w:rsidRPr="00104227">
        <w:rPr>
          <w:lang w:val="en-US"/>
        </w:rPr>
        <w:t>the eleven women</w:t>
      </w:r>
      <w:r w:rsidR="00047657" w:rsidRPr="00104227">
        <w:rPr>
          <w:lang w:val="en-US"/>
        </w:rPr>
        <w:t xml:space="preserve"> </w:t>
      </w:r>
      <w:r w:rsidR="00844C80" w:rsidRPr="00104227">
        <w:rPr>
          <w:lang w:val="en-US"/>
        </w:rPr>
        <w:t>victims in this case</w:t>
      </w:r>
      <w:r w:rsidR="00047657" w:rsidRPr="00104227">
        <w:rPr>
          <w:lang w:val="en-US"/>
        </w:rPr>
        <w:t xml:space="preserve"> </w:t>
      </w:r>
      <w:r w:rsidR="000507AD" w:rsidRPr="00104227">
        <w:rPr>
          <w:lang w:val="en-US"/>
        </w:rPr>
        <w:t>are related to</w:t>
      </w:r>
      <w:r w:rsidR="003C54FE" w:rsidRPr="00104227">
        <w:rPr>
          <w:lang w:val="en-US"/>
        </w:rPr>
        <w:t xml:space="preserve"> the obligation to inform the accused of the charges against him</w:t>
      </w:r>
      <w:r w:rsidR="000507AD" w:rsidRPr="00104227">
        <w:rPr>
          <w:lang w:val="en-US"/>
        </w:rPr>
        <w:t xml:space="preserve"> or her</w:t>
      </w:r>
      <w:r w:rsidR="003C54FE" w:rsidRPr="00104227">
        <w:rPr>
          <w:lang w:val="en-US"/>
        </w:rPr>
        <w:t xml:space="preserve">, included in </w:t>
      </w:r>
      <w:r w:rsidRPr="00104227">
        <w:rPr>
          <w:lang w:val="en-US"/>
        </w:rPr>
        <w:t>Article</w:t>
      </w:r>
      <w:r w:rsidR="00047657" w:rsidRPr="00104227">
        <w:rPr>
          <w:lang w:val="en-US"/>
        </w:rPr>
        <w:t xml:space="preserve"> 8</w:t>
      </w:r>
      <w:r w:rsidR="003C54FE" w:rsidRPr="00104227">
        <w:rPr>
          <w:lang w:val="en-US"/>
        </w:rPr>
        <w:t>(</w:t>
      </w:r>
      <w:r w:rsidR="00047657" w:rsidRPr="00104227">
        <w:rPr>
          <w:lang w:val="en-US"/>
        </w:rPr>
        <w:t>2</w:t>
      </w:r>
      <w:r w:rsidR="003C54FE" w:rsidRPr="00104227">
        <w:rPr>
          <w:lang w:val="en-US"/>
        </w:rPr>
        <w:t>)(</w:t>
      </w:r>
      <w:r w:rsidR="00047657" w:rsidRPr="00104227">
        <w:rPr>
          <w:lang w:val="en-US"/>
        </w:rPr>
        <w:t>b</w:t>
      </w:r>
      <w:r w:rsidR="003C54FE" w:rsidRPr="00104227">
        <w:rPr>
          <w:lang w:val="en-US"/>
        </w:rPr>
        <w:t>)</w:t>
      </w:r>
      <w:r w:rsidR="00047657" w:rsidRPr="00104227">
        <w:rPr>
          <w:lang w:val="en-US"/>
        </w:rPr>
        <w:t>.</w:t>
      </w:r>
      <w:r w:rsidR="00D233AB" w:rsidRPr="00104227">
        <w:rPr>
          <w:lang w:val="en-US"/>
        </w:rPr>
        <w:t xml:space="preserve"> </w:t>
      </w:r>
      <w:r w:rsidR="003C54FE" w:rsidRPr="00104227">
        <w:rPr>
          <w:lang w:val="en-US"/>
        </w:rPr>
        <w:t>In this regard</w:t>
      </w:r>
      <w:r w:rsidR="00047657" w:rsidRPr="00104227">
        <w:rPr>
          <w:lang w:val="en-US"/>
        </w:rPr>
        <w:t xml:space="preserve">, </w:t>
      </w:r>
      <w:r w:rsidRPr="00104227">
        <w:rPr>
          <w:lang w:val="en-US"/>
        </w:rPr>
        <w:t>this Court</w:t>
      </w:r>
      <w:r w:rsidR="00047657" w:rsidRPr="00104227">
        <w:rPr>
          <w:lang w:val="en-US"/>
        </w:rPr>
        <w:t xml:space="preserve"> ha</w:t>
      </w:r>
      <w:r w:rsidR="003C54FE" w:rsidRPr="00104227">
        <w:rPr>
          <w:lang w:val="en-US"/>
        </w:rPr>
        <w:t xml:space="preserve">s established that this subparagraph determines the need to </w:t>
      </w:r>
      <w:r w:rsidR="000507AD" w:rsidRPr="00104227">
        <w:rPr>
          <w:lang w:val="en-US"/>
        </w:rPr>
        <w:t>p</w:t>
      </w:r>
      <w:r w:rsidR="003C54FE" w:rsidRPr="00104227">
        <w:rPr>
          <w:lang w:val="en-US"/>
        </w:rPr>
        <w:t xml:space="preserve">rovide “prior notification in detail to the accused of the charges against him.” The Court has indicated that this </w:t>
      </w:r>
      <w:r w:rsidR="003C54FE" w:rsidRPr="00104227">
        <w:rPr>
          <w:lang w:val="en-US"/>
        </w:rPr>
        <w:lastRenderedPageBreak/>
        <w:t xml:space="preserve">rule “applies even before </w:t>
      </w:r>
      <w:r w:rsidR="000507AD" w:rsidRPr="00104227">
        <w:rPr>
          <w:lang w:val="en-US"/>
        </w:rPr>
        <w:t>‘</w:t>
      </w:r>
      <w:r w:rsidR="003C54FE" w:rsidRPr="00104227">
        <w:rPr>
          <w:lang w:val="en-US"/>
        </w:rPr>
        <w:t>charges</w:t>
      </w:r>
      <w:r w:rsidR="000507AD" w:rsidRPr="00104227">
        <w:rPr>
          <w:lang w:val="en-US"/>
        </w:rPr>
        <w:t>’</w:t>
      </w:r>
      <w:r w:rsidR="003C54FE" w:rsidRPr="00104227">
        <w:rPr>
          <w:lang w:val="en-US"/>
        </w:rPr>
        <w:t xml:space="preserve"> </w:t>
      </w:r>
      <w:r w:rsidR="00F132BC" w:rsidRPr="00104227">
        <w:rPr>
          <w:i/>
          <w:iCs/>
          <w:lang w:val="en-US"/>
        </w:rPr>
        <w:t>stricto sensu</w:t>
      </w:r>
      <w:r w:rsidR="00F132BC" w:rsidRPr="00104227">
        <w:rPr>
          <w:lang w:val="en-US"/>
        </w:rPr>
        <w:t xml:space="preserve"> </w:t>
      </w:r>
      <w:r w:rsidR="003C54FE" w:rsidRPr="00104227">
        <w:rPr>
          <w:lang w:val="en-US"/>
        </w:rPr>
        <w:t>are filed</w:t>
      </w:r>
      <w:r w:rsidR="00F132BC" w:rsidRPr="00104227">
        <w:rPr>
          <w:lang w:val="en-US"/>
        </w:rPr>
        <w:t>, [because f]or this article to meet its inherent purpose, it is necessary for the notification to be made before the accused makes his first statement</w:t>
      </w:r>
      <w:r w:rsidR="00D233AB" w:rsidRPr="00104227">
        <w:rPr>
          <w:vertAlign w:val="superscript"/>
          <w:lang w:val="en-US"/>
        </w:rPr>
        <w:footnoteReference w:id="347"/>
      </w:r>
      <w:r w:rsidR="00D233AB" w:rsidRPr="00104227">
        <w:rPr>
          <w:lang w:val="en-US"/>
        </w:rPr>
        <w:t xml:space="preserve"> </w:t>
      </w:r>
      <w:r w:rsidR="00F132BC" w:rsidRPr="00104227">
        <w:rPr>
          <w:lang w:val="en-US"/>
        </w:rPr>
        <w:t>before a public authority of any kind.”</w:t>
      </w:r>
      <w:r w:rsidR="00D233AB" w:rsidRPr="00104227">
        <w:rPr>
          <w:vertAlign w:val="superscript"/>
          <w:lang w:val="en-US"/>
        </w:rPr>
        <w:footnoteReference w:id="348"/>
      </w:r>
    </w:p>
    <w:p w14:paraId="735389F7" w14:textId="77777777" w:rsidR="00047657" w:rsidRPr="00104227" w:rsidRDefault="00047657" w:rsidP="00E4619F">
      <w:pPr>
        <w:tabs>
          <w:tab w:val="left" w:pos="567"/>
        </w:tabs>
        <w:rPr>
          <w:lang w:eastAsia="es-MX"/>
        </w:rPr>
      </w:pPr>
    </w:p>
    <w:p w14:paraId="0129F451" w14:textId="4C94D877" w:rsidR="007B0E8D" w:rsidRPr="00104227" w:rsidRDefault="00F132BC" w:rsidP="00E4619F">
      <w:pPr>
        <w:pStyle w:val="Numberedparagraphs"/>
        <w:tabs>
          <w:tab w:val="left" w:pos="567"/>
        </w:tabs>
        <w:rPr>
          <w:lang w:val="en-US"/>
        </w:rPr>
      </w:pPr>
      <w:r w:rsidRPr="00104227">
        <w:rPr>
          <w:lang w:val="en-US"/>
        </w:rPr>
        <w:t xml:space="preserve">In this case, the State acknowledged </w:t>
      </w:r>
      <w:r w:rsidR="0060075A" w:rsidRPr="00104227">
        <w:rPr>
          <w:lang w:val="en-US"/>
        </w:rPr>
        <w:t>the violation</w:t>
      </w:r>
      <w:r w:rsidR="007822EA" w:rsidRPr="00104227">
        <w:rPr>
          <w:lang w:val="en-US"/>
        </w:rPr>
        <w:t xml:space="preserve"> </w:t>
      </w:r>
      <w:r w:rsidRPr="00104227">
        <w:rPr>
          <w:lang w:val="en-US"/>
        </w:rPr>
        <w:t>of its obligations under</w:t>
      </w:r>
      <w:r w:rsidR="007822EA" w:rsidRPr="00104227">
        <w:rPr>
          <w:lang w:val="en-US"/>
        </w:rPr>
        <w:t xml:space="preserve"> </w:t>
      </w:r>
      <w:r w:rsidR="00BF5241" w:rsidRPr="00104227">
        <w:rPr>
          <w:lang w:val="en-US"/>
        </w:rPr>
        <w:t>Articles</w:t>
      </w:r>
      <w:r w:rsidR="007822EA" w:rsidRPr="00104227">
        <w:rPr>
          <w:lang w:val="en-US"/>
        </w:rPr>
        <w:t xml:space="preserve"> </w:t>
      </w:r>
      <w:r w:rsidR="00C2124F" w:rsidRPr="00104227">
        <w:rPr>
          <w:lang w:val="en-US"/>
        </w:rPr>
        <w:t>7(4)</w:t>
      </w:r>
      <w:r w:rsidRPr="00104227">
        <w:rPr>
          <w:lang w:val="en-US"/>
        </w:rPr>
        <w:t xml:space="preserve"> and</w:t>
      </w:r>
      <w:r w:rsidR="007822EA" w:rsidRPr="00104227">
        <w:rPr>
          <w:lang w:val="en-US"/>
        </w:rPr>
        <w:t xml:space="preserve"> 8</w:t>
      </w:r>
      <w:r w:rsidRPr="00104227">
        <w:rPr>
          <w:lang w:val="en-US"/>
        </w:rPr>
        <w:t>(</w:t>
      </w:r>
      <w:r w:rsidR="007822EA" w:rsidRPr="00104227">
        <w:rPr>
          <w:lang w:val="en-US"/>
        </w:rPr>
        <w:t>2</w:t>
      </w:r>
      <w:r w:rsidRPr="00104227">
        <w:rPr>
          <w:lang w:val="en-US"/>
        </w:rPr>
        <w:t>)(</w:t>
      </w:r>
      <w:r w:rsidR="007822EA" w:rsidRPr="00104227">
        <w:rPr>
          <w:lang w:val="en-US"/>
        </w:rPr>
        <w:t>b</w:t>
      </w:r>
      <w:r w:rsidRPr="00104227">
        <w:rPr>
          <w:lang w:val="en-US"/>
        </w:rPr>
        <w:t>)</w:t>
      </w:r>
      <w:r w:rsidR="007822EA" w:rsidRPr="00104227">
        <w:rPr>
          <w:lang w:val="en-US"/>
        </w:rPr>
        <w:t xml:space="preserve">, </w:t>
      </w:r>
      <w:r w:rsidRPr="00104227">
        <w:rPr>
          <w:lang w:val="en-US"/>
        </w:rPr>
        <w:t>(</w:t>
      </w:r>
      <w:r w:rsidR="007822EA" w:rsidRPr="00104227">
        <w:rPr>
          <w:lang w:val="en-US"/>
        </w:rPr>
        <w:t>d</w:t>
      </w:r>
      <w:r w:rsidRPr="00104227">
        <w:rPr>
          <w:lang w:val="en-US"/>
        </w:rPr>
        <w:t>)</w:t>
      </w:r>
      <w:r w:rsidR="00BF5241" w:rsidRPr="00104227">
        <w:rPr>
          <w:lang w:val="en-US"/>
        </w:rPr>
        <w:t xml:space="preserve"> and </w:t>
      </w:r>
      <w:r w:rsidRPr="00104227">
        <w:rPr>
          <w:lang w:val="en-US"/>
        </w:rPr>
        <w:t>(</w:t>
      </w:r>
      <w:r w:rsidR="007822EA" w:rsidRPr="00104227">
        <w:rPr>
          <w:lang w:val="en-US"/>
        </w:rPr>
        <w:t>e</w:t>
      </w:r>
      <w:r w:rsidRPr="00104227">
        <w:rPr>
          <w:lang w:val="en-US"/>
        </w:rPr>
        <w:t>)</w:t>
      </w:r>
      <w:r w:rsidR="00BF5241" w:rsidRPr="00104227">
        <w:rPr>
          <w:lang w:val="en-US"/>
        </w:rPr>
        <w:t xml:space="preserve"> of the Convention</w:t>
      </w:r>
      <w:r w:rsidR="007822EA" w:rsidRPr="00104227">
        <w:rPr>
          <w:lang w:val="en-US"/>
        </w:rPr>
        <w:t xml:space="preserve">, </w:t>
      </w:r>
      <w:r w:rsidR="00C2124F" w:rsidRPr="00104227">
        <w:rPr>
          <w:lang w:val="en-US"/>
        </w:rPr>
        <w:t>to the detriment of</w:t>
      </w:r>
      <w:r w:rsidR="007822EA" w:rsidRPr="00104227">
        <w:rPr>
          <w:lang w:val="en-US"/>
        </w:rPr>
        <w:t xml:space="preserve"> </w:t>
      </w:r>
      <w:r w:rsidR="00F12946" w:rsidRPr="00104227">
        <w:rPr>
          <w:lang w:val="en-US"/>
        </w:rPr>
        <w:t>the eleven women</w:t>
      </w:r>
      <w:r w:rsidR="007822EA" w:rsidRPr="00104227">
        <w:rPr>
          <w:lang w:val="en-US"/>
        </w:rPr>
        <w:t xml:space="preserve"> det</w:t>
      </w:r>
      <w:r w:rsidRPr="00104227">
        <w:rPr>
          <w:lang w:val="en-US"/>
        </w:rPr>
        <w:t>ained</w:t>
      </w:r>
      <w:r w:rsidR="007822EA" w:rsidRPr="00104227">
        <w:rPr>
          <w:lang w:val="en-US"/>
        </w:rPr>
        <w:t xml:space="preserve"> </w:t>
      </w:r>
      <w:r w:rsidR="00816E4E" w:rsidRPr="00104227">
        <w:rPr>
          <w:lang w:val="en-US"/>
        </w:rPr>
        <w:t>in this case</w:t>
      </w:r>
      <w:r w:rsidR="007822EA" w:rsidRPr="00104227">
        <w:rPr>
          <w:lang w:val="en-US"/>
        </w:rPr>
        <w:t xml:space="preserve">. </w:t>
      </w:r>
      <w:r w:rsidRPr="00104227">
        <w:rPr>
          <w:lang w:val="en-US"/>
        </w:rPr>
        <w:t>Indeed, the facts acknowledged and the statements of the victims reveal that they were not informed of the reasons for their detention or the charges against them.</w:t>
      </w:r>
      <w:r w:rsidR="007822EA" w:rsidRPr="00104227">
        <w:rPr>
          <w:rStyle w:val="Refdenotaalpie"/>
          <w:lang w:val="en-US"/>
        </w:rPr>
        <w:footnoteReference w:id="349"/>
      </w:r>
      <w:r w:rsidRPr="00104227">
        <w:rPr>
          <w:lang w:val="en-US"/>
        </w:rPr>
        <w:t xml:space="preserve"> Furthermore, they were not guaranteed the right “to be assisted by legal counsel of [their] own choosing” or</w:t>
      </w:r>
      <w:r w:rsidR="007822EA" w:rsidRPr="00104227">
        <w:rPr>
          <w:lang w:val="en-US"/>
        </w:rPr>
        <w:t xml:space="preserve"> </w:t>
      </w:r>
      <w:r w:rsidRPr="00104227">
        <w:rPr>
          <w:lang w:val="en-US"/>
        </w:rPr>
        <w:t>“by counsel provided by the State” from the start of the investigation against them, and they were not allowed to communicate with their families or lawyer of choice.</w:t>
      </w:r>
      <w:r w:rsidR="007822EA" w:rsidRPr="00104227">
        <w:rPr>
          <w:rStyle w:val="Refdenotaalpie"/>
          <w:lang w:val="en-US"/>
        </w:rPr>
        <w:footnoteReference w:id="350"/>
      </w:r>
      <w:r w:rsidR="007822EA" w:rsidRPr="00104227">
        <w:rPr>
          <w:lang w:val="en-US"/>
        </w:rPr>
        <w:t xml:space="preserve"> </w:t>
      </w:r>
    </w:p>
    <w:p w14:paraId="5CF42725" w14:textId="77777777" w:rsidR="007B0E8D" w:rsidRPr="00104227" w:rsidRDefault="007B0E8D" w:rsidP="00E4619F">
      <w:pPr>
        <w:tabs>
          <w:tab w:val="left" w:pos="567"/>
        </w:tabs>
      </w:pPr>
    </w:p>
    <w:p w14:paraId="62A4235C" w14:textId="433C0C8F" w:rsidR="007822EA" w:rsidRPr="00104227" w:rsidRDefault="00A82EAE" w:rsidP="00E4619F">
      <w:pPr>
        <w:pStyle w:val="Numberedparagraphs"/>
        <w:tabs>
          <w:tab w:val="left" w:pos="567"/>
        </w:tabs>
        <w:rPr>
          <w:lang w:val="en-US"/>
        </w:rPr>
      </w:pPr>
      <w:r w:rsidRPr="00104227">
        <w:rPr>
          <w:lang w:val="en-US"/>
        </w:rPr>
        <w:t xml:space="preserve">Therefore, based on the </w:t>
      </w:r>
      <w:r w:rsidR="00F27D61" w:rsidRPr="00104227">
        <w:rPr>
          <w:lang w:val="en-US"/>
        </w:rPr>
        <w:t>foregoing</w:t>
      </w:r>
      <w:r w:rsidRPr="00104227">
        <w:rPr>
          <w:lang w:val="en-US"/>
        </w:rPr>
        <w:t xml:space="preserve"> and t</w:t>
      </w:r>
      <w:r w:rsidR="002A00F2" w:rsidRPr="00104227">
        <w:rPr>
          <w:lang w:val="en-US"/>
        </w:rPr>
        <w:t>he State’s acknowledgement of responsibility</w:t>
      </w:r>
      <w:r w:rsidR="007822EA" w:rsidRPr="00104227">
        <w:rPr>
          <w:lang w:val="en-US"/>
        </w:rPr>
        <w:t xml:space="preserve">, </w:t>
      </w:r>
      <w:r w:rsidR="00BF5241" w:rsidRPr="00104227">
        <w:rPr>
          <w:lang w:val="en-US"/>
        </w:rPr>
        <w:t>the Court</w:t>
      </w:r>
      <w:r w:rsidR="007822EA" w:rsidRPr="00104227">
        <w:rPr>
          <w:lang w:val="en-US"/>
        </w:rPr>
        <w:t xml:space="preserve"> conclu</w:t>
      </w:r>
      <w:r w:rsidRPr="00104227">
        <w:rPr>
          <w:lang w:val="en-US"/>
        </w:rPr>
        <w:t xml:space="preserve">des that </w:t>
      </w:r>
      <w:r w:rsidR="00BF5241" w:rsidRPr="00104227">
        <w:rPr>
          <w:lang w:val="en-US"/>
        </w:rPr>
        <w:t>Mexico</w:t>
      </w:r>
      <w:r w:rsidR="007822EA" w:rsidRPr="00104227">
        <w:rPr>
          <w:lang w:val="en-US"/>
        </w:rPr>
        <w:t xml:space="preserve"> viol</w:t>
      </w:r>
      <w:r w:rsidRPr="00104227">
        <w:rPr>
          <w:lang w:val="en-US"/>
        </w:rPr>
        <w:t xml:space="preserve">ated the rights </w:t>
      </w:r>
      <w:r w:rsidR="005E29A3" w:rsidRPr="00104227">
        <w:rPr>
          <w:lang w:val="en-US"/>
        </w:rPr>
        <w:t>recognized in</w:t>
      </w:r>
      <w:r w:rsidR="007822EA" w:rsidRPr="00104227">
        <w:rPr>
          <w:lang w:val="en-US"/>
        </w:rPr>
        <w:t xml:space="preserve"> </w:t>
      </w:r>
      <w:r w:rsidR="00BF5241" w:rsidRPr="00104227">
        <w:rPr>
          <w:lang w:val="en-US"/>
        </w:rPr>
        <w:t>Articles</w:t>
      </w:r>
      <w:r w:rsidR="007822EA" w:rsidRPr="00104227">
        <w:rPr>
          <w:lang w:val="en-US"/>
        </w:rPr>
        <w:t xml:space="preserve"> </w:t>
      </w:r>
      <w:r w:rsidR="00C2124F" w:rsidRPr="00104227">
        <w:rPr>
          <w:lang w:val="en-US"/>
        </w:rPr>
        <w:t>7(1)</w:t>
      </w:r>
      <w:r w:rsidR="00604C05" w:rsidRPr="00104227">
        <w:rPr>
          <w:lang w:val="en-US"/>
        </w:rPr>
        <w:t>,</w:t>
      </w:r>
      <w:r w:rsidR="007822EA" w:rsidRPr="00104227">
        <w:rPr>
          <w:lang w:val="en-US"/>
        </w:rPr>
        <w:t xml:space="preserve"> </w:t>
      </w:r>
      <w:r w:rsidR="00C2124F" w:rsidRPr="00104227">
        <w:rPr>
          <w:lang w:val="en-US"/>
        </w:rPr>
        <w:t>7(4)</w:t>
      </w:r>
      <w:r w:rsidR="00BF5241" w:rsidRPr="00104227">
        <w:rPr>
          <w:lang w:val="en-US"/>
        </w:rPr>
        <w:t xml:space="preserve"> and </w:t>
      </w:r>
      <w:r w:rsidR="007822EA" w:rsidRPr="00104227">
        <w:rPr>
          <w:lang w:val="en-US"/>
        </w:rPr>
        <w:t>8</w:t>
      </w:r>
      <w:r w:rsidRPr="00104227">
        <w:rPr>
          <w:lang w:val="en-US"/>
        </w:rPr>
        <w:t>(</w:t>
      </w:r>
      <w:r w:rsidR="007822EA" w:rsidRPr="00104227">
        <w:rPr>
          <w:lang w:val="en-US"/>
        </w:rPr>
        <w:t>2</w:t>
      </w:r>
      <w:r w:rsidRPr="00104227">
        <w:rPr>
          <w:lang w:val="en-US"/>
        </w:rPr>
        <w:t>)(</w:t>
      </w:r>
      <w:r w:rsidR="007822EA" w:rsidRPr="00104227">
        <w:rPr>
          <w:lang w:val="en-US"/>
        </w:rPr>
        <w:t>b</w:t>
      </w:r>
      <w:r w:rsidRPr="00104227">
        <w:rPr>
          <w:lang w:val="en-US"/>
        </w:rPr>
        <w:t>)</w:t>
      </w:r>
      <w:r w:rsidR="006F3DC9" w:rsidRPr="00104227">
        <w:rPr>
          <w:lang w:val="en-US"/>
        </w:rPr>
        <w:t>,</w:t>
      </w:r>
      <w:r w:rsidR="007822EA" w:rsidRPr="00104227">
        <w:rPr>
          <w:lang w:val="en-US"/>
        </w:rPr>
        <w:t xml:space="preserve"> 8</w:t>
      </w:r>
      <w:r w:rsidRPr="00104227">
        <w:rPr>
          <w:lang w:val="en-US"/>
        </w:rPr>
        <w:t>(</w:t>
      </w:r>
      <w:r w:rsidR="006F3DC9" w:rsidRPr="00104227">
        <w:rPr>
          <w:lang w:val="en-US"/>
        </w:rPr>
        <w:t>2</w:t>
      </w:r>
      <w:r w:rsidRPr="00104227">
        <w:rPr>
          <w:lang w:val="en-US"/>
        </w:rPr>
        <w:t>)</w:t>
      </w:r>
      <w:r w:rsidR="006F3DC9" w:rsidRPr="00104227">
        <w:rPr>
          <w:lang w:val="en-US"/>
        </w:rPr>
        <w:t>(</w:t>
      </w:r>
      <w:r w:rsidR="007822EA" w:rsidRPr="00104227">
        <w:rPr>
          <w:lang w:val="en-US"/>
        </w:rPr>
        <w:t>d</w:t>
      </w:r>
      <w:r w:rsidR="006F3DC9" w:rsidRPr="00104227">
        <w:rPr>
          <w:lang w:val="en-US"/>
        </w:rPr>
        <w:t>) and</w:t>
      </w:r>
      <w:r w:rsidR="007822EA" w:rsidRPr="00104227">
        <w:rPr>
          <w:lang w:val="en-US"/>
        </w:rPr>
        <w:t xml:space="preserve"> 8</w:t>
      </w:r>
      <w:r w:rsidR="006F3DC9" w:rsidRPr="00104227">
        <w:rPr>
          <w:lang w:val="en-US"/>
        </w:rPr>
        <w:t>(2)(</w:t>
      </w:r>
      <w:r w:rsidR="007822EA" w:rsidRPr="00104227">
        <w:rPr>
          <w:lang w:val="en-US"/>
        </w:rPr>
        <w:t>e</w:t>
      </w:r>
      <w:r w:rsidR="006F3DC9" w:rsidRPr="00104227">
        <w:rPr>
          <w:lang w:val="en-US"/>
        </w:rPr>
        <w:t>)</w:t>
      </w:r>
      <w:r w:rsidR="00BF5241" w:rsidRPr="00104227">
        <w:rPr>
          <w:lang w:val="en-US"/>
        </w:rPr>
        <w:t xml:space="preserve"> of the American Convention</w:t>
      </w:r>
      <w:r w:rsidR="007822EA" w:rsidRPr="00104227">
        <w:rPr>
          <w:lang w:val="en-US"/>
        </w:rPr>
        <w:t xml:space="preserve">, </w:t>
      </w:r>
      <w:r w:rsidR="00C2124F" w:rsidRPr="00104227">
        <w:rPr>
          <w:lang w:val="en-US"/>
        </w:rPr>
        <w:t>in relation to Article 1(1)</w:t>
      </w:r>
      <w:r w:rsidR="007822EA" w:rsidRPr="00104227">
        <w:rPr>
          <w:lang w:val="en-US"/>
        </w:rPr>
        <w:t xml:space="preserve"> </w:t>
      </w:r>
      <w:r w:rsidR="006F3DC9" w:rsidRPr="00104227">
        <w:rPr>
          <w:lang w:val="en-US"/>
        </w:rPr>
        <w:t>of this instrument</w:t>
      </w:r>
      <w:r w:rsidR="007822EA" w:rsidRPr="00104227">
        <w:rPr>
          <w:lang w:val="en-US"/>
        </w:rPr>
        <w:t xml:space="preserve">, </w:t>
      </w:r>
      <w:r w:rsidR="00C2124F" w:rsidRPr="00104227">
        <w:rPr>
          <w:lang w:val="en-US"/>
        </w:rPr>
        <w:t>to the detriment of</w:t>
      </w:r>
      <w:r w:rsidR="007822EA" w:rsidRPr="00104227">
        <w:rPr>
          <w:lang w:val="en-US"/>
        </w:rPr>
        <w:t xml:space="preserve"> </w:t>
      </w:r>
      <w:r w:rsidR="00F12946" w:rsidRPr="00104227">
        <w:rPr>
          <w:lang w:val="en-US"/>
        </w:rPr>
        <w:t>the eleven women</w:t>
      </w:r>
      <w:r w:rsidR="007822EA" w:rsidRPr="00104227">
        <w:rPr>
          <w:lang w:val="en-US"/>
        </w:rPr>
        <w:t xml:space="preserve"> </w:t>
      </w:r>
      <w:r w:rsidR="00844C80" w:rsidRPr="00104227">
        <w:rPr>
          <w:lang w:val="en-US"/>
        </w:rPr>
        <w:t>victims in this case</w:t>
      </w:r>
      <w:r w:rsidR="007822EA" w:rsidRPr="00104227">
        <w:rPr>
          <w:lang w:val="en-US"/>
        </w:rPr>
        <w:t>.</w:t>
      </w:r>
    </w:p>
    <w:p w14:paraId="4DED7622" w14:textId="77777777" w:rsidR="007822EA" w:rsidRPr="00104227" w:rsidRDefault="007822EA" w:rsidP="00E4619F">
      <w:pPr>
        <w:tabs>
          <w:tab w:val="left" w:pos="567"/>
        </w:tabs>
        <w:rPr>
          <w:lang w:eastAsia="es-MX"/>
        </w:rPr>
      </w:pPr>
    </w:p>
    <w:p w14:paraId="29D9DDE7" w14:textId="2A43AA57" w:rsidR="007822EA" w:rsidRPr="00104227" w:rsidRDefault="007822EA" w:rsidP="00E4619F">
      <w:pPr>
        <w:pStyle w:val="Ttulo3"/>
        <w:tabs>
          <w:tab w:val="left" w:pos="567"/>
        </w:tabs>
        <w:rPr>
          <w:lang w:val="en-US" w:eastAsia="es-MX"/>
        </w:rPr>
      </w:pPr>
      <w:bookmarkStart w:id="324" w:name="_Toc31290600"/>
      <w:r w:rsidRPr="00104227">
        <w:rPr>
          <w:lang w:val="en-US" w:eastAsia="es-MX"/>
        </w:rPr>
        <w:t xml:space="preserve">B.3 </w:t>
      </w:r>
      <w:r w:rsidR="006F3DC9" w:rsidRPr="00104227">
        <w:rPr>
          <w:lang w:val="en-US" w:eastAsia="es-MX"/>
        </w:rPr>
        <w:t>The arbitrary nature of the preventive detention</w:t>
      </w:r>
      <w:bookmarkEnd w:id="324"/>
      <w:r w:rsidRPr="00104227">
        <w:rPr>
          <w:lang w:val="en-US" w:eastAsia="es-MX"/>
        </w:rPr>
        <w:t xml:space="preserve"> </w:t>
      </w:r>
    </w:p>
    <w:p w14:paraId="2622C1CF" w14:textId="77777777" w:rsidR="007822EA" w:rsidRPr="00104227" w:rsidRDefault="007822EA" w:rsidP="00E4619F">
      <w:pPr>
        <w:tabs>
          <w:tab w:val="left" w:pos="567"/>
        </w:tabs>
      </w:pPr>
    </w:p>
    <w:p w14:paraId="1E71E257" w14:textId="64441F9E" w:rsidR="007822EA" w:rsidRPr="00104227" w:rsidRDefault="006F3DC9" w:rsidP="00E4619F">
      <w:pPr>
        <w:pStyle w:val="Numberedparagraphs"/>
        <w:tabs>
          <w:tab w:val="left" w:pos="567"/>
        </w:tabs>
        <w:rPr>
          <w:lang w:val="en-US"/>
        </w:rPr>
      </w:pPr>
      <w:r w:rsidRPr="00104227">
        <w:rPr>
          <w:lang w:val="en-US"/>
        </w:rPr>
        <w:t xml:space="preserve">In this section, the Court will analyze whether the </w:t>
      </w:r>
      <w:r w:rsidR="00604C05" w:rsidRPr="00104227">
        <w:rPr>
          <w:lang w:val="en-US"/>
        </w:rPr>
        <w:t>order</w:t>
      </w:r>
      <w:r w:rsidRPr="00104227">
        <w:rPr>
          <w:lang w:val="en-US"/>
        </w:rPr>
        <w:t xml:space="preserve"> of preventive detention issued </w:t>
      </w:r>
      <w:r w:rsidR="00E31E41" w:rsidRPr="00104227">
        <w:rPr>
          <w:lang w:val="en-US"/>
        </w:rPr>
        <w:t>on May 10,</w:t>
      </w:r>
      <w:r w:rsidR="007822EA" w:rsidRPr="00104227">
        <w:rPr>
          <w:lang w:val="en-US"/>
        </w:rPr>
        <w:t xml:space="preserve"> 2006</w:t>
      </w:r>
      <w:r w:rsidRPr="00104227">
        <w:rPr>
          <w:lang w:val="en-US"/>
        </w:rPr>
        <w:t>,</w:t>
      </w:r>
      <w:r w:rsidR="007822EA" w:rsidRPr="00104227">
        <w:rPr>
          <w:lang w:val="en-US"/>
        </w:rPr>
        <w:t xml:space="preserve"> </w:t>
      </w:r>
      <w:r w:rsidRPr="00104227">
        <w:rPr>
          <w:lang w:val="en-US"/>
        </w:rPr>
        <w:t xml:space="preserve">against </w:t>
      </w:r>
      <w:r w:rsidR="00AA3133" w:rsidRPr="00104227">
        <w:rPr>
          <w:lang w:val="en-US"/>
        </w:rPr>
        <w:t>the presumed victims</w:t>
      </w:r>
      <w:r w:rsidR="007822EA" w:rsidRPr="00104227">
        <w:rPr>
          <w:lang w:val="en-US"/>
        </w:rPr>
        <w:t xml:space="preserve"> </w:t>
      </w:r>
      <w:r w:rsidRPr="00104227">
        <w:rPr>
          <w:lang w:val="en-US"/>
        </w:rPr>
        <w:t>by the</w:t>
      </w:r>
      <w:r w:rsidR="007822EA" w:rsidRPr="00104227">
        <w:rPr>
          <w:lang w:val="en-US"/>
        </w:rPr>
        <w:t xml:space="preserve"> </w:t>
      </w:r>
      <w:r w:rsidR="004617E1" w:rsidRPr="00104227">
        <w:rPr>
          <w:lang w:val="en-US"/>
        </w:rPr>
        <w:t>Second Criminal Trial Court</w:t>
      </w:r>
      <w:r w:rsidR="006A4F86" w:rsidRPr="00104227">
        <w:rPr>
          <w:lang w:val="en-US"/>
        </w:rPr>
        <w:t xml:space="preserve"> of Toluca</w:t>
      </w:r>
      <w:r w:rsidR="00C47363" w:rsidRPr="00104227">
        <w:rPr>
          <w:lang w:val="en-US"/>
        </w:rPr>
        <w:t xml:space="preserve"> </w:t>
      </w:r>
      <w:r w:rsidRPr="00104227">
        <w:rPr>
          <w:lang w:val="en-US"/>
        </w:rPr>
        <w:t xml:space="preserve">in the context of cases </w:t>
      </w:r>
      <w:r w:rsidR="007822EA" w:rsidRPr="00104227">
        <w:rPr>
          <w:lang w:val="en-US"/>
        </w:rPr>
        <w:t>95/2006</w:t>
      </w:r>
      <w:r w:rsidR="00BF5241" w:rsidRPr="00104227">
        <w:rPr>
          <w:lang w:val="en-US"/>
        </w:rPr>
        <w:t xml:space="preserve"> and </w:t>
      </w:r>
      <w:r w:rsidR="007822EA" w:rsidRPr="00104227">
        <w:rPr>
          <w:lang w:val="en-US"/>
        </w:rPr>
        <w:t>96/2006</w:t>
      </w:r>
      <w:r w:rsidRPr="00104227">
        <w:rPr>
          <w:lang w:val="en-US"/>
        </w:rPr>
        <w:t xml:space="preserve"> was in keeping with the Convention.</w:t>
      </w:r>
      <w:r w:rsidR="007822EA" w:rsidRPr="00104227">
        <w:rPr>
          <w:rStyle w:val="Refdenotaalpie"/>
          <w:lang w:val="en-US"/>
        </w:rPr>
        <w:footnoteReference w:id="351"/>
      </w:r>
      <w:r w:rsidR="007822EA" w:rsidRPr="00104227">
        <w:rPr>
          <w:lang w:val="en-US"/>
        </w:rPr>
        <w:t xml:space="preserve"> </w:t>
      </w:r>
    </w:p>
    <w:p w14:paraId="1204E9AB" w14:textId="77777777" w:rsidR="007822EA" w:rsidRPr="00104227" w:rsidRDefault="007822EA" w:rsidP="00E4619F">
      <w:pPr>
        <w:tabs>
          <w:tab w:val="left" w:pos="567"/>
        </w:tabs>
      </w:pPr>
    </w:p>
    <w:p w14:paraId="6184F23A" w14:textId="045A7CAB" w:rsidR="007822EA" w:rsidRPr="00104227" w:rsidRDefault="006F3DC9" w:rsidP="00E46FB0">
      <w:pPr>
        <w:pStyle w:val="Numberedparagraphs"/>
        <w:tabs>
          <w:tab w:val="left" w:pos="567"/>
        </w:tabs>
        <w:rPr>
          <w:lang w:val="en-US"/>
        </w:rPr>
      </w:pPr>
      <w:r w:rsidRPr="00104227">
        <w:rPr>
          <w:lang w:val="en-US"/>
        </w:rPr>
        <w:t>This Court has indicated that</w:t>
      </w:r>
      <w:r w:rsidR="00604C05" w:rsidRPr="00104227">
        <w:rPr>
          <w:lang w:val="en-US"/>
        </w:rPr>
        <w:t>,</w:t>
      </w:r>
      <w:r w:rsidRPr="00104227">
        <w:rPr>
          <w:lang w:val="en-US"/>
        </w:rPr>
        <w:t xml:space="preserve"> </w:t>
      </w:r>
      <w:r w:rsidR="005238F8" w:rsidRPr="00104227">
        <w:rPr>
          <w:lang w:val="en-US"/>
        </w:rPr>
        <w:t xml:space="preserve">for deprivation of liberty not to become arbitrary, it must meet the following standards: (i) its purpose must be compatible with the Convention; (ii) it must be appropriate to meet the stated purpose; (iii) it must be necessary; </w:t>
      </w:r>
      <w:r w:rsidR="00604C05" w:rsidRPr="00104227">
        <w:rPr>
          <w:lang w:val="en-US"/>
        </w:rPr>
        <w:t>in other words, it must be</w:t>
      </w:r>
      <w:r w:rsidR="005238F8" w:rsidRPr="00104227">
        <w:rPr>
          <w:lang w:val="en-US"/>
        </w:rPr>
        <w:t xml:space="preserve"> absolutely essential to achieve the desired purpose and there is no less severe measure in relation to the right affected; (iv) it must be strictly proportionate, so that the sacrifice inherent in the restrict</w:t>
      </w:r>
      <w:r w:rsidR="00604C05" w:rsidRPr="00104227">
        <w:rPr>
          <w:lang w:val="en-US"/>
        </w:rPr>
        <w:t>ion</w:t>
      </w:r>
      <w:r w:rsidR="005238F8" w:rsidRPr="00104227">
        <w:rPr>
          <w:lang w:val="en-US"/>
        </w:rPr>
        <w:t xml:space="preserve"> of the right to personal liberty is not exaggerated or </w:t>
      </w:r>
      <w:r w:rsidR="00E46FB0" w:rsidRPr="00104227">
        <w:rPr>
          <w:lang w:val="en-US"/>
        </w:rPr>
        <w:t>disproportionate in relation to the advant</w:t>
      </w:r>
      <w:r w:rsidR="00604C05" w:rsidRPr="00104227">
        <w:rPr>
          <w:lang w:val="en-US"/>
        </w:rPr>
        <w:t>a</w:t>
      </w:r>
      <w:r w:rsidR="00E46FB0" w:rsidRPr="00104227">
        <w:rPr>
          <w:lang w:val="en-US"/>
        </w:rPr>
        <w:t>ges obtained by this restriction and compliance with the purpose sought, and (v) any restriction of personal liberty that is not based on sufficient justification</w:t>
      </w:r>
      <w:r w:rsidR="00805BC1" w:rsidRPr="00104227">
        <w:rPr>
          <w:lang w:val="en-US"/>
        </w:rPr>
        <w:t>,</w:t>
      </w:r>
      <w:r w:rsidR="00E46FB0" w:rsidRPr="00104227">
        <w:rPr>
          <w:lang w:val="en-US"/>
        </w:rPr>
        <w:t xml:space="preserve"> </w:t>
      </w:r>
      <w:r w:rsidR="00805BC1" w:rsidRPr="00104227">
        <w:rPr>
          <w:lang w:val="en-US"/>
        </w:rPr>
        <w:t>permitting</w:t>
      </w:r>
      <w:r w:rsidR="00E46FB0" w:rsidRPr="00104227">
        <w:rPr>
          <w:lang w:val="en-US"/>
        </w:rPr>
        <w:t xml:space="preserve"> an evaluation of whether it is in keeping with the conditions indicated</w:t>
      </w:r>
      <w:r w:rsidR="00805BC1" w:rsidRPr="00104227">
        <w:rPr>
          <w:lang w:val="en-US"/>
        </w:rPr>
        <w:t>,</w:t>
      </w:r>
      <w:r w:rsidR="00E46FB0" w:rsidRPr="00104227">
        <w:rPr>
          <w:lang w:val="en-US"/>
        </w:rPr>
        <w:t xml:space="preserve"> will be arbitrary and, therefore, will violate </w:t>
      </w:r>
      <w:r w:rsidR="00BF5241" w:rsidRPr="00104227">
        <w:rPr>
          <w:lang w:val="en-US"/>
        </w:rPr>
        <w:t>Article</w:t>
      </w:r>
      <w:r w:rsidR="007822EA" w:rsidRPr="00104227">
        <w:rPr>
          <w:lang w:val="en-US"/>
        </w:rPr>
        <w:t xml:space="preserve"> </w:t>
      </w:r>
      <w:r w:rsidR="00C2124F" w:rsidRPr="00104227">
        <w:rPr>
          <w:lang w:val="en-US"/>
        </w:rPr>
        <w:t>7(3)</w:t>
      </w:r>
      <w:r w:rsidR="00BF5241" w:rsidRPr="00104227">
        <w:rPr>
          <w:lang w:val="en-US"/>
        </w:rPr>
        <w:t xml:space="preserve"> of the Convention</w:t>
      </w:r>
      <w:r w:rsidR="00E46FB0" w:rsidRPr="00104227">
        <w:rPr>
          <w:lang w:val="en-US"/>
        </w:rPr>
        <w:t>.</w:t>
      </w:r>
      <w:r w:rsidR="007822EA" w:rsidRPr="00104227">
        <w:rPr>
          <w:rStyle w:val="Refdenotaalpie"/>
          <w:lang w:val="en-US"/>
        </w:rPr>
        <w:footnoteReference w:id="352"/>
      </w:r>
      <w:r w:rsidR="00E46FB0" w:rsidRPr="00104227">
        <w:rPr>
          <w:lang w:val="en-US"/>
        </w:rPr>
        <w:t xml:space="preserve"> The Court also reiterates that the only legitimate purpo</w:t>
      </w:r>
      <w:r w:rsidR="00805BC1" w:rsidRPr="00104227">
        <w:rPr>
          <w:lang w:val="en-US"/>
        </w:rPr>
        <w:t>s</w:t>
      </w:r>
      <w:r w:rsidR="00E46FB0" w:rsidRPr="00104227">
        <w:rPr>
          <w:lang w:val="en-US"/>
        </w:rPr>
        <w:t>e for the deprivation of liberty of the accused is to ensure that he or she will not hinder the development of the proceedings or evade justice.</w:t>
      </w:r>
      <w:r w:rsidR="007822EA" w:rsidRPr="00104227">
        <w:rPr>
          <w:rStyle w:val="Refdenotaalpie"/>
          <w:lang w:val="en-US"/>
        </w:rPr>
        <w:footnoteReference w:id="353"/>
      </w:r>
      <w:r w:rsidR="007822EA" w:rsidRPr="00104227">
        <w:rPr>
          <w:lang w:val="en-US"/>
        </w:rPr>
        <w:t xml:space="preserve"> </w:t>
      </w:r>
      <w:r w:rsidR="00E46FB0" w:rsidRPr="00104227">
        <w:rPr>
          <w:lang w:val="en-US"/>
        </w:rPr>
        <w:t>Risks to the proceedings should not be presumed, but must be verified in each case, based on real and objective circumstances relating to the specific case.</w:t>
      </w:r>
      <w:r w:rsidR="007822EA" w:rsidRPr="00104227">
        <w:rPr>
          <w:rStyle w:val="Refdenotaalpie"/>
          <w:lang w:val="en-US"/>
        </w:rPr>
        <w:footnoteReference w:id="354"/>
      </w:r>
    </w:p>
    <w:p w14:paraId="444D823F" w14:textId="77777777" w:rsidR="007822EA" w:rsidRPr="00104227" w:rsidRDefault="007822EA" w:rsidP="00E4619F">
      <w:pPr>
        <w:pStyle w:val="PrrafodeSentencia"/>
        <w:numPr>
          <w:ilvl w:val="0"/>
          <w:numId w:val="0"/>
        </w:numPr>
        <w:rPr>
          <w:lang w:val="en-US"/>
        </w:rPr>
      </w:pPr>
    </w:p>
    <w:p w14:paraId="58205DED" w14:textId="669CEF5F" w:rsidR="007B0E8D" w:rsidRPr="00104227" w:rsidRDefault="00E46FB0" w:rsidP="00585B34">
      <w:pPr>
        <w:pStyle w:val="Numberedparagraphs"/>
        <w:tabs>
          <w:tab w:val="left" w:pos="567"/>
        </w:tabs>
        <w:rPr>
          <w:lang w:val="en-US"/>
        </w:rPr>
      </w:pPr>
      <w:r w:rsidRPr="00104227">
        <w:rPr>
          <w:lang w:val="en-US"/>
        </w:rPr>
        <w:t>In the instant case, the Court notes that, on none of the 346 pages that compose the order of preventive detention</w:t>
      </w:r>
      <w:r w:rsidR="007822EA" w:rsidRPr="00104227">
        <w:rPr>
          <w:lang w:val="en-US"/>
        </w:rPr>
        <w:t xml:space="preserve"> </w:t>
      </w:r>
      <w:r w:rsidRPr="00104227">
        <w:rPr>
          <w:lang w:val="en-US"/>
        </w:rPr>
        <w:t>issued by the</w:t>
      </w:r>
      <w:r w:rsidR="007822EA" w:rsidRPr="00104227">
        <w:rPr>
          <w:lang w:val="en-US"/>
        </w:rPr>
        <w:t xml:space="preserve"> </w:t>
      </w:r>
      <w:r w:rsidR="004617E1" w:rsidRPr="00104227">
        <w:rPr>
          <w:lang w:val="en-US"/>
        </w:rPr>
        <w:t>Second Criminal Trial Court</w:t>
      </w:r>
      <w:r w:rsidRPr="00104227">
        <w:rPr>
          <w:lang w:val="en-US"/>
        </w:rPr>
        <w:t xml:space="preserve"> o</w:t>
      </w:r>
      <w:r w:rsidR="00805BC1" w:rsidRPr="00104227">
        <w:rPr>
          <w:lang w:val="en-US"/>
        </w:rPr>
        <w:t>n</w:t>
      </w:r>
      <w:r w:rsidRPr="00104227">
        <w:rPr>
          <w:lang w:val="en-US"/>
        </w:rPr>
        <w:t xml:space="preserve"> May 10, 2006,</w:t>
      </w:r>
      <w:r w:rsidR="007822EA" w:rsidRPr="00104227">
        <w:rPr>
          <w:lang w:val="en-US"/>
        </w:rPr>
        <w:t xml:space="preserve"> </w:t>
      </w:r>
      <w:r w:rsidRPr="00104227">
        <w:rPr>
          <w:lang w:val="en-US"/>
        </w:rPr>
        <w:t>in</w:t>
      </w:r>
      <w:r w:rsidR="007822EA" w:rsidRPr="00104227">
        <w:rPr>
          <w:lang w:val="en-US"/>
        </w:rPr>
        <w:t xml:space="preserve"> </w:t>
      </w:r>
      <w:r w:rsidRPr="00104227">
        <w:rPr>
          <w:lang w:val="en-US"/>
        </w:rPr>
        <w:t>c</w:t>
      </w:r>
      <w:r w:rsidR="00332721" w:rsidRPr="00104227">
        <w:rPr>
          <w:lang w:val="en-US"/>
        </w:rPr>
        <w:t>riminal proceeding</w:t>
      </w:r>
      <w:r w:rsidR="007822EA" w:rsidRPr="00104227">
        <w:rPr>
          <w:lang w:val="en-US"/>
        </w:rPr>
        <w:t xml:space="preserve"> 96/2006, </w:t>
      </w:r>
      <w:r w:rsidRPr="00104227">
        <w:rPr>
          <w:lang w:val="en-US"/>
        </w:rPr>
        <w:t>subjecting ten of the eleven women victims in this case to preventive detention</w:t>
      </w:r>
      <w:r w:rsidR="00585B34" w:rsidRPr="00104227">
        <w:rPr>
          <w:lang w:val="en-US"/>
        </w:rPr>
        <w:t xml:space="preserve">, is there a mention of the need to order this measure or the purpose of preventing </w:t>
      </w:r>
      <w:r w:rsidR="00585B34" w:rsidRPr="00104227">
        <w:rPr>
          <w:lang w:val="en-US"/>
        </w:rPr>
        <w:lastRenderedPageBreak/>
        <w:t xml:space="preserve">them from hindering the development of the proceedings or evading justice. To the contrary, after describing the evidence based on which the judge reached the conclusion that the </w:t>
      </w:r>
      <w:r w:rsidR="00585B34" w:rsidRPr="00104227">
        <w:rPr>
          <w:i/>
          <w:iCs/>
          <w:lang w:val="en-US"/>
        </w:rPr>
        <w:t>corpus delicti</w:t>
      </w:r>
      <w:r w:rsidR="00585B34" w:rsidRPr="00104227">
        <w:rPr>
          <w:lang w:val="en-US"/>
        </w:rPr>
        <w:t xml:space="preserve"> was reasonably proved, as well as the probable responsibility of the accused, he proceeded directly and without further justification to order preventive detention. The same is true of the preventive detention ordered by the </w:t>
      </w:r>
      <w:r w:rsidR="004617E1" w:rsidRPr="00104227">
        <w:rPr>
          <w:lang w:val="en-US"/>
        </w:rPr>
        <w:t>Second Criminal Trial Court</w:t>
      </w:r>
      <w:r w:rsidR="007822EA" w:rsidRPr="00104227">
        <w:rPr>
          <w:lang w:val="en-US"/>
        </w:rPr>
        <w:t xml:space="preserve"> </w:t>
      </w:r>
      <w:r w:rsidR="00585B34" w:rsidRPr="00104227">
        <w:rPr>
          <w:lang w:val="en-US"/>
        </w:rPr>
        <w:t>on May 10, 2006, in the context of c</w:t>
      </w:r>
      <w:r w:rsidR="00332721" w:rsidRPr="00104227">
        <w:rPr>
          <w:lang w:val="en-US"/>
        </w:rPr>
        <w:t>riminal proceeding</w:t>
      </w:r>
      <w:r w:rsidR="007822EA" w:rsidRPr="00104227">
        <w:rPr>
          <w:lang w:val="en-US"/>
        </w:rPr>
        <w:t xml:space="preserve"> 95/2006, </w:t>
      </w:r>
      <w:r w:rsidR="00585B34" w:rsidRPr="00104227">
        <w:rPr>
          <w:lang w:val="en-US"/>
        </w:rPr>
        <w:t xml:space="preserve">in which </w:t>
      </w:r>
      <w:r w:rsidR="007822EA" w:rsidRPr="00104227">
        <w:rPr>
          <w:lang w:val="en-US"/>
        </w:rPr>
        <w:t>María Patricia Romero Hernández</w:t>
      </w:r>
      <w:r w:rsidR="00585B34" w:rsidRPr="00104227">
        <w:rPr>
          <w:lang w:val="en-US"/>
        </w:rPr>
        <w:t xml:space="preserve"> was subjected to preventive detention.</w:t>
      </w:r>
      <w:r w:rsidR="00141B65" w:rsidRPr="00104227">
        <w:rPr>
          <w:rStyle w:val="Refdenotaalpie"/>
          <w:lang w:val="en-US"/>
        </w:rPr>
        <w:footnoteReference w:id="355"/>
      </w:r>
    </w:p>
    <w:p w14:paraId="50A0B06C" w14:textId="77777777" w:rsidR="007B0E8D" w:rsidRPr="00104227" w:rsidRDefault="007B0E8D" w:rsidP="00E4619F">
      <w:pPr>
        <w:tabs>
          <w:tab w:val="left" w:pos="567"/>
        </w:tabs>
      </w:pPr>
    </w:p>
    <w:p w14:paraId="0506AF3A" w14:textId="25733012" w:rsidR="007822EA" w:rsidRPr="00104227" w:rsidRDefault="00F5265F" w:rsidP="00E4619F">
      <w:pPr>
        <w:pStyle w:val="Numberedparagraphs"/>
        <w:tabs>
          <w:tab w:val="left" w:pos="567"/>
        </w:tabs>
        <w:rPr>
          <w:lang w:val="en-US"/>
        </w:rPr>
      </w:pPr>
      <w:r w:rsidRPr="00104227">
        <w:rPr>
          <w:lang w:val="en-US"/>
        </w:rPr>
        <w:t xml:space="preserve">Consequently, the Court considers that the State violated </w:t>
      </w:r>
      <w:r w:rsidR="00BF5241" w:rsidRPr="00104227">
        <w:rPr>
          <w:lang w:val="en-US"/>
        </w:rPr>
        <w:t>Article</w:t>
      </w:r>
      <w:r w:rsidR="007822EA" w:rsidRPr="00104227">
        <w:rPr>
          <w:lang w:val="en-US"/>
        </w:rPr>
        <w:t xml:space="preserve"> 7</w:t>
      </w:r>
      <w:r w:rsidRPr="00104227">
        <w:rPr>
          <w:lang w:val="en-US"/>
        </w:rPr>
        <w:t>(</w:t>
      </w:r>
      <w:r w:rsidR="007822EA" w:rsidRPr="00104227">
        <w:rPr>
          <w:lang w:val="en-US"/>
        </w:rPr>
        <w:t>1</w:t>
      </w:r>
      <w:r w:rsidRPr="00104227">
        <w:rPr>
          <w:lang w:val="en-US"/>
        </w:rPr>
        <w:t>)</w:t>
      </w:r>
      <w:r w:rsidR="00BF5241" w:rsidRPr="00104227">
        <w:rPr>
          <w:lang w:val="en-US"/>
        </w:rPr>
        <w:t xml:space="preserve"> and </w:t>
      </w:r>
      <w:r w:rsidRPr="00104227">
        <w:rPr>
          <w:lang w:val="en-US"/>
        </w:rPr>
        <w:t>7(</w:t>
      </w:r>
      <w:r w:rsidR="007822EA" w:rsidRPr="00104227">
        <w:rPr>
          <w:lang w:val="en-US"/>
        </w:rPr>
        <w:t>3</w:t>
      </w:r>
      <w:r w:rsidRPr="00104227">
        <w:rPr>
          <w:lang w:val="en-US"/>
        </w:rPr>
        <w:t>)</w:t>
      </w:r>
      <w:r w:rsidR="00BF5241" w:rsidRPr="00104227">
        <w:rPr>
          <w:lang w:val="en-US"/>
        </w:rPr>
        <w:t xml:space="preserve"> of the Convention</w:t>
      </w:r>
      <w:r w:rsidR="007822EA" w:rsidRPr="00104227">
        <w:rPr>
          <w:lang w:val="en-US"/>
        </w:rPr>
        <w:t xml:space="preserve">, </w:t>
      </w:r>
      <w:r w:rsidR="00C2124F" w:rsidRPr="00104227">
        <w:rPr>
          <w:lang w:val="en-US"/>
        </w:rPr>
        <w:t>in relation to Article 1(1)</w:t>
      </w:r>
      <w:r w:rsidR="007822EA" w:rsidRPr="00104227">
        <w:rPr>
          <w:lang w:val="en-US"/>
        </w:rPr>
        <w:t xml:space="preserve"> </w:t>
      </w:r>
      <w:r w:rsidRPr="00104227">
        <w:rPr>
          <w:lang w:val="en-US"/>
        </w:rPr>
        <w:t xml:space="preserve">of this instrument, based on the orders of preventive detention issued against </w:t>
      </w:r>
      <w:r w:rsidR="00F12946" w:rsidRPr="00104227">
        <w:rPr>
          <w:lang w:val="en-US"/>
        </w:rPr>
        <w:t>the eleven women</w:t>
      </w:r>
      <w:r w:rsidR="007822EA" w:rsidRPr="00104227">
        <w:rPr>
          <w:lang w:val="en-US"/>
        </w:rPr>
        <w:t xml:space="preserve"> </w:t>
      </w:r>
      <w:r w:rsidR="00844C80" w:rsidRPr="00104227">
        <w:rPr>
          <w:lang w:val="en-US"/>
        </w:rPr>
        <w:t>victims in this case</w:t>
      </w:r>
      <w:r w:rsidR="007822EA" w:rsidRPr="00104227">
        <w:rPr>
          <w:lang w:val="en-US"/>
        </w:rPr>
        <w:t xml:space="preserve">. </w:t>
      </w:r>
    </w:p>
    <w:p w14:paraId="6C7CF96B" w14:textId="77777777" w:rsidR="007822EA" w:rsidRPr="00104227" w:rsidRDefault="007822EA" w:rsidP="00E4619F">
      <w:pPr>
        <w:tabs>
          <w:tab w:val="left" w:pos="567"/>
        </w:tabs>
        <w:rPr>
          <w:lang w:eastAsia="es-MX"/>
        </w:rPr>
      </w:pPr>
    </w:p>
    <w:p w14:paraId="00DE2647" w14:textId="3DC722AE" w:rsidR="007822EA" w:rsidRPr="00104227" w:rsidRDefault="00F5265F" w:rsidP="00CB4CFA">
      <w:pPr>
        <w:pStyle w:val="Numberedparagraphs"/>
        <w:tabs>
          <w:tab w:val="left" w:pos="567"/>
        </w:tabs>
        <w:rPr>
          <w:lang w:val="en-US"/>
        </w:rPr>
      </w:pPr>
      <w:r w:rsidRPr="00104227">
        <w:rPr>
          <w:lang w:val="en-US"/>
        </w:rPr>
        <w:t xml:space="preserve">Furthermore, </w:t>
      </w:r>
      <w:r w:rsidR="002826A6" w:rsidRPr="00104227">
        <w:rPr>
          <w:lang w:val="en-US"/>
        </w:rPr>
        <w:t>the representatives</w:t>
      </w:r>
      <w:r w:rsidR="007822EA" w:rsidRPr="00104227">
        <w:rPr>
          <w:lang w:val="en-US"/>
        </w:rPr>
        <w:t xml:space="preserve"> </w:t>
      </w:r>
      <w:r w:rsidRPr="00104227">
        <w:rPr>
          <w:lang w:val="en-US"/>
        </w:rPr>
        <w:t>argued that</w:t>
      </w:r>
      <w:r w:rsidR="007822EA" w:rsidRPr="00104227">
        <w:rPr>
          <w:lang w:val="en-US"/>
        </w:rPr>
        <w:t xml:space="preserve"> “</w:t>
      </w:r>
      <w:r w:rsidRPr="00104227">
        <w:rPr>
          <w:lang w:val="en-US"/>
        </w:rPr>
        <w:t>after having been deprived of their liberty unlawfully, the victims remained detained for day</w:t>
      </w:r>
      <w:r w:rsidR="00332B98" w:rsidRPr="00104227">
        <w:rPr>
          <w:lang w:val="en-US"/>
        </w:rPr>
        <w:t>s</w:t>
      </w:r>
      <w:r w:rsidRPr="00104227">
        <w:rPr>
          <w:lang w:val="en-US"/>
        </w:rPr>
        <w:t xml:space="preserve"> or even years.” In this regard, the Court has indicated that ordering preventive detention requires considering the proportionality of this measure based on the evidence and the facts investigated. If there is no proportionality, the measure will be arbitrary. </w:t>
      </w:r>
      <w:r w:rsidR="0060075A" w:rsidRPr="00104227">
        <w:rPr>
          <w:lang w:val="en-US"/>
        </w:rPr>
        <w:t>Article</w:t>
      </w:r>
      <w:r w:rsidR="007822EA" w:rsidRPr="00104227">
        <w:rPr>
          <w:lang w:val="en-US"/>
        </w:rPr>
        <w:t xml:space="preserve"> </w:t>
      </w:r>
      <w:r w:rsidR="00C2124F" w:rsidRPr="00104227">
        <w:rPr>
          <w:lang w:val="en-US"/>
        </w:rPr>
        <w:t>7(3)</w:t>
      </w:r>
      <w:r w:rsidR="00BF5241" w:rsidRPr="00104227">
        <w:rPr>
          <w:lang w:val="en-US"/>
        </w:rPr>
        <w:t xml:space="preserve"> of the Convention</w:t>
      </w:r>
      <w:r w:rsidR="007822EA" w:rsidRPr="00104227">
        <w:rPr>
          <w:lang w:val="en-US"/>
        </w:rPr>
        <w:t xml:space="preserve"> </w:t>
      </w:r>
      <w:r w:rsidRPr="00104227">
        <w:rPr>
          <w:lang w:val="en-US"/>
        </w:rPr>
        <w:t>reveals the S</w:t>
      </w:r>
      <w:r w:rsidR="0014513B" w:rsidRPr="00104227">
        <w:rPr>
          <w:lang w:val="en-US"/>
        </w:rPr>
        <w:t>t</w:t>
      </w:r>
      <w:r w:rsidRPr="00104227">
        <w:rPr>
          <w:lang w:val="en-US"/>
        </w:rPr>
        <w:t>ate</w:t>
      </w:r>
      <w:r w:rsidR="0014513B" w:rsidRPr="00104227">
        <w:rPr>
          <w:lang w:val="en-US"/>
        </w:rPr>
        <w:t>’s</w:t>
      </w:r>
      <w:r w:rsidRPr="00104227">
        <w:rPr>
          <w:lang w:val="en-US"/>
        </w:rPr>
        <w:t xml:space="preserve"> obligation </w:t>
      </w:r>
      <w:r w:rsidR="00CB4CFA" w:rsidRPr="00104227">
        <w:rPr>
          <w:lang w:val="en-US"/>
        </w:rPr>
        <w:t>not to restrict the liberty of a detainee more than is strictly necessary to ensure that he or she will not hinder the development of the investigations or evade justice. The Convention is violated when a person whose criminal responsibility has not been established is deprived of their liberty for an excessive length of time, which is therefore disproportionate</w:t>
      </w:r>
      <w:r w:rsidR="007822EA" w:rsidRPr="00104227">
        <w:rPr>
          <w:lang w:val="en-US"/>
        </w:rPr>
        <w:t xml:space="preserve">. </w:t>
      </w:r>
      <w:r w:rsidR="00CB4CFA" w:rsidRPr="00104227">
        <w:rPr>
          <w:lang w:val="en-US"/>
        </w:rPr>
        <w:t>This is equal to</w:t>
      </w:r>
      <w:r w:rsidR="0014513B" w:rsidRPr="00104227">
        <w:rPr>
          <w:lang w:val="en-US"/>
        </w:rPr>
        <w:t xml:space="preserve"> punishing them in</w:t>
      </w:r>
      <w:r w:rsidR="00CB4CFA" w:rsidRPr="00104227">
        <w:rPr>
          <w:lang w:val="en-US"/>
        </w:rPr>
        <w:t xml:space="preserve"> advance.</w:t>
      </w:r>
      <w:r w:rsidR="007822EA" w:rsidRPr="00104227">
        <w:rPr>
          <w:rStyle w:val="Refdenotaalpie"/>
          <w:sz w:val="14"/>
          <w:lang w:val="en-US"/>
        </w:rPr>
        <w:footnoteReference w:id="356"/>
      </w:r>
      <w:r w:rsidR="007822EA" w:rsidRPr="00104227">
        <w:rPr>
          <w:lang w:val="en-US"/>
        </w:rPr>
        <w:t xml:space="preserve"> </w:t>
      </w:r>
    </w:p>
    <w:p w14:paraId="656F2E42" w14:textId="77777777" w:rsidR="007822EA" w:rsidRPr="00104227" w:rsidRDefault="007822EA" w:rsidP="00E4619F">
      <w:pPr>
        <w:tabs>
          <w:tab w:val="left" w:pos="567"/>
        </w:tabs>
      </w:pPr>
    </w:p>
    <w:p w14:paraId="754E8A38" w14:textId="5EAC6D33" w:rsidR="007822EA" w:rsidRPr="00104227" w:rsidRDefault="00CB4CFA" w:rsidP="00E4619F">
      <w:pPr>
        <w:pStyle w:val="Numberedparagraphs"/>
        <w:tabs>
          <w:tab w:val="left" w:pos="567"/>
        </w:tabs>
        <w:rPr>
          <w:lang w:val="en-US"/>
        </w:rPr>
      </w:pPr>
      <w:r w:rsidRPr="00104227">
        <w:rPr>
          <w:lang w:val="en-US"/>
        </w:rPr>
        <w:t>This</w:t>
      </w:r>
      <w:r w:rsidR="00BF5241" w:rsidRPr="00104227">
        <w:rPr>
          <w:lang w:val="en-US"/>
        </w:rPr>
        <w:t xml:space="preserve"> Court</w:t>
      </w:r>
      <w:r w:rsidR="007822EA" w:rsidRPr="00104227">
        <w:rPr>
          <w:lang w:val="en-US"/>
        </w:rPr>
        <w:t xml:space="preserve"> ha</w:t>
      </w:r>
      <w:r w:rsidRPr="00104227">
        <w:rPr>
          <w:lang w:val="en-US"/>
        </w:rPr>
        <w:t xml:space="preserve">s also noted that preventive detention is the most severe </w:t>
      </w:r>
      <w:r w:rsidR="0014513B" w:rsidRPr="00104227">
        <w:rPr>
          <w:lang w:val="en-US"/>
        </w:rPr>
        <w:t>m</w:t>
      </w:r>
      <w:r w:rsidRPr="00104227">
        <w:rPr>
          <w:lang w:val="en-US"/>
        </w:rPr>
        <w:t>easure t</w:t>
      </w:r>
      <w:r w:rsidR="0014513B" w:rsidRPr="00104227">
        <w:rPr>
          <w:lang w:val="en-US"/>
        </w:rPr>
        <w:t>h</w:t>
      </w:r>
      <w:r w:rsidRPr="00104227">
        <w:rPr>
          <w:lang w:val="en-US"/>
        </w:rPr>
        <w:t>a</w:t>
      </w:r>
      <w:r w:rsidR="0014513B" w:rsidRPr="00104227">
        <w:rPr>
          <w:lang w:val="en-US"/>
        </w:rPr>
        <w:t>t</w:t>
      </w:r>
      <w:r w:rsidRPr="00104227">
        <w:rPr>
          <w:lang w:val="en-US"/>
        </w:rPr>
        <w:t xml:space="preserve"> can be applied to a person accused of an offense, and that it is a precautionary rather than a punitive measure.</w:t>
      </w:r>
      <w:r w:rsidR="007822EA" w:rsidRPr="00104227">
        <w:rPr>
          <w:rStyle w:val="Refdenotaalpie"/>
          <w:lang w:val="en-US"/>
        </w:rPr>
        <w:footnoteReference w:id="357"/>
      </w:r>
      <w:r w:rsidR="007822EA" w:rsidRPr="00104227">
        <w:rPr>
          <w:lang w:val="en-US"/>
        </w:rPr>
        <w:t xml:space="preserve"> </w:t>
      </w:r>
      <w:r w:rsidRPr="00104227">
        <w:rPr>
          <w:lang w:val="en-US"/>
        </w:rPr>
        <w:t xml:space="preserve">Therefore, it must be subject to periodic review so that it does not continue when the reasons for its adoption no longer subsist. The domestic authorities are responsible for assessing whether or not it is pertinent to maintain the precautionary measures issued </w:t>
      </w:r>
      <w:r w:rsidR="0014513B" w:rsidRPr="00104227">
        <w:rPr>
          <w:lang w:val="en-US"/>
        </w:rPr>
        <w:t>under</w:t>
      </w:r>
      <w:r w:rsidR="002F0E51" w:rsidRPr="00104227">
        <w:rPr>
          <w:lang w:val="en-US"/>
        </w:rPr>
        <w:t xml:space="preserve"> their legal system.</w:t>
      </w:r>
      <w:r w:rsidRPr="00104227">
        <w:rPr>
          <w:lang w:val="en-US"/>
        </w:rPr>
        <w:t xml:space="preserve"> </w:t>
      </w:r>
      <w:r w:rsidR="002F0E51" w:rsidRPr="00104227">
        <w:rPr>
          <w:lang w:val="en-US"/>
        </w:rPr>
        <w:t xml:space="preserve">When </w:t>
      </w:r>
      <w:r w:rsidR="0014513B" w:rsidRPr="00104227">
        <w:rPr>
          <w:lang w:val="en-US"/>
        </w:rPr>
        <w:t>performing</w:t>
      </w:r>
      <w:r w:rsidR="002F0E51" w:rsidRPr="00104227">
        <w:rPr>
          <w:lang w:val="en-US"/>
        </w:rPr>
        <w:t xml:space="preserve"> this task, the domestic authorities must provide sufficient grounds </w:t>
      </w:r>
      <w:r w:rsidR="0014513B" w:rsidRPr="00104227">
        <w:rPr>
          <w:lang w:val="en-US"/>
        </w:rPr>
        <w:t>so</w:t>
      </w:r>
      <w:r w:rsidR="002F0E51" w:rsidRPr="00104227">
        <w:rPr>
          <w:lang w:val="en-US"/>
        </w:rPr>
        <w:t xml:space="preserve"> </w:t>
      </w:r>
      <w:r w:rsidR="0014513B" w:rsidRPr="00104227">
        <w:rPr>
          <w:lang w:val="en-US"/>
        </w:rPr>
        <w:t>that</w:t>
      </w:r>
      <w:r w:rsidR="002F0E51" w:rsidRPr="00104227">
        <w:rPr>
          <w:lang w:val="en-US"/>
        </w:rPr>
        <w:t xml:space="preserve"> the reasons why the restriction of liberty is maintained </w:t>
      </w:r>
      <w:r w:rsidR="0014513B" w:rsidRPr="00104227">
        <w:rPr>
          <w:lang w:val="en-US"/>
        </w:rPr>
        <w:t>may</w:t>
      </w:r>
      <w:r w:rsidR="002F0E51" w:rsidRPr="00104227">
        <w:rPr>
          <w:lang w:val="en-US"/>
        </w:rPr>
        <w:t xml:space="preserve"> be known and, to be compatible with </w:t>
      </w:r>
      <w:r w:rsidR="00BF5241" w:rsidRPr="00104227">
        <w:rPr>
          <w:lang w:val="en-US"/>
        </w:rPr>
        <w:t>Article</w:t>
      </w:r>
      <w:r w:rsidR="007822EA" w:rsidRPr="00104227">
        <w:rPr>
          <w:lang w:val="en-US"/>
        </w:rPr>
        <w:t xml:space="preserve"> </w:t>
      </w:r>
      <w:r w:rsidR="00C2124F" w:rsidRPr="00104227">
        <w:rPr>
          <w:lang w:val="en-US"/>
        </w:rPr>
        <w:t>7(3)</w:t>
      </w:r>
      <w:r w:rsidR="00BF5241" w:rsidRPr="00104227">
        <w:rPr>
          <w:lang w:val="en-US"/>
        </w:rPr>
        <w:t xml:space="preserve"> of the American Convention</w:t>
      </w:r>
      <w:r w:rsidR="007822EA" w:rsidRPr="00104227">
        <w:rPr>
          <w:lang w:val="en-US"/>
        </w:rPr>
        <w:t xml:space="preserve">, </w:t>
      </w:r>
      <w:r w:rsidR="002F0E51" w:rsidRPr="00104227">
        <w:rPr>
          <w:lang w:val="en-US"/>
        </w:rPr>
        <w:t>these should be based on the need to ensure that the detainee will not hinder the development of the inv</w:t>
      </w:r>
      <w:r w:rsidR="0014513B" w:rsidRPr="00104227">
        <w:rPr>
          <w:lang w:val="en-US"/>
        </w:rPr>
        <w:t>e</w:t>
      </w:r>
      <w:r w:rsidR="002F0E51" w:rsidRPr="00104227">
        <w:rPr>
          <w:lang w:val="en-US"/>
        </w:rPr>
        <w:t>stigations or evade justice.</w:t>
      </w:r>
      <w:r w:rsidR="007822EA" w:rsidRPr="00104227">
        <w:rPr>
          <w:rStyle w:val="Refdenotaalpie"/>
          <w:lang w:val="en-US"/>
        </w:rPr>
        <w:footnoteReference w:id="358"/>
      </w:r>
      <w:r w:rsidR="007822EA" w:rsidRPr="00104227">
        <w:rPr>
          <w:lang w:val="en-US"/>
        </w:rPr>
        <w:t xml:space="preserve"> </w:t>
      </w:r>
    </w:p>
    <w:p w14:paraId="61196F64" w14:textId="77777777" w:rsidR="007822EA" w:rsidRPr="00104227" w:rsidRDefault="007822EA" w:rsidP="00E4619F">
      <w:pPr>
        <w:tabs>
          <w:tab w:val="left" w:pos="567"/>
        </w:tabs>
        <w:rPr>
          <w:lang w:eastAsia="es-MX"/>
        </w:rPr>
      </w:pPr>
    </w:p>
    <w:p w14:paraId="28C116A8" w14:textId="233CD163" w:rsidR="00DA0929" w:rsidRPr="00104227" w:rsidRDefault="002F0E51" w:rsidP="002F0E51">
      <w:pPr>
        <w:pStyle w:val="Numberedparagraphs"/>
        <w:tabs>
          <w:tab w:val="left" w:pos="567"/>
        </w:tabs>
        <w:rPr>
          <w:lang w:val="en-US"/>
        </w:rPr>
      </w:pPr>
      <w:r w:rsidRPr="00104227">
        <w:rPr>
          <w:lang w:val="en-US"/>
        </w:rPr>
        <w:t>In this case, the facts that have been acknowledged reveal that, between May 13 and 15, 2006, Ana María Velasco Rodríguez, Yolanda Muñoz Diosdada, María Cristina Sánchez Hernández, Angélica Patricia Torres Linares and Bárbara Italia Méndez Moreno were “released.”</w:t>
      </w:r>
      <w:r w:rsidRPr="00104227">
        <w:rPr>
          <w:rStyle w:val="Refdenotaalpie"/>
          <w:lang w:val="en-US"/>
        </w:rPr>
        <w:footnoteReference w:id="359"/>
      </w:r>
      <w:r w:rsidRPr="00104227">
        <w:rPr>
          <w:lang w:val="en-US"/>
        </w:rPr>
        <w:t xml:space="preserve"> However, </w:t>
      </w:r>
      <w:r w:rsidR="007822EA" w:rsidRPr="00104227">
        <w:rPr>
          <w:lang w:val="en-US"/>
        </w:rPr>
        <w:lastRenderedPageBreak/>
        <w:t>Claudia Hernández Martínez, Norma Aidé Jiménez Osorio, Mariana Selvas Gómez, Suhelen Gabriela Cuevas Jaramillo, Georgina Edith Rosales Gutiérrez</w:t>
      </w:r>
      <w:r w:rsidR="00BF5241" w:rsidRPr="00104227">
        <w:rPr>
          <w:lang w:val="en-US"/>
        </w:rPr>
        <w:t xml:space="preserve"> and </w:t>
      </w:r>
      <w:r w:rsidR="007822EA" w:rsidRPr="00104227">
        <w:rPr>
          <w:lang w:val="en-US"/>
        </w:rPr>
        <w:t xml:space="preserve">María Patricia Romero Hernández </w:t>
      </w:r>
      <w:r w:rsidRPr="00104227">
        <w:rPr>
          <w:lang w:val="en-US"/>
        </w:rPr>
        <w:t xml:space="preserve">remained in preventive detention for between </w:t>
      </w:r>
      <w:r w:rsidR="007822EA" w:rsidRPr="00104227">
        <w:rPr>
          <w:lang w:val="en-US"/>
        </w:rPr>
        <w:t>11</w:t>
      </w:r>
      <w:r w:rsidR="00BF5241" w:rsidRPr="00104227">
        <w:rPr>
          <w:lang w:val="en-US"/>
        </w:rPr>
        <w:t xml:space="preserve"> and </w:t>
      </w:r>
      <w:r w:rsidR="007B0E8D" w:rsidRPr="00104227">
        <w:rPr>
          <w:lang w:val="en-US"/>
        </w:rPr>
        <w:t>28</w:t>
      </w:r>
      <w:r w:rsidR="007822EA" w:rsidRPr="00104227">
        <w:rPr>
          <w:lang w:val="en-US"/>
        </w:rPr>
        <w:t xml:space="preserve"> m</w:t>
      </w:r>
      <w:r w:rsidRPr="00104227">
        <w:rPr>
          <w:lang w:val="en-US"/>
        </w:rPr>
        <w:t>onth</w:t>
      </w:r>
      <w:r w:rsidR="007822EA" w:rsidRPr="00104227">
        <w:rPr>
          <w:lang w:val="en-US"/>
        </w:rPr>
        <w:t>s</w:t>
      </w:r>
      <w:r w:rsidRPr="00104227">
        <w:rPr>
          <w:lang w:val="en-US"/>
        </w:rPr>
        <w:t>,</w:t>
      </w:r>
      <w:r w:rsidR="007822EA" w:rsidRPr="00104227">
        <w:rPr>
          <w:rStyle w:val="Refdenotaalpie"/>
          <w:lang w:val="en-US"/>
        </w:rPr>
        <w:footnoteReference w:id="360"/>
      </w:r>
      <w:r w:rsidRPr="00104227">
        <w:rPr>
          <w:lang w:val="en-US"/>
        </w:rPr>
        <w:t xml:space="preserve"> </w:t>
      </w:r>
      <w:r w:rsidR="007822EA" w:rsidRPr="00104227">
        <w:rPr>
          <w:lang w:val="en-US"/>
        </w:rPr>
        <w:t>(</w:t>
      </w:r>
      <w:r w:rsidR="007822EA" w:rsidRPr="00104227">
        <w:rPr>
          <w:i/>
          <w:lang w:val="en-US"/>
        </w:rPr>
        <w:t>supra</w:t>
      </w:r>
      <w:r w:rsidR="00C53631" w:rsidRPr="00104227">
        <w:rPr>
          <w:lang w:val="en-US"/>
        </w:rPr>
        <w:t xml:space="preserve"> </w:t>
      </w:r>
      <w:r w:rsidR="00BF5241" w:rsidRPr="00104227">
        <w:rPr>
          <w:lang w:val="en-US"/>
        </w:rPr>
        <w:t>para.</w:t>
      </w:r>
      <w:r w:rsidR="00C53631" w:rsidRPr="00104227">
        <w:rPr>
          <w:lang w:val="en-US"/>
        </w:rPr>
        <w:t xml:space="preserve"> </w:t>
      </w:r>
      <w:r w:rsidR="00C53631" w:rsidRPr="00104227">
        <w:rPr>
          <w:lang w:val="en-US"/>
        </w:rPr>
        <w:fldChar w:fldCharType="begin"/>
      </w:r>
      <w:r w:rsidR="00C53631" w:rsidRPr="00104227">
        <w:rPr>
          <w:lang w:val="en-US"/>
        </w:rPr>
        <w:instrText xml:space="preserve"> REF _Ref532937790 \r \h </w:instrText>
      </w:r>
      <w:r w:rsidR="00284EAE" w:rsidRPr="00104227">
        <w:rPr>
          <w:lang w:val="en-US"/>
        </w:rPr>
        <w:instrText xml:space="preserve"> \* MERGEFORMAT </w:instrText>
      </w:r>
      <w:r w:rsidR="00C53631" w:rsidRPr="00104227">
        <w:rPr>
          <w:lang w:val="en-US"/>
        </w:rPr>
      </w:r>
      <w:r w:rsidR="00C53631" w:rsidRPr="00104227">
        <w:rPr>
          <w:lang w:val="en-US"/>
        </w:rPr>
        <w:fldChar w:fldCharType="separate"/>
      </w:r>
      <w:r w:rsidR="004276BD">
        <w:rPr>
          <w:lang w:val="en-US"/>
        </w:rPr>
        <w:t>114</w:t>
      </w:r>
      <w:r w:rsidR="00C53631" w:rsidRPr="00104227">
        <w:rPr>
          <w:lang w:val="en-US"/>
        </w:rPr>
        <w:fldChar w:fldCharType="end"/>
      </w:r>
      <w:r w:rsidR="007822EA" w:rsidRPr="00104227">
        <w:rPr>
          <w:lang w:val="en-US"/>
        </w:rPr>
        <w:t>). Dur</w:t>
      </w:r>
      <w:r w:rsidRPr="00104227">
        <w:rPr>
          <w:lang w:val="en-US"/>
        </w:rPr>
        <w:t xml:space="preserve">ing this time, the State failed to undertake any review of the existence or persistence of reasons to keep them in preventive detention, the need and proportionality of the measure, or the reasonableness of the length of detention. A review of this type would have afforded the </w:t>
      </w:r>
      <w:r w:rsidR="003F10B2" w:rsidRPr="00104227">
        <w:rPr>
          <w:lang w:val="en-US"/>
        </w:rPr>
        <w:t xml:space="preserve">State </w:t>
      </w:r>
      <w:r w:rsidRPr="00104227">
        <w:rPr>
          <w:lang w:val="en-US"/>
        </w:rPr>
        <w:t xml:space="preserve">the opportunity to correct the initial </w:t>
      </w:r>
      <w:r w:rsidR="004B77B1" w:rsidRPr="00104227">
        <w:rPr>
          <w:lang w:val="en-US"/>
        </w:rPr>
        <w:t>arbitrariness</w:t>
      </w:r>
      <w:r w:rsidR="007822EA" w:rsidRPr="00104227">
        <w:rPr>
          <w:lang w:val="en-US"/>
        </w:rPr>
        <w:t xml:space="preserve"> </w:t>
      </w:r>
      <w:r w:rsidRPr="00104227">
        <w:rPr>
          <w:lang w:val="en-US"/>
        </w:rPr>
        <w:t xml:space="preserve">of the preventive detention. </w:t>
      </w:r>
    </w:p>
    <w:p w14:paraId="14E07DBB" w14:textId="77777777" w:rsidR="00DA0929" w:rsidRPr="00104227" w:rsidRDefault="00DA0929" w:rsidP="00E4619F">
      <w:pPr>
        <w:tabs>
          <w:tab w:val="left" w:pos="567"/>
        </w:tabs>
      </w:pPr>
    </w:p>
    <w:p w14:paraId="27D342A5" w14:textId="465C347F" w:rsidR="007822EA" w:rsidRPr="00104227" w:rsidRDefault="002F0E51" w:rsidP="00E4619F">
      <w:pPr>
        <w:pStyle w:val="Numberedparagraphs"/>
        <w:tabs>
          <w:tab w:val="left" w:pos="567"/>
        </w:tabs>
        <w:rPr>
          <w:lang w:val="en-US"/>
        </w:rPr>
      </w:pPr>
      <w:r w:rsidRPr="00104227">
        <w:rPr>
          <w:lang w:val="en-US"/>
        </w:rPr>
        <w:t>By failing to undertake this assessment for between 11 and 28 months, as ap</w:t>
      </w:r>
      <w:r w:rsidR="0014513B" w:rsidRPr="00104227">
        <w:rPr>
          <w:lang w:val="en-US"/>
        </w:rPr>
        <w:t>p</w:t>
      </w:r>
      <w:r w:rsidRPr="00104227">
        <w:rPr>
          <w:lang w:val="en-US"/>
        </w:rPr>
        <w:t xml:space="preserve">licable, the State again violated the </w:t>
      </w:r>
      <w:r w:rsidR="0094395C" w:rsidRPr="00104227">
        <w:rPr>
          <w:lang w:val="en-US"/>
        </w:rPr>
        <w:t>personal liberty</w:t>
      </w:r>
      <w:r w:rsidR="007822EA" w:rsidRPr="00104227">
        <w:rPr>
          <w:lang w:val="en-US"/>
        </w:rPr>
        <w:t xml:space="preserve"> </w:t>
      </w:r>
      <w:r w:rsidRPr="00104227">
        <w:rPr>
          <w:lang w:val="en-US"/>
        </w:rPr>
        <w:t xml:space="preserve">of the defendants and, consequently, </w:t>
      </w:r>
      <w:r w:rsidR="00B65316" w:rsidRPr="00104227">
        <w:rPr>
          <w:lang w:val="en-US"/>
        </w:rPr>
        <w:t xml:space="preserve">for </w:t>
      </w:r>
      <w:r w:rsidR="0014513B" w:rsidRPr="00104227">
        <w:rPr>
          <w:lang w:val="en-US"/>
        </w:rPr>
        <w:t xml:space="preserve">yet </w:t>
      </w:r>
      <w:r w:rsidR="00B65316" w:rsidRPr="00104227">
        <w:rPr>
          <w:lang w:val="en-US"/>
        </w:rPr>
        <w:t xml:space="preserve">another reason </w:t>
      </w:r>
      <w:r w:rsidRPr="00104227">
        <w:rPr>
          <w:lang w:val="en-US"/>
        </w:rPr>
        <w:t xml:space="preserve">violated </w:t>
      </w:r>
      <w:r w:rsidR="00BF5241" w:rsidRPr="00104227">
        <w:rPr>
          <w:lang w:val="en-US"/>
        </w:rPr>
        <w:t>Article</w:t>
      </w:r>
      <w:r w:rsidR="007822EA" w:rsidRPr="00104227">
        <w:rPr>
          <w:lang w:val="en-US"/>
        </w:rPr>
        <w:t xml:space="preserve"> 7</w:t>
      </w:r>
      <w:r w:rsidRPr="00104227">
        <w:rPr>
          <w:lang w:val="en-US"/>
        </w:rPr>
        <w:t xml:space="preserve">(1) and 7(3) </w:t>
      </w:r>
      <w:r w:rsidR="00BF5241" w:rsidRPr="00104227">
        <w:rPr>
          <w:lang w:val="en-US"/>
        </w:rPr>
        <w:t>of the American Convention</w:t>
      </w:r>
      <w:r w:rsidR="007822EA" w:rsidRPr="00104227">
        <w:rPr>
          <w:lang w:val="en-US"/>
        </w:rPr>
        <w:t xml:space="preserve">, </w:t>
      </w:r>
      <w:r w:rsidR="00C2124F" w:rsidRPr="00104227">
        <w:rPr>
          <w:lang w:val="en-US"/>
        </w:rPr>
        <w:t>to the detriment of</w:t>
      </w:r>
      <w:r w:rsidR="007822EA" w:rsidRPr="00104227">
        <w:rPr>
          <w:lang w:val="en-US"/>
        </w:rPr>
        <w:t xml:space="preserve"> Claudia Hernández Martínez, Norma Aidé Jiménez Osorio, Mariana Selvas Gómez, Suhelen Gabriela Cuevas Jaramillo, Georgina Edith Rosales Gutiérrez</w:t>
      </w:r>
      <w:r w:rsidR="00BF5241" w:rsidRPr="00104227">
        <w:rPr>
          <w:lang w:val="en-US"/>
        </w:rPr>
        <w:t xml:space="preserve"> and </w:t>
      </w:r>
      <w:r w:rsidR="007822EA" w:rsidRPr="00104227">
        <w:rPr>
          <w:lang w:val="en-US"/>
        </w:rPr>
        <w:t xml:space="preserve">María Patricia Romero Hernández. </w:t>
      </w:r>
    </w:p>
    <w:p w14:paraId="39D1AA2B" w14:textId="77777777" w:rsidR="007822EA" w:rsidRPr="00104227" w:rsidRDefault="007822EA" w:rsidP="00E4619F">
      <w:pPr>
        <w:tabs>
          <w:tab w:val="left" w:pos="567"/>
        </w:tabs>
        <w:rPr>
          <w:color w:val="00B050"/>
        </w:rPr>
      </w:pPr>
    </w:p>
    <w:p w14:paraId="3B7A1028" w14:textId="2797BBD5" w:rsidR="007822EA" w:rsidRPr="00104227" w:rsidRDefault="007822EA" w:rsidP="00E4619F">
      <w:pPr>
        <w:pStyle w:val="Ttulo3"/>
        <w:tabs>
          <w:tab w:val="left" w:pos="567"/>
        </w:tabs>
        <w:rPr>
          <w:lang w:val="en-US" w:eastAsia="es-MX"/>
        </w:rPr>
      </w:pPr>
      <w:bookmarkStart w:id="325" w:name="_Toc31290601"/>
      <w:r w:rsidRPr="00104227">
        <w:rPr>
          <w:lang w:val="en-US" w:eastAsia="es-MX"/>
        </w:rPr>
        <w:t xml:space="preserve">B.4 </w:t>
      </w:r>
      <w:r w:rsidR="000948A4" w:rsidRPr="00104227">
        <w:rPr>
          <w:lang w:val="en-US" w:eastAsia="es-MX"/>
        </w:rPr>
        <w:t>Conclusion</w:t>
      </w:r>
      <w:bookmarkEnd w:id="325"/>
      <w:r w:rsidRPr="00104227">
        <w:rPr>
          <w:lang w:val="en-US" w:eastAsia="es-MX"/>
        </w:rPr>
        <w:t xml:space="preserve"> </w:t>
      </w:r>
    </w:p>
    <w:p w14:paraId="54CAB4E2" w14:textId="77777777" w:rsidR="007822EA" w:rsidRPr="00104227" w:rsidRDefault="007822EA" w:rsidP="00E4619F">
      <w:pPr>
        <w:tabs>
          <w:tab w:val="left" w:pos="567"/>
        </w:tabs>
        <w:rPr>
          <w:color w:val="00B050"/>
        </w:rPr>
      </w:pPr>
    </w:p>
    <w:p w14:paraId="7F8A2095" w14:textId="5DD52240" w:rsidR="007822EA" w:rsidRPr="00104227" w:rsidRDefault="00B65316" w:rsidP="00E4619F">
      <w:pPr>
        <w:pStyle w:val="Numberedparagraphs"/>
        <w:tabs>
          <w:tab w:val="left" w:pos="567"/>
        </w:tabs>
        <w:rPr>
          <w:lang w:val="en-US"/>
        </w:rPr>
      </w:pPr>
      <w:r w:rsidRPr="00104227">
        <w:rPr>
          <w:lang w:val="en-US"/>
        </w:rPr>
        <w:t xml:space="preserve">On the basis of the foregoing considerations, the Court concludes that </w:t>
      </w:r>
      <w:r w:rsidR="004B77B1" w:rsidRPr="00104227">
        <w:rPr>
          <w:lang w:val="en-US"/>
        </w:rPr>
        <w:t>the initial</w:t>
      </w:r>
      <w:r w:rsidR="008C6D02" w:rsidRPr="00104227">
        <w:rPr>
          <w:lang w:val="en-US"/>
        </w:rPr>
        <w:t xml:space="preserve"> detentions</w:t>
      </w:r>
      <w:r w:rsidR="007822EA" w:rsidRPr="00104227">
        <w:rPr>
          <w:lang w:val="en-US"/>
        </w:rPr>
        <w:t xml:space="preserve"> </w:t>
      </w:r>
      <w:r w:rsidR="00F12946" w:rsidRPr="00104227">
        <w:rPr>
          <w:lang w:val="en-US"/>
        </w:rPr>
        <w:t>of the eleven women</w:t>
      </w:r>
      <w:r w:rsidR="007822EA" w:rsidRPr="00104227">
        <w:rPr>
          <w:lang w:val="en-US"/>
        </w:rPr>
        <w:t xml:space="preserve"> </w:t>
      </w:r>
      <w:r w:rsidR="00844C80" w:rsidRPr="00104227">
        <w:rPr>
          <w:lang w:val="en-US"/>
        </w:rPr>
        <w:t>victims in this case</w:t>
      </w:r>
      <w:r w:rsidR="007822EA" w:rsidRPr="00104227">
        <w:rPr>
          <w:lang w:val="en-US"/>
        </w:rPr>
        <w:t xml:space="preserve"> </w:t>
      </w:r>
      <w:r w:rsidRPr="00104227">
        <w:rPr>
          <w:lang w:val="en-US"/>
        </w:rPr>
        <w:t xml:space="preserve">were unlawful and arbitrary because: </w:t>
      </w:r>
      <w:r w:rsidR="007822EA" w:rsidRPr="00104227">
        <w:rPr>
          <w:lang w:val="en-US"/>
        </w:rPr>
        <w:t xml:space="preserve">(i) </w:t>
      </w:r>
      <w:r w:rsidR="00AC3BFC" w:rsidRPr="00104227">
        <w:rPr>
          <w:lang w:val="en-US"/>
        </w:rPr>
        <w:t>the State</w:t>
      </w:r>
      <w:r w:rsidR="007822EA" w:rsidRPr="00104227">
        <w:rPr>
          <w:lang w:val="en-US"/>
        </w:rPr>
        <w:t xml:space="preserve"> </w:t>
      </w:r>
      <w:r w:rsidRPr="00104227">
        <w:rPr>
          <w:lang w:val="en-US"/>
        </w:rPr>
        <w:t xml:space="preserve">failed to prove the supposed situation of </w:t>
      </w:r>
      <w:r w:rsidRPr="00104227">
        <w:rPr>
          <w:i/>
          <w:iCs/>
          <w:lang w:val="en-US"/>
        </w:rPr>
        <w:t>flagrante delicto</w:t>
      </w:r>
      <w:r w:rsidRPr="00104227">
        <w:rPr>
          <w:lang w:val="en-US"/>
        </w:rPr>
        <w:t xml:space="preserve"> based on which they were originally detained, so that (ii) their detention</w:t>
      </w:r>
      <w:r w:rsidR="0014513B" w:rsidRPr="00104227">
        <w:rPr>
          <w:lang w:val="en-US"/>
        </w:rPr>
        <w:t>s</w:t>
      </w:r>
      <w:r w:rsidRPr="00104227">
        <w:rPr>
          <w:lang w:val="en-US"/>
        </w:rPr>
        <w:t xml:space="preserve"> were</w:t>
      </w:r>
      <w:r w:rsidR="0014513B" w:rsidRPr="00104227">
        <w:rPr>
          <w:lang w:val="en-US"/>
        </w:rPr>
        <w:t xml:space="preserve"> implemented</w:t>
      </w:r>
      <w:r w:rsidRPr="00104227">
        <w:rPr>
          <w:lang w:val="en-US"/>
        </w:rPr>
        <w:t xml:space="preserve"> without observing the reasons and procedures established by domestic law, and (iii) in the context of collective detentions that were not necessary to guarantee any purpose permitted by </w:t>
      </w:r>
      <w:r w:rsidR="00BF5241" w:rsidRPr="00104227">
        <w:rPr>
          <w:lang w:val="en-US"/>
        </w:rPr>
        <w:t>the Convention</w:t>
      </w:r>
      <w:r w:rsidR="007822EA" w:rsidRPr="00104227">
        <w:rPr>
          <w:lang w:val="en-US"/>
        </w:rPr>
        <w:t xml:space="preserve">, </w:t>
      </w:r>
      <w:r w:rsidRPr="00104227">
        <w:rPr>
          <w:lang w:val="en-US"/>
        </w:rPr>
        <w:t>or proportionate, or respond</w:t>
      </w:r>
      <w:r w:rsidR="00771B0E" w:rsidRPr="00104227">
        <w:rPr>
          <w:lang w:val="en-US"/>
        </w:rPr>
        <w:t>ed</w:t>
      </w:r>
      <w:r w:rsidRPr="00104227">
        <w:rPr>
          <w:lang w:val="en-US"/>
        </w:rPr>
        <w:t xml:space="preserve"> to an adequate individualization of the conduct of each detainee.</w:t>
      </w:r>
    </w:p>
    <w:p w14:paraId="7110F634" w14:textId="77777777" w:rsidR="007822EA" w:rsidRPr="00104227" w:rsidRDefault="007822EA" w:rsidP="00E4619F">
      <w:pPr>
        <w:tabs>
          <w:tab w:val="left" w:pos="567"/>
        </w:tabs>
      </w:pPr>
    </w:p>
    <w:p w14:paraId="32C20F52" w14:textId="2B1E86A6" w:rsidR="007822EA" w:rsidRPr="00104227" w:rsidRDefault="00B65316" w:rsidP="00E4619F">
      <w:pPr>
        <w:pStyle w:val="Numberedparagraphs"/>
        <w:tabs>
          <w:tab w:val="left" w:pos="567"/>
        </w:tabs>
        <w:rPr>
          <w:lang w:val="en-US"/>
        </w:rPr>
      </w:pPr>
      <w:r w:rsidRPr="00104227">
        <w:rPr>
          <w:lang w:val="en-US"/>
        </w:rPr>
        <w:t xml:space="preserve">In addition, because </w:t>
      </w:r>
      <w:r w:rsidR="007822EA" w:rsidRPr="00104227">
        <w:rPr>
          <w:lang w:val="en-US"/>
        </w:rPr>
        <w:t xml:space="preserve">(i) </w:t>
      </w:r>
      <w:r w:rsidRPr="00104227">
        <w:rPr>
          <w:lang w:val="en-US"/>
        </w:rPr>
        <w:t xml:space="preserve">they were not informed of the reasons for their detention or the charges against them; (ii) they were not guaranteed the right to </w:t>
      </w:r>
      <w:r w:rsidRPr="00104227">
        <w:rPr>
          <w:spacing w:val="-3"/>
          <w:lang w:val="en-US"/>
        </w:rPr>
        <w:t>be</w:t>
      </w:r>
      <w:bookmarkStart w:id="326" w:name="_Hlk30152624"/>
      <w:r w:rsidRPr="00104227">
        <w:rPr>
          <w:spacing w:val="-3"/>
          <w:lang w:val="en-US"/>
        </w:rPr>
        <w:t xml:space="preserve"> assisted by legal counsel of their own choosing</w:t>
      </w:r>
      <w:bookmarkEnd w:id="326"/>
      <w:r w:rsidRPr="00104227">
        <w:rPr>
          <w:lang w:val="en-US"/>
        </w:rPr>
        <w:t xml:space="preserve"> or a public defender from the start of the investigation</w:t>
      </w:r>
      <w:r w:rsidR="00771B0E" w:rsidRPr="00104227">
        <w:rPr>
          <w:lang w:val="en-US"/>
        </w:rPr>
        <w:t>s</w:t>
      </w:r>
      <w:r w:rsidRPr="00104227">
        <w:rPr>
          <w:lang w:val="en-US"/>
        </w:rPr>
        <w:t xml:space="preserve"> against them, and (iii) they were not allowed to communicate with their families or personal lawyer, this Court concludes that the State violated</w:t>
      </w:r>
      <w:r w:rsidR="007822EA" w:rsidRPr="00104227">
        <w:rPr>
          <w:lang w:val="en-US"/>
        </w:rPr>
        <w:t xml:space="preserve"> </w:t>
      </w:r>
      <w:r w:rsidR="00CA43B0" w:rsidRPr="00104227">
        <w:rPr>
          <w:lang w:val="en-US"/>
        </w:rPr>
        <w:t>the right to</w:t>
      </w:r>
      <w:r w:rsidRPr="00104227">
        <w:rPr>
          <w:lang w:val="en-US"/>
        </w:rPr>
        <w:t xml:space="preserve"> be informed of the reasons for their detention</w:t>
      </w:r>
      <w:r w:rsidR="007822EA" w:rsidRPr="00104227">
        <w:rPr>
          <w:lang w:val="en-US"/>
        </w:rPr>
        <w:t xml:space="preserve"> </w:t>
      </w:r>
      <w:r w:rsidRPr="00104227">
        <w:rPr>
          <w:lang w:val="en-US"/>
        </w:rPr>
        <w:t xml:space="preserve">and the right of defense </w:t>
      </w:r>
      <w:r w:rsidR="00F12946" w:rsidRPr="00104227">
        <w:rPr>
          <w:lang w:val="en-US"/>
        </w:rPr>
        <w:t>of the eleven women</w:t>
      </w:r>
      <w:r w:rsidR="007822EA" w:rsidRPr="00104227">
        <w:rPr>
          <w:lang w:val="en-US"/>
        </w:rPr>
        <w:t xml:space="preserve"> represent</w:t>
      </w:r>
      <w:r w:rsidRPr="00104227">
        <w:rPr>
          <w:lang w:val="en-US"/>
        </w:rPr>
        <w:t>ed</w:t>
      </w:r>
      <w:r w:rsidR="007822EA" w:rsidRPr="00104227">
        <w:rPr>
          <w:lang w:val="en-US"/>
        </w:rPr>
        <w:t xml:space="preserve"> </w:t>
      </w:r>
      <w:r w:rsidR="00816E4E" w:rsidRPr="00104227">
        <w:rPr>
          <w:lang w:val="en-US"/>
        </w:rPr>
        <w:t>in this case</w:t>
      </w:r>
      <w:r w:rsidR="007822EA" w:rsidRPr="00104227">
        <w:rPr>
          <w:lang w:val="en-US"/>
        </w:rPr>
        <w:t xml:space="preserve">. </w:t>
      </w:r>
    </w:p>
    <w:p w14:paraId="59D27BF4" w14:textId="77777777" w:rsidR="007822EA" w:rsidRPr="00104227" w:rsidRDefault="007822EA" w:rsidP="00E4619F">
      <w:pPr>
        <w:pStyle w:val="PrrafodeSentencia"/>
        <w:numPr>
          <w:ilvl w:val="0"/>
          <w:numId w:val="0"/>
        </w:numPr>
        <w:rPr>
          <w:lang w:val="en-US"/>
        </w:rPr>
      </w:pPr>
      <w:r w:rsidRPr="00104227">
        <w:rPr>
          <w:lang w:val="en-US"/>
        </w:rPr>
        <w:t xml:space="preserve"> </w:t>
      </w:r>
    </w:p>
    <w:p w14:paraId="7AEA1E32" w14:textId="0659B5E2" w:rsidR="007822EA" w:rsidRPr="00104227" w:rsidRDefault="00F27D61" w:rsidP="00595CFB">
      <w:pPr>
        <w:pStyle w:val="Numberedparagraphs"/>
        <w:tabs>
          <w:tab w:val="left" w:pos="567"/>
        </w:tabs>
        <w:rPr>
          <w:lang w:val="en-US"/>
        </w:rPr>
      </w:pPr>
      <w:r w:rsidRPr="00104227">
        <w:rPr>
          <w:lang w:val="en-US"/>
        </w:rPr>
        <w:t>Meanwhile</w:t>
      </w:r>
      <w:r w:rsidR="00595CFB" w:rsidRPr="00104227">
        <w:rPr>
          <w:lang w:val="en-US"/>
        </w:rPr>
        <w:t xml:space="preserve">, the Court concludes that the measure of preventive detention was arbitrary because: (i) the measure did not respond to one of the two legitimate purposes established in the American Convention, which are: the need to ensure that the accused do not hinder the development of the proceedings or evade justice, and (ii) the State did not undertake the periodic reviews </w:t>
      </w:r>
      <w:r w:rsidR="00771B0E" w:rsidRPr="00104227">
        <w:rPr>
          <w:lang w:val="en-US"/>
        </w:rPr>
        <w:t>on</w:t>
      </w:r>
      <w:r w:rsidR="00595CFB" w:rsidRPr="00104227">
        <w:rPr>
          <w:lang w:val="en-US"/>
        </w:rPr>
        <w:t xml:space="preserve"> the need to maintain the said measure. Therefore, the State violated the rights </w:t>
      </w:r>
      <w:r w:rsidR="00E466FA" w:rsidRPr="00104227">
        <w:rPr>
          <w:lang w:val="en-US"/>
        </w:rPr>
        <w:t>recognized in</w:t>
      </w:r>
      <w:r w:rsidR="007822EA" w:rsidRPr="00104227">
        <w:rPr>
          <w:lang w:val="en-US"/>
        </w:rPr>
        <w:t xml:space="preserve"> </w:t>
      </w:r>
      <w:r w:rsidR="00BF5241" w:rsidRPr="00104227">
        <w:rPr>
          <w:lang w:val="en-US"/>
        </w:rPr>
        <w:t>Articles</w:t>
      </w:r>
      <w:r w:rsidR="007822EA" w:rsidRPr="00104227">
        <w:rPr>
          <w:lang w:val="en-US"/>
        </w:rPr>
        <w:t xml:space="preserve"> </w:t>
      </w:r>
      <w:r w:rsidR="00C2124F" w:rsidRPr="00104227">
        <w:rPr>
          <w:lang w:val="en-US"/>
        </w:rPr>
        <w:t>7(1)</w:t>
      </w:r>
      <w:r w:rsidR="00BF5241" w:rsidRPr="00104227">
        <w:rPr>
          <w:lang w:val="en-US"/>
        </w:rPr>
        <w:t xml:space="preserve"> and </w:t>
      </w:r>
      <w:r w:rsidR="00C2124F" w:rsidRPr="00104227">
        <w:rPr>
          <w:lang w:val="en-US"/>
        </w:rPr>
        <w:t>7(3)</w:t>
      </w:r>
      <w:r w:rsidR="00BF5241" w:rsidRPr="00104227">
        <w:rPr>
          <w:lang w:val="en-US"/>
        </w:rPr>
        <w:t xml:space="preserve"> of the Convention</w:t>
      </w:r>
      <w:r w:rsidR="007822EA" w:rsidRPr="00104227">
        <w:rPr>
          <w:lang w:val="en-US"/>
        </w:rPr>
        <w:t xml:space="preserve">, </w:t>
      </w:r>
      <w:r w:rsidR="00C2124F" w:rsidRPr="00104227">
        <w:rPr>
          <w:lang w:val="en-US"/>
        </w:rPr>
        <w:t>in relation to Article 1(1)</w:t>
      </w:r>
      <w:r w:rsidR="007822EA" w:rsidRPr="00104227">
        <w:rPr>
          <w:lang w:val="en-US"/>
        </w:rPr>
        <w:t xml:space="preserve"> </w:t>
      </w:r>
      <w:r w:rsidR="00CA43B0" w:rsidRPr="00104227">
        <w:rPr>
          <w:lang w:val="en-US"/>
        </w:rPr>
        <w:t>of this instrument</w:t>
      </w:r>
      <w:r w:rsidR="007822EA" w:rsidRPr="00104227">
        <w:rPr>
          <w:lang w:val="en-US"/>
        </w:rPr>
        <w:t xml:space="preserve">, </w:t>
      </w:r>
      <w:r w:rsidR="00C2124F" w:rsidRPr="00104227">
        <w:rPr>
          <w:lang w:val="en-US"/>
        </w:rPr>
        <w:t>to the detriment of</w:t>
      </w:r>
      <w:r w:rsidR="007822EA" w:rsidRPr="00104227">
        <w:rPr>
          <w:lang w:val="en-US"/>
        </w:rPr>
        <w:t xml:space="preserve"> </w:t>
      </w:r>
      <w:r w:rsidR="00F12946" w:rsidRPr="00104227">
        <w:rPr>
          <w:lang w:val="en-US"/>
        </w:rPr>
        <w:t>the eleven women</w:t>
      </w:r>
      <w:r w:rsidR="007822EA" w:rsidRPr="00104227">
        <w:rPr>
          <w:lang w:val="en-US"/>
        </w:rPr>
        <w:t xml:space="preserve">. </w:t>
      </w:r>
    </w:p>
    <w:p w14:paraId="02956D36" w14:textId="77777777" w:rsidR="007822EA" w:rsidRPr="00104227" w:rsidRDefault="007822EA" w:rsidP="00E4619F">
      <w:pPr>
        <w:tabs>
          <w:tab w:val="left" w:pos="567"/>
        </w:tabs>
        <w:rPr>
          <w:lang w:eastAsia="es-MX"/>
        </w:rPr>
      </w:pPr>
    </w:p>
    <w:p w14:paraId="398B6CA3" w14:textId="25D1F2E1" w:rsidR="007822EA" w:rsidRPr="00104227" w:rsidRDefault="00595CFB" w:rsidP="00E4619F">
      <w:pPr>
        <w:pStyle w:val="Numberedparagraphs"/>
        <w:tabs>
          <w:tab w:val="left" w:pos="567"/>
        </w:tabs>
        <w:rPr>
          <w:lang w:val="en-US"/>
        </w:rPr>
      </w:pPr>
      <w:r w:rsidRPr="00104227">
        <w:rPr>
          <w:lang w:val="en-US"/>
        </w:rPr>
        <w:t>Consequently</w:t>
      </w:r>
      <w:r w:rsidR="007822EA" w:rsidRPr="00104227">
        <w:rPr>
          <w:lang w:val="en-US"/>
        </w:rPr>
        <w:t xml:space="preserve">, </w:t>
      </w:r>
      <w:r w:rsidR="00BF5241" w:rsidRPr="00104227">
        <w:rPr>
          <w:lang w:val="en-US"/>
        </w:rPr>
        <w:t>the Court</w:t>
      </w:r>
      <w:r w:rsidR="007822EA" w:rsidRPr="00104227">
        <w:rPr>
          <w:lang w:val="en-US"/>
        </w:rPr>
        <w:t xml:space="preserve"> conclu</w:t>
      </w:r>
      <w:r w:rsidRPr="00104227">
        <w:rPr>
          <w:lang w:val="en-US"/>
        </w:rPr>
        <w:t>des that</w:t>
      </w:r>
      <w:r w:rsidR="007822EA" w:rsidRPr="00104227">
        <w:rPr>
          <w:lang w:val="en-US"/>
        </w:rPr>
        <w:t xml:space="preserve"> </w:t>
      </w:r>
      <w:r w:rsidR="00AC3BFC" w:rsidRPr="00104227">
        <w:rPr>
          <w:lang w:val="en-US"/>
        </w:rPr>
        <w:t>the State</w:t>
      </w:r>
      <w:r w:rsidR="007822EA" w:rsidRPr="00104227">
        <w:rPr>
          <w:lang w:val="en-US"/>
        </w:rPr>
        <w:t xml:space="preserve"> viol</w:t>
      </w:r>
      <w:r w:rsidRPr="00104227">
        <w:rPr>
          <w:lang w:val="en-US"/>
        </w:rPr>
        <w:t>ated</w:t>
      </w:r>
      <w:r w:rsidR="007822EA" w:rsidRPr="00104227">
        <w:rPr>
          <w:lang w:val="en-US"/>
        </w:rPr>
        <w:t xml:space="preserve"> </w:t>
      </w:r>
      <w:r w:rsidR="00CA43B0" w:rsidRPr="00104227">
        <w:rPr>
          <w:lang w:val="en-US"/>
        </w:rPr>
        <w:t>the rights to</w:t>
      </w:r>
      <w:r w:rsidR="007822EA" w:rsidRPr="00104227">
        <w:rPr>
          <w:lang w:val="en-US"/>
        </w:rPr>
        <w:t xml:space="preserve"> </w:t>
      </w:r>
      <w:r w:rsidR="0094395C" w:rsidRPr="00104227">
        <w:rPr>
          <w:lang w:val="en-US"/>
        </w:rPr>
        <w:t>personal liberty</w:t>
      </w:r>
      <w:r w:rsidR="00BF5241" w:rsidRPr="00104227">
        <w:rPr>
          <w:lang w:val="en-US"/>
        </w:rPr>
        <w:t xml:space="preserve"> and </w:t>
      </w:r>
      <w:r w:rsidR="00CA43B0" w:rsidRPr="00104227">
        <w:rPr>
          <w:lang w:val="en-US"/>
        </w:rPr>
        <w:t xml:space="preserve">the </w:t>
      </w:r>
      <w:r w:rsidRPr="00104227">
        <w:rPr>
          <w:lang w:val="en-US"/>
        </w:rPr>
        <w:t>right of</w:t>
      </w:r>
      <w:r w:rsidR="007822EA" w:rsidRPr="00104227">
        <w:rPr>
          <w:lang w:val="en-US"/>
        </w:rPr>
        <w:t xml:space="preserve"> </w:t>
      </w:r>
      <w:r w:rsidR="00F27D61" w:rsidRPr="00104227">
        <w:rPr>
          <w:lang w:val="en-US"/>
        </w:rPr>
        <w:t>defense</w:t>
      </w:r>
      <w:r w:rsidR="007822EA" w:rsidRPr="00104227">
        <w:rPr>
          <w:lang w:val="en-US"/>
        </w:rPr>
        <w:t xml:space="preserve">, </w:t>
      </w:r>
      <w:r w:rsidR="005E29A3" w:rsidRPr="00104227">
        <w:rPr>
          <w:lang w:val="en-US"/>
        </w:rPr>
        <w:t>recognized in</w:t>
      </w:r>
      <w:r w:rsidR="007822EA" w:rsidRPr="00104227">
        <w:rPr>
          <w:lang w:val="en-US"/>
        </w:rPr>
        <w:t xml:space="preserve"> </w:t>
      </w:r>
      <w:r w:rsidR="00BF5241" w:rsidRPr="00104227">
        <w:rPr>
          <w:lang w:val="en-US"/>
        </w:rPr>
        <w:t>Articles</w:t>
      </w:r>
      <w:r w:rsidR="007822EA" w:rsidRPr="00104227">
        <w:rPr>
          <w:lang w:val="en-US"/>
        </w:rPr>
        <w:t xml:space="preserve"> 7</w:t>
      </w:r>
      <w:r w:rsidRPr="00104227">
        <w:rPr>
          <w:lang w:val="en-US"/>
        </w:rPr>
        <w:t>(</w:t>
      </w:r>
      <w:r w:rsidR="007822EA" w:rsidRPr="00104227">
        <w:rPr>
          <w:lang w:val="en-US"/>
        </w:rPr>
        <w:t>1</w:t>
      </w:r>
      <w:r w:rsidRPr="00104227">
        <w:rPr>
          <w:lang w:val="en-US"/>
        </w:rPr>
        <w:t>)</w:t>
      </w:r>
      <w:r w:rsidR="007822EA" w:rsidRPr="00104227">
        <w:rPr>
          <w:lang w:val="en-US"/>
        </w:rPr>
        <w:t xml:space="preserve">, </w:t>
      </w:r>
      <w:r w:rsidRPr="00104227">
        <w:rPr>
          <w:lang w:val="en-US"/>
        </w:rPr>
        <w:t>(</w:t>
      </w:r>
      <w:r w:rsidR="007822EA" w:rsidRPr="00104227">
        <w:rPr>
          <w:lang w:val="en-US"/>
        </w:rPr>
        <w:t>2</w:t>
      </w:r>
      <w:r w:rsidRPr="00104227">
        <w:rPr>
          <w:lang w:val="en-US"/>
        </w:rPr>
        <w:t>)</w:t>
      </w:r>
      <w:r w:rsidR="007822EA" w:rsidRPr="00104227">
        <w:rPr>
          <w:lang w:val="en-US"/>
        </w:rPr>
        <w:t xml:space="preserve">, </w:t>
      </w:r>
      <w:r w:rsidRPr="00104227">
        <w:rPr>
          <w:lang w:val="en-US"/>
        </w:rPr>
        <w:t>(</w:t>
      </w:r>
      <w:r w:rsidR="007822EA" w:rsidRPr="00104227">
        <w:rPr>
          <w:lang w:val="en-US"/>
        </w:rPr>
        <w:t>3</w:t>
      </w:r>
      <w:r w:rsidRPr="00104227">
        <w:rPr>
          <w:lang w:val="en-US"/>
        </w:rPr>
        <w:t>)</w:t>
      </w:r>
      <w:r w:rsidR="00BF5241" w:rsidRPr="00104227">
        <w:rPr>
          <w:lang w:val="en-US"/>
        </w:rPr>
        <w:t xml:space="preserve"> and </w:t>
      </w:r>
      <w:r w:rsidRPr="00104227">
        <w:rPr>
          <w:lang w:val="en-US"/>
        </w:rPr>
        <w:t>(</w:t>
      </w:r>
      <w:r w:rsidR="007822EA" w:rsidRPr="00104227">
        <w:rPr>
          <w:lang w:val="en-US"/>
        </w:rPr>
        <w:t>4</w:t>
      </w:r>
      <w:r w:rsidRPr="00104227">
        <w:rPr>
          <w:lang w:val="en-US"/>
        </w:rPr>
        <w:t>)</w:t>
      </w:r>
      <w:r w:rsidR="007822EA" w:rsidRPr="00104227">
        <w:rPr>
          <w:lang w:val="en-US"/>
        </w:rPr>
        <w:t>,</w:t>
      </w:r>
      <w:r w:rsidR="00BF5241" w:rsidRPr="00104227">
        <w:rPr>
          <w:lang w:val="en-US"/>
        </w:rPr>
        <w:t xml:space="preserve"> and </w:t>
      </w:r>
      <w:r w:rsidR="007822EA" w:rsidRPr="00104227">
        <w:rPr>
          <w:lang w:val="en-US"/>
        </w:rPr>
        <w:t>8</w:t>
      </w:r>
      <w:r w:rsidRPr="00104227">
        <w:rPr>
          <w:lang w:val="en-US"/>
        </w:rPr>
        <w:t>(</w:t>
      </w:r>
      <w:r w:rsidR="007822EA" w:rsidRPr="00104227">
        <w:rPr>
          <w:lang w:val="en-US"/>
        </w:rPr>
        <w:t>2</w:t>
      </w:r>
      <w:r w:rsidRPr="00104227">
        <w:rPr>
          <w:lang w:val="en-US"/>
        </w:rPr>
        <w:t>)</w:t>
      </w:r>
      <w:r w:rsidR="004A68F9" w:rsidRPr="00104227">
        <w:rPr>
          <w:lang w:val="en-US"/>
        </w:rPr>
        <w:t>(b), (d)</w:t>
      </w:r>
      <w:r w:rsidR="00BF5241" w:rsidRPr="00104227">
        <w:rPr>
          <w:lang w:val="en-US"/>
        </w:rPr>
        <w:t xml:space="preserve"> and </w:t>
      </w:r>
      <w:r w:rsidR="004A68F9" w:rsidRPr="00104227">
        <w:rPr>
          <w:lang w:val="en-US"/>
        </w:rPr>
        <w:t>(e)</w:t>
      </w:r>
      <w:r w:rsidR="00BF5241" w:rsidRPr="00104227">
        <w:rPr>
          <w:lang w:val="en-US"/>
        </w:rPr>
        <w:t xml:space="preserve"> of the Convention</w:t>
      </w:r>
      <w:r w:rsidR="007822EA" w:rsidRPr="00104227">
        <w:rPr>
          <w:lang w:val="en-US"/>
        </w:rPr>
        <w:t xml:space="preserve">, </w:t>
      </w:r>
      <w:r w:rsidR="00C2124F" w:rsidRPr="00104227">
        <w:rPr>
          <w:lang w:val="en-US"/>
        </w:rPr>
        <w:t>in relation to Article 1(1)</w:t>
      </w:r>
      <w:r w:rsidR="007822EA" w:rsidRPr="00104227">
        <w:rPr>
          <w:lang w:val="en-US"/>
        </w:rPr>
        <w:t xml:space="preserve"> </w:t>
      </w:r>
      <w:r w:rsidR="00CA43B0" w:rsidRPr="00104227">
        <w:rPr>
          <w:lang w:val="en-US"/>
        </w:rPr>
        <w:t>of this instrument</w:t>
      </w:r>
      <w:r w:rsidR="007822EA" w:rsidRPr="00104227">
        <w:rPr>
          <w:lang w:val="en-US"/>
        </w:rPr>
        <w:t xml:space="preserve">, </w:t>
      </w:r>
      <w:r w:rsidR="00C2124F" w:rsidRPr="00104227">
        <w:rPr>
          <w:lang w:val="en-US"/>
        </w:rPr>
        <w:t>to the detriment of</w:t>
      </w:r>
      <w:r w:rsidR="007822EA" w:rsidRPr="00104227">
        <w:rPr>
          <w:lang w:val="en-US"/>
        </w:rPr>
        <w:t xml:space="preserve"> Yolanda Muñoz Diosdada, Norma Aidé Jiménez Osorio, María Patricia Romero Hernández, Mariana Selvas Gómez, </w:t>
      </w:r>
      <w:r w:rsidR="007822EA" w:rsidRPr="00104227">
        <w:rPr>
          <w:lang w:val="en-US"/>
        </w:rPr>
        <w:lastRenderedPageBreak/>
        <w:t xml:space="preserve">Georgina Edith Rosales Gutiérrez, Ana María Velasco Rodríguez, Suhelen Gabriela Cuevas Jaramillo, Bárbara Italia Méndez Moreno, </w:t>
      </w:r>
      <w:r w:rsidR="0053506B" w:rsidRPr="00104227">
        <w:rPr>
          <w:lang w:val="en-US"/>
        </w:rPr>
        <w:t xml:space="preserve">María </w:t>
      </w:r>
      <w:r w:rsidR="007822EA" w:rsidRPr="00104227">
        <w:rPr>
          <w:lang w:val="en-US"/>
        </w:rPr>
        <w:t xml:space="preserve">Cristina Sánchez Hernández, </w:t>
      </w:r>
      <w:r w:rsidR="0047539E" w:rsidRPr="00104227">
        <w:rPr>
          <w:lang w:val="en-US"/>
        </w:rPr>
        <w:t>Angélica Patricia Torres</w:t>
      </w:r>
      <w:r w:rsidR="007822EA" w:rsidRPr="00104227">
        <w:rPr>
          <w:lang w:val="en-US"/>
        </w:rPr>
        <w:t xml:space="preserve"> Linares</w:t>
      </w:r>
      <w:r w:rsidR="00BF5241" w:rsidRPr="00104227">
        <w:rPr>
          <w:lang w:val="en-US"/>
        </w:rPr>
        <w:t xml:space="preserve"> and </w:t>
      </w:r>
      <w:r w:rsidR="007822EA" w:rsidRPr="00104227">
        <w:rPr>
          <w:lang w:val="en-US"/>
        </w:rPr>
        <w:t>Claudia Hernández Martínez.</w:t>
      </w:r>
    </w:p>
    <w:p w14:paraId="34D36FA7" w14:textId="77777777" w:rsidR="007822EA" w:rsidRPr="00104227" w:rsidRDefault="007822EA" w:rsidP="00E4619F">
      <w:pPr>
        <w:tabs>
          <w:tab w:val="left" w:pos="567"/>
        </w:tabs>
        <w:rPr>
          <w:lang w:eastAsia="es-MX"/>
        </w:rPr>
      </w:pPr>
    </w:p>
    <w:p w14:paraId="2E6F1A42" w14:textId="4106F9BE" w:rsidR="007822EA" w:rsidRPr="00104227" w:rsidRDefault="00595CFB" w:rsidP="00E4619F">
      <w:pPr>
        <w:pStyle w:val="Numberedparagraphs"/>
        <w:tabs>
          <w:tab w:val="left" w:pos="567"/>
        </w:tabs>
        <w:rPr>
          <w:lang w:val="en-US"/>
        </w:rPr>
      </w:pPr>
      <w:bookmarkStart w:id="327" w:name="_Ref532987436"/>
      <w:r w:rsidRPr="00104227">
        <w:rPr>
          <w:lang w:val="en-US"/>
        </w:rPr>
        <w:t>Lastly</w:t>
      </w:r>
      <w:r w:rsidR="007822EA" w:rsidRPr="00104227">
        <w:rPr>
          <w:lang w:val="en-US"/>
        </w:rPr>
        <w:t xml:space="preserve">, </w:t>
      </w:r>
      <w:r w:rsidR="00BF5241" w:rsidRPr="00104227">
        <w:rPr>
          <w:lang w:val="en-US"/>
        </w:rPr>
        <w:t>this Court</w:t>
      </w:r>
      <w:r w:rsidR="007822EA" w:rsidRPr="00104227">
        <w:rPr>
          <w:lang w:val="en-US"/>
        </w:rPr>
        <w:t xml:space="preserve"> </w:t>
      </w:r>
      <w:r w:rsidRPr="00104227">
        <w:rPr>
          <w:lang w:val="en-US"/>
        </w:rPr>
        <w:t>finds that the length of the preventive detention of</w:t>
      </w:r>
      <w:r w:rsidR="007822EA" w:rsidRPr="00104227">
        <w:rPr>
          <w:lang w:val="en-US"/>
        </w:rPr>
        <w:t xml:space="preserve"> Claudia Hernández Martínez, Norma Aidé Jiménez Osorio, Mariana Selvas Gómez, Suhelen Gabriela Cuevas Jaramillo, Georgina Edith Rosales Gutiérrez</w:t>
      </w:r>
      <w:r w:rsidR="00BF5241" w:rsidRPr="00104227">
        <w:rPr>
          <w:lang w:val="en-US"/>
        </w:rPr>
        <w:t xml:space="preserve"> and </w:t>
      </w:r>
      <w:r w:rsidR="007822EA" w:rsidRPr="00104227">
        <w:rPr>
          <w:lang w:val="en-US"/>
        </w:rPr>
        <w:t>María Patricia Romero Hernández</w:t>
      </w:r>
      <w:r w:rsidRPr="00104227">
        <w:rPr>
          <w:lang w:val="en-US"/>
        </w:rPr>
        <w:t xml:space="preserve"> was disproportionate and, therefore, violated</w:t>
      </w:r>
      <w:r w:rsidR="007822EA" w:rsidRPr="00104227">
        <w:rPr>
          <w:lang w:val="en-US"/>
        </w:rPr>
        <w:t xml:space="preserve"> </w:t>
      </w:r>
      <w:r w:rsidR="00BF5241" w:rsidRPr="00104227">
        <w:rPr>
          <w:lang w:val="en-US"/>
        </w:rPr>
        <w:t>Article</w:t>
      </w:r>
      <w:r w:rsidR="007822EA" w:rsidRPr="00104227">
        <w:rPr>
          <w:lang w:val="en-US"/>
        </w:rPr>
        <w:t xml:space="preserve"> 7</w:t>
      </w:r>
      <w:r w:rsidRPr="00104227">
        <w:rPr>
          <w:lang w:val="en-US"/>
        </w:rPr>
        <w:t>(</w:t>
      </w:r>
      <w:r w:rsidR="007822EA" w:rsidRPr="00104227">
        <w:rPr>
          <w:lang w:val="en-US"/>
        </w:rPr>
        <w:t>1</w:t>
      </w:r>
      <w:r w:rsidRPr="00104227">
        <w:rPr>
          <w:lang w:val="en-US"/>
        </w:rPr>
        <w:t>)</w:t>
      </w:r>
      <w:r w:rsidR="00BF5241" w:rsidRPr="00104227">
        <w:rPr>
          <w:lang w:val="en-US"/>
        </w:rPr>
        <w:t xml:space="preserve"> and </w:t>
      </w:r>
      <w:r w:rsidRPr="00104227">
        <w:rPr>
          <w:lang w:val="en-US"/>
        </w:rPr>
        <w:t>(</w:t>
      </w:r>
      <w:r w:rsidR="007822EA" w:rsidRPr="00104227">
        <w:rPr>
          <w:lang w:val="en-US"/>
        </w:rPr>
        <w:t>3</w:t>
      </w:r>
      <w:r w:rsidRPr="00104227">
        <w:rPr>
          <w:lang w:val="en-US"/>
        </w:rPr>
        <w:t>)</w:t>
      </w:r>
      <w:r w:rsidR="00BF5241" w:rsidRPr="00104227">
        <w:rPr>
          <w:lang w:val="en-US"/>
        </w:rPr>
        <w:t xml:space="preserve"> of the Convention</w:t>
      </w:r>
      <w:r w:rsidR="007822EA" w:rsidRPr="00104227">
        <w:rPr>
          <w:lang w:val="en-US"/>
        </w:rPr>
        <w:t xml:space="preserve">, </w:t>
      </w:r>
      <w:r w:rsidR="00C2124F" w:rsidRPr="00104227">
        <w:rPr>
          <w:lang w:val="en-US"/>
        </w:rPr>
        <w:t>in relation to Article 1(1)</w:t>
      </w:r>
      <w:r w:rsidR="007822EA" w:rsidRPr="00104227">
        <w:rPr>
          <w:lang w:val="en-US"/>
        </w:rPr>
        <w:t xml:space="preserve"> </w:t>
      </w:r>
      <w:r w:rsidR="00CA43B0" w:rsidRPr="00104227">
        <w:rPr>
          <w:lang w:val="en-US"/>
        </w:rPr>
        <w:t>of this instrument</w:t>
      </w:r>
      <w:r w:rsidR="007822EA" w:rsidRPr="00104227">
        <w:rPr>
          <w:lang w:val="en-US"/>
        </w:rPr>
        <w:t>.</w:t>
      </w:r>
      <w:bookmarkEnd w:id="327"/>
      <w:r w:rsidR="007822EA" w:rsidRPr="00104227">
        <w:rPr>
          <w:lang w:val="en-US"/>
        </w:rPr>
        <w:t xml:space="preserve"> </w:t>
      </w:r>
    </w:p>
    <w:p w14:paraId="7558C1DC" w14:textId="77777777" w:rsidR="00BF44DD" w:rsidRPr="00104227" w:rsidRDefault="00BF44DD" w:rsidP="00E4619F">
      <w:pPr>
        <w:tabs>
          <w:tab w:val="left" w:pos="567"/>
        </w:tabs>
        <w:rPr>
          <w:lang w:eastAsia="es-CR"/>
        </w:rPr>
      </w:pPr>
      <w:bookmarkStart w:id="328" w:name="_Toc527464934"/>
    </w:p>
    <w:p w14:paraId="69121D84" w14:textId="77777777" w:rsidR="00BF44DD" w:rsidRPr="00104227" w:rsidRDefault="00BF44DD" w:rsidP="00E4619F">
      <w:pPr>
        <w:pStyle w:val="Ttulo1"/>
        <w:tabs>
          <w:tab w:val="left" w:pos="567"/>
        </w:tabs>
      </w:pPr>
      <w:bookmarkStart w:id="329" w:name="_Toc31290602"/>
      <w:r w:rsidRPr="00104227">
        <w:t>IX-3</w:t>
      </w:r>
      <w:bookmarkEnd w:id="329"/>
    </w:p>
    <w:p w14:paraId="77032FE2" w14:textId="627266DC" w:rsidR="00BF44DD" w:rsidRPr="00104227" w:rsidRDefault="005E5DCC" w:rsidP="00E4619F">
      <w:pPr>
        <w:pStyle w:val="Ttulo1"/>
        <w:tabs>
          <w:tab w:val="left" w:pos="567"/>
        </w:tabs>
        <w:rPr>
          <w:spacing w:val="-4"/>
          <w:szCs w:val="20"/>
        </w:rPr>
      </w:pPr>
      <w:bookmarkStart w:id="330" w:name="_Toc528937255"/>
      <w:bookmarkStart w:id="331" w:name="_Toc529790146"/>
      <w:bookmarkStart w:id="332" w:name="_Toc531162262"/>
      <w:bookmarkStart w:id="333" w:name="_Toc531172558"/>
      <w:bookmarkStart w:id="334" w:name="_Toc31290603"/>
      <w:r w:rsidRPr="00104227">
        <w:t>RIGHTS TO JUDICIAL</w:t>
      </w:r>
      <w:r w:rsidR="0094395C" w:rsidRPr="00104227">
        <w:t xml:space="preserve"> GUARANTEES</w:t>
      </w:r>
      <w:r w:rsidR="00BF44DD" w:rsidRPr="00104227">
        <w:rPr>
          <w:rFonts w:cs="Verdana"/>
          <w:sz w:val="16"/>
          <w:vertAlign w:val="superscript"/>
        </w:rPr>
        <w:footnoteReference w:id="361"/>
      </w:r>
      <w:r w:rsidR="00BF5241" w:rsidRPr="00104227">
        <w:t xml:space="preserve"> </w:t>
      </w:r>
      <w:r w:rsidR="00595CFB" w:rsidRPr="00104227">
        <w:t>AND JUDICIAL</w:t>
      </w:r>
      <w:r w:rsidR="00E466FA" w:rsidRPr="00104227">
        <w:t xml:space="preserve"> PROTECTION</w:t>
      </w:r>
      <w:r w:rsidR="00595CFB" w:rsidRPr="00104227">
        <w:t>,</w:t>
      </w:r>
      <w:r w:rsidR="00BF44DD" w:rsidRPr="00104227">
        <w:rPr>
          <w:rFonts w:cs="Verdana"/>
          <w:sz w:val="16"/>
          <w:vertAlign w:val="superscript"/>
        </w:rPr>
        <w:footnoteReference w:id="362"/>
      </w:r>
      <w:r w:rsidR="00BF44DD" w:rsidRPr="00104227">
        <w:t xml:space="preserve"> </w:t>
      </w:r>
      <w:r w:rsidR="00F32779" w:rsidRPr="00104227">
        <w:rPr>
          <w:spacing w:val="-4"/>
          <w:szCs w:val="20"/>
        </w:rPr>
        <w:t>IN RELATION TO THE OBLIGATION TO RESPECT AND TO ENSURE THESE RIGHTS</w:t>
      </w:r>
      <w:bookmarkEnd w:id="330"/>
      <w:bookmarkEnd w:id="331"/>
      <w:bookmarkEnd w:id="332"/>
      <w:bookmarkEnd w:id="333"/>
      <w:bookmarkEnd w:id="334"/>
    </w:p>
    <w:p w14:paraId="5050F6A0" w14:textId="77777777" w:rsidR="00BF44DD" w:rsidRPr="00104227" w:rsidRDefault="00BF44DD" w:rsidP="00E4619F">
      <w:pPr>
        <w:tabs>
          <w:tab w:val="left" w:pos="567"/>
        </w:tabs>
        <w:rPr>
          <w:lang w:eastAsia="es-CR"/>
        </w:rPr>
      </w:pPr>
    </w:p>
    <w:p w14:paraId="4D1225D3" w14:textId="2089B3EF" w:rsidR="00BF44DD" w:rsidRPr="00104227" w:rsidRDefault="00736460" w:rsidP="00E4619F">
      <w:pPr>
        <w:pStyle w:val="Ttulo2"/>
        <w:numPr>
          <w:ilvl w:val="0"/>
          <w:numId w:val="92"/>
        </w:numPr>
        <w:tabs>
          <w:tab w:val="left" w:pos="3330"/>
        </w:tabs>
        <w:ind w:left="1080" w:hanging="360"/>
        <w:rPr>
          <w:szCs w:val="20"/>
          <w:lang w:val="en-US"/>
        </w:rPr>
      </w:pPr>
      <w:bookmarkStart w:id="335" w:name="_Toc31290604"/>
      <w:r w:rsidRPr="00104227">
        <w:rPr>
          <w:lang w:val="en-US"/>
        </w:rPr>
        <w:t>Arguments of the parties</w:t>
      </w:r>
      <w:r w:rsidR="00BF5241" w:rsidRPr="00104227">
        <w:rPr>
          <w:szCs w:val="20"/>
          <w:lang w:val="en-US"/>
        </w:rPr>
        <w:t xml:space="preserve"> and of the Commission</w:t>
      </w:r>
      <w:bookmarkEnd w:id="335"/>
    </w:p>
    <w:p w14:paraId="4C41F75A" w14:textId="77777777" w:rsidR="00BF44DD" w:rsidRPr="00104227" w:rsidRDefault="00BF44DD" w:rsidP="00E4619F">
      <w:pPr>
        <w:tabs>
          <w:tab w:val="left" w:pos="567"/>
        </w:tabs>
        <w:rPr>
          <w:lang w:eastAsia="es-CR"/>
        </w:rPr>
      </w:pPr>
    </w:p>
    <w:p w14:paraId="19BB2086" w14:textId="6F9100F3" w:rsidR="00BF44DD" w:rsidRPr="00104227" w:rsidRDefault="00BF5241" w:rsidP="00E4619F">
      <w:pPr>
        <w:pStyle w:val="Numberedparagraphs"/>
        <w:tabs>
          <w:tab w:val="left" w:pos="567"/>
        </w:tabs>
        <w:rPr>
          <w:b/>
          <w:lang w:val="en-US"/>
        </w:rPr>
      </w:pPr>
      <w:r w:rsidRPr="00104227">
        <w:rPr>
          <w:lang w:val="en-US"/>
        </w:rPr>
        <w:t xml:space="preserve">The </w:t>
      </w:r>
      <w:r w:rsidRPr="00104227">
        <w:rPr>
          <w:b/>
          <w:bCs/>
          <w:i/>
          <w:iCs/>
          <w:lang w:val="en-US"/>
        </w:rPr>
        <w:t>Commission</w:t>
      </w:r>
      <w:r w:rsidR="00BF44DD" w:rsidRPr="00104227">
        <w:rPr>
          <w:lang w:val="en-US"/>
        </w:rPr>
        <w:t xml:space="preserve"> </w:t>
      </w:r>
      <w:r w:rsidR="004503EC" w:rsidRPr="00104227">
        <w:rPr>
          <w:lang w:val="en-US"/>
        </w:rPr>
        <w:t xml:space="preserve">indicated that no one has been punished for the torture suffered by </w:t>
      </w:r>
      <w:r w:rsidR="00F12946" w:rsidRPr="00104227">
        <w:rPr>
          <w:lang w:val="en-US"/>
        </w:rPr>
        <w:t>the eleven women</w:t>
      </w:r>
      <w:r w:rsidR="004503EC" w:rsidRPr="00104227">
        <w:rPr>
          <w:lang w:val="en-US"/>
        </w:rPr>
        <w:t xml:space="preserve"> because: (i) the investigations were officially opened da</w:t>
      </w:r>
      <w:r w:rsidR="007B076A" w:rsidRPr="00104227">
        <w:rPr>
          <w:lang w:val="en-US"/>
        </w:rPr>
        <w:t>y</w:t>
      </w:r>
      <w:r w:rsidR="004503EC" w:rsidRPr="00104227">
        <w:rPr>
          <w:lang w:val="en-US"/>
        </w:rPr>
        <w:t xml:space="preserve">s after the acts of </w:t>
      </w:r>
      <w:r w:rsidR="00BC5201" w:rsidRPr="00104227">
        <w:rPr>
          <w:lang w:val="en-US"/>
        </w:rPr>
        <w:t>torture</w:t>
      </w:r>
      <w:r w:rsidRPr="00104227">
        <w:rPr>
          <w:lang w:val="en-US"/>
        </w:rPr>
        <w:t xml:space="preserve"> and </w:t>
      </w:r>
      <w:r w:rsidR="00D25554" w:rsidRPr="00104227">
        <w:rPr>
          <w:lang w:val="en-US"/>
        </w:rPr>
        <w:t>sexual violence</w:t>
      </w:r>
      <w:r w:rsidR="004503EC" w:rsidRPr="00104227">
        <w:rPr>
          <w:lang w:val="en-US"/>
        </w:rPr>
        <w:t xml:space="preserve"> had been reported</w:t>
      </w:r>
      <w:r w:rsidR="00BF44DD" w:rsidRPr="00104227">
        <w:rPr>
          <w:lang w:val="en-US"/>
        </w:rPr>
        <w:t>; (ii) dur</w:t>
      </w:r>
      <w:r w:rsidR="004503EC" w:rsidRPr="00104227">
        <w:rPr>
          <w:lang w:val="en-US"/>
        </w:rPr>
        <w:t>ing weeks, and in some cases months, the victims were not give a complete medical examination, w</w:t>
      </w:r>
      <w:r w:rsidR="007B076A" w:rsidRPr="00104227">
        <w:rPr>
          <w:lang w:val="en-US"/>
        </w:rPr>
        <w:t>h</w:t>
      </w:r>
      <w:r w:rsidR="004503EC" w:rsidRPr="00104227">
        <w:rPr>
          <w:lang w:val="en-US"/>
        </w:rPr>
        <w:t>ich meant that the medical certificates did not constitu</w:t>
      </w:r>
      <w:r w:rsidR="007B076A" w:rsidRPr="00104227">
        <w:rPr>
          <w:lang w:val="en-US"/>
        </w:rPr>
        <w:t>t</w:t>
      </w:r>
      <w:r w:rsidR="004503EC" w:rsidRPr="00104227">
        <w:rPr>
          <w:lang w:val="en-US"/>
        </w:rPr>
        <w:t xml:space="preserve">e </w:t>
      </w:r>
      <w:r w:rsidR="007B076A" w:rsidRPr="00104227">
        <w:rPr>
          <w:lang w:val="en-US"/>
        </w:rPr>
        <w:t>adequate</w:t>
      </w:r>
      <w:r w:rsidR="004503EC" w:rsidRPr="00104227">
        <w:rPr>
          <w:lang w:val="en-US"/>
        </w:rPr>
        <w:t xml:space="preserve"> means </w:t>
      </w:r>
      <w:r w:rsidR="007B076A" w:rsidRPr="00104227">
        <w:rPr>
          <w:lang w:val="en-US"/>
        </w:rPr>
        <w:t>of</w:t>
      </w:r>
      <w:r w:rsidR="004503EC" w:rsidRPr="00104227">
        <w:rPr>
          <w:lang w:val="en-US"/>
        </w:rPr>
        <w:t xml:space="preserve"> establish</w:t>
      </w:r>
      <w:r w:rsidR="007B076A" w:rsidRPr="00104227">
        <w:rPr>
          <w:lang w:val="en-US"/>
        </w:rPr>
        <w:t>ing</w:t>
      </w:r>
      <w:r w:rsidR="004503EC" w:rsidRPr="00104227">
        <w:rPr>
          <w:lang w:val="en-US"/>
        </w:rPr>
        <w:t xml:space="preserve"> po</w:t>
      </w:r>
      <w:r w:rsidR="007B076A" w:rsidRPr="00104227">
        <w:rPr>
          <w:lang w:val="en-US"/>
        </w:rPr>
        <w:t>s</w:t>
      </w:r>
      <w:r w:rsidR="004503EC" w:rsidRPr="00104227">
        <w:rPr>
          <w:lang w:val="en-US"/>
        </w:rPr>
        <w:t xml:space="preserve">sible acts of </w:t>
      </w:r>
      <w:r w:rsidR="00D61436" w:rsidRPr="00104227">
        <w:rPr>
          <w:lang w:val="en-US"/>
        </w:rPr>
        <w:t>violenc</w:t>
      </w:r>
      <w:r w:rsidR="004503EC" w:rsidRPr="00104227">
        <w:rPr>
          <w:lang w:val="en-US"/>
        </w:rPr>
        <w:t>e</w:t>
      </w:r>
      <w:r w:rsidRPr="00104227">
        <w:rPr>
          <w:lang w:val="en-US"/>
        </w:rPr>
        <w:t xml:space="preserve"> and </w:t>
      </w:r>
      <w:r w:rsidR="00D25554" w:rsidRPr="00104227">
        <w:rPr>
          <w:lang w:val="en-US"/>
        </w:rPr>
        <w:t>rape</w:t>
      </w:r>
      <w:r w:rsidR="00D61436" w:rsidRPr="00104227">
        <w:rPr>
          <w:lang w:val="en-US"/>
        </w:rPr>
        <w:t>;</w:t>
      </w:r>
      <w:r w:rsidR="00BF44DD" w:rsidRPr="00104227">
        <w:rPr>
          <w:lang w:val="en-US"/>
        </w:rPr>
        <w:t xml:space="preserve"> (iii) </w:t>
      </w:r>
      <w:r w:rsidR="004503EC" w:rsidRPr="00104227">
        <w:rPr>
          <w:lang w:val="en-US"/>
        </w:rPr>
        <w:t>criminal proceedings were held that obstructed clarification of the facts and the individualization of those responsible</w:t>
      </w:r>
      <w:r w:rsidR="00BF44DD" w:rsidRPr="00104227">
        <w:rPr>
          <w:lang w:val="en-US"/>
        </w:rPr>
        <w:t xml:space="preserve">; (iv) </w:t>
      </w:r>
      <w:r w:rsidR="004503EC" w:rsidRPr="00104227">
        <w:rPr>
          <w:lang w:val="en-US"/>
        </w:rPr>
        <w:t xml:space="preserve">the cases against the forensic physicians were opened several years after the State became aware of the serious omissions and the types of re-victimization they had committed; </w:t>
      </w:r>
      <w:r w:rsidR="00BF44DD" w:rsidRPr="00104227">
        <w:rPr>
          <w:lang w:val="en-US"/>
        </w:rPr>
        <w:t xml:space="preserve">(v) </w:t>
      </w:r>
      <w:r w:rsidR="00AC3BFC" w:rsidRPr="00104227">
        <w:rPr>
          <w:lang w:val="en-US"/>
        </w:rPr>
        <w:t>the State</w:t>
      </w:r>
      <w:r w:rsidR="00BF44DD" w:rsidRPr="00104227">
        <w:rPr>
          <w:lang w:val="en-US"/>
        </w:rPr>
        <w:t xml:space="preserve"> </w:t>
      </w:r>
      <w:r w:rsidR="004503EC" w:rsidRPr="00104227">
        <w:rPr>
          <w:lang w:val="en-US"/>
        </w:rPr>
        <w:t>failed to conduct a diligent investigation into the direct authors of the physica</w:t>
      </w:r>
      <w:r w:rsidR="007B076A" w:rsidRPr="00104227">
        <w:rPr>
          <w:lang w:val="en-US"/>
        </w:rPr>
        <w:t>l</w:t>
      </w:r>
      <w:r w:rsidR="004503EC" w:rsidRPr="00104227">
        <w:rPr>
          <w:lang w:val="en-US"/>
        </w:rPr>
        <w:t>, psychological and sexual torture inflicted on the eleven victims</w:t>
      </w:r>
      <w:r w:rsidR="00BF44DD" w:rsidRPr="00104227">
        <w:rPr>
          <w:lang w:val="en-US"/>
        </w:rPr>
        <w:t xml:space="preserve">; (vi) </w:t>
      </w:r>
      <w:r w:rsidR="004503EC" w:rsidRPr="00104227">
        <w:rPr>
          <w:lang w:val="en-US"/>
        </w:rPr>
        <w:t xml:space="preserve">to date, no progress has been made in the investigation into the responsibilities of federal </w:t>
      </w:r>
      <w:r w:rsidR="007B076A" w:rsidRPr="00104227">
        <w:rPr>
          <w:lang w:val="en-US"/>
        </w:rPr>
        <w:t>law enforcement</w:t>
      </w:r>
      <w:r w:rsidR="004503EC" w:rsidRPr="00104227">
        <w:rPr>
          <w:lang w:val="en-US"/>
        </w:rPr>
        <w:t xml:space="preserve"> agents even though their participation in the events has been verified by </w:t>
      </w:r>
      <w:r w:rsidR="008F27D0" w:rsidRPr="00104227">
        <w:rPr>
          <w:lang w:val="en-US"/>
        </w:rPr>
        <w:t>the SCJN</w:t>
      </w:r>
      <w:r w:rsidR="00BF44DD" w:rsidRPr="00104227">
        <w:rPr>
          <w:lang w:val="en-US"/>
        </w:rPr>
        <w:t>,</w:t>
      </w:r>
      <w:r w:rsidRPr="00104227">
        <w:rPr>
          <w:lang w:val="en-US"/>
        </w:rPr>
        <w:t xml:space="preserve"> and </w:t>
      </w:r>
      <w:r w:rsidR="00BF44DD" w:rsidRPr="00104227">
        <w:rPr>
          <w:lang w:val="en-US"/>
        </w:rPr>
        <w:t xml:space="preserve">(vii) </w:t>
      </w:r>
      <w:r w:rsidR="00AC3BFC" w:rsidRPr="00104227">
        <w:rPr>
          <w:lang w:val="en-US"/>
        </w:rPr>
        <w:t>the State</w:t>
      </w:r>
      <w:r w:rsidR="00BF44DD" w:rsidRPr="00104227">
        <w:rPr>
          <w:lang w:val="en-US"/>
        </w:rPr>
        <w:t xml:space="preserve"> </w:t>
      </w:r>
      <w:r w:rsidR="00482E8D" w:rsidRPr="00104227">
        <w:rPr>
          <w:lang w:val="en-US"/>
        </w:rPr>
        <w:t>has still not investigated responsibilities arising from the chain of command.</w:t>
      </w:r>
    </w:p>
    <w:p w14:paraId="3ADB6C94" w14:textId="77777777" w:rsidR="00BF44DD" w:rsidRPr="00104227" w:rsidRDefault="00BF44DD" w:rsidP="00E4619F">
      <w:pPr>
        <w:tabs>
          <w:tab w:val="left" w:pos="567"/>
        </w:tabs>
        <w:rPr>
          <w:lang w:eastAsia="es-MX"/>
        </w:rPr>
      </w:pPr>
    </w:p>
    <w:p w14:paraId="701143D4" w14:textId="0F48AA3C" w:rsidR="00BF44DD" w:rsidRPr="00104227" w:rsidRDefault="002826A6" w:rsidP="00482E8D">
      <w:pPr>
        <w:pStyle w:val="Numberedparagraphs"/>
        <w:tabs>
          <w:tab w:val="left" w:pos="567"/>
        </w:tabs>
        <w:rPr>
          <w:b/>
          <w:lang w:val="en-US"/>
        </w:rPr>
      </w:pPr>
      <w:r w:rsidRPr="00104227">
        <w:rPr>
          <w:lang w:val="en-US"/>
        </w:rPr>
        <w:t xml:space="preserve">The </w:t>
      </w:r>
      <w:r w:rsidRPr="00104227">
        <w:rPr>
          <w:b/>
          <w:bCs/>
          <w:lang w:val="en-US"/>
        </w:rPr>
        <w:t>representatives</w:t>
      </w:r>
      <w:r w:rsidR="00BF44DD" w:rsidRPr="00104227">
        <w:rPr>
          <w:lang w:val="en-US"/>
        </w:rPr>
        <w:t xml:space="preserve"> al</w:t>
      </w:r>
      <w:r w:rsidR="00482E8D" w:rsidRPr="00104227">
        <w:rPr>
          <w:lang w:val="en-US"/>
        </w:rPr>
        <w:t xml:space="preserve">leged the following violations of the victims’ rights to </w:t>
      </w:r>
      <w:r w:rsidR="0094395C" w:rsidRPr="00104227">
        <w:rPr>
          <w:lang w:val="en-US"/>
        </w:rPr>
        <w:t>judicial guarantees</w:t>
      </w:r>
      <w:r w:rsidR="00BF5241" w:rsidRPr="00104227">
        <w:rPr>
          <w:lang w:val="en-US"/>
        </w:rPr>
        <w:t xml:space="preserve"> and </w:t>
      </w:r>
      <w:r w:rsidR="00482E8D" w:rsidRPr="00104227">
        <w:rPr>
          <w:lang w:val="en-US"/>
        </w:rPr>
        <w:t>to</w:t>
      </w:r>
      <w:r w:rsidR="00BF44DD" w:rsidRPr="00104227">
        <w:rPr>
          <w:lang w:val="en-US"/>
        </w:rPr>
        <w:t xml:space="preserve"> </w:t>
      </w:r>
      <w:r w:rsidR="00E466FA" w:rsidRPr="00104227">
        <w:rPr>
          <w:lang w:val="en-US"/>
        </w:rPr>
        <w:t>judicial protection</w:t>
      </w:r>
      <w:r w:rsidR="00482E8D" w:rsidRPr="00104227">
        <w:rPr>
          <w:lang w:val="en-US"/>
        </w:rPr>
        <w:t>, which have mean</w:t>
      </w:r>
      <w:r w:rsidR="007B076A" w:rsidRPr="00104227">
        <w:rPr>
          <w:lang w:val="en-US"/>
        </w:rPr>
        <w:t>t</w:t>
      </w:r>
      <w:r w:rsidR="00482E8D" w:rsidRPr="00104227">
        <w:rPr>
          <w:lang w:val="en-US"/>
        </w:rPr>
        <w:t xml:space="preserve"> that, to date, the facts remain unpunished:</w:t>
      </w:r>
      <w:r w:rsidR="00BF44DD" w:rsidRPr="00104227">
        <w:rPr>
          <w:lang w:val="en-US"/>
        </w:rPr>
        <w:t xml:space="preserve"> </w:t>
      </w:r>
      <w:r w:rsidR="0074533B" w:rsidRPr="00104227">
        <w:rPr>
          <w:lang w:val="en-US"/>
        </w:rPr>
        <w:t>(i)</w:t>
      </w:r>
      <w:r w:rsidR="00BF44DD" w:rsidRPr="00104227">
        <w:rPr>
          <w:lang w:val="en-US"/>
        </w:rPr>
        <w:t xml:space="preserve"> </w:t>
      </w:r>
      <w:r w:rsidR="00482E8D" w:rsidRPr="00104227">
        <w:rPr>
          <w:lang w:val="en-US"/>
        </w:rPr>
        <w:t xml:space="preserve">failure to comply with the obligation to investigate </w:t>
      </w:r>
      <w:r w:rsidR="00BF44DD" w:rsidRPr="00104227">
        <w:rPr>
          <w:i/>
          <w:lang w:val="en-US"/>
        </w:rPr>
        <w:t>ex officio</w:t>
      </w:r>
      <w:r w:rsidR="00BF5241" w:rsidRPr="00104227">
        <w:rPr>
          <w:i/>
          <w:lang w:val="en-US"/>
        </w:rPr>
        <w:t xml:space="preserve"> and </w:t>
      </w:r>
      <w:r w:rsidR="00482E8D" w:rsidRPr="00104227">
        <w:rPr>
          <w:lang w:val="en-US"/>
        </w:rPr>
        <w:t>immediately</w:t>
      </w:r>
      <w:r w:rsidR="00BF44DD" w:rsidRPr="00104227">
        <w:rPr>
          <w:lang w:val="en-US"/>
        </w:rPr>
        <w:t xml:space="preserve">; (ii) </w:t>
      </w:r>
      <w:r w:rsidR="00482E8D" w:rsidRPr="00104227">
        <w:rPr>
          <w:lang w:val="en-US"/>
        </w:rPr>
        <w:t>lack of due diligence in the gathering of evidence in light of the standards a</w:t>
      </w:r>
      <w:r w:rsidR="007B076A" w:rsidRPr="00104227">
        <w:rPr>
          <w:lang w:val="en-US"/>
        </w:rPr>
        <w:t>p</w:t>
      </w:r>
      <w:r w:rsidR="00482E8D" w:rsidRPr="00104227">
        <w:rPr>
          <w:lang w:val="en-US"/>
        </w:rPr>
        <w:t xml:space="preserve">plicable in cases of </w:t>
      </w:r>
      <w:r w:rsidR="00BC5201" w:rsidRPr="00104227">
        <w:rPr>
          <w:lang w:val="en-US"/>
        </w:rPr>
        <w:t>torture</w:t>
      </w:r>
      <w:r w:rsidR="00BF5241" w:rsidRPr="00104227">
        <w:rPr>
          <w:lang w:val="en-US"/>
        </w:rPr>
        <w:t xml:space="preserve"> and </w:t>
      </w:r>
      <w:r w:rsidR="00D25554" w:rsidRPr="00104227">
        <w:rPr>
          <w:lang w:val="en-US"/>
        </w:rPr>
        <w:t>sexual violence</w:t>
      </w:r>
      <w:r w:rsidR="00BF44DD" w:rsidRPr="00104227">
        <w:rPr>
          <w:lang w:val="en-US"/>
        </w:rPr>
        <w:t xml:space="preserve">; (iii) </w:t>
      </w:r>
      <w:r w:rsidR="00482E8D" w:rsidRPr="00104227">
        <w:rPr>
          <w:lang w:val="en-US"/>
        </w:rPr>
        <w:t xml:space="preserve">various forms of obstruction and delay in the investigations at both state and federal level, as well as in access to the case file; </w:t>
      </w:r>
      <w:r w:rsidR="00BF44DD" w:rsidRPr="00104227">
        <w:rPr>
          <w:lang w:val="en-US"/>
        </w:rPr>
        <w:t xml:space="preserve">(iv) </w:t>
      </w:r>
      <w:r w:rsidR="00482E8D" w:rsidRPr="00104227">
        <w:rPr>
          <w:lang w:val="en-US"/>
        </w:rPr>
        <w:t>failure to investigate all thos</w:t>
      </w:r>
      <w:r w:rsidR="007B076A" w:rsidRPr="00104227">
        <w:rPr>
          <w:lang w:val="en-US"/>
        </w:rPr>
        <w:t>e</w:t>
      </w:r>
      <w:r w:rsidR="00482E8D" w:rsidRPr="00104227">
        <w:rPr>
          <w:lang w:val="en-US"/>
        </w:rPr>
        <w:t xml:space="preserve"> responsible, especially the failure to cla</w:t>
      </w:r>
      <w:r w:rsidR="00CA2534" w:rsidRPr="00104227">
        <w:rPr>
          <w:lang w:val="en-US"/>
        </w:rPr>
        <w:t>rif</w:t>
      </w:r>
      <w:r w:rsidR="00482E8D" w:rsidRPr="00104227">
        <w:rPr>
          <w:lang w:val="en-US"/>
        </w:rPr>
        <w:t xml:space="preserve">y the responsibilities </w:t>
      </w:r>
      <w:r w:rsidR="007B076A" w:rsidRPr="00104227">
        <w:rPr>
          <w:lang w:val="en-US"/>
        </w:rPr>
        <w:t xml:space="preserve">derived from </w:t>
      </w:r>
      <w:r w:rsidR="00482E8D" w:rsidRPr="00104227">
        <w:rPr>
          <w:lang w:val="en-US"/>
        </w:rPr>
        <w:t xml:space="preserve">the chain of command; </w:t>
      </w:r>
      <w:r w:rsidR="00BF44DD" w:rsidRPr="00104227">
        <w:rPr>
          <w:lang w:val="en-US"/>
        </w:rPr>
        <w:t xml:space="preserve">(v) </w:t>
      </w:r>
      <w:r w:rsidR="00482E8D" w:rsidRPr="00104227">
        <w:rPr>
          <w:lang w:val="en-US"/>
        </w:rPr>
        <w:t xml:space="preserve">violation of the right of access to justice and equal protection of the law, owing to the use of stereotypes and the lack of a gender-based perspective in the investigation, and </w:t>
      </w:r>
      <w:r w:rsidR="00BF44DD" w:rsidRPr="00104227">
        <w:rPr>
          <w:lang w:val="en-US"/>
        </w:rPr>
        <w:t xml:space="preserve">(vi) </w:t>
      </w:r>
      <w:r w:rsidR="00482E8D" w:rsidRPr="00104227">
        <w:rPr>
          <w:lang w:val="en-US"/>
        </w:rPr>
        <w:t>failure to investigate within a reasonable time because, to date, no one has been convicted. They also indicated that, despite the investig</w:t>
      </w:r>
      <w:r w:rsidR="0083127B" w:rsidRPr="00104227">
        <w:rPr>
          <w:lang w:val="en-US"/>
        </w:rPr>
        <w:t>a</w:t>
      </w:r>
      <w:r w:rsidR="00482E8D" w:rsidRPr="00104227">
        <w:rPr>
          <w:lang w:val="en-US"/>
        </w:rPr>
        <w:t xml:space="preserve">tions conducted in recent years, the obligation to investigate and to </w:t>
      </w:r>
      <w:r w:rsidR="0083127B" w:rsidRPr="00104227">
        <w:rPr>
          <w:lang w:val="en-US"/>
        </w:rPr>
        <w:t>clarify</w:t>
      </w:r>
      <w:r w:rsidR="00482E8D" w:rsidRPr="00104227">
        <w:rPr>
          <w:lang w:val="en-US"/>
        </w:rPr>
        <w:t xml:space="preserve"> the violations that were committed remains pending. </w:t>
      </w:r>
      <w:r w:rsidR="0083127B" w:rsidRPr="00104227">
        <w:rPr>
          <w:lang w:val="en-US"/>
        </w:rPr>
        <w:t>In addition, they</w:t>
      </w:r>
      <w:r w:rsidR="00482E8D" w:rsidRPr="00104227">
        <w:rPr>
          <w:lang w:val="en-US"/>
        </w:rPr>
        <w:t xml:space="preserve"> </w:t>
      </w:r>
      <w:r w:rsidR="00482E8D" w:rsidRPr="00104227">
        <w:rPr>
          <w:lang w:val="en-US"/>
        </w:rPr>
        <w:lastRenderedPageBreak/>
        <w:t>alle</w:t>
      </w:r>
      <w:r w:rsidR="0083127B" w:rsidRPr="00104227">
        <w:rPr>
          <w:lang w:val="en-US"/>
        </w:rPr>
        <w:t>g</w:t>
      </w:r>
      <w:r w:rsidR="00482E8D" w:rsidRPr="00104227">
        <w:rPr>
          <w:lang w:val="en-US"/>
        </w:rPr>
        <w:t>ed that the state of Mexico’s Law to Prevent and Punish Torture “requires proof that the purpose of the perpetrator was to obtain something from the victim or from a third party, which is contrary to</w:t>
      </w:r>
      <w:r w:rsidR="00482E8D" w:rsidRPr="00104227">
        <w:rPr>
          <w:b/>
          <w:lang w:val="en-US"/>
        </w:rPr>
        <w:t xml:space="preserve"> </w:t>
      </w:r>
      <w:r w:rsidR="00BF5241" w:rsidRPr="00104227">
        <w:rPr>
          <w:lang w:val="en-US"/>
        </w:rPr>
        <w:t>Article</w:t>
      </w:r>
      <w:r w:rsidR="00BF44DD" w:rsidRPr="00104227">
        <w:rPr>
          <w:lang w:val="en-US"/>
        </w:rPr>
        <w:t xml:space="preserve"> 2 </w:t>
      </w:r>
      <w:r w:rsidR="0074533B" w:rsidRPr="00104227">
        <w:rPr>
          <w:lang w:val="en-US"/>
        </w:rPr>
        <w:t>[</w:t>
      </w:r>
      <w:r w:rsidR="00DF0305" w:rsidRPr="00104227">
        <w:rPr>
          <w:lang w:val="en-US"/>
        </w:rPr>
        <w:t xml:space="preserve">of the </w:t>
      </w:r>
      <w:r w:rsidR="007E2382" w:rsidRPr="00104227">
        <w:rPr>
          <w:lang w:val="en-US"/>
        </w:rPr>
        <w:t>Inter-American Convention against Torture</w:t>
      </w:r>
      <w:r w:rsidR="0074533B" w:rsidRPr="00104227">
        <w:rPr>
          <w:lang w:val="en-US"/>
        </w:rPr>
        <w:t>]</w:t>
      </w:r>
      <w:r w:rsidR="00482E8D" w:rsidRPr="00104227">
        <w:rPr>
          <w:lang w:val="en-US"/>
        </w:rPr>
        <w:t>,</w:t>
      </w:r>
      <w:r w:rsidR="00BF44DD" w:rsidRPr="00104227">
        <w:rPr>
          <w:lang w:val="en-US"/>
        </w:rPr>
        <w:t>”</w:t>
      </w:r>
      <w:r w:rsidR="00BF5241" w:rsidRPr="00104227">
        <w:rPr>
          <w:lang w:val="en-US"/>
        </w:rPr>
        <w:t xml:space="preserve"> and </w:t>
      </w:r>
      <w:r w:rsidR="00482E8D" w:rsidRPr="00104227">
        <w:rPr>
          <w:lang w:val="en-US"/>
        </w:rPr>
        <w:t>that</w:t>
      </w:r>
      <w:r w:rsidR="00BF44DD" w:rsidRPr="00104227">
        <w:rPr>
          <w:lang w:val="en-US"/>
        </w:rPr>
        <w:t xml:space="preserve"> </w:t>
      </w:r>
      <w:r w:rsidR="00482E8D" w:rsidRPr="00104227">
        <w:rPr>
          <w:lang w:val="en-US"/>
        </w:rPr>
        <w:t>a</w:t>
      </w:r>
      <w:r w:rsidR="00BF5241" w:rsidRPr="00104227">
        <w:rPr>
          <w:lang w:val="en-US"/>
        </w:rPr>
        <w:t>rticle</w:t>
      </w:r>
      <w:r w:rsidR="00BF44DD" w:rsidRPr="00104227">
        <w:rPr>
          <w:lang w:val="en-US"/>
        </w:rPr>
        <w:t xml:space="preserve"> 3 </w:t>
      </w:r>
      <w:r w:rsidR="00482E8D" w:rsidRPr="00104227">
        <w:rPr>
          <w:lang w:val="en-US"/>
        </w:rPr>
        <w:t>of the Federal Law</w:t>
      </w:r>
      <w:r w:rsidR="00BF44DD" w:rsidRPr="00104227">
        <w:rPr>
          <w:lang w:val="en-US"/>
        </w:rPr>
        <w:t xml:space="preserve"> </w:t>
      </w:r>
      <w:r w:rsidR="00482E8D" w:rsidRPr="00104227">
        <w:rPr>
          <w:lang w:val="en-US"/>
        </w:rPr>
        <w:t>to Prevent and Punish Torture</w:t>
      </w:r>
      <w:r w:rsidR="005C5F33" w:rsidRPr="00104227">
        <w:rPr>
          <w:lang w:val="en-US"/>
        </w:rPr>
        <w:t xml:space="preserve"> currently</w:t>
      </w:r>
      <w:r w:rsidR="00482E8D" w:rsidRPr="00104227">
        <w:rPr>
          <w:lang w:val="en-US"/>
        </w:rPr>
        <w:t xml:space="preserve"> in force </w:t>
      </w:r>
      <w:r w:rsidR="005C5F33" w:rsidRPr="00104227">
        <w:rPr>
          <w:lang w:val="en-US"/>
        </w:rPr>
        <w:t>does not comply with the standa</w:t>
      </w:r>
      <w:r w:rsidR="0083127B" w:rsidRPr="00104227">
        <w:rPr>
          <w:lang w:val="en-US"/>
        </w:rPr>
        <w:t>r</w:t>
      </w:r>
      <w:r w:rsidR="005C5F33" w:rsidRPr="00104227">
        <w:rPr>
          <w:lang w:val="en-US"/>
        </w:rPr>
        <w:t>ds</w:t>
      </w:r>
      <w:r w:rsidR="00BF44DD" w:rsidRPr="00104227">
        <w:rPr>
          <w:lang w:val="en-US"/>
        </w:rPr>
        <w:t xml:space="preserve"> </w:t>
      </w:r>
      <w:r w:rsidR="0094395C" w:rsidRPr="00104227">
        <w:rPr>
          <w:lang w:val="en-US"/>
        </w:rPr>
        <w:t>established in</w:t>
      </w:r>
      <w:r w:rsidR="00BF44DD" w:rsidRPr="00104227">
        <w:rPr>
          <w:lang w:val="en-US"/>
        </w:rPr>
        <w:t xml:space="preserve"> </w:t>
      </w:r>
      <w:r w:rsidR="00BF5241" w:rsidRPr="00104227">
        <w:rPr>
          <w:lang w:val="en-US"/>
        </w:rPr>
        <w:t xml:space="preserve">the </w:t>
      </w:r>
      <w:r w:rsidR="005C5F33" w:rsidRPr="00104227">
        <w:rPr>
          <w:lang w:val="en-US"/>
        </w:rPr>
        <w:t xml:space="preserve">Inter-American </w:t>
      </w:r>
      <w:r w:rsidR="00BF5241" w:rsidRPr="00104227">
        <w:rPr>
          <w:lang w:val="en-US"/>
        </w:rPr>
        <w:t>Convention</w:t>
      </w:r>
      <w:r w:rsidR="005C5F33" w:rsidRPr="00104227">
        <w:rPr>
          <w:lang w:val="en-US"/>
        </w:rPr>
        <w:t xml:space="preserve"> against </w:t>
      </w:r>
      <w:r w:rsidR="00BC5201" w:rsidRPr="00104227">
        <w:rPr>
          <w:lang w:val="en-US"/>
        </w:rPr>
        <w:t>Torture</w:t>
      </w:r>
      <w:r w:rsidR="005C5F33" w:rsidRPr="00104227">
        <w:rPr>
          <w:lang w:val="en-US"/>
        </w:rPr>
        <w:t>.</w:t>
      </w:r>
      <w:r w:rsidR="00BF44DD" w:rsidRPr="00104227">
        <w:rPr>
          <w:lang w:val="en-US"/>
        </w:rPr>
        <w:t>”</w:t>
      </w:r>
      <w:r w:rsidR="005C5F33" w:rsidRPr="00104227">
        <w:rPr>
          <w:lang w:val="en-US"/>
        </w:rPr>
        <w:t xml:space="preserve"> Lastly, they asserted that “[t]he </w:t>
      </w:r>
      <w:r w:rsidR="0083127B" w:rsidRPr="00104227">
        <w:rPr>
          <w:lang w:val="en-US"/>
        </w:rPr>
        <w:t>S</w:t>
      </w:r>
      <w:r w:rsidR="005C5F33" w:rsidRPr="00104227">
        <w:rPr>
          <w:lang w:val="en-US"/>
        </w:rPr>
        <w:t>tate laws […] did not include procedures with a gender perspective […] in order to guarantee access to justice for women victims of torture,” and that “by f</w:t>
      </w:r>
      <w:r w:rsidR="0083127B" w:rsidRPr="00104227">
        <w:rPr>
          <w:lang w:val="en-US"/>
        </w:rPr>
        <w:t>a</w:t>
      </w:r>
      <w:r w:rsidR="005C5F33" w:rsidRPr="00104227">
        <w:rPr>
          <w:lang w:val="en-US"/>
        </w:rPr>
        <w:t xml:space="preserve">iling to adopt domestic legal provisions […] to respond appropriately to acts of </w:t>
      </w:r>
      <w:r w:rsidR="00F12946" w:rsidRPr="00104227">
        <w:rPr>
          <w:lang w:val="en-US"/>
        </w:rPr>
        <w:t>violence against women</w:t>
      </w:r>
      <w:r w:rsidR="00BF44DD" w:rsidRPr="00104227">
        <w:rPr>
          <w:lang w:val="en-US"/>
        </w:rPr>
        <w:t xml:space="preserve"> […] </w:t>
      </w:r>
      <w:r w:rsidR="00AC3BFC" w:rsidRPr="00104227">
        <w:rPr>
          <w:lang w:val="en-US"/>
        </w:rPr>
        <w:t>the Mexican State</w:t>
      </w:r>
      <w:r w:rsidR="00BF44DD" w:rsidRPr="00104227">
        <w:rPr>
          <w:lang w:val="en-US"/>
        </w:rPr>
        <w:t xml:space="preserve"> </w:t>
      </w:r>
      <w:r w:rsidR="005C5F33" w:rsidRPr="00104227">
        <w:rPr>
          <w:lang w:val="en-US"/>
        </w:rPr>
        <w:t xml:space="preserve">was internationally responsible for </w:t>
      </w:r>
      <w:r w:rsidR="0083127B" w:rsidRPr="00104227">
        <w:rPr>
          <w:lang w:val="en-US"/>
        </w:rPr>
        <w:t>non-compliance</w:t>
      </w:r>
      <w:r w:rsidR="005C5F33" w:rsidRPr="00104227">
        <w:rPr>
          <w:lang w:val="en-US"/>
        </w:rPr>
        <w:t xml:space="preserve"> with </w:t>
      </w:r>
      <w:r w:rsidR="00BF5241" w:rsidRPr="00104227">
        <w:rPr>
          <w:lang w:val="en-US"/>
        </w:rPr>
        <w:t>Article</w:t>
      </w:r>
      <w:r w:rsidR="00BF44DD" w:rsidRPr="00104227">
        <w:rPr>
          <w:lang w:val="en-US"/>
        </w:rPr>
        <w:t xml:space="preserve"> 2 </w:t>
      </w:r>
      <w:r w:rsidR="005C5F33" w:rsidRPr="00104227">
        <w:rPr>
          <w:lang w:val="en-US"/>
        </w:rPr>
        <w:t>of the</w:t>
      </w:r>
      <w:r w:rsidR="00BF44DD" w:rsidRPr="00104227">
        <w:rPr>
          <w:lang w:val="en-US"/>
        </w:rPr>
        <w:t xml:space="preserve"> </w:t>
      </w:r>
      <w:r w:rsidR="00B160D4" w:rsidRPr="00104227">
        <w:rPr>
          <w:lang w:val="en-US"/>
        </w:rPr>
        <w:t>[American</w:t>
      </w:r>
      <w:r w:rsidR="005C5F33" w:rsidRPr="00104227">
        <w:rPr>
          <w:lang w:val="en-US"/>
        </w:rPr>
        <w:t xml:space="preserve"> Convention</w:t>
      </w:r>
      <w:r w:rsidR="00B160D4" w:rsidRPr="00104227">
        <w:rPr>
          <w:lang w:val="en-US"/>
        </w:rPr>
        <w:t>]</w:t>
      </w:r>
      <w:r w:rsidR="005C5F33" w:rsidRPr="00104227">
        <w:rPr>
          <w:lang w:val="en-US"/>
        </w:rPr>
        <w:t>.</w:t>
      </w:r>
      <w:r w:rsidR="00BF44DD" w:rsidRPr="00104227">
        <w:rPr>
          <w:lang w:val="en-US"/>
        </w:rPr>
        <w:t xml:space="preserve">” </w:t>
      </w:r>
    </w:p>
    <w:p w14:paraId="3F01C8C5" w14:textId="77777777" w:rsidR="00204EA1" w:rsidRPr="00104227" w:rsidRDefault="00204EA1" w:rsidP="00E4619F">
      <w:pPr>
        <w:tabs>
          <w:tab w:val="left" w:pos="567"/>
        </w:tabs>
        <w:rPr>
          <w:lang w:eastAsia="es-MX"/>
        </w:rPr>
      </w:pPr>
    </w:p>
    <w:p w14:paraId="61640058" w14:textId="77F36B5D" w:rsidR="00BF44DD" w:rsidRPr="00104227" w:rsidRDefault="005C5F33" w:rsidP="00E4619F">
      <w:pPr>
        <w:pStyle w:val="Numberedparagraphs"/>
        <w:tabs>
          <w:tab w:val="left" w:pos="567"/>
        </w:tabs>
        <w:rPr>
          <w:lang w:val="en-US"/>
        </w:rPr>
      </w:pPr>
      <w:r w:rsidRPr="00104227">
        <w:rPr>
          <w:lang w:val="en-US"/>
        </w:rPr>
        <w:t xml:space="preserve">Meanwhile, </w:t>
      </w:r>
      <w:r w:rsidR="00AC3BFC" w:rsidRPr="00104227">
        <w:rPr>
          <w:lang w:val="en-US"/>
        </w:rPr>
        <w:t>the State</w:t>
      </w:r>
      <w:r w:rsidR="00BF44DD" w:rsidRPr="00104227">
        <w:rPr>
          <w:b/>
          <w:i/>
          <w:lang w:val="en-US"/>
        </w:rPr>
        <w:t xml:space="preserve"> </w:t>
      </w:r>
      <w:r w:rsidR="00BF44DD" w:rsidRPr="00104227">
        <w:rPr>
          <w:lang w:val="en-US"/>
        </w:rPr>
        <w:t>al</w:t>
      </w:r>
      <w:r w:rsidRPr="00104227">
        <w:rPr>
          <w:lang w:val="en-US"/>
        </w:rPr>
        <w:t xml:space="preserve">leged that: </w:t>
      </w:r>
      <w:r w:rsidR="00BF44DD" w:rsidRPr="00104227">
        <w:rPr>
          <w:lang w:val="en-US"/>
        </w:rPr>
        <w:t xml:space="preserve">(i) </w:t>
      </w:r>
      <w:r w:rsidRPr="00104227">
        <w:rPr>
          <w:lang w:val="en-US"/>
        </w:rPr>
        <w:t>the initial deficiencies had been rectified, eliminating the obstacles arising from the errors origin</w:t>
      </w:r>
      <w:r w:rsidR="0083127B" w:rsidRPr="00104227">
        <w:rPr>
          <w:lang w:val="en-US"/>
        </w:rPr>
        <w:t>a</w:t>
      </w:r>
      <w:r w:rsidRPr="00104227">
        <w:rPr>
          <w:lang w:val="en-US"/>
        </w:rPr>
        <w:t>lly committed, and (ii) that it had already investigated the chain of command and all those presumed to be responsible, adding that the Court did not have jurisdiction to rule on individual criminal responsibility.</w:t>
      </w:r>
    </w:p>
    <w:p w14:paraId="546E1233" w14:textId="77777777" w:rsidR="00BF44DD" w:rsidRPr="00104227" w:rsidRDefault="00BF44DD" w:rsidP="00E4619F">
      <w:pPr>
        <w:tabs>
          <w:tab w:val="left" w:pos="567"/>
        </w:tabs>
        <w:rPr>
          <w:lang w:eastAsia="es-CR"/>
        </w:rPr>
      </w:pPr>
    </w:p>
    <w:p w14:paraId="1DBD0D64" w14:textId="3CFDD7FF" w:rsidR="00BF44DD" w:rsidRPr="00104227" w:rsidRDefault="006E13F0" w:rsidP="00E4619F">
      <w:pPr>
        <w:pStyle w:val="Ttulo2"/>
        <w:ind w:left="1440"/>
        <w:rPr>
          <w:lang w:val="en-US"/>
        </w:rPr>
      </w:pPr>
      <w:bookmarkStart w:id="336" w:name="_Toc31290605"/>
      <w:r w:rsidRPr="00104227">
        <w:rPr>
          <w:lang w:val="en-US"/>
        </w:rPr>
        <w:t>Considerations</w:t>
      </w:r>
      <w:r w:rsidR="00BF5241" w:rsidRPr="00104227">
        <w:rPr>
          <w:lang w:val="en-US"/>
        </w:rPr>
        <w:t xml:space="preserve"> of the Court</w:t>
      </w:r>
      <w:bookmarkEnd w:id="336"/>
    </w:p>
    <w:p w14:paraId="78B76727" w14:textId="77777777" w:rsidR="00BF44DD" w:rsidRPr="00104227" w:rsidRDefault="00BF44DD" w:rsidP="00E4619F">
      <w:pPr>
        <w:tabs>
          <w:tab w:val="left" w:pos="567"/>
        </w:tabs>
        <w:rPr>
          <w:lang w:eastAsia="es-CR"/>
        </w:rPr>
      </w:pPr>
    </w:p>
    <w:p w14:paraId="56997049" w14:textId="4E86DB97" w:rsidR="00DA0929" w:rsidRPr="00104227" w:rsidRDefault="005C5F33" w:rsidP="00E4619F">
      <w:pPr>
        <w:pStyle w:val="Numberedparagraphs"/>
        <w:tabs>
          <w:tab w:val="left" w:pos="567"/>
        </w:tabs>
        <w:rPr>
          <w:lang w:val="en-US"/>
        </w:rPr>
      </w:pPr>
      <w:bookmarkStart w:id="337" w:name="_Ref532987565"/>
      <w:r w:rsidRPr="00104227">
        <w:rPr>
          <w:lang w:val="en-US" w:eastAsia="es-CR"/>
        </w:rPr>
        <w:t xml:space="preserve">First, </w:t>
      </w:r>
      <w:r w:rsidR="00BF5241" w:rsidRPr="00104227">
        <w:rPr>
          <w:lang w:val="en-US" w:eastAsia="es-CR"/>
        </w:rPr>
        <w:t>th</w:t>
      </w:r>
      <w:r w:rsidR="0083127B" w:rsidRPr="00104227">
        <w:rPr>
          <w:lang w:val="en-US" w:eastAsia="es-CR"/>
        </w:rPr>
        <w:t>e</w:t>
      </w:r>
      <w:r w:rsidR="00BF5241" w:rsidRPr="00104227">
        <w:rPr>
          <w:lang w:val="en-US" w:eastAsia="es-CR"/>
        </w:rPr>
        <w:t xml:space="preserve"> Court</w:t>
      </w:r>
      <w:r w:rsidR="00DA0929" w:rsidRPr="00104227">
        <w:rPr>
          <w:lang w:val="en-US" w:eastAsia="es-CR"/>
        </w:rPr>
        <w:t xml:space="preserve"> </w:t>
      </w:r>
      <w:r w:rsidRPr="00104227">
        <w:rPr>
          <w:lang w:val="en-US" w:eastAsia="es-CR"/>
        </w:rPr>
        <w:t>finds it necessary to note that this section refers to the investigations conduc</w:t>
      </w:r>
      <w:r w:rsidR="0083127B" w:rsidRPr="00104227">
        <w:rPr>
          <w:lang w:val="en-US" w:eastAsia="es-CR"/>
        </w:rPr>
        <w:t>te</w:t>
      </w:r>
      <w:r w:rsidRPr="00104227">
        <w:rPr>
          <w:lang w:val="en-US" w:eastAsia="es-CR"/>
        </w:rPr>
        <w:t xml:space="preserve">d </w:t>
      </w:r>
      <w:r w:rsidR="0083127B" w:rsidRPr="00104227">
        <w:rPr>
          <w:lang w:val="en-US" w:eastAsia="es-CR"/>
        </w:rPr>
        <w:t>into</w:t>
      </w:r>
      <w:r w:rsidRPr="00104227">
        <w:rPr>
          <w:lang w:val="en-US" w:eastAsia="es-CR"/>
        </w:rPr>
        <w:t xml:space="preserve"> the acts of </w:t>
      </w:r>
      <w:r w:rsidR="00BC5201" w:rsidRPr="00104227">
        <w:rPr>
          <w:lang w:val="en-US" w:eastAsia="es-CR"/>
        </w:rPr>
        <w:t>torture</w:t>
      </w:r>
      <w:r w:rsidR="00BF5241" w:rsidRPr="00104227">
        <w:rPr>
          <w:lang w:val="en-US" w:eastAsia="es-CR"/>
        </w:rPr>
        <w:t xml:space="preserve"> and </w:t>
      </w:r>
      <w:r w:rsidR="00D25554" w:rsidRPr="00104227">
        <w:rPr>
          <w:lang w:val="en-US" w:eastAsia="es-CR"/>
        </w:rPr>
        <w:t>sexual violence</w:t>
      </w:r>
      <w:r w:rsidR="00DA0929" w:rsidRPr="00104227">
        <w:rPr>
          <w:lang w:val="en-US" w:eastAsia="es-CR"/>
        </w:rPr>
        <w:t xml:space="preserve"> </w:t>
      </w:r>
      <w:r w:rsidRPr="00104227">
        <w:rPr>
          <w:lang w:val="en-US" w:eastAsia="es-CR"/>
        </w:rPr>
        <w:t xml:space="preserve">of which </w:t>
      </w:r>
      <w:r w:rsidR="00F12946" w:rsidRPr="00104227">
        <w:rPr>
          <w:lang w:val="en-US" w:eastAsia="es-CR"/>
        </w:rPr>
        <w:t>the eleven women</w:t>
      </w:r>
      <w:r w:rsidRPr="00104227">
        <w:rPr>
          <w:lang w:val="en-US" w:eastAsia="es-CR"/>
        </w:rPr>
        <w:t xml:space="preserve"> were victims, and not to the criminal proceedings that were instituted against them. Thus, since </w:t>
      </w:r>
      <w:r w:rsidR="002826A6" w:rsidRPr="00104227">
        <w:rPr>
          <w:lang w:val="en-US"/>
        </w:rPr>
        <w:t>the representatives</w:t>
      </w:r>
      <w:r w:rsidR="00DA0929" w:rsidRPr="00104227">
        <w:rPr>
          <w:lang w:val="en-US"/>
        </w:rPr>
        <w:t xml:space="preserve"> expres</w:t>
      </w:r>
      <w:r w:rsidRPr="00104227">
        <w:rPr>
          <w:lang w:val="en-US"/>
        </w:rPr>
        <w:t xml:space="preserve">sly indicated that they were not requesting a ruling “on the violations of the judicial guarantees </w:t>
      </w:r>
      <w:r w:rsidR="00BF5241" w:rsidRPr="00104227">
        <w:rPr>
          <w:lang w:val="en-US"/>
        </w:rPr>
        <w:t xml:space="preserve">and </w:t>
      </w:r>
      <w:r w:rsidR="00E466FA" w:rsidRPr="00104227">
        <w:rPr>
          <w:lang w:val="en-US"/>
        </w:rPr>
        <w:t>judicial protection</w:t>
      </w:r>
      <w:r w:rsidR="00DA0929" w:rsidRPr="00104227">
        <w:rPr>
          <w:lang w:val="en-US"/>
        </w:rPr>
        <w:t xml:space="preserve"> </w:t>
      </w:r>
      <w:r w:rsidR="00F12946" w:rsidRPr="00104227">
        <w:rPr>
          <w:lang w:val="en-US"/>
        </w:rPr>
        <w:t>of the eleven women</w:t>
      </w:r>
      <w:r w:rsidR="00DA0929" w:rsidRPr="00104227">
        <w:rPr>
          <w:lang w:val="en-US"/>
        </w:rPr>
        <w:t xml:space="preserve"> </w:t>
      </w:r>
      <w:r w:rsidRPr="00104227">
        <w:rPr>
          <w:lang w:val="en-US"/>
        </w:rPr>
        <w:t xml:space="preserve">during the criminal proceedings instituted </w:t>
      </w:r>
      <w:r w:rsidR="00F27D61" w:rsidRPr="00104227">
        <w:rPr>
          <w:lang w:val="en-US"/>
        </w:rPr>
        <w:t>against</w:t>
      </w:r>
      <w:r w:rsidRPr="00104227">
        <w:rPr>
          <w:lang w:val="en-US"/>
        </w:rPr>
        <w:t xml:space="preserve"> them,” the Court will not make this analysis.</w:t>
      </w:r>
      <w:bookmarkEnd w:id="337"/>
    </w:p>
    <w:p w14:paraId="2DBCB690" w14:textId="77777777" w:rsidR="00DA0929" w:rsidRPr="00104227" w:rsidRDefault="00DA0929" w:rsidP="00E4619F">
      <w:pPr>
        <w:tabs>
          <w:tab w:val="left" w:pos="567"/>
        </w:tabs>
        <w:rPr>
          <w:lang w:eastAsia="es-CR"/>
        </w:rPr>
      </w:pPr>
    </w:p>
    <w:p w14:paraId="43DAD306" w14:textId="08DA3F74" w:rsidR="00BF44DD" w:rsidRPr="00104227" w:rsidRDefault="00BF5241" w:rsidP="00E4619F">
      <w:pPr>
        <w:pStyle w:val="Numberedparagraphs"/>
        <w:tabs>
          <w:tab w:val="left" w:pos="567"/>
        </w:tabs>
        <w:rPr>
          <w:lang w:val="en-US"/>
        </w:rPr>
      </w:pPr>
      <w:r w:rsidRPr="00104227">
        <w:rPr>
          <w:lang w:val="en-US"/>
        </w:rPr>
        <w:t>Th</w:t>
      </w:r>
      <w:r w:rsidR="0083127B" w:rsidRPr="00104227">
        <w:rPr>
          <w:lang w:val="en-US"/>
        </w:rPr>
        <w:t>is</w:t>
      </w:r>
      <w:r w:rsidRPr="00104227">
        <w:rPr>
          <w:lang w:val="en-US"/>
        </w:rPr>
        <w:t xml:space="preserve"> Court</w:t>
      </w:r>
      <w:r w:rsidR="00BF44DD" w:rsidRPr="00104227">
        <w:rPr>
          <w:lang w:val="en-US"/>
        </w:rPr>
        <w:t xml:space="preserve"> ha</w:t>
      </w:r>
      <w:r w:rsidR="005C5F33" w:rsidRPr="00104227">
        <w:rPr>
          <w:lang w:val="en-US"/>
        </w:rPr>
        <w:t>s established that, pursuant to</w:t>
      </w:r>
      <w:r w:rsidR="00BF44DD" w:rsidRPr="00104227">
        <w:rPr>
          <w:lang w:val="en-US"/>
        </w:rPr>
        <w:t xml:space="preserve"> </w:t>
      </w:r>
      <w:r w:rsidRPr="00104227">
        <w:rPr>
          <w:lang w:val="en-US"/>
        </w:rPr>
        <w:t>the American Convention</w:t>
      </w:r>
      <w:r w:rsidR="00BF44DD" w:rsidRPr="00104227">
        <w:rPr>
          <w:lang w:val="en-US"/>
        </w:rPr>
        <w:t>,</w:t>
      </w:r>
      <w:r w:rsidR="005C5F33" w:rsidRPr="00104227">
        <w:rPr>
          <w:lang w:val="en-US"/>
        </w:rPr>
        <w:t xml:space="preserve"> the States Parties are obliged to provide effective judicial remedies to the victims of human right violations </w:t>
      </w:r>
      <w:r w:rsidR="00BF44DD" w:rsidRPr="00104227">
        <w:rPr>
          <w:lang w:val="en-US"/>
        </w:rPr>
        <w:t>(</w:t>
      </w:r>
      <w:r w:rsidRPr="00104227">
        <w:rPr>
          <w:lang w:val="en-US"/>
        </w:rPr>
        <w:t>Article</w:t>
      </w:r>
      <w:r w:rsidR="00BF44DD" w:rsidRPr="00104227">
        <w:rPr>
          <w:lang w:val="en-US"/>
        </w:rPr>
        <w:t xml:space="preserve"> 25), re</w:t>
      </w:r>
      <w:r w:rsidR="005C5F33" w:rsidRPr="00104227">
        <w:rPr>
          <w:lang w:val="en-US"/>
        </w:rPr>
        <w:t>medies that must be substant</w:t>
      </w:r>
      <w:r w:rsidR="00E03580" w:rsidRPr="00104227">
        <w:rPr>
          <w:lang w:val="en-US"/>
        </w:rPr>
        <w:t>iated in accordance with</w:t>
      </w:r>
      <w:r w:rsidR="0083127B" w:rsidRPr="00104227">
        <w:rPr>
          <w:lang w:val="en-US"/>
        </w:rPr>
        <w:t xml:space="preserve"> the</w:t>
      </w:r>
      <w:r w:rsidR="00E03580" w:rsidRPr="00104227">
        <w:rPr>
          <w:lang w:val="en-US"/>
        </w:rPr>
        <w:t xml:space="preserve"> rules of due process of law </w:t>
      </w:r>
      <w:r w:rsidR="00BF44DD" w:rsidRPr="00104227">
        <w:rPr>
          <w:lang w:val="en-US"/>
        </w:rPr>
        <w:t>(</w:t>
      </w:r>
      <w:r w:rsidRPr="00104227">
        <w:rPr>
          <w:lang w:val="en-US"/>
        </w:rPr>
        <w:t>Article</w:t>
      </w:r>
      <w:r w:rsidR="00BF44DD" w:rsidRPr="00104227">
        <w:rPr>
          <w:lang w:val="en-US"/>
        </w:rPr>
        <w:t xml:space="preserve"> </w:t>
      </w:r>
      <w:r w:rsidR="0094395C" w:rsidRPr="00104227">
        <w:rPr>
          <w:lang w:val="en-US"/>
        </w:rPr>
        <w:t>8(1)</w:t>
      </w:r>
      <w:r w:rsidR="00BF44DD" w:rsidRPr="00104227">
        <w:rPr>
          <w:lang w:val="en-US"/>
        </w:rPr>
        <w:t xml:space="preserve">), </w:t>
      </w:r>
      <w:r w:rsidR="00E03580" w:rsidRPr="00104227">
        <w:rPr>
          <w:lang w:val="en-US"/>
        </w:rPr>
        <w:t>all in keeping with the general obligation of th</w:t>
      </w:r>
      <w:r w:rsidR="0083127B" w:rsidRPr="00104227">
        <w:rPr>
          <w:lang w:val="en-US"/>
        </w:rPr>
        <w:t>o</w:t>
      </w:r>
      <w:r w:rsidR="00E03580" w:rsidRPr="00104227">
        <w:rPr>
          <w:lang w:val="en-US"/>
        </w:rPr>
        <w:t xml:space="preserve">se States to ensure the free and full exercise of the rights recognized by </w:t>
      </w:r>
      <w:r w:rsidRPr="00104227">
        <w:rPr>
          <w:lang w:val="en-US"/>
        </w:rPr>
        <w:t>the Convention</w:t>
      </w:r>
      <w:r w:rsidR="00BF44DD" w:rsidRPr="00104227">
        <w:rPr>
          <w:lang w:val="en-US"/>
        </w:rPr>
        <w:t xml:space="preserve"> </w:t>
      </w:r>
      <w:r w:rsidR="00E03580" w:rsidRPr="00104227">
        <w:rPr>
          <w:lang w:val="en-US"/>
        </w:rPr>
        <w:t>to every pe</w:t>
      </w:r>
      <w:r w:rsidR="0083127B" w:rsidRPr="00104227">
        <w:rPr>
          <w:lang w:val="en-US"/>
        </w:rPr>
        <w:t>r</w:t>
      </w:r>
      <w:r w:rsidR="00E03580" w:rsidRPr="00104227">
        <w:rPr>
          <w:lang w:val="en-US"/>
        </w:rPr>
        <w:t xml:space="preserve">son subject to their jurisdiction </w:t>
      </w:r>
      <w:r w:rsidR="00BF44DD" w:rsidRPr="00104227">
        <w:rPr>
          <w:lang w:val="en-US"/>
        </w:rPr>
        <w:t>(</w:t>
      </w:r>
      <w:r w:rsidR="00C2124F" w:rsidRPr="00104227">
        <w:rPr>
          <w:lang w:val="en-US"/>
        </w:rPr>
        <w:t>Article 1(1)</w:t>
      </w:r>
      <w:r w:rsidR="00BF44DD" w:rsidRPr="00104227">
        <w:rPr>
          <w:lang w:val="en-US"/>
        </w:rPr>
        <w:t>)</w:t>
      </w:r>
      <w:r w:rsidR="00E03580" w:rsidRPr="00104227">
        <w:rPr>
          <w:lang w:val="en-US"/>
        </w:rPr>
        <w:t>.</w:t>
      </w:r>
      <w:r w:rsidR="00BF44DD" w:rsidRPr="00104227">
        <w:rPr>
          <w:rStyle w:val="Refdenotaalpie"/>
          <w:lang w:val="en-US"/>
        </w:rPr>
        <w:footnoteReference w:id="363"/>
      </w:r>
      <w:r w:rsidR="00E03580" w:rsidRPr="00104227">
        <w:rPr>
          <w:lang w:val="en-US"/>
        </w:rPr>
        <w:t xml:space="preserve"> It has also indicated that the right of access to justice must ensure, within a reasonable time, the right</w:t>
      </w:r>
      <w:r w:rsidR="00BF44DD" w:rsidRPr="00104227">
        <w:rPr>
          <w:lang w:val="en-US"/>
        </w:rPr>
        <w:t xml:space="preserve"> </w:t>
      </w:r>
      <w:r w:rsidR="007F1912" w:rsidRPr="00104227">
        <w:rPr>
          <w:lang w:val="en-US"/>
        </w:rPr>
        <w:t xml:space="preserve">of the </w:t>
      </w:r>
      <w:r w:rsidR="00AA3133" w:rsidRPr="00104227">
        <w:rPr>
          <w:lang w:val="en-US"/>
        </w:rPr>
        <w:t>presumed victims</w:t>
      </w:r>
      <w:r w:rsidR="00BF44DD" w:rsidRPr="00104227">
        <w:rPr>
          <w:lang w:val="en-US"/>
        </w:rPr>
        <w:t xml:space="preserve"> o</w:t>
      </w:r>
      <w:r w:rsidR="00E03580" w:rsidRPr="00104227">
        <w:rPr>
          <w:lang w:val="en-US"/>
        </w:rPr>
        <w:t xml:space="preserve">r their next of kin that everything necessary is done to discover the truth of what happened, </w:t>
      </w:r>
      <w:r w:rsidR="0083127B" w:rsidRPr="00104227">
        <w:rPr>
          <w:lang w:val="en-US"/>
        </w:rPr>
        <w:t xml:space="preserve">and </w:t>
      </w:r>
      <w:r w:rsidR="00E03580" w:rsidRPr="00104227">
        <w:rPr>
          <w:lang w:val="en-US"/>
        </w:rPr>
        <w:t>to prosecute and to punish, as appropriate, those eventually found to be responsible.</w:t>
      </w:r>
      <w:r w:rsidR="00BF44DD" w:rsidRPr="00104227">
        <w:rPr>
          <w:rStyle w:val="Refdenotaalpie"/>
          <w:lang w:val="en-US"/>
        </w:rPr>
        <w:footnoteReference w:id="364"/>
      </w:r>
      <w:bookmarkStart w:id="338" w:name="_Ref375008252"/>
    </w:p>
    <w:p w14:paraId="677B08F4" w14:textId="77777777" w:rsidR="00204EA1" w:rsidRPr="00104227" w:rsidRDefault="00204EA1" w:rsidP="00E4619F">
      <w:pPr>
        <w:tabs>
          <w:tab w:val="left" w:pos="567"/>
        </w:tabs>
        <w:rPr>
          <w:lang w:eastAsia="es-MX"/>
        </w:rPr>
      </w:pPr>
    </w:p>
    <w:p w14:paraId="3CDE532A" w14:textId="64CA4C97" w:rsidR="00BF44DD" w:rsidRPr="00104227" w:rsidRDefault="00E03580" w:rsidP="00E4619F">
      <w:pPr>
        <w:pStyle w:val="Numberedparagraphs"/>
        <w:tabs>
          <w:tab w:val="left" w:pos="567"/>
        </w:tabs>
        <w:rPr>
          <w:rFonts w:cs="Arial"/>
          <w:i/>
          <w:lang w:val="en-US"/>
        </w:rPr>
      </w:pPr>
      <w:r w:rsidRPr="00104227">
        <w:rPr>
          <w:lang w:val="en-US"/>
        </w:rPr>
        <w:t>In addition, the Court recalls that the Stat</w:t>
      </w:r>
      <w:r w:rsidR="00D20C9A" w:rsidRPr="00104227">
        <w:rPr>
          <w:lang w:val="en-US"/>
        </w:rPr>
        <w:t>e</w:t>
      </w:r>
      <w:r w:rsidRPr="00104227">
        <w:rPr>
          <w:lang w:val="en-US"/>
        </w:rPr>
        <w:t xml:space="preserve"> </w:t>
      </w:r>
      <w:r w:rsidR="00F27D61" w:rsidRPr="00104227">
        <w:rPr>
          <w:lang w:val="en-US"/>
        </w:rPr>
        <w:t>acknowledged</w:t>
      </w:r>
      <w:r w:rsidRPr="00104227">
        <w:rPr>
          <w:lang w:val="en-US"/>
        </w:rPr>
        <w:t xml:space="preserve"> its intern</w:t>
      </w:r>
      <w:r w:rsidR="0083127B" w:rsidRPr="00104227">
        <w:rPr>
          <w:lang w:val="en-US"/>
        </w:rPr>
        <w:t>a</w:t>
      </w:r>
      <w:r w:rsidRPr="00104227">
        <w:rPr>
          <w:lang w:val="en-US"/>
        </w:rPr>
        <w:t xml:space="preserve">tional responsibility with regard to the rights to </w:t>
      </w:r>
      <w:r w:rsidR="0094395C" w:rsidRPr="00104227">
        <w:rPr>
          <w:lang w:val="en-US"/>
        </w:rPr>
        <w:t>judicial guarantees</w:t>
      </w:r>
      <w:r w:rsidR="00BF5241" w:rsidRPr="00104227">
        <w:rPr>
          <w:lang w:val="en-US"/>
        </w:rPr>
        <w:t xml:space="preserve"> and </w:t>
      </w:r>
      <w:r w:rsidR="00E466FA" w:rsidRPr="00104227">
        <w:rPr>
          <w:lang w:val="en-US"/>
        </w:rPr>
        <w:t>judicial protection</w:t>
      </w:r>
      <w:r w:rsidR="00BF44DD" w:rsidRPr="00104227">
        <w:rPr>
          <w:lang w:val="en-US"/>
        </w:rPr>
        <w:t xml:space="preserve"> </w:t>
      </w:r>
      <w:r w:rsidR="00E466FA" w:rsidRPr="00104227">
        <w:rPr>
          <w:lang w:val="en-US"/>
        </w:rPr>
        <w:t>and equality before the law</w:t>
      </w:r>
      <w:r w:rsidR="00BF44DD" w:rsidRPr="00104227">
        <w:rPr>
          <w:lang w:val="en-US"/>
        </w:rPr>
        <w:t>, (</w:t>
      </w:r>
      <w:r w:rsidR="00BF5241" w:rsidRPr="00104227">
        <w:rPr>
          <w:lang w:val="en-US"/>
        </w:rPr>
        <w:t>Article</w:t>
      </w:r>
      <w:r w:rsidR="00BF44DD" w:rsidRPr="00104227">
        <w:rPr>
          <w:lang w:val="en-US"/>
        </w:rPr>
        <w:t>s 8, 24</w:t>
      </w:r>
      <w:r w:rsidR="00BF5241" w:rsidRPr="00104227">
        <w:rPr>
          <w:lang w:val="en-US"/>
        </w:rPr>
        <w:t xml:space="preserve"> and </w:t>
      </w:r>
      <w:r w:rsidR="00BF44DD" w:rsidRPr="00104227">
        <w:rPr>
          <w:lang w:val="en-US"/>
        </w:rPr>
        <w:t>25</w:t>
      </w:r>
      <w:r w:rsidR="00BF5241" w:rsidRPr="00104227">
        <w:rPr>
          <w:lang w:val="en-US"/>
        </w:rPr>
        <w:t xml:space="preserve"> of the Convention</w:t>
      </w:r>
      <w:r w:rsidR="00BF44DD" w:rsidRPr="00104227">
        <w:rPr>
          <w:lang w:val="en-US"/>
        </w:rPr>
        <w:t>)</w:t>
      </w:r>
      <w:r w:rsidR="00BF5241" w:rsidRPr="00104227">
        <w:rPr>
          <w:lang w:val="en-US"/>
        </w:rPr>
        <w:t xml:space="preserve"> and </w:t>
      </w:r>
      <w:r w:rsidRPr="00104227">
        <w:rPr>
          <w:lang w:val="en-US"/>
        </w:rPr>
        <w:t xml:space="preserve">the obligation to investigate acts of </w:t>
      </w:r>
      <w:r w:rsidR="00BC5201" w:rsidRPr="00104227">
        <w:rPr>
          <w:lang w:val="en-US"/>
        </w:rPr>
        <w:t>torture</w:t>
      </w:r>
      <w:r w:rsidR="00BF5241" w:rsidRPr="00104227">
        <w:rPr>
          <w:lang w:val="en-US"/>
        </w:rPr>
        <w:t xml:space="preserve"> and</w:t>
      </w:r>
      <w:r w:rsidR="00BF44DD" w:rsidRPr="00104227">
        <w:rPr>
          <w:lang w:val="en-US"/>
        </w:rPr>
        <w:t xml:space="preserve"> </w:t>
      </w:r>
      <w:r w:rsidR="00F12946" w:rsidRPr="00104227">
        <w:rPr>
          <w:lang w:val="en-US"/>
        </w:rPr>
        <w:t>violence against women</w:t>
      </w:r>
      <w:r w:rsidR="00BF44DD" w:rsidRPr="00104227">
        <w:rPr>
          <w:lang w:val="en-US"/>
        </w:rPr>
        <w:t xml:space="preserve"> (</w:t>
      </w:r>
      <w:r w:rsidR="00BF5241" w:rsidRPr="00104227">
        <w:rPr>
          <w:lang w:val="en-US"/>
        </w:rPr>
        <w:t>Article</w:t>
      </w:r>
      <w:r w:rsidR="00BF44DD" w:rsidRPr="00104227">
        <w:rPr>
          <w:lang w:val="en-US"/>
        </w:rPr>
        <w:t>s 1, 6</w:t>
      </w:r>
      <w:r w:rsidR="00BF5241" w:rsidRPr="00104227">
        <w:rPr>
          <w:lang w:val="en-US"/>
        </w:rPr>
        <w:t xml:space="preserve"> and </w:t>
      </w:r>
      <w:r w:rsidR="00BF44DD" w:rsidRPr="00104227">
        <w:rPr>
          <w:lang w:val="en-US"/>
        </w:rPr>
        <w:t>8</w:t>
      </w:r>
      <w:r w:rsidR="00BF5241" w:rsidRPr="00104227">
        <w:rPr>
          <w:lang w:val="en-US"/>
        </w:rPr>
        <w:t xml:space="preserve"> of the </w:t>
      </w:r>
      <w:r w:rsidR="007E2382" w:rsidRPr="00104227">
        <w:rPr>
          <w:lang w:val="en-US"/>
        </w:rPr>
        <w:t>Inter-American Convention against Torture</w:t>
      </w:r>
      <w:r w:rsidR="00BF5241" w:rsidRPr="00104227">
        <w:rPr>
          <w:lang w:val="en-US"/>
        </w:rPr>
        <w:t xml:space="preserve"> and </w:t>
      </w:r>
      <w:r w:rsidR="00BF44DD" w:rsidRPr="00104227">
        <w:rPr>
          <w:lang w:val="en-US"/>
        </w:rPr>
        <w:t>7</w:t>
      </w:r>
      <w:r w:rsidR="00BF5241" w:rsidRPr="00104227">
        <w:rPr>
          <w:lang w:val="en-US"/>
        </w:rPr>
        <w:t xml:space="preserve"> of the Convention</w:t>
      </w:r>
      <w:r w:rsidR="00BF44DD" w:rsidRPr="00104227">
        <w:rPr>
          <w:lang w:val="en-US"/>
        </w:rPr>
        <w:t xml:space="preserve"> </w:t>
      </w:r>
      <w:r w:rsidR="0094395C" w:rsidRPr="00104227">
        <w:rPr>
          <w:lang w:val="en-US"/>
        </w:rPr>
        <w:t>of Belém</w:t>
      </w:r>
      <w:r w:rsidR="00BF44DD" w:rsidRPr="00104227">
        <w:rPr>
          <w:lang w:val="en-US"/>
        </w:rPr>
        <w:t xml:space="preserve"> do Pará), </w:t>
      </w:r>
      <w:r w:rsidRPr="00104227">
        <w:rPr>
          <w:lang w:val="en-US"/>
        </w:rPr>
        <w:t xml:space="preserve">owing to the initial failure to investigate </w:t>
      </w:r>
      <w:r w:rsidR="00BF44DD" w:rsidRPr="00104227">
        <w:rPr>
          <w:i/>
          <w:lang w:val="en-US"/>
        </w:rPr>
        <w:t>ex officio</w:t>
      </w:r>
      <w:r w:rsidR="00BF44DD" w:rsidRPr="00104227">
        <w:rPr>
          <w:lang w:val="en-US"/>
        </w:rPr>
        <w:t xml:space="preserve"> </w:t>
      </w:r>
      <w:r w:rsidRPr="00104227">
        <w:rPr>
          <w:lang w:val="en-US"/>
        </w:rPr>
        <w:t>the facts and the inappropriate definition of the offenses</w:t>
      </w:r>
      <w:r w:rsidR="0083127B" w:rsidRPr="00104227">
        <w:rPr>
          <w:lang w:val="en-US"/>
        </w:rPr>
        <w:t xml:space="preserve"> at the start</w:t>
      </w:r>
      <w:r w:rsidR="00BF44DD" w:rsidRPr="00104227">
        <w:rPr>
          <w:lang w:val="en-US"/>
        </w:rPr>
        <w:t xml:space="preserve">. </w:t>
      </w:r>
      <w:r w:rsidRPr="00104227">
        <w:rPr>
          <w:lang w:val="en-US"/>
        </w:rPr>
        <w:t>The</w:t>
      </w:r>
      <w:r w:rsidR="00AC3BFC" w:rsidRPr="00104227">
        <w:rPr>
          <w:lang w:val="en-US"/>
        </w:rPr>
        <w:t xml:space="preserve"> State</w:t>
      </w:r>
      <w:r w:rsidRPr="00104227">
        <w:rPr>
          <w:lang w:val="en-US"/>
        </w:rPr>
        <w:t xml:space="preserve"> also acknowledged its international responsibility in this case for the v</w:t>
      </w:r>
      <w:r w:rsidR="00E466FA" w:rsidRPr="00104227">
        <w:rPr>
          <w:lang w:val="en-US"/>
        </w:rPr>
        <w:t>iolation of</w:t>
      </w:r>
      <w:r w:rsidR="00BF44DD" w:rsidRPr="00104227">
        <w:rPr>
          <w:lang w:val="en-US"/>
        </w:rPr>
        <w:t xml:space="preserve"> </w:t>
      </w:r>
      <w:r w:rsidRPr="00104227">
        <w:rPr>
          <w:lang w:val="en-US"/>
        </w:rPr>
        <w:t>its obligation to adopt domestic legal provisions to ensure the exercise of the right</w:t>
      </w:r>
      <w:r w:rsidR="0083127B" w:rsidRPr="00104227">
        <w:rPr>
          <w:lang w:val="en-US"/>
        </w:rPr>
        <w:t>s</w:t>
      </w:r>
      <w:r w:rsidRPr="00104227">
        <w:rPr>
          <w:lang w:val="en-US"/>
        </w:rPr>
        <w:t xml:space="preserve"> and freedoms </w:t>
      </w:r>
      <w:r w:rsidR="00E466FA" w:rsidRPr="00104227">
        <w:rPr>
          <w:lang w:val="en-US"/>
        </w:rPr>
        <w:t>recognized in</w:t>
      </w:r>
      <w:r w:rsidR="00BF44DD" w:rsidRPr="00104227">
        <w:rPr>
          <w:lang w:val="en-US"/>
        </w:rPr>
        <w:t xml:space="preserve"> </w:t>
      </w:r>
      <w:r w:rsidR="00BF5241" w:rsidRPr="00104227">
        <w:rPr>
          <w:lang w:val="en-US"/>
        </w:rPr>
        <w:t>the Convention</w:t>
      </w:r>
      <w:r w:rsidR="00BF44DD" w:rsidRPr="00104227">
        <w:rPr>
          <w:lang w:val="en-US"/>
        </w:rPr>
        <w:t xml:space="preserve">, </w:t>
      </w:r>
      <w:r w:rsidR="00BF5241" w:rsidRPr="00104227">
        <w:rPr>
          <w:lang w:val="en-US"/>
        </w:rPr>
        <w:t xml:space="preserve">the </w:t>
      </w:r>
      <w:r w:rsidR="007E2382" w:rsidRPr="00104227">
        <w:rPr>
          <w:lang w:val="en-US"/>
        </w:rPr>
        <w:t>Inter-American Convention against Torture</w:t>
      </w:r>
      <w:r w:rsidR="0083127B" w:rsidRPr="00104227">
        <w:rPr>
          <w:lang w:val="en-US"/>
        </w:rPr>
        <w:t>,</w:t>
      </w:r>
      <w:r w:rsidR="00BF5241" w:rsidRPr="00104227">
        <w:rPr>
          <w:lang w:val="en-US"/>
        </w:rPr>
        <w:t xml:space="preserve"> and the Convention</w:t>
      </w:r>
      <w:r w:rsidR="00BF44DD" w:rsidRPr="00104227">
        <w:rPr>
          <w:lang w:val="en-US"/>
        </w:rPr>
        <w:t xml:space="preserve"> </w:t>
      </w:r>
      <w:r w:rsidR="0094395C" w:rsidRPr="00104227">
        <w:rPr>
          <w:lang w:val="en-US"/>
        </w:rPr>
        <w:t>of Belém</w:t>
      </w:r>
      <w:r w:rsidR="00BF44DD" w:rsidRPr="00104227">
        <w:rPr>
          <w:lang w:val="en-US"/>
        </w:rPr>
        <w:t xml:space="preserve"> do Pará, </w:t>
      </w:r>
      <w:r w:rsidRPr="00104227">
        <w:rPr>
          <w:lang w:val="en-US"/>
        </w:rPr>
        <w:t>in</w:t>
      </w:r>
      <w:r w:rsidR="00BF44DD" w:rsidRPr="00104227">
        <w:rPr>
          <w:lang w:val="en-US"/>
        </w:rPr>
        <w:t xml:space="preserve"> </w:t>
      </w:r>
      <w:r w:rsidR="00C2124F" w:rsidRPr="00104227">
        <w:rPr>
          <w:lang w:val="en-US"/>
        </w:rPr>
        <w:t>Articles 1(1)</w:t>
      </w:r>
      <w:r w:rsidR="00BF5241" w:rsidRPr="00104227">
        <w:rPr>
          <w:lang w:val="en-US"/>
        </w:rPr>
        <w:t xml:space="preserve"> and </w:t>
      </w:r>
      <w:r w:rsidR="00BF44DD" w:rsidRPr="00104227">
        <w:rPr>
          <w:lang w:val="en-US"/>
        </w:rPr>
        <w:t>2</w:t>
      </w:r>
      <w:r w:rsidR="00BF5241" w:rsidRPr="00104227">
        <w:rPr>
          <w:lang w:val="en-US"/>
        </w:rPr>
        <w:t xml:space="preserve"> of the Convention</w:t>
      </w:r>
      <w:r w:rsidR="00BF44DD" w:rsidRPr="00104227">
        <w:rPr>
          <w:lang w:val="en-US"/>
        </w:rPr>
        <w:t xml:space="preserve">, </w:t>
      </w:r>
      <w:r w:rsidR="00BF5241" w:rsidRPr="00104227">
        <w:rPr>
          <w:lang w:val="en-US"/>
        </w:rPr>
        <w:t>Articles</w:t>
      </w:r>
      <w:r w:rsidR="00BF44DD" w:rsidRPr="00104227">
        <w:rPr>
          <w:lang w:val="en-US"/>
        </w:rPr>
        <w:t xml:space="preserve"> 1, 6</w:t>
      </w:r>
      <w:r w:rsidR="00BF5241" w:rsidRPr="00104227">
        <w:rPr>
          <w:lang w:val="en-US"/>
        </w:rPr>
        <w:t xml:space="preserve"> and </w:t>
      </w:r>
      <w:r w:rsidR="00BF44DD" w:rsidRPr="00104227">
        <w:rPr>
          <w:lang w:val="en-US"/>
        </w:rPr>
        <w:t>8</w:t>
      </w:r>
      <w:r w:rsidR="00BF5241" w:rsidRPr="00104227">
        <w:rPr>
          <w:lang w:val="en-US"/>
        </w:rPr>
        <w:t xml:space="preserve"> of the </w:t>
      </w:r>
      <w:r w:rsidR="007E2382" w:rsidRPr="00104227">
        <w:rPr>
          <w:lang w:val="en-US"/>
        </w:rPr>
        <w:t>Inter-American Convention against Torture</w:t>
      </w:r>
      <w:r w:rsidRPr="00104227">
        <w:rPr>
          <w:lang w:val="en-US"/>
        </w:rPr>
        <w:t>,</w:t>
      </w:r>
      <w:r w:rsidR="00BF5241" w:rsidRPr="00104227">
        <w:rPr>
          <w:lang w:val="en-US"/>
        </w:rPr>
        <w:t xml:space="preserve"> </w:t>
      </w:r>
      <w:r w:rsidR="00BF5241" w:rsidRPr="00104227">
        <w:rPr>
          <w:lang w:val="en-US"/>
        </w:rPr>
        <w:lastRenderedPageBreak/>
        <w:t>and Articles</w:t>
      </w:r>
      <w:r w:rsidR="00BF44DD" w:rsidRPr="00104227">
        <w:rPr>
          <w:lang w:val="en-US"/>
        </w:rPr>
        <w:t xml:space="preserve"> 7</w:t>
      </w:r>
      <w:r w:rsidRPr="00104227">
        <w:rPr>
          <w:lang w:val="en-US"/>
        </w:rPr>
        <w:t>(</w:t>
      </w:r>
      <w:r w:rsidR="00BF44DD" w:rsidRPr="00104227">
        <w:rPr>
          <w:lang w:val="en-US"/>
        </w:rPr>
        <w:t>c), 7</w:t>
      </w:r>
      <w:r w:rsidRPr="00104227">
        <w:rPr>
          <w:lang w:val="en-US"/>
        </w:rPr>
        <w:t>(</w:t>
      </w:r>
      <w:r w:rsidR="00BF44DD" w:rsidRPr="00104227">
        <w:rPr>
          <w:lang w:val="en-US"/>
        </w:rPr>
        <w:t>e)</w:t>
      </w:r>
      <w:r w:rsidR="00BF5241" w:rsidRPr="00104227">
        <w:rPr>
          <w:lang w:val="en-US"/>
        </w:rPr>
        <w:t xml:space="preserve"> and </w:t>
      </w:r>
      <w:r w:rsidR="00BF44DD" w:rsidRPr="00104227">
        <w:rPr>
          <w:lang w:val="en-US"/>
        </w:rPr>
        <w:t>7</w:t>
      </w:r>
      <w:r w:rsidRPr="00104227">
        <w:rPr>
          <w:lang w:val="en-US"/>
        </w:rPr>
        <w:t>(</w:t>
      </w:r>
      <w:r w:rsidR="00BF44DD" w:rsidRPr="00104227">
        <w:rPr>
          <w:lang w:val="en-US"/>
        </w:rPr>
        <w:t>h)</w:t>
      </w:r>
      <w:r w:rsidR="00BF5241" w:rsidRPr="00104227">
        <w:rPr>
          <w:lang w:val="en-US"/>
        </w:rPr>
        <w:t xml:space="preserve"> of the Convention</w:t>
      </w:r>
      <w:r w:rsidR="00BF44DD" w:rsidRPr="00104227">
        <w:rPr>
          <w:lang w:val="en-US"/>
        </w:rPr>
        <w:t xml:space="preserve"> </w:t>
      </w:r>
      <w:r w:rsidR="0094395C" w:rsidRPr="00104227">
        <w:rPr>
          <w:lang w:val="en-US"/>
        </w:rPr>
        <w:t>of Belém</w:t>
      </w:r>
      <w:r w:rsidR="00BF44DD" w:rsidRPr="00104227">
        <w:rPr>
          <w:lang w:val="en-US"/>
        </w:rPr>
        <w:t xml:space="preserve"> do Pará, </w:t>
      </w:r>
      <w:r w:rsidRPr="00104227">
        <w:rPr>
          <w:lang w:val="en-US"/>
        </w:rPr>
        <w:t>owing to the absence of an internal legal framework on the u</w:t>
      </w:r>
      <w:r w:rsidR="00A23F38" w:rsidRPr="00104227">
        <w:rPr>
          <w:lang w:val="en-US"/>
        </w:rPr>
        <w:t>se of force</w:t>
      </w:r>
      <w:r w:rsidR="00BF5241" w:rsidRPr="00104227">
        <w:rPr>
          <w:lang w:val="en-US"/>
        </w:rPr>
        <w:t xml:space="preserve"> and </w:t>
      </w:r>
      <w:r w:rsidR="00BC5201" w:rsidRPr="00104227">
        <w:rPr>
          <w:lang w:val="en-US"/>
        </w:rPr>
        <w:t>torture</w:t>
      </w:r>
      <w:r w:rsidR="00BF44DD" w:rsidRPr="00104227">
        <w:rPr>
          <w:lang w:val="en-US"/>
        </w:rPr>
        <w:t xml:space="preserve"> a</w:t>
      </w:r>
      <w:r w:rsidRPr="00104227">
        <w:rPr>
          <w:lang w:val="en-US"/>
        </w:rPr>
        <w:t xml:space="preserve">t the time of the facts. </w:t>
      </w:r>
      <w:r w:rsidR="0083127B" w:rsidRPr="00104227">
        <w:rPr>
          <w:lang w:val="en-US"/>
        </w:rPr>
        <w:t>Thus, the</w:t>
      </w:r>
      <w:r w:rsidRPr="00104227">
        <w:rPr>
          <w:lang w:val="en-US"/>
        </w:rPr>
        <w:t xml:space="preserve"> Court </w:t>
      </w:r>
      <w:r w:rsidR="0083127B" w:rsidRPr="00104227">
        <w:rPr>
          <w:lang w:val="en-US"/>
        </w:rPr>
        <w:t xml:space="preserve">has </w:t>
      </w:r>
      <w:r w:rsidRPr="00104227">
        <w:rPr>
          <w:lang w:val="en-US"/>
        </w:rPr>
        <w:t>consider</w:t>
      </w:r>
      <w:r w:rsidR="0083127B" w:rsidRPr="00104227">
        <w:rPr>
          <w:lang w:val="en-US"/>
        </w:rPr>
        <w:t>ed</w:t>
      </w:r>
      <w:r w:rsidRPr="00104227">
        <w:rPr>
          <w:lang w:val="en-US"/>
        </w:rPr>
        <w:t xml:space="preserve"> that the dispute has ceased on th</w:t>
      </w:r>
      <w:r w:rsidR="0083127B" w:rsidRPr="00104227">
        <w:rPr>
          <w:lang w:val="en-US"/>
        </w:rPr>
        <w:t>o</w:t>
      </w:r>
      <w:r w:rsidRPr="00104227">
        <w:rPr>
          <w:lang w:val="en-US"/>
        </w:rPr>
        <w:t>se issues</w:t>
      </w:r>
      <w:r w:rsidR="0083127B" w:rsidRPr="00104227">
        <w:rPr>
          <w:lang w:val="en-US"/>
        </w:rPr>
        <w:t xml:space="preserve"> and </w:t>
      </w:r>
      <w:r w:rsidRPr="00104227">
        <w:rPr>
          <w:lang w:val="en-US"/>
        </w:rPr>
        <w:t>will not refer to them in its consider</w:t>
      </w:r>
      <w:r w:rsidR="002F4A3C" w:rsidRPr="00104227">
        <w:rPr>
          <w:lang w:val="en-US"/>
        </w:rPr>
        <w:t>a</w:t>
      </w:r>
      <w:r w:rsidRPr="00104227">
        <w:rPr>
          <w:lang w:val="en-US"/>
        </w:rPr>
        <w:t>tions</w:t>
      </w:r>
      <w:r w:rsidR="0083127B" w:rsidRPr="00104227">
        <w:rPr>
          <w:lang w:val="en-US"/>
        </w:rPr>
        <w:t>,</w:t>
      </w:r>
      <w:r w:rsidRPr="00104227">
        <w:rPr>
          <w:lang w:val="en-US"/>
        </w:rPr>
        <w:t xml:space="preserve"> and finds that the State is responsible for the violation of those rights</w:t>
      </w:r>
      <w:r w:rsidR="002F4A3C" w:rsidRPr="00104227">
        <w:rPr>
          <w:lang w:val="en-US"/>
        </w:rPr>
        <w:t xml:space="preserve"> </w:t>
      </w:r>
      <w:r w:rsidR="00C2124F" w:rsidRPr="00104227">
        <w:rPr>
          <w:rFonts w:cs="Arial"/>
          <w:lang w:val="en-US"/>
        </w:rPr>
        <w:t>to the detriment of</w:t>
      </w:r>
      <w:r w:rsidR="00BF44DD" w:rsidRPr="00104227">
        <w:rPr>
          <w:rFonts w:cs="Arial"/>
          <w:lang w:val="en-US"/>
        </w:rPr>
        <w:t xml:space="preserve"> </w:t>
      </w:r>
      <w:r w:rsidR="00F12946" w:rsidRPr="00104227">
        <w:rPr>
          <w:rFonts w:cs="Arial"/>
          <w:lang w:val="en-US"/>
        </w:rPr>
        <w:t>the eleven women</w:t>
      </w:r>
      <w:r w:rsidR="00BF44DD" w:rsidRPr="00104227">
        <w:rPr>
          <w:rFonts w:cs="Arial"/>
          <w:lang w:val="en-US"/>
        </w:rPr>
        <w:t xml:space="preserve"> </w:t>
      </w:r>
      <w:r w:rsidR="00844C80" w:rsidRPr="00104227">
        <w:rPr>
          <w:rFonts w:cs="Arial"/>
          <w:lang w:val="en-US"/>
        </w:rPr>
        <w:t>victims in this case</w:t>
      </w:r>
      <w:r w:rsidR="00BF44DD" w:rsidRPr="00104227">
        <w:rPr>
          <w:rFonts w:cs="Arial"/>
          <w:lang w:val="en-US"/>
        </w:rPr>
        <w:t>.</w:t>
      </w:r>
    </w:p>
    <w:p w14:paraId="38293EC3" w14:textId="77777777" w:rsidR="00BF44DD" w:rsidRPr="00104227" w:rsidRDefault="00BF44DD" w:rsidP="00E4619F">
      <w:pPr>
        <w:tabs>
          <w:tab w:val="left" w:pos="567"/>
        </w:tabs>
        <w:rPr>
          <w:rFonts w:cs="Arial"/>
          <w:i/>
        </w:rPr>
      </w:pPr>
    </w:p>
    <w:p w14:paraId="215983C7" w14:textId="75213688" w:rsidR="00BF44DD" w:rsidRPr="00104227" w:rsidRDefault="00BF44DD" w:rsidP="00E4619F">
      <w:pPr>
        <w:pStyle w:val="Numberedparagraphs"/>
        <w:tabs>
          <w:tab w:val="left" w:pos="567"/>
        </w:tabs>
        <w:rPr>
          <w:lang w:val="en-US"/>
        </w:rPr>
      </w:pPr>
      <w:r w:rsidRPr="00104227">
        <w:rPr>
          <w:lang w:val="en-US"/>
        </w:rPr>
        <w:t>T</w:t>
      </w:r>
      <w:r w:rsidR="002F4A3C" w:rsidRPr="00104227">
        <w:rPr>
          <w:lang w:val="en-US"/>
        </w:rPr>
        <w:t>aking the above into account, the Court will no</w:t>
      </w:r>
      <w:r w:rsidR="00114B35" w:rsidRPr="00104227">
        <w:rPr>
          <w:lang w:val="en-US"/>
        </w:rPr>
        <w:t>w</w:t>
      </w:r>
      <w:r w:rsidR="002F4A3C" w:rsidRPr="00104227">
        <w:rPr>
          <w:lang w:val="en-US"/>
        </w:rPr>
        <w:t xml:space="preserve"> an</w:t>
      </w:r>
      <w:r w:rsidR="0083127B" w:rsidRPr="00104227">
        <w:rPr>
          <w:lang w:val="en-US"/>
        </w:rPr>
        <w:t>a</w:t>
      </w:r>
      <w:r w:rsidR="002F4A3C" w:rsidRPr="00104227">
        <w:rPr>
          <w:lang w:val="en-US"/>
        </w:rPr>
        <w:t xml:space="preserve">lyze: due diligence in the investigation and </w:t>
      </w:r>
      <w:r w:rsidR="00114B35" w:rsidRPr="00104227">
        <w:rPr>
          <w:lang w:val="en-US"/>
        </w:rPr>
        <w:t xml:space="preserve">the </w:t>
      </w:r>
      <w:r w:rsidR="002F4A3C" w:rsidRPr="00104227">
        <w:rPr>
          <w:lang w:val="en-US"/>
        </w:rPr>
        <w:t>processing of the complaint of</w:t>
      </w:r>
      <w:r w:rsidR="0017277E" w:rsidRPr="00104227">
        <w:rPr>
          <w:lang w:val="en-US"/>
        </w:rPr>
        <w:t xml:space="preserve"> </w:t>
      </w:r>
      <w:r w:rsidR="0060075A" w:rsidRPr="00104227">
        <w:rPr>
          <w:lang w:val="en-US"/>
        </w:rPr>
        <w:t>rape</w:t>
      </w:r>
      <w:r w:rsidRPr="00104227">
        <w:rPr>
          <w:lang w:val="en-US"/>
        </w:rPr>
        <w:t xml:space="preserve"> (</w:t>
      </w:r>
      <w:r w:rsidRPr="00104227">
        <w:rPr>
          <w:i/>
          <w:lang w:val="en-US"/>
        </w:rPr>
        <w:t>B.1</w:t>
      </w:r>
      <w:r w:rsidRPr="00104227">
        <w:rPr>
          <w:lang w:val="en-US"/>
        </w:rPr>
        <w:t xml:space="preserve">); </w:t>
      </w:r>
      <w:r w:rsidR="002F4A3C" w:rsidRPr="00104227">
        <w:rPr>
          <w:lang w:val="en-US"/>
        </w:rPr>
        <w:t>the duty to investigate within a reasonable time</w:t>
      </w:r>
      <w:r w:rsidRPr="00104227">
        <w:rPr>
          <w:lang w:val="en-US"/>
        </w:rPr>
        <w:t xml:space="preserve"> (</w:t>
      </w:r>
      <w:r w:rsidRPr="00104227">
        <w:rPr>
          <w:i/>
          <w:lang w:val="en-US"/>
        </w:rPr>
        <w:t>B.2</w:t>
      </w:r>
      <w:r w:rsidRPr="00104227">
        <w:rPr>
          <w:lang w:val="en-US"/>
        </w:rPr>
        <w:t>),</w:t>
      </w:r>
      <w:r w:rsidR="00BF5241" w:rsidRPr="00104227">
        <w:rPr>
          <w:lang w:val="en-US"/>
        </w:rPr>
        <w:t xml:space="preserve"> and</w:t>
      </w:r>
      <w:r w:rsidR="00114B35" w:rsidRPr="00104227">
        <w:rPr>
          <w:lang w:val="en-US"/>
        </w:rPr>
        <w:t xml:space="preserve"> </w:t>
      </w:r>
      <w:r w:rsidR="002F4A3C" w:rsidRPr="00104227">
        <w:rPr>
          <w:lang w:val="en-US"/>
        </w:rPr>
        <w:t>gender-based discrimination</w:t>
      </w:r>
      <w:r w:rsidR="00114B35" w:rsidRPr="00104227">
        <w:rPr>
          <w:lang w:val="en-US"/>
        </w:rPr>
        <w:t xml:space="preserve"> owing to the flaws in the investigation</w:t>
      </w:r>
      <w:r w:rsidR="002F4A3C" w:rsidRPr="00104227">
        <w:rPr>
          <w:lang w:val="en-US"/>
        </w:rPr>
        <w:t xml:space="preserve"> </w:t>
      </w:r>
      <w:r w:rsidRPr="00104227">
        <w:rPr>
          <w:lang w:val="en-US"/>
        </w:rPr>
        <w:t>(</w:t>
      </w:r>
      <w:r w:rsidRPr="00104227">
        <w:rPr>
          <w:i/>
          <w:lang w:val="en-US"/>
        </w:rPr>
        <w:t>B.3</w:t>
      </w:r>
      <w:r w:rsidRPr="00104227">
        <w:rPr>
          <w:lang w:val="en-US"/>
        </w:rPr>
        <w:t>).</w:t>
      </w:r>
    </w:p>
    <w:bookmarkEnd w:id="338"/>
    <w:p w14:paraId="022120F8" w14:textId="77777777" w:rsidR="00BF44DD" w:rsidRPr="00104227" w:rsidRDefault="00BF44DD" w:rsidP="00E4619F">
      <w:pPr>
        <w:tabs>
          <w:tab w:val="left" w:pos="567"/>
        </w:tabs>
      </w:pPr>
    </w:p>
    <w:p w14:paraId="4BFA7BFF" w14:textId="0C3C6B5A" w:rsidR="00BF44DD" w:rsidRPr="00104227" w:rsidRDefault="00BF44DD" w:rsidP="00E4619F">
      <w:pPr>
        <w:pStyle w:val="Ttulo3"/>
        <w:tabs>
          <w:tab w:val="left" w:pos="567"/>
        </w:tabs>
        <w:rPr>
          <w:lang w:val="en-US"/>
        </w:rPr>
      </w:pPr>
      <w:bookmarkStart w:id="339" w:name="_Toc31290606"/>
      <w:r w:rsidRPr="00104227">
        <w:rPr>
          <w:lang w:val="en-US"/>
        </w:rPr>
        <w:t xml:space="preserve">B.1 </w:t>
      </w:r>
      <w:r w:rsidR="002F4A3C" w:rsidRPr="00104227">
        <w:rPr>
          <w:lang w:val="en-US"/>
        </w:rPr>
        <w:t>Due diligence in the investigation and processing of the complaint of</w:t>
      </w:r>
      <w:r w:rsidRPr="00104227">
        <w:rPr>
          <w:lang w:val="en-US"/>
        </w:rPr>
        <w:t xml:space="preserve"> </w:t>
      </w:r>
      <w:r w:rsidR="0060075A" w:rsidRPr="00104227">
        <w:rPr>
          <w:lang w:val="en-US"/>
        </w:rPr>
        <w:t>rape</w:t>
      </w:r>
      <w:bookmarkEnd w:id="339"/>
      <w:r w:rsidR="00C726C5" w:rsidRPr="00104227">
        <w:rPr>
          <w:lang w:val="en-US"/>
        </w:rPr>
        <w:t xml:space="preserve"> </w:t>
      </w:r>
    </w:p>
    <w:p w14:paraId="6373BE6D" w14:textId="77777777" w:rsidR="00BF44DD" w:rsidRPr="00104227" w:rsidRDefault="00BF44DD" w:rsidP="00E4619F">
      <w:pPr>
        <w:tabs>
          <w:tab w:val="left" w:pos="567"/>
        </w:tabs>
      </w:pPr>
    </w:p>
    <w:p w14:paraId="19B1A37E" w14:textId="0C519756" w:rsidR="00BF44DD" w:rsidRPr="00104227" w:rsidRDefault="00BF5241" w:rsidP="00980D2C">
      <w:pPr>
        <w:pStyle w:val="Numberedparagraphs"/>
        <w:tabs>
          <w:tab w:val="left" w:pos="567"/>
        </w:tabs>
        <w:rPr>
          <w:lang w:val="en-US"/>
        </w:rPr>
      </w:pPr>
      <w:r w:rsidRPr="00104227">
        <w:rPr>
          <w:lang w:val="en-US"/>
        </w:rPr>
        <w:t>The Court</w:t>
      </w:r>
      <w:r w:rsidR="00BF44DD" w:rsidRPr="00104227">
        <w:rPr>
          <w:lang w:val="en-US"/>
        </w:rPr>
        <w:t xml:space="preserve"> ha</w:t>
      </w:r>
      <w:r w:rsidR="001C7D86" w:rsidRPr="00104227">
        <w:rPr>
          <w:lang w:val="en-US"/>
        </w:rPr>
        <w:t xml:space="preserve">s indicated that the duty to investigate established in </w:t>
      </w:r>
      <w:r w:rsidR="00BF44DD" w:rsidRPr="00104227">
        <w:rPr>
          <w:lang w:val="en-US"/>
        </w:rPr>
        <w:t xml:space="preserve"> </w:t>
      </w:r>
      <w:r w:rsidRPr="00104227">
        <w:rPr>
          <w:lang w:val="en-US"/>
        </w:rPr>
        <w:t>the American Convention</w:t>
      </w:r>
      <w:r w:rsidR="00BF44DD" w:rsidRPr="00104227">
        <w:rPr>
          <w:lang w:val="en-US"/>
        </w:rPr>
        <w:t xml:space="preserve"> </w:t>
      </w:r>
      <w:r w:rsidR="001C7D86" w:rsidRPr="00104227">
        <w:rPr>
          <w:lang w:val="en-US"/>
        </w:rPr>
        <w:t xml:space="preserve">is enhanced by the provisions of </w:t>
      </w:r>
      <w:r w:rsidRPr="00104227">
        <w:rPr>
          <w:lang w:val="en-US"/>
        </w:rPr>
        <w:t>Articles</w:t>
      </w:r>
      <w:r w:rsidR="00BF44DD" w:rsidRPr="00104227">
        <w:rPr>
          <w:lang w:val="en-US"/>
        </w:rPr>
        <w:t xml:space="preserve"> 1, 6</w:t>
      </w:r>
      <w:r w:rsidRPr="00104227">
        <w:rPr>
          <w:lang w:val="en-US"/>
        </w:rPr>
        <w:t xml:space="preserve"> and </w:t>
      </w:r>
      <w:r w:rsidR="00BF44DD" w:rsidRPr="00104227">
        <w:rPr>
          <w:lang w:val="en-US"/>
        </w:rPr>
        <w:t>8</w:t>
      </w:r>
      <w:r w:rsidRPr="00104227">
        <w:rPr>
          <w:lang w:val="en-US"/>
        </w:rPr>
        <w:t xml:space="preserve"> of the </w:t>
      </w:r>
      <w:r w:rsidR="0094395C" w:rsidRPr="00104227">
        <w:rPr>
          <w:lang w:val="en-US"/>
        </w:rPr>
        <w:t>Inter-</w:t>
      </w:r>
      <w:r w:rsidR="003F10B2" w:rsidRPr="00104227">
        <w:rPr>
          <w:lang w:val="en-US"/>
        </w:rPr>
        <w:t>American</w:t>
      </w:r>
      <w:r w:rsidR="0094395C" w:rsidRPr="00104227">
        <w:rPr>
          <w:lang w:val="en-US"/>
        </w:rPr>
        <w:t xml:space="preserve"> Convention to Prevent and Punish Torture</w:t>
      </w:r>
      <w:r w:rsidR="00BF44DD" w:rsidRPr="00104227">
        <w:rPr>
          <w:lang w:val="en-US"/>
        </w:rPr>
        <w:t xml:space="preserve"> </w:t>
      </w:r>
      <w:r w:rsidR="001C7D86" w:rsidRPr="00104227">
        <w:rPr>
          <w:lang w:val="en-US"/>
        </w:rPr>
        <w:t xml:space="preserve">which oblige </w:t>
      </w:r>
      <w:r w:rsidR="0094395C" w:rsidRPr="00104227">
        <w:rPr>
          <w:lang w:val="en-US"/>
        </w:rPr>
        <w:t>the State</w:t>
      </w:r>
      <w:r w:rsidR="003B6FF3" w:rsidRPr="00104227">
        <w:rPr>
          <w:lang w:val="en-US"/>
        </w:rPr>
        <w:t>s</w:t>
      </w:r>
      <w:r w:rsidR="00BF44DD" w:rsidRPr="00104227">
        <w:rPr>
          <w:lang w:val="en-US"/>
        </w:rPr>
        <w:t xml:space="preserve"> “to</w:t>
      </w:r>
      <w:r w:rsidR="001C7D86" w:rsidRPr="00104227">
        <w:rPr>
          <w:lang w:val="en-US"/>
        </w:rPr>
        <w:t xml:space="preserve"> take</w:t>
      </w:r>
      <w:r w:rsidR="001C7D86" w:rsidRPr="00104227">
        <w:rPr>
          <w:rFonts w:cs="Tahoma"/>
          <w:lang w:val="en-US"/>
        </w:rPr>
        <w:t xml:space="preserve"> effective measures to prevent and punish torture within their jurisdiction</w:t>
      </w:r>
      <w:r w:rsidR="001C7D86" w:rsidRPr="00104227">
        <w:rPr>
          <w:lang w:val="en-US"/>
        </w:rPr>
        <w:t xml:space="preserve">,” as well as “to prevent and punish </w:t>
      </w:r>
      <w:r w:rsidR="001C7D86" w:rsidRPr="00104227">
        <w:rPr>
          <w:rFonts w:cs="Tahoma"/>
          <w:lang w:val="en-US"/>
        </w:rPr>
        <w:t xml:space="preserve">other cruel, inhuman or degrading treatment or punishment.” According to the provisions of </w:t>
      </w:r>
      <w:r w:rsidRPr="00104227">
        <w:rPr>
          <w:lang w:val="en-US"/>
        </w:rPr>
        <w:t>Article</w:t>
      </w:r>
      <w:r w:rsidR="00BF44DD" w:rsidRPr="00104227">
        <w:rPr>
          <w:lang w:val="en-US"/>
        </w:rPr>
        <w:t xml:space="preserve"> 8 </w:t>
      </w:r>
      <w:r w:rsidR="001C7D86" w:rsidRPr="00104227">
        <w:rPr>
          <w:lang w:val="en-US"/>
        </w:rPr>
        <w:t>of that Convention, the States parties “</w:t>
      </w:r>
      <w:r w:rsidR="001C7D86" w:rsidRPr="00104227">
        <w:rPr>
          <w:rFonts w:cs="Tahoma"/>
          <w:lang w:val="en-US"/>
        </w:rPr>
        <w:t>guarantee that any person making an accusation of having been subjected to torture within their jurisdiction shall have the right to an impartial examination of his case” and that “their respective authorities will proceed properly and immediately to conduct an investigation into the case and to initiate, whenever appropriate, the corresponding criminal process.” Furthermore, in cases of violence against women, the general obligations established in</w:t>
      </w:r>
      <w:r w:rsidR="001C7D86" w:rsidRPr="00104227">
        <w:rPr>
          <w:lang w:val="en-US"/>
        </w:rPr>
        <w:t xml:space="preserve"> </w:t>
      </w:r>
      <w:r w:rsidRPr="00104227">
        <w:rPr>
          <w:lang w:val="en-US"/>
        </w:rPr>
        <w:t>Articles</w:t>
      </w:r>
      <w:r w:rsidR="00BF44DD" w:rsidRPr="00104227">
        <w:rPr>
          <w:lang w:val="en-US"/>
        </w:rPr>
        <w:t xml:space="preserve"> 8</w:t>
      </w:r>
      <w:r w:rsidRPr="00104227">
        <w:rPr>
          <w:lang w:val="en-US"/>
        </w:rPr>
        <w:t xml:space="preserve"> and </w:t>
      </w:r>
      <w:r w:rsidR="00BF44DD" w:rsidRPr="00104227">
        <w:rPr>
          <w:lang w:val="en-US"/>
        </w:rPr>
        <w:t>25</w:t>
      </w:r>
      <w:r w:rsidRPr="00104227">
        <w:rPr>
          <w:lang w:val="en-US"/>
        </w:rPr>
        <w:t xml:space="preserve"> of the American Convention</w:t>
      </w:r>
      <w:r w:rsidR="00BF44DD" w:rsidRPr="00104227">
        <w:rPr>
          <w:lang w:val="en-US"/>
        </w:rPr>
        <w:t xml:space="preserve"> </w:t>
      </w:r>
      <w:r w:rsidR="001C7D86" w:rsidRPr="00104227">
        <w:rPr>
          <w:lang w:val="en-US"/>
        </w:rPr>
        <w:t xml:space="preserve">are supplemented and enhanced for those States that are party to </w:t>
      </w:r>
      <w:r w:rsidRPr="00104227">
        <w:rPr>
          <w:lang w:val="en-US"/>
        </w:rPr>
        <w:t>the Convention</w:t>
      </w:r>
      <w:r w:rsidR="00BF44DD" w:rsidRPr="00104227">
        <w:rPr>
          <w:lang w:val="en-US"/>
        </w:rPr>
        <w:t xml:space="preserve"> </w:t>
      </w:r>
      <w:r w:rsidR="0094395C" w:rsidRPr="00104227">
        <w:rPr>
          <w:lang w:val="en-US"/>
        </w:rPr>
        <w:t>of Belém</w:t>
      </w:r>
      <w:r w:rsidR="00BF44DD" w:rsidRPr="00104227">
        <w:rPr>
          <w:lang w:val="en-US"/>
        </w:rPr>
        <w:t xml:space="preserve"> do Pará</w:t>
      </w:r>
      <w:r w:rsidR="001C7D86" w:rsidRPr="00104227">
        <w:rPr>
          <w:lang w:val="en-US"/>
        </w:rPr>
        <w:t xml:space="preserve"> by the obligations derived from this specific inter-American treaty</w:t>
      </w:r>
      <w:r w:rsidR="00BF44DD" w:rsidRPr="00104227">
        <w:rPr>
          <w:lang w:val="en-US"/>
        </w:rPr>
        <w:t xml:space="preserve">. </w:t>
      </w:r>
      <w:r w:rsidRPr="00104227">
        <w:rPr>
          <w:lang w:val="en-US"/>
        </w:rPr>
        <w:t>Article</w:t>
      </w:r>
      <w:r w:rsidR="00BF44DD" w:rsidRPr="00104227">
        <w:rPr>
          <w:lang w:val="en-US"/>
        </w:rPr>
        <w:t xml:space="preserve"> 7</w:t>
      </w:r>
      <w:r w:rsidR="001C7D86" w:rsidRPr="00104227">
        <w:rPr>
          <w:lang w:val="en-US"/>
        </w:rPr>
        <w:t>(</w:t>
      </w:r>
      <w:r w:rsidR="00BF44DD" w:rsidRPr="00104227">
        <w:rPr>
          <w:lang w:val="en-US"/>
        </w:rPr>
        <w:t>b</w:t>
      </w:r>
      <w:r w:rsidR="001C7D86" w:rsidRPr="00104227">
        <w:rPr>
          <w:lang w:val="en-US"/>
        </w:rPr>
        <w:t xml:space="preserve">) of this Convention specifically obliges the States parties to </w:t>
      </w:r>
      <w:r w:rsidR="001C7D86" w:rsidRPr="00104227">
        <w:rPr>
          <w:rFonts w:cs="Arial"/>
          <w:lang w:val="en-US"/>
        </w:rPr>
        <w:t xml:space="preserve">apply due diligence to prevent, </w:t>
      </w:r>
      <w:r w:rsidR="00980D2C" w:rsidRPr="00104227">
        <w:rPr>
          <w:rFonts w:cs="Arial"/>
          <w:lang w:val="en-US"/>
        </w:rPr>
        <w:t>punish and eradicate</w:t>
      </w:r>
      <w:r w:rsidR="001C7D86" w:rsidRPr="00104227">
        <w:rPr>
          <w:rFonts w:cs="Arial"/>
          <w:lang w:val="en-US"/>
        </w:rPr>
        <w:t xml:space="preserve"> violence against wome</w:t>
      </w:r>
      <w:r w:rsidR="00980D2C" w:rsidRPr="00104227">
        <w:rPr>
          <w:rFonts w:cs="Arial"/>
          <w:lang w:val="en-US"/>
        </w:rPr>
        <w:t>n.</w:t>
      </w:r>
      <w:r w:rsidR="00BF44DD" w:rsidRPr="00104227">
        <w:rPr>
          <w:rStyle w:val="Refdenotaalpie"/>
          <w:lang w:val="en-US"/>
        </w:rPr>
        <w:footnoteReference w:id="365"/>
      </w:r>
    </w:p>
    <w:p w14:paraId="5C9D13BC" w14:textId="77777777" w:rsidR="00204EA1" w:rsidRPr="00104227" w:rsidRDefault="00204EA1" w:rsidP="00E4619F">
      <w:pPr>
        <w:tabs>
          <w:tab w:val="left" w:pos="567"/>
        </w:tabs>
        <w:rPr>
          <w:lang w:eastAsia="es-MX"/>
        </w:rPr>
      </w:pPr>
    </w:p>
    <w:p w14:paraId="4ED9E294" w14:textId="4CC6F198" w:rsidR="00BF44DD" w:rsidRPr="00104227" w:rsidRDefault="00980D2C" w:rsidP="001E0CDB">
      <w:pPr>
        <w:pStyle w:val="Numberedparagraphs"/>
        <w:rPr>
          <w:lang w:val="en-US"/>
        </w:rPr>
      </w:pPr>
      <w:r w:rsidRPr="00104227">
        <w:rPr>
          <w:lang w:val="en-US"/>
        </w:rPr>
        <w:t>Bearing this in mind, the Court will proceed to analyze:</w:t>
      </w:r>
      <w:r w:rsidR="00BF44DD" w:rsidRPr="00104227">
        <w:rPr>
          <w:lang w:val="en-US"/>
        </w:rPr>
        <w:t xml:space="preserve"> (i) </w:t>
      </w:r>
      <w:r w:rsidRPr="00104227">
        <w:rPr>
          <w:lang w:val="en-US"/>
        </w:rPr>
        <w:t xml:space="preserve">the initial flaws in the processing </w:t>
      </w:r>
      <w:r w:rsidR="00D04B8B" w:rsidRPr="00104227">
        <w:rPr>
          <w:lang w:val="en-US"/>
        </w:rPr>
        <w:t xml:space="preserve">of the </w:t>
      </w:r>
      <w:r w:rsidR="004432A6" w:rsidRPr="00104227">
        <w:rPr>
          <w:lang w:val="en-US"/>
        </w:rPr>
        <w:t>complaint</w:t>
      </w:r>
      <w:r w:rsidR="00BF5241" w:rsidRPr="00104227">
        <w:rPr>
          <w:lang w:val="en-US"/>
        </w:rPr>
        <w:t xml:space="preserve"> and</w:t>
      </w:r>
      <w:r w:rsidRPr="00104227">
        <w:rPr>
          <w:lang w:val="en-US"/>
        </w:rPr>
        <w:t xml:space="preserve"> the gathering of evidence; (ii) the presumed obstruction of </w:t>
      </w:r>
      <w:r w:rsidR="000B2982" w:rsidRPr="00104227">
        <w:rPr>
          <w:lang w:val="en-US"/>
        </w:rPr>
        <w:t xml:space="preserve">the </w:t>
      </w:r>
      <w:r w:rsidR="00024310" w:rsidRPr="00104227">
        <w:rPr>
          <w:lang w:val="en-US"/>
        </w:rPr>
        <w:t>Public Prosecution Service</w:t>
      </w:r>
      <w:r w:rsidR="001E0CDB" w:rsidRPr="00104227">
        <w:rPr>
          <w:lang w:val="en-US"/>
        </w:rPr>
        <w:t xml:space="preserve"> </w:t>
      </w:r>
      <w:r w:rsidRPr="00104227">
        <w:rPr>
          <w:lang w:val="en-US"/>
        </w:rPr>
        <w:t xml:space="preserve">in the inquiries and access to the case files, and </w:t>
      </w:r>
      <w:r w:rsidR="00BF44DD" w:rsidRPr="00104227">
        <w:rPr>
          <w:lang w:val="en-US"/>
        </w:rPr>
        <w:t xml:space="preserve">(iii) </w:t>
      </w:r>
      <w:r w:rsidRPr="00104227">
        <w:rPr>
          <w:lang w:val="en-US"/>
        </w:rPr>
        <w:t xml:space="preserve">the investigation of all those responsible. </w:t>
      </w:r>
    </w:p>
    <w:p w14:paraId="17D61E63" w14:textId="77777777" w:rsidR="00BF44DD" w:rsidRPr="00104227" w:rsidRDefault="00BF44DD" w:rsidP="00E4619F">
      <w:pPr>
        <w:tabs>
          <w:tab w:val="left" w:pos="567"/>
        </w:tabs>
        <w:rPr>
          <w:lang w:eastAsia="es-MX"/>
        </w:rPr>
      </w:pPr>
    </w:p>
    <w:p w14:paraId="0C586E8C" w14:textId="4D498FBB" w:rsidR="00BF44DD" w:rsidRPr="00104227" w:rsidRDefault="00BF44DD" w:rsidP="00E4619F">
      <w:pPr>
        <w:pStyle w:val="Prrafodelista"/>
        <w:numPr>
          <w:ilvl w:val="0"/>
          <w:numId w:val="0"/>
        </w:numPr>
        <w:tabs>
          <w:tab w:val="left" w:pos="567"/>
        </w:tabs>
        <w:ind w:left="1080"/>
        <w:rPr>
          <w:u w:val="single"/>
          <w:lang w:eastAsia="es-MX"/>
        </w:rPr>
      </w:pPr>
      <w:r w:rsidRPr="00104227">
        <w:rPr>
          <w:u w:val="single"/>
          <w:lang w:eastAsia="es-MX"/>
        </w:rPr>
        <w:t xml:space="preserve">B.1.1 </w:t>
      </w:r>
      <w:r w:rsidR="00980D2C" w:rsidRPr="00104227">
        <w:rPr>
          <w:u w:val="single"/>
          <w:lang w:eastAsia="es-MX"/>
        </w:rPr>
        <w:t xml:space="preserve">Initial flaws in the processing </w:t>
      </w:r>
      <w:r w:rsidR="00D04B8B" w:rsidRPr="00104227">
        <w:rPr>
          <w:u w:val="single"/>
          <w:lang w:eastAsia="es-MX"/>
        </w:rPr>
        <w:t xml:space="preserve">of the </w:t>
      </w:r>
      <w:r w:rsidR="004432A6" w:rsidRPr="00104227">
        <w:rPr>
          <w:u w:val="single"/>
          <w:lang w:eastAsia="es-MX"/>
        </w:rPr>
        <w:t>complaint</w:t>
      </w:r>
      <w:r w:rsidR="00BF5241" w:rsidRPr="00104227">
        <w:rPr>
          <w:u w:val="single"/>
          <w:lang w:eastAsia="es-MX"/>
        </w:rPr>
        <w:t xml:space="preserve"> and </w:t>
      </w:r>
      <w:r w:rsidR="00980D2C" w:rsidRPr="00104227">
        <w:rPr>
          <w:u w:val="single"/>
          <w:lang w:eastAsia="es-MX"/>
        </w:rPr>
        <w:t>the gathering of evidence</w:t>
      </w:r>
    </w:p>
    <w:p w14:paraId="37959546" w14:textId="77777777" w:rsidR="00BF44DD" w:rsidRPr="00104227" w:rsidRDefault="00BF44DD" w:rsidP="00E4619F">
      <w:pPr>
        <w:tabs>
          <w:tab w:val="left" w:pos="567"/>
        </w:tabs>
        <w:rPr>
          <w:lang w:eastAsia="es-MX"/>
        </w:rPr>
      </w:pPr>
    </w:p>
    <w:p w14:paraId="008C82EA" w14:textId="31277252" w:rsidR="00BF44DD" w:rsidRPr="00104227" w:rsidRDefault="00BF5241" w:rsidP="00BF05D2">
      <w:pPr>
        <w:pStyle w:val="Numberedparagraphs"/>
        <w:tabs>
          <w:tab w:val="left" w:pos="567"/>
        </w:tabs>
        <w:rPr>
          <w:lang w:val="en-US"/>
        </w:rPr>
      </w:pPr>
      <w:bookmarkStart w:id="340" w:name="_Ref532971875"/>
      <w:r w:rsidRPr="00104227">
        <w:rPr>
          <w:lang w:val="en-US"/>
        </w:rPr>
        <w:t>The Court</w:t>
      </w:r>
      <w:r w:rsidR="00BF44DD" w:rsidRPr="00104227">
        <w:rPr>
          <w:lang w:val="en-US"/>
        </w:rPr>
        <w:t xml:space="preserve"> ha</w:t>
      </w:r>
      <w:r w:rsidR="00723EC6" w:rsidRPr="00104227">
        <w:rPr>
          <w:lang w:val="en-US"/>
        </w:rPr>
        <w:t xml:space="preserve">s stipulated that, in a criminal investigation into sexual violence, it is necessary that: </w:t>
      </w:r>
      <w:r w:rsidR="00C737D3" w:rsidRPr="00104227">
        <w:rPr>
          <w:rFonts w:cs="Arial"/>
          <w:lang w:val="en-US"/>
        </w:rPr>
        <w:t xml:space="preserve">(i) the victim’s statement should be taken in a safe and comfortable environment that offers privacy and inspires confidence; (ii) the victim’s statement should be recorded </w:t>
      </w:r>
      <w:r w:rsidR="00C737D3" w:rsidRPr="00104227">
        <w:rPr>
          <w:lang w:val="en-US"/>
        </w:rPr>
        <w:t>to avoid or limit the need to repeat it</w:t>
      </w:r>
      <w:r w:rsidR="00C737D3" w:rsidRPr="00104227">
        <w:rPr>
          <w:rFonts w:cs="Arial"/>
          <w:lang w:val="en-US"/>
        </w:rPr>
        <w:t xml:space="preserve">; (iii) the victim should be provided with medical, psychological and hygienic treatment, both on an emergency basis, and continuously if required, under a protocol for such treatment aimed at reducing the consequences of the rape; (iv) a complete and detailed medical and psychological examination should be performed immediately by appropriate trained personnel, of the sex preferred by the victim insofar as this is possible, and the victim should be advised that she may be accompanied by a person of confidence if she so wishes; (v) the investigative measures should be coordinated and documented and the evidence handled with care, including taking sufficient samples and performing all possible tests to determine the possible perpetrator of the act, obtaining other evidence such as the victim’s clothes, examining the scene of the incident immediately, and guaranteeing the proper chain of custody of the </w:t>
      </w:r>
      <w:r w:rsidR="00C737D3" w:rsidRPr="00104227">
        <w:rPr>
          <w:rFonts w:cs="Arial"/>
          <w:lang w:val="en-US"/>
        </w:rPr>
        <w:lastRenderedPageBreak/>
        <w:t>evidence, and (vi) the victim should be provided with access to free legal assistance at all stages of the proceedings.</w:t>
      </w:r>
      <w:r w:rsidR="00BF44DD" w:rsidRPr="00104227">
        <w:rPr>
          <w:rStyle w:val="Refdenotaalpie"/>
          <w:lang w:val="en-US"/>
        </w:rPr>
        <w:footnoteReference w:id="366"/>
      </w:r>
      <w:bookmarkEnd w:id="340"/>
      <w:r w:rsidR="00BF44DD" w:rsidRPr="00104227">
        <w:rPr>
          <w:lang w:val="en-US"/>
        </w:rPr>
        <w:t xml:space="preserve"> </w:t>
      </w:r>
    </w:p>
    <w:p w14:paraId="2986EE60" w14:textId="77777777" w:rsidR="00BF44DD" w:rsidRPr="00104227" w:rsidRDefault="00BF44DD" w:rsidP="00E4619F">
      <w:pPr>
        <w:tabs>
          <w:tab w:val="left" w:pos="567"/>
        </w:tabs>
        <w:rPr>
          <w:lang w:eastAsia="es-MX"/>
        </w:rPr>
      </w:pPr>
    </w:p>
    <w:p w14:paraId="4815053E" w14:textId="1250A474" w:rsidR="00BF44DD" w:rsidRPr="00104227" w:rsidRDefault="00BF05D2" w:rsidP="00494DCC">
      <w:pPr>
        <w:pStyle w:val="Numberedparagraphs"/>
        <w:tabs>
          <w:tab w:val="left" w:pos="567"/>
        </w:tabs>
        <w:rPr>
          <w:lang w:val="en-US"/>
        </w:rPr>
      </w:pPr>
      <w:r w:rsidRPr="00104227">
        <w:rPr>
          <w:lang w:val="en-US"/>
        </w:rPr>
        <w:t xml:space="preserve">Regarding </w:t>
      </w:r>
      <w:r w:rsidR="00494DCC" w:rsidRPr="00104227">
        <w:rPr>
          <w:lang w:val="en-US"/>
        </w:rPr>
        <w:t xml:space="preserve">the </w:t>
      </w:r>
      <w:r w:rsidRPr="00104227">
        <w:rPr>
          <w:lang w:val="en-US"/>
        </w:rPr>
        <w:t xml:space="preserve">interview with a person who states that they have been </w:t>
      </w:r>
      <w:r w:rsidR="00DA35A0" w:rsidRPr="00104227">
        <w:rPr>
          <w:lang w:val="en-US"/>
        </w:rPr>
        <w:t>subjected to</w:t>
      </w:r>
      <w:r w:rsidR="00BF44DD" w:rsidRPr="00104227">
        <w:rPr>
          <w:lang w:val="en-US"/>
        </w:rPr>
        <w:t xml:space="preserve"> acts </w:t>
      </w:r>
      <w:r w:rsidRPr="00104227">
        <w:rPr>
          <w:lang w:val="en-US"/>
        </w:rPr>
        <w:t>of</w:t>
      </w:r>
      <w:r w:rsidR="00BF44DD" w:rsidRPr="00104227">
        <w:rPr>
          <w:lang w:val="en-US"/>
        </w:rPr>
        <w:t xml:space="preserve"> </w:t>
      </w:r>
      <w:r w:rsidR="00BC5201" w:rsidRPr="00104227">
        <w:rPr>
          <w:lang w:val="en-US"/>
        </w:rPr>
        <w:t>torture</w:t>
      </w:r>
      <w:r w:rsidR="00BF44DD" w:rsidRPr="00104227">
        <w:rPr>
          <w:lang w:val="en-US"/>
        </w:rPr>
        <w:t xml:space="preserve">, </w:t>
      </w:r>
      <w:r w:rsidR="00BF5241" w:rsidRPr="00104227">
        <w:rPr>
          <w:lang w:val="en-US"/>
        </w:rPr>
        <w:t>the Court</w:t>
      </w:r>
      <w:r w:rsidR="00BF44DD" w:rsidRPr="00104227">
        <w:rPr>
          <w:lang w:val="en-US"/>
        </w:rPr>
        <w:t xml:space="preserve"> </w:t>
      </w:r>
      <w:r w:rsidRPr="00104227">
        <w:rPr>
          <w:lang w:val="en-US"/>
        </w:rPr>
        <w:t>has indicated that</w:t>
      </w:r>
      <w:r w:rsidR="00BF44DD" w:rsidRPr="00104227">
        <w:rPr>
          <w:lang w:val="en-US"/>
        </w:rPr>
        <w:t xml:space="preserve">: </w:t>
      </w:r>
      <w:r w:rsidRPr="00104227">
        <w:rPr>
          <w:lang w:val="en-US"/>
        </w:rPr>
        <w:t>(</w:t>
      </w:r>
      <w:r w:rsidR="00BF44DD" w:rsidRPr="00104227">
        <w:rPr>
          <w:lang w:val="en-US"/>
        </w:rPr>
        <w:t xml:space="preserve">i) </w:t>
      </w:r>
      <w:r w:rsidRPr="00104227">
        <w:rPr>
          <w:lang w:val="en-US"/>
        </w:rPr>
        <w:t xml:space="preserve">the person should be allowed to describe freely what he or she considers relevant, (ii) no one should be required to talk </w:t>
      </w:r>
      <w:r w:rsidR="00494DCC" w:rsidRPr="00104227">
        <w:rPr>
          <w:lang w:val="en-US"/>
        </w:rPr>
        <w:t>about</w:t>
      </w:r>
      <w:r w:rsidRPr="00104227">
        <w:rPr>
          <w:lang w:val="en-US"/>
        </w:rPr>
        <w:t xml:space="preserve"> any form of torture if they feel uncomfortable doing so; (iii) during the interview, the </w:t>
      </w:r>
      <w:r w:rsidR="00494DCC" w:rsidRPr="00104227">
        <w:rPr>
          <w:lang w:val="en-US"/>
        </w:rPr>
        <w:t xml:space="preserve">presumed victim’s </w:t>
      </w:r>
      <w:r w:rsidR="003B6FF3" w:rsidRPr="00104227">
        <w:rPr>
          <w:lang w:val="en-US"/>
        </w:rPr>
        <w:t xml:space="preserve">pre-arrest </w:t>
      </w:r>
      <w:r w:rsidR="00494DCC" w:rsidRPr="00104227">
        <w:rPr>
          <w:lang w:val="en-US"/>
        </w:rPr>
        <w:t>psycho</w:t>
      </w:r>
      <w:r w:rsidR="003B6FF3" w:rsidRPr="00104227">
        <w:rPr>
          <w:lang w:val="en-US"/>
        </w:rPr>
        <w:t>-</w:t>
      </w:r>
      <w:r w:rsidR="00494DCC" w:rsidRPr="00104227">
        <w:rPr>
          <w:lang w:val="en-US"/>
        </w:rPr>
        <w:t>social history should be documented; and also a summary of the facts relating to the time an</w:t>
      </w:r>
      <w:r w:rsidR="003B6FF3" w:rsidRPr="00104227">
        <w:rPr>
          <w:lang w:val="en-US"/>
        </w:rPr>
        <w:t>d</w:t>
      </w:r>
      <w:r w:rsidR="00494DCC" w:rsidRPr="00104227">
        <w:rPr>
          <w:lang w:val="en-US"/>
        </w:rPr>
        <w:t xml:space="preserve"> circumstances of the initial detention, the place and conditions of detention while in State custody, and the methods of ill-treatment and torture presumably suffered, and (iv) the  detailed statement should be recorded and transcribed.</w:t>
      </w:r>
      <w:r w:rsidR="00BF44DD" w:rsidRPr="00104227">
        <w:rPr>
          <w:rStyle w:val="Refdenotaalpie"/>
          <w:lang w:val="en-US"/>
        </w:rPr>
        <w:footnoteReference w:id="367"/>
      </w:r>
      <w:r w:rsidR="00BF44DD" w:rsidRPr="00104227">
        <w:rPr>
          <w:lang w:val="en-US"/>
        </w:rPr>
        <w:t xml:space="preserve"> </w:t>
      </w:r>
      <w:r w:rsidR="00B46266" w:rsidRPr="00104227">
        <w:rPr>
          <w:lang w:val="en-US"/>
        </w:rPr>
        <w:t>In addition, the interview with a presumed victim of acts of violence or rape should be carried out in a comfortable and safe environment, that offers privacy and inspires confidence, and should be recorded in order to avoid or limit the need to repeat it.</w:t>
      </w:r>
      <w:r w:rsidR="00BF44DD" w:rsidRPr="00104227">
        <w:rPr>
          <w:rStyle w:val="Refdenotaalpie"/>
          <w:lang w:val="en-US"/>
        </w:rPr>
        <w:footnoteReference w:id="368"/>
      </w:r>
    </w:p>
    <w:p w14:paraId="0F4669CA" w14:textId="77777777" w:rsidR="00204EA1" w:rsidRPr="00104227" w:rsidRDefault="00204EA1" w:rsidP="00E4619F">
      <w:pPr>
        <w:tabs>
          <w:tab w:val="left" w:pos="567"/>
        </w:tabs>
        <w:rPr>
          <w:lang w:eastAsia="es-MX"/>
        </w:rPr>
      </w:pPr>
    </w:p>
    <w:p w14:paraId="6976F49C" w14:textId="395A8D3B" w:rsidR="00BF44DD" w:rsidRPr="00104227" w:rsidRDefault="00BF6138" w:rsidP="00E4619F">
      <w:pPr>
        <w:pStyle w:val="Numberedparagraphs"/>
        <w:tabs>
          <w:tab w:val="left" w:pos="567"/>
        </w:tabs>
        <w:rPr>
          <w:lang w:val="en-US"/>
        </w:rPr>
      </w:pPr>
      <w:bookmarkStart w:id="341" w:name="_Ref532915483"/>
      <w:r w:rsidRPr="00104227">
        <w:rPr>
          <w:lang w:val="en-US"/>
        </w:rPr>
        <w:t xml:space="preserve">In this regard, the Court notes that, when they were brought before </w:t>
      </w:r>
      <w:r w:rsidR="000B2982" w:rsidRPr="00104227">
        <w:rPr>
          <w:lang w:val="en-US"/>
        </w:rPr>
        <w:t>the Public Prosecution Service</w:t>
      </w:r>
      <w:r w:rsidRPr="00104227">
        <w:rPr>
          <w:lang w:val="en-US"/>
        </w:rPr>
        <w:t xml:space="preserve"> to make a statement</w:t>
      </w:r>
      <w:r w:rsidR="00BF44DD" w:rsidRPr="00104227">
        <w:rPr>
          <w:lang w:val="en-US"/>
        </w:rPr>
        <w:t xml:space="preserve">, </w:t>
      </w:r>
      <w:r w:rsidRPr="00104227">
        <w:rPr>
          <w:lang w:val="en-US"/>
        </w:rPr>
        <w:t xml:space="preserve">several of the women tried to </w:t>
      </w:r>
      <w:r w:rsidR="003B6FF3" w:rsidRPr="00104227">
        <w:rPr>
          <w:lang w:val="en-US"/>
        </w:rPr>
        <w:t>report</w:t>
      </w:r>
      <w:r w:rsidRPr="00104227">
        <w:rPr>
          <w:lang w:val="en-US"/>
        </w:rPr>
        <w:t xml:space="preserve"> the facts. However, the authorities not only </w:t>
      </w:r>
      <w:r w:rsidR="00394A1F" w:rsidRPr="00104227">
        <w:rPr>
          <w:lang w:val="en-US"/>
        </w:rPr>
        <w:t>refused to let them</w:t>
      </w:r>
      <w:r w:rsidRPr="00104227">
        <w:rPr>
          <w:lang w:val="en-US"/>
        </w:rPr>
        <w:t xml:space="preserve"> describe freely what they considered relevant, but refused to document t</w:t>
      </w:r>
      <w:r w:rsidR="00394A1F" w:rsidRPr="00104227">
        <w:rPr>
          <w:lang w:val="en-US"/>
        </w:rPr>
        <w:t>he</w:t>
      </w:r>
      <w:r w:rsidRPr="00104227">
        <w:rPr>
          <w:lang w:val="en-US"/>
        </w:rPr>
        <w:t xml:space="preserve"> facts </w:t>
      </w:r>
      <w:r w:rsidR="00394A1F" w:rsidRPr="00104227">
        <w:rPr>
          <w:lang w:val="en-US"/>
        </w:rPr>
        <w:t>recounted</w:t>
      </w:r>
      <w:r w:rsidRPr="00104227">
        <w:rPr>
          <w:lang w:val="en-US"/>
        </w:rPr>
        <w:t xml:space="preserve"> by the women regarding the</w:t>
      </w:r>
      <w:r w:rsidR="00BF44DD" w:rsidRPr="00104227">
        <w:rPr>
          <w:lang w:val="en-US"/>
        </w:rPr>
        <w:t xml:space="preserve"> </w:t>
      </w:r>
      <w:r w:rsidR="00BC5201" w:rsidRPr="00104227">
        <w:rPr>
          <w:lang w:val="en-US"/>
        </w:rPr>
        <w:t>torture</w:t>
      </w:r>
      <w:r w:rsidR="00BF5241" w:rsidRPr="00104227">
        <w:rPr>
          <w:lang w:val="en-US"/>
        </w:rPr>
        <w:t xml:space="preserve"> and </w:t>
      </w:r>
      <w:r w:rsidR="00D25554" w:rsidRPr="00104227">
        <w:rPr>
          <w:lang w:val="en-US"/>
        </w:rPr>
        <w:t>sexual violence</w:t>
      </w:r>
      <w:r w:rsidR="00BF44DD" w:rsidRPr="00104227">
        <w:rPr>
          <w:lang w:val="en-US"/>
        </w:rPr>
        <w:t xml:space="preserve"> </w:t>
      </w:r>
      <w:r w:rsidR="00394A1F" w:rsidRPr="00104227">
        <w:rPr>
          <w:lang w:val="en-US"/>
        </w:rPr>
        <w:t xml:space="preserve">they had </w:t>
      </w:r>
      <w:r w:rsidR="00BF44DD" w:rsidRPr="00104227">
        <w:rPr>
          <w:lang w:val="en-US"/>
        </w:rPr>
        <w:t>suf</w:t>
      </w:r>
      <w:r w:rsidRPr="00104227">
        <w:rPr>
          <w:lang w:val="en-US"/>
        </w:rPr>
        <w:t>fered.</w:t>
      </w:r>
      <w:r w:rsidR="00BF44DD" w:rsidRPr="00104227">
        <w:rPr>
          <w:rStyle w:val="Refdenotaalpie"/>
          <w:lang w:val="en-US"/>
        </w:rPr>
        <w:footnoteReference w:id="369"/>
      </w:r>
      <w:r w:rsidR="00BF44DD" w:rsidRPr="00104227">
        <w:rPr>
          <w:lang w:val="en-US"/>
        </w:rPr>
        <w:t xml:space="preserve"> </w:t>
      </w:r>
      <w:r w:rsidR="00BF5241" w:rsidRPr="00104227">
        <w:rPr>
          <w:lang w:val="en-US"/>
        </w:rPr>
        <w:t>Th</w:t>
      </w:r>
      <w:r w:rsidRPr="00104227">
        <w:rPr>
          <w:lang w:val="en-US"/>
        </w:rPr>
        <w:t>e</w:t>
      </w:r>
      <w:r w:rsidR="00BF5241" w:rsidRPr="00104227">
        <w:rPr>
          <w:lang w:val="en-US"/>
        </w:rPr>
        <w:t xml:space="preserve"> Court</w:t>
      </w:r>
      <w:r w:rsidR="00BF44DD" w:rsidRPr="00104227">
        <w:rPr>
          <w:lang w:val="en-US"/>
        </w:rPr>
        <w:t xml:space="preserve"> </w:t>
      </w:r>
      <w:r w:rsidRPr="00104227">
        <w:rPr>
          <w:lang w:val="en-US"/>
        </w:rPr>
        <w:t xml:space="preserve">also notes that the statements were made in the prison’s dining hall, in front of many other detainees, some of whom the victims knew; </w:t>
      </w:r>
      <w:r w:rsidR="00394A1F" w:rsidRPr="00104227">
        <w:rPr>
          <w:lang w:val="en-US"/>
        </w:rPr>
        <w:t>and</w:t>
      </w:r>
      <w:r w:rsidRPr="00104227">
        <w:rPr>
          <w:lang w:val="en-US"/>
        </w:rPr>
        <w:t>, when taken to see the medical personnel, in many cases they were examined in the presence of other detainees, in an environment that was neither comfortable or safe, and did not offer privacy or inspire trust.</w:t>
      </w:r>
      <w:bookmarkEnd w:id="341"/>
    </w:p>
    <w:p w14:paraId="139303C1" w14:textId="77777777" w:rsidR="00BF44DD" w:rsidRPr="00104227" w:rsidRDefault="00BF44DD" w:rsidP="00E4619F">
      <w:pPr>
        <w:tabs>
          <w:tab w:val="left" w:pos="567"/>
        </w:tabs>
        <w:rPr>
          <w:lang w:eastAsia="es-MX"/>
        </w:rPr>
      </w:pPr>
    </w:p>
    <w:p w14:paraId="0A03B8FE" w14:textId="766D2985" w:rsidR="00BF44DD" w:rsidRPr="00104227" w:rsidRDefault="00C030C8" w:rsidP="00C030C8">
      <w:pPr>
        <w:pStyle w:val="Numberedparagraphs"/>
        <w:tabs>
          <w:tab w:val="left" w:pos="567"/>
        </w:tabs>
        <w:rPr>
          <w:sz w:val="18"/>
          <w:szCs w:val="18"/>
          <w:lang w:val="en-US"/>
        </w:rPr>
      </w:pPr>
      <w:r w:rsidRPr="00104227">
        <w:rPr>
          <w:lang w:val="en-US"/>
        </w:rPr>
        <w:t>Furthermore, t</w:t>
      </w:r>
      <w:r w:rsidR="00BF5241" w:rsidRPr="00104227">
        <w:rPr>
          <w:lang w:val="en-US"/>
        </w:rPr>
        <w:t>he</w:t>
      </w:r>
      <w:r w:rsidRPr="00104227">
        <w:rPr>
          <w:lang w:val="en-US"/>
        </w:rPr>
        <w:t xml:space="preserve"> Court</w:t>
      </w:r>
      <w:r w:rsidR="00BF5241" w:rsidRPr="00104227">
        <w:rPr>
          <w:lang w:val="en-US"/>
        </w:rPr>
        <w:t xml:space="preserve"> </w:t>
      </w:r>
      <w:r w:rsidRPr="00104227">
        <w:rPr>
          <w:lang w:val="en-US"/>
        </w:rPr>
        <w:t>considers that, in cases where there are indications of torture, the medical examination of the presumed victim should be performed with their pr</w:t>
      </w:r>
      <w:r w:rsidR="004B7B62" w:rsidRPr="00104227">
        <w:rPr>
          <w:lang w:val="en-US"/>
        </w:rPr>
        <w:t>ior</w:t>
      </w:r>
      <w:r w:rsidRPr="00104227">
        <w:rPr>
          <w:lang w:val="en-US"/>
        </w:rPr>
        <w:t xml:space="preserve"> and informed consent, without the presence of </w:t>
      </w:r>
      <w:r w:rsidR="004B7B62" w:rsidRPr="00104227">
        <w:rPr>
          <w:lang w:val="en-US"/>
        </w:rPr>
        <w:t>law enforcement</w:t>
      </w:r>
      <w:r w:rsidRPr="00104227">
        <w:rPr>
          <w:lang w:val="en-US"/>
        </w:rPr>
        <w:t xml:space="preserve"> or other State agents. Also, </w:t>
      </w:r>
      <w:r w:rsidR="004B7B62" w:rsidRPr="00104227">
        <w:rPr>
          <w:lang w:val="en-US"/>
        </w:rPr>
        <w:t>on</w:t>
      </w:r>
      <w:r w:rsidRPr="00104227">
        <w:rPr>
          <w:lang w:val="en-US"/>
        </w:rPr>
        <w:t xml:space="preserve"> becoming aware of acts of violence against </w:t>
      </w:r>
      <w:r w:rsidR="004B7B62" w:rsidRPr="00104227">
        <w:rPr>
          <w:lang w:val="en-US"/>
        </w:rPr>
        <w:t xml:space="preserve">a </w:t>
      </w:r>
      <w:r w:rsidRPr="00104227">
        <w:rPr>
          <w:lang w:val="en-US"/>
        </w:rPr>
        <w:t>wom</w:t>
      </w:r>
      <w:r w:rsidR="004B7B62" w:rsidRPr="00104227">
        <w:rPr>
          <w:lang w:val="en-US"/>
        </w:rPr>
        <w:t>a</w:t>
      </w:r>
      <w:r w:rsidRPr="00104227">
        <w:rPr>
          <w:lang w:val="en-US"/>
        </w:rPr>
        <w:t xml:space="preserve">n, a complete and </w:t>
      </w:r>
      <w:r w:rsidR="004B7B62" w:rsidRPr="00104227">
        <w:rPr>
          <w:lang w:val="en-US"/>
        </w:rPr>
        <w:t>d</w:t>
      </w:r>
      <w:r w:rsidRPr="00104227">
        <w:rPr>
          <w:lang w:val="en-US"/>
        </w:rPr>
        <w:t xml:space="preserve">etailed medical and psychological examination should be performed immediately by appropriate trained personnel, </w:t>
      </w:r>
      <w:r w:rsidRPr="00104227">
        <w:rPr>
          <w:rFonts w:cs="Arial"/>
          <w:lang w:val="en-US"/>
        </w:rPr>
        <w:t>of the sex preferred by the victim insofar as this is possible, and the victim should be advised that she may be accompanied by a person of confidence if she so wishes. This examination should be performed in accordance with protocols specifically designed to document evidence in cases of gender-based violence.</w:t>
      </w:r>
      <w:r w:rsidRPr="00104227">
        <w:rPr>
          <w:rStyle w:val="Refdenotaalpie"/>
          <w:lang w:val="en-US"/>
        </w:rPr>
        <w:footnoteReference w:id="370"/>
      </w:r>
      <w:r w:rsidRPr="00104227">
        <w:rPr>
          <w:rFonts w:cs="Arial"/>
          <w:lang w:val="en-US"/>
        </w:rPr>
        <w:t xml:space="preserve"> In addition, the doctors and other health care personnel have the </w:t>
      </w:r>
      <w:r w:rsidRPr="00104227">
        <w:rPr>
          <w:rFonts w:cs="Arial"/>
          <w:lang w:val="en-US"/>
        </w:rPr>
        <w:lastRenderedPageBreak/>
        <w:t>obligation not to take part, either actively or passively, in acts that constitute participation or complicity in torture or other cruel, inhuman or degrading treatment; they have the obligation to record in their reports the existence of evidence of ill-treatment, if applicable, and must take steps to notify possible abuse to the corresponding authorities or, if this entails possible risks to the health professionals or their patients, to authorities outside the immediate jurisdiction. Similarly, the State must guarantee the independence of medical and health care personnel responsible for examining and providing care to detainees.</w:t>
      </w:r>
      <w:r w:rsidR="00BF44DD" w:rsidRPr="00104227">
        <w:rPr>
          <w:rStyle w:val="Refdenotaalpie"/>
          <w:lang w:val="en-US"/>
        </w:rPr>
        <w:footnoteReference w:id="371"/>
      </w:r>
    </w:p>
    <w:p w14:paraId="4BDC8C63" w14:textId="77777777" w:rsidR="00BF44DD" w:rsidRPr="00104227" w:rsidRDefault="00BF44DD" w:rsidP="00E4619F">
      <w:pPr>
        <w:tabs>
          <w:tab w:val="left" w:pos="567"/>
        </w:tabs>
        <w:rPr>
          <w:lang w:eastAsia="es-MX"/>
        </w:rPr>
      </w:pPr>
    </w:p>
    <w:p w14:paraId="6AE4CB09" w14:textId="11906140" w:rsidR="00BF44DD" w:rsidRPr="00104227" w:rsidRDefault="00C030C8" w:rsidP="00E4619F">
      <w:pPr>
        <w:pStyle w:val="Numberedparagraphs"/>
        <w:tabs>
          <w:tab w:val="left" w:pos="567"/>
        </w:tabs>
        <w:rPr>
          <w:lang w:val="en-US"/>
        </w:rPr>
      </w:pPr>
      <w:bookmarkStart w:id="342" w:name="_Ref532915486"/>
      <w:r w:rsidRPr="00104227">
        <w:rPr>
          <w:lang w:val="en-US"/>
        </w:rPr>
        <w:t xml:space="preserve">In the instant case, the Court notes that, despite indications and even express denunciations of </w:t>
      </w:r>
      <w:r w:rsidR="00BC5201" w:rsidRPr="00104227">
        <w:rPr>
          <w:lang w:val="en-US"/>
        </w:rPr>
        <w:t>torture</w:t>
      </w:r>
      <w:r w:rsidR="00BF5241" w:rsidRPr="00104227">
        <w:rPr>
          <w:lang w:val="en-US"/>
        </w:rPr>
        <w:t xml:space="preserve"> and </w:t>
      </w:r>
      <w:r w:rsidR="00D25554" w:rsidRPr="00104227">
        <w:rPr>
          <w:lang w:val="en-US"/>
        </w:rPr>
        <w:t>sexual violence</w:t>
      </w:r>
      <w:r w:rsidR="00BF44DD" w:rsidRPr="00104227">
        <w:rPr>
          <w:lang w:val="en-US"/>
        </w:rPr>
        <w:t xml:space="preserve">, </w:t>
      </w:r>
      <w:r w:rsidRPr="00104227">
        <w:rPr>
          <w:lang w:val="en-US"/>
        </w:rPr>
        <w:t>the auth</w:t>
      </w:r>
      <w:r w:rsidR="00534F23" w:rsidRPr="00104227">
        <w:rPr>
          <w:lang w:val="en-US"/>
        </w:rPr>
        <w:t>ori</w:t>
      </w:r>
      <w:r w:rsidRPr="00104227">
        <w:rPr>
          <w:lang w:val="en-US"/>
        </w:rPr>
        <w:t>ties did not ensure a complete and de</w:t>
      </w:r>
      <w:r w:rsidR="00534F23" w:rsidRPr="00104227">
        <w:rPr>
          <w:lang w:val="en-US"/>
        </w:rPr>
        <w:t>t</w:t>
      </w:r>
      <w:r w:rsidRPr="00104227">
        <w:rPr>
          <w:lang w:val="en-US"/>
        </w:rPr>
        <w:t>ailed medical and psychological examination by appropriate trained personnel. To the contrary, as revealed by the prison ent</w:t>
      </w:r>
      <w:r w:rsidR="00534F23" w:rsidRPr="00104227">
        <w:rPr>
          <w:lang w:val="en-US"/>
        </w:rPr>
        <w:t>r</w:t>
      </w:r>
      <w:r w:rsidRPr="00104227">
        <w:rPr>
          <w:lang w:val="en-US"/>
        </w:rPr>
        <w:t xml:space="preserve">y records and the facts acknowledged by the State, the examination </w:t>
      </w:r>
      <w:r w:rsidR="00534F23" w:rsidRPr="00104227">
        <w:rPr>
          <w:lang w:val="en-US"/>
        </w:rPr>
        <w:t xml:space="preserve">performed </w:t>
      </w:r>
      <w:r w:rsidRPr="00104227">
        <w:rPr>
          <w:lang w:val="en-US"/>
        </w:rPr>
        <w:t xml:space="preserve">was merely a superficial </w:t>
      </w:r>
      <w:r w:rsidR="00CC36E9" w:rsidRPr="00104227">
        <w:rPr>
          <w:lang w:val="en-US"/>
        </w:rPr>
        <w:t xml:space="preserve">physical examination where the doctors refused to document the women’s allegations of </w:t>
      </w:r>
      <w:r w:rsidR="00D25554" w:rsidRPr="00104227">
        <w:rPr>
          <w:lang w:val="en-US"/>
        </w:rPr>
        <w:t>sexual violence</w:t>
      </w:r>
      <w:r w:rsidR="00BF5241" w:rsidRPr="00104227">
        <w:rPr>
          <w:lang w:val="en-US"/>
        </w:rPr>
        <w:t xml:space="preserve"> and </w:t>
      </w:r>
      <w:r w:rsidR="00BC5201" w:rsidRPr="00104227">
        <w:rPr>
          <w:lang w:val="en-US"/>
        </w:rPr>
        <w:t>torture</w:t>
      </w:r>
      <w:r w:rsidR="00BF44DD" w:rsidRPr="00104227">
        <w:rPr>
          <w:lang w:val="en-US"/>
        </w:rPr>
        <w:t xml:space="preserve">. </w:t>
      </w:r>
      <w:r w:rsidR="00CC36E9" w:rsidRPr="00104227">
        <w:rPr>
          <w:lang w:val="en-US"/>
        </w:rPr>
        <w:t>T</w:t>
      </w:r>
      <w:r w:rsidR="00BF5241" w:rsidRPr="00104227">
        <w:rPr>
          <w:lang w:val="en-US"/>
        </w:rPr>
        <w:t>he Court</w:t>
      </w:r>
      <w:r w:rsidR="00BF44DD" w:rsidRPr="00104227">
        <w:rPr>
          <w:lang w:val="en-US"/>
        </w:rPr>
        <w:t xml:space="preserve"> </w:t>
      </w:r>
      <w:r w:rsidR="00CC36E9" w:rsidRPr="00104227">
        <w:rPr>
          <w:lang w:val="en-US"/>
        </w:rPr>
        <w:t xml:space="preserve">also </w:t>
      </w:r>
      <w:r w:rsidR="00BF44DD" w:rsidRPr="00104227">
        <w:rPr>
          <w:lang w:val="en-US"/>
        </w:rPr>
        <w:t>not</w:t>
      </w:r>
      <w:r w:rsidR="00CC36E9" w:rsidRPr="00104227">
        <w:rPr>
          <w:lang w:val="en-US"/>
        </w:rPr>
        <w:t>e that</w:t>
      </w:r>
      <w:r w:rsidR="00BF44DD" w:rsidRPr="00104227">
        <w:rPr>
          <w:lang w:val="en-US"/>
        </w:rPr>
        <w:t>:</w:t>
      </w:r>
      <w:bookmarkEnd w:id="342"/>
    </w:p>
    <w:p w14:paraId="25A6D5DD" w14:textId="77777777" w:rsidR="00204EA1" w:rsidRPr="00104227" w:rsidRDefault="00204EA1" w:rsidP="00E4619F">
      <w:pPr>
        <w:tabs>
          <w:tab w:val="left" w:pos="567"/>
        </w:tabs>
        <w:rPr>
          <w:lang w:eastAsia="es-MX"/>
        </w:rPr>
      </w:pPr>
    </w:p>
    <w:p w14:paraId="664E0CC8" w14:textId="5723CD35" w:rsidR="00BF44DD" w:rsidRPr="00104227" w:rsidRDefault="00CC36E9" w:rsidP="00CC36E9">
      <w:pPr>
        <w:pStyle w:val="Prrafodelista"/>
        <w:numPr>
          <w:ilvl w:val="0"/>
          <w:numId w:val="81"/>
        </w:numPr>
        <w:tabs>
          <w:tab w:val="left" w:pos="567"/>
        </w:tabs>
        <w:ind w:left="990" w:hanging="423"/>
      </w:pPr>
      <w:r w:rsidRPr="00104227">
        <w:rPr>
          <w:lang w:eastAsia="es-MX"/>
        </w:rPr>
        <w:t>In some cases, the physical examination was performed by male forensic personnel, and there is no record that the</w:t>
      </w:r>
      <w:r w:rsidR="00534F23" w:rsidRPr="00104227">
        <w:rPr>
          <w:lang w:eastAsia="es-MX"/>
        </w:rPr>
        <w:t xml:space="preserve"> women</w:t>
      </w:r>
      <w:r w:rsidRPr="00104227">
        <w:rPr>
          <w:lang w:eastAsia="es-MX"/>
        </w:rPr>
        <w:t xml:space="preserve"> were offered the presence of anyone of the sex they preferred, </w:t>
      </w:r>
      <w:r w:rsidR="00534F23" w:rsidRPr="00104227">
        <w:rPr>
          <w:lang w:eastAsia="es-MX"/>
        </w:rPr>
        <w:t>even though they had</w:t>
      </w:r>
      <w:r w:rsidRPr="00104227">
        <w:rPr>
          <w:lang w:eastAsia="es-MX"/>
        </w:rPr>
        <w:t xml:space="preserve"> reported acts of </w:t>
      </w:r>
      <w:r w:rsidR="00D25554" w:rsidRPr="00104227">
        <w:rPr>
          <w:lang w:eastAsia="es-MX"/>
        </w:rPr>
        <w:t>sexual violence</w:t>
      </w:r>
      <w:r w:rsidR="00BF44DD" w:rsidRPr="00104227">
        <w:rPr>
          <w:lang w:eastAsia="es-MX"/>
        </w:rPr>
        <w:t xml:space="preserve">; </w:t>
      </w:r>
    </w:p>
    <w:p w14:paraId="5B4D3FE1" w14:textId="3FB4BDE2" w:rsidR="00BF44DD" w:rsidRPr="00104227" w:rsidRDefault="00CC36E9" w:rsidP="00CC36E9">
      <w:pPr>
        <w:pStyle w:val="Prrafodelista"/>
        <w:numPr>
          <w:ilvl w:val="0"/>
          <w:numId w:val="81"/>
        </w:numPr>
        <w:tabs>
          <w:tab w:val="left" w:pos="567"/>
        </w:tabs>
        <w:ind w:left="990" w:hanging="423"/>
      </w:pPr>
      <w:r w:rsidRPr="00104227">
        <w:rPr>
          <w:lang w:eastAsia="es-MX"/>
        </w:rPr>
        <w:t xml:space="preserve">In most cases, the examinations were performed in the presence of other detainees, and even in the presence of </w:t>
      </w:r>
      <w:r w:rsidR="00534F23" w:rsidRPr="00104227">
        <w:rPr>
          <w:lang w:eastAsia="es-MX"/>
        </w:rPr>
        <w:t>law enforcement</w:t>
      </w:r>
      <w:r w:rsidRPr="00104227">
        <w:rPr>
          <w:lang w:eastAsia="es-MX"/>
        </w:rPr>
        <w:t xml:space="preserve"> agents;</w:t>
      </w:r>
      <w:r w:rsidR="00BF44DD" w:rsidRPr="00104227">
        <w:rPr>
          <w:lang w:eastAsia="es-MX"/>
        </w:rPr>
        <w:t xml:space="preserve"> </w:t>
      </w:r>
    </w:p>
    <w:p w14:paraId="3D9871CE" w14:textId="7B977588" w:rsidR="00BF44DD" w:rsidRPr="00104227" w:rsidRDefault="00CC36E9" w:rsidP="00CC36E9">
      <w:pPr>
        <w:pStyle w:val="Prrafodelista"/>
        <w:numPr>
          <w:ilvl w:val="0"/>
          <w:numId w:val="81"/>
        </w:numPr>
        <w:tabs>
          <w:tab w:val="left" w:pos="567"/>
        </w:tabs>
        <w:ind w:left="990" w:hanging="423"/>
      </w:pPr>
      <w:r w:rsidRPr="00104227">
        <w:rPr>
          <w:lang w:eastAsia="es-MX"/>
        </w:rPr>
        <w:t>The entry records do not contain any</w:t>
      </w:r>
      <w:r w:rsidR="00534F23" w:rsidRPr="00104227">
        <w:rPr>
          <w:lang w:eastAsia="es-MX"/>
        </w:rPr>
        <w:t xml:space="preserve"> of the</w:t>
      </w:r>
      <w:r w:rsidRPr="00104227">
        <w:rPr>
          <w:lang w:eastAsia="es-MX"/>
        </w:rPr>
        <w:t xml:space="preserve"> information provided by the women on the facts that occurred during their arrest, transfer and entry into the prison</w:t>
      </w:r>
      <w:r w:rsidR="00BF44DD" w:rsidRPr="00104227">
        <w:rPr>
          <w:lang w:eastAsia="es-MX"/>
        </w:rPr>
        <w:t xml:space="preserve">; </w:t>
      </w:r>
    </w:p>
    <w:p w14:paraId="1C52C83A" w14:textId="4D8085C9" w:rsidR="00BF44DD" w:rsidRPr="00104227" w:rsidRDefault="00CC36E9" w:rsidP="00CC36E9">
      <w:pPr>
        <w:pStyle w:val="Prrafodelista"/>
        <w:numPr>
          <w:ilvl w:val="0"/>
          <w:numId w:val="81"/>
        </w:numPr>
        <w:tabs>
          <w:tab w:val="left" w:pos="567"/>
        </w:tabs>
        <w:ind w:left="990" w:hanging="423"/>
      </w:pPr>
      <w:r w:rsidRPr="00104227">
        <w:rPr>
          <w:lang w:eastAsia="es-MX"/>
        </w:rPr>
        <w:t xml:space="preserve">There is no other documentation, particularly photographic documentation, to support the </w:t>
      </w:r>
      <w:r w:rsidR="002A00F2" w:rsidRPr="00104227">
        <w:rPr>
          <w:lang w:eastAsia="es-MX"/>
        </w:rPr>
        <w:t>observations</w:t>
      </w:r>
      <w:r w:rsidR="00BF44DD" w:rsidRPr="00104227">
        <w:rPr>
          <w:lang w:eastAsia="es-MX"/>
        </w:rPr>
        <w:t xml:space="preserve"> </w:t>
      </w:r>
      <w:r w:rsidRPr="00104227">
        <w:rPr>
          <w:lang w:eastAsia="es-MX"/>
        </w:rPr>
        <w:t xml:space="preserve">of the personnel who intervened; </w:t>
      </w:r>
    </w:p>
    <w:p w14:paraId="2ED80B20" w14:textId="02E24594" w:rsidR="00BF44DD" w:rsidRPr="00104227" w:rsidRDefault="00CC36E9" w:rsidP="00CC36E9">
      <w:pPr>
        <w:pStyle w:val="Prrafodelista"/>
        <w:numPr>
          <w:ilvl w:val="0"/>
          <w:numId w:val="81"/>
        </w:numPr>
        <w:tabs>
          <w:tab w:val="left" w:pos="567"/>
        </w:tabs>
        <w:ind w:left="990" w:hanging="423"/>
      </w:pPr>
      <w:r w:rsidRPr="00104227">
        <w:t>There is no interpretation of the probable relationship between the physical symptoms and the possible torture referred to by the women victims in this case</w:t>
      </w:r>
      <w:r w:rsidR="00BF44DD" w:rsidRPr="00104227">
        <w:t>;</w:t>
      </w:r>
    </w:p>
    <w:p w14:paraId="312F8AFD" w14:textId="7C84D57E" w:rsidR="00BF44DD" w:rsidRPr="00104227" w:rsidRDefault="00CC36E9" w:rsidP="00CC36E9">
      <w:pPr>
        <w:pStyle w:val="Prrafodelista"/>
        <w:numPr>
          <w:ilvl w:val="0"/>
          <w:numId w:val="81"/>
        </w:numPr>
        <w:tabs>
          <w:tab w:val="left" w:pos="567"/>
        </w:tabs>
        <w:ind w:left="990" w:hanging="423"/>
      </w:pPr>
      <w:r w:rsidRPr="00104227">
        <w:t xml:space="preserve">There is no information that they were </w:t>
      </w:r>
      <w:r w:rsidRPr="00104227">
        <w:rPr>
          <w:rFonts w:cs="Arial"/>
        </w:rPr>
        <w:t xml:space="preserve">advised that they could be accompanied by a person of confidence during the examination; to the contrary, the women victims in this case were kept incommunicado from their families; </w:t>
      </w:r>
    </w:p>
    <w:p w14:paraId="629EB4F8" w14:textId="6B3B9508" w:rsidR="00CC36E9" w:rsidRPr="00104227" w:rsidRDefault="00CC36E9" w:rsidP="00CC36E9">
      <w:pPr>
        <w:pStyle w:val="Prrafodelista"/>
        <w:numPr>
          <w:ilvl w:val="0"/>
          <w:numId w:val="81"/>
        </w:numPr>
        <w:tabs>
          <w:tab w:val="left" w:pos="567"/>
        </w:tabs>
        <w:ind w:left="990" w:hanging="423"/>
      </w:pPr>
      <w:r w:rsidRPr="00104227">
        <w:t>The lack of independence, appropriateness and training of the medical personnel involved was revealed by the ill-treatment and stigmatizing and revictimizing statements they made to the victims in some cases, insulting and mocking them, disbelieving their allegations</w:t>
      </w:r>
      <w:r w:rsidR="00534F23" w:rsidRPr="00104227">
        <w:t>,</w:t>
      </w:r>
      <w:r w:rsidRPr="00104227">
        <w:t xml:space="preserve"> and refusing to record the facts they recounted.</w:t>
      </w:r>
    </w:p>
    <w:p w14:paraId="32ECE67C" w14:textId="77777777" w:rsidR="00BF44DD" w:rsidRPr="00104227" w:rsidRDefault="00BF44DD" w:rsidP="00E4619F">
      <w:pPr>
        <w:tabs>
          <w:tab w:val="left" w:pos="567"/>
        </w:tabs>
      </w:pPr>
    </w:p>
    <w:p w14:paraId="4552E4FC" w14:textId="5EC13533" w:rsidR="00BF44DD" w:rsidRPr="00104227" w:rsidRDefault="00CC36E9" w:rsidP="00E4619F">
      <w:pPr>
        <w:pStyle w:val="Numberedparagraphs"/>
        <w:tabs>
          <w:tab w:val="left" w:pos="567"/>
        </w:tabs>
        <w:rPr>
          <w:lang w:val="en-US"/>
        </w:rPr>
      </w:pPr>
      <w:bookmarkStart w:id="343" w:name="_Ref532915491"/>
      <w:r w:rsidRPr="00104227">
        <w:rPr>
          <w:lang w:val="en-US"/>
        </w:rPr>
        <w:t xml:space="preserve">In particular, the Court highlights that, except in the cases of </w:t>
      </w:r>
      <w:r w:rsidR="00BF44DD" w:rsidRPr="00104227">
        <w:rPr>
          <w:lang w:val="en-US"/>
        </w:rPr>
        <w:t>Bárbara Italia Méndez Moreno</w:t>
      </w:r>
      <w:r w:rsidR="00BF5241" w:rsidRPr="00104227">
        <w:rPr>
          <w:lang w:val="en-US"/>
        </w:rPr>
        <w:t xml:space="preserve"> and </w:t>
      </w:r>
      <w:r w:rsidR="00BF44DD" w:rsidRPr="00104227">
        <w:rPr>
          <w:lang w:val="en-US"/>
        </w:rPr>
        <w:t xml:space="preserve">Claudia Hernández Martínez, </w:t>
      </w:r>
      <w:r w:rsidRPr="00104227">
        <w:rPr>
          <w:lang w:val="en-US"/>
        </w:rPr>
        <w:t xml:space="preserve">the physical examinations performed on entry into the </w:t>
      </w:r>
      <w:r w:rsidR="00BF44DD" w:rsidRPr="00104227">
        <w:rPr>
          <w:lang w:val="en-US"/>
        </w:rPr>
        <w:lastRenderedPageBreak/>
        <w:t>CEPRESO, as</w:t>
      </w:r>
      <w:r w:rsidRPr="00104227">
        <w:rPr>
          <w:lang w:val="en-US"/>
        </w:rPr>
        <w:t xml:space="preserve"> well as those performed by </w:t>
      </w:r>
      <w:r w:rsidR="0065009A" w:rsidRPr="00104227">
        <w:rPr>
          <w:lang w:val="en-US"/>
        </w:rPr>
        <w:t>the CNDH</w:t>
      </w:r>
      <w:r w:rsidRPr="00104227">
        <w:rPr>
          <w:lang w:val="en-US"/>
        </w:rPr>
        <w:t xml:space="preserve"> </w:t>
      </w:r>
      <w:r w:rsidR="006F5741" w:rsidRPr="00104227">
        <w:rPr>
          <w:lang w:val="en-US"/>
        </w:rPr>
        <w:t>on May 5,</w:t>
      </w:r>
      <w:r w:rsidR="00BF44DD" w:rsidRPr="00104227">
        <w:rPr>
          <w:lang w:val="en-US"/>
        </w:rPr>
        <w:t xml:space="preserve"> 2006, </w:t>
      </w:r>
      <w:r w:rsidRPr="00104227">
        <w:rPr>
          <w:lang w:val="en-US"/>
        </w:rPr>
        <w:t>did not include a g</w:t>
      </w:r>
      <w:r w:rsidR="00534F23" w:rsidRPr="00104227">
        <w:rPr>
          <w:lang w:val="en-US"/>
        </w:rPr>
        <w:t>y</w:t>
      </w:r>
      <w:r w:rsidRPr="00104227">
        <w:rPr>
          <w:lang w:val="en-US"/>
        </w:rPr>
        <w:t xml:space="preserve">necological examination, even though several of the women </w:t>
      </w:r>
      <w:r w:rsidR="00A51DED" w:rsidRPr="00104227">
        <w:rPr>
          <w:lang w:val="en-US"/>
        </w:rPr>
        <w:t xml:space="preserve">reported having undergone </w:t>
      </w:r>
      <w:r w:rsidR="00D25554" w:rsidRPr="00104227">
        <w:rPr>
          <w:lang w:val="en-US"/>
        </w:rPr>
        <w:t xml:space="preserve">sexual </w:t>
      </w:r>
      <w:r w:rsidR="00A51DED" w:rsidRPr="00104227">
        <w:rPr>
          <w:lang w:val="en-US"/>
        </w:rPr>
        <w:t>abuse and expressly requesting this.</w:t>
      </w:r>
      <w:r w:rsidR="00BF44DD" w:rsidRPr="00104227">
        <w:rPr>
          <w:rStyle w:val="Refdenotaalpie"/>
          <w:lang w:val="en-US"/>
        </w:rPr>
        <w:footnoteReference w:id="372"/>
      </w:r>
      <w:r w:rsidR="00BF44DD" w:rsidRPr="00104227">
        <w:rPr>
          <w:lang w:val="en-US"/>
        </w:rPr>
        <w:t xml:space="preserve"> </w:t>
      </w:r>
      <w:r w:rsidR="00A51DED" w:rsidRPr="00104227">
        <w:rPr>
          <w:lang w:val="en-US"/>
        </w:rPr>
        <w:t>With the exception of</w:t>
      </w:r>
      <w:r w:rsidR="00BF44DD" w:rsidRPr="00104227">
        <w:rPr>
          <w:lang w:val="en-US"/>
        </w:rPr>
        <w:t xml:space="preserve"> Bárbara Italia Méndez Moreno</w:t>
      </w:r>
      <w:r w:rsidR="00BF5241" w:rsidRPr="00104227">
        <w:rPr>
          <w:lang w:val="en-US"/>
        </w:rPr>
        <w:t xml:space="preserve"> and </w:t>
      </w:r>
      <w:r w:rsidR="00BF44DD" w:rsidRPr="00104227">
        <w:rPr>
          <w:lang w:val="en-US"/>
        </w:rPr>
        <w:t xml:space="preserve">Claudia Hernández Martínez, </w:t>
      </w:r>
      <w:r w:rsidR="00A51DED" w:rsidRPr="00104227">
        <w:rPr>
          <w:lang w:val="en-US"/>
        </w:rPr>
        <w:t>the women</w:t>
      </w:r>
      <w:r w:rsidR="00BF44DD" w:rsidRPr="00104227">
        <w:rPr>
          <w:lang w:val="en-US"/>
        </w:rPr>
        <w:t xml:space="preserve"> </w:t>
      </w:r>
      <w:r w:rsidR="00844C80" w:rsidRPr="00104227">
        <w:rPr>
          <w:lang w:val="en-US"/>
        </w:rPr>
        <w:t>victims in this case</w:t>
      </w:r>
      <w:r w:rsidR="00BF44DD" w:rsidRPr="00104227">
        <w:rPr>
          <w:lang w:val="en-US"/>
        </w:rPr>
        <w:t xml:space="preserve"> </w:t>
      </w:r>
      <w:r w:rsidR="00A51DED" w:rsidRPr="00104227">
        <w:rPr>
          <w:lang w:val="en-US"/>
        </w:rPr>
        <w:t xml:space="preserve">did not receive adequate medical and gynecological treatment until June 2006, as the State has acknowledged, almost four weeks after the events occurred. Many of them were even obliged to start a hunger strike </w:t>
      </w:r>
      <w:r w:rsidR="00534F23" w:rsidRPr="00104227">
        <w:rPr>
          <w:lang w:val="en-US"/>
        </w:rPr>
        <w:t>demanding</w:t>
      </w:r>
      <w:r w:rsidR="00A51DED" w:rsidRPr="00104227">
        <w:rPr>
          <w:lang w:val="en-US"/>
        </w:rPr>
        <w:t xml:space="preserve"> that they be provided with gynecological treatment</w:t>
      </w:r>
      <w:r w:rsidR="00BF44DD" w:rsidRPr="00104227">
        <w:rPr>
          <w:lang w:val="en-US"/>
        </w:rPr>
        <w:t xml:space="preserve">. </w:t>
      </w:r>
      <w:r w:rsidR="00A51DED" w:rsidRPr="00104227">
        <w:rPr>
          <w:lang w:val="en-US"/>
        </w:rPr>
        <w:t>Moreover, several of the women were deprived of liberty for months, so that they were unable to seek other means of obtaining gynecological treatment.</w:t>
      </w:r>
      <w:bookmarkEnd w:id="343"/>
    </w:p>
    <w:p w14:paraId="18276B65" w14:textId="77777777" w:rsidR="00BF44DD" w:rsidRPr="00104227" w:rsidRDefault="00BF44DD" w:rsidP="00E4619F">
      <w:pPr>
        <w:tabs>
          <w:tab w:val="left" w:pos="567"/>
        </w:tabs>
        <w:ind w:left="1440" w:hanging="360"/>
      </w:pPr>
    </w:p>
    <w:p w14:paraId="7D5E9359" w14:textId="0DA95A63" w:rsidR="00BF44DD" w:rsidRPr="00104227" w:rsidRDefault="00534F23" w:rsidP="00E4619F">
      <w:pPr>
        <w:pStyle w:val="Numberedparagraphs"/>
        <w:tabs>
          <w:tab w:val="left" w:pos="567"/>
        </w:tabs>
        <w:rPr>
          <w:lang w:val="en-US"/>
        </w:rPr>
      </w:pPr>
      <w:r w:rsidRPr="00104227">
        <w:rPr>
          <w:lang w:val="en-US"/>
        </w:rPr>
        <w:t>Furthermore</w:t>
      </w:r>
      <w:r w:rsidR="00A51DED" w:rsidRPr="00104227">
        <w:rPr>
          <w:lang w:val="en-US"/>
        </w:rPr>
        <w:t xml:space="preserve">, the Court has already noted that States have the duty to recover and preserve evidentiary material in order to assist any potential criminal </w:t>
      </w:r>
      <w:r w:rsidR="00F27D61" w:rsidRPr="00104227">
        <w:rPr>
          <w:lang w:val="en-US"/>
        </w:rPr>
        <w:t>investigation</w:t>
      </w:r>
      <w:r w:rsidR="00A51DED" w:rsidRPr="00104227">
        <w:rPr>
          <w:lang w:val="en-US"/>
        </w:rPr>
        <w:t xml:space="preserve"> into those responsible.</w:t>
      </w:r>
      <w:r w:rsidR="00BF44DD" w:rsidRPr="00104227">
        <w:rPr>
          <w:rStyle w:val="Refdenotaalpie"/>
          <w:lang w:val="en-US"/>
        </w:rPr>
        <w:footnoteReference w:id="373"/>
      </w:r>
      <w:r w:rsidR="00BF44DD" w:rsidRPr="00104227">
        <w:rPr>
          <w:lang w:val="en-US"/>
        </w:rPr>
        <w:t xml:space="preserve"> </w:t>
      </w:r>
      <w:r w:rsidR="00A51DED" w:rsidRPr="00104227">
        <w:rPr>
          <w:lang w:val="en-US"/>
        </w:rPr>
        <w:t xml:space="preserve">In this case, however, the Court notes that not only </w:t>
      </w:r>
      <w:r w:rsidRPr="00104227">
        <w:rPr>
          <w:lang w:val="en-US"/>
        </w:rPr>
        <w:t>were no</w:t>
      </w:r>
      <w:r w:rsidR="00A51DED" w:rsidRPr="00104227">
        <w:rPr>
          <w:lang w:val="en-US"/>
        </w:rPr>
        <w:t xml:space="preserve"> medical and gynecological examinations performed, but also there is no record that the authorities in charge of the investigation gathered or ordered the immediate collection of other evidence, suc</w:t>
      </w:r>
      <w:r w:rsidRPr="00104227">
        <w:rPr>
          <w:lang w:val="en-US"/>
        </w:rPr>
        <w:t>h</w:t>
      </w:r>
      <w:r w:rsidR="00A51DED" w:rsidRPr="00104227">
        <w:rPr>
          <w:lang w:val="en-US"/>
        </w:rPr>
        <w:t xml:space="preserve"> as the clothes worn by the women at the time of the facts. To the contrary</w:t>
      </w:r>
      <w:r w:rsidR="00BF44DD" w:rsidRPr="00104227">
        <w:rPr>
          <w:lang w:val="en-US"/>
        </w:rPr>
        <w:t xml:space="preserve">, </w:t>
      </w:r>
      <w:r w:rsidR="00A51DED" w:rsidRPr="00104227">
        <w:rPr>
          <w:lang w:val="en-US"/>
        </w:rPr>
        <w:t>in some cases, this clothing disappeared or was washed by order of police personnel.</w:t>
      </w:r>
      <w:r w:rsidR="00BF44DD" w:rsidRPr="00104227">
        <w:rPr>
          <w:rStyle w:val="Refdenotaalpie"/>
          <w:lang w:val="en-US"/>
        </w:rPr>
        <w:footnoteReference w:id="374"/>
      </w:r>
      <w:r w:rsidR="00BF44DD" w:rsidRPr="00104227">
        <w:rPr>
          <w:lang w:val="en-US"/>
        </w:rPr>
        <w:t xml:space="preserve"> </w:t>
      </w:r>
      <w:r w:rsidR="00A51DED" w:rsidRPr="00104227">
        <w:rPr>
          <w:lang w:val="en-US"/>
        </w:rPr>
        <w:t xml:space="preserve">Only the clothing of </w:t>
      </w:r>
      <w:r w:rsidR="00BF44DD" w:rsidRPr="00104227">
        <w:rPr>
          <w:lang w:val="en-US"/>
        </w:rPr>
        <w:t>Bárbara Italia Méndez Moreno</w:t>
      </w:r>
      <w:r w:rsidR="00BF5241" w:rsidRPr="00104227">
        <w:rPr>
          <w:lang w:val="en-US"/>
        </w:rPr>
        <w:t xml:space="preserve"> and </w:t>
      </w:r>
      <w:r w:rsidR="00BF44DD" w:rsidRPr="00104227">
        <w:rPr>
          <w:lang w:val="en-US"/>
        </w:rPr>
        <w:t>Ana María Velasco Rodríguez</w:t>
      </w:r>
      <w:r w:rsidR="00A51DED" w:rsidRPr="00104227">
        <w:rPr>
          <w:lang w:val="en-US"/>
        </w:rPr>
        <w:t xml:space="preserve"> was subjected to chemical analysis and this was on</w:t>
      </w:r>
      <w:r w:rsidR="00BF44DD" w:rsidRPr="00104227">
        <w:rPr>
          <w:lang w:val="en-US"/>
        </w:rPr>
        <w:t xml:space="preserve"> </w:t>
      </w:r>
      <w:r w:rsidR="000777FE" w:rsidRPr="00104227">
        <w:rPr>
          <w:lang w:val="en-US"/>
        </w:rPr>
        <w:t>May 12</w:t>
      </w:r>
      <w:r w:rsidR="009075C6" w:rsidRPr="00104227">
        <w:rPr>
          <w:lang w:val="en-US"/>
        </w:rPr>
        <w:t>,</w:t>
      </w:r>
      <w:r w:rsidR="00244C4F" w:rsidRPr="00104227">
        <w:rPr>
          <w:lang w:val="en-US"/>
        </w:rPr>
        <w:t xml:space="preserve"> 2006, </w:t>
      </w:r>
      <w:r w:rsidR="00A51DED" w:rsidRPr="00104227">
        <w:rPr>
          <w:lang w:val="en-US"/>
        </w:rPr>
        <w:t xml:space="preserve">nine days after their detention and after it had been washed </w:t>
      </w:r>
      <w:r w:rsidR="00BF44DD" w:rsidRPr="00104227">
        <w:rPr>
          <w:lang w:val="en-US"/>
        </w:rPr>
        <w:t>(</w:t>
      </w:r>
      <w:r w:rsidR="00BF44DD" w:rsidRPr="00104227">
        <w:rPr>
          <w:i/>
          <w:lang w:val="en-US"/>
        </w:rPr>
        <w:t xml:space="preserve">supra </w:t>
      </w:r>
      <w:r w:rsidR="00BF5241" w:rsidRPr="00104227">
        <w:rPr>
          <w:lang w:val="en-US"/>
        </w:rPr>
        <w:t>para.</w:t>
      </w:r>
      <w:r w:rsidR="00AC624F" w:rsidRPr="00104227">
        <w:rPr>
          <w:lang w:val="en-US"/>
        </w:rPr>
        <w:t xml:space="preserve"> </w:t>
      </w:r>
      <w:r w:rsidR="00AC624F" w:rsidRPr="00104227">
        <w:rPr>
          <w:lang w:val="en-US"/>
        </w:rPr>
        <w:fldChar w:fldCharType="begin"/>
      </w:r>
      <w:r w:rsidR="00AC624F" w:rsidRPr="00104227">
        <w:rPr>
          <w:lang w:val="en-US"/>
        </w:rPr>
        <w:instrText xml:space="preserve"> REF _Ref532940549 \r \h </w:instrText>
      </w:r>
      <w:r w:rsidR="00284EAE" w:rsidRPr="00104227">
        <w:rPr>
          <w:lang w:val="en-US"/>
        </w:rPr>
        <w:instrText xml:space="preserve"> \* MERGEFORMAT </w:instrText>
      </w:r>
      <w:r w:rsidR="00AC624F" w:rsidRPr="00104227">
        <w:rPr>
          <w:lang w:val="en-US"/>
        </w:rPr>
      </w:r>
      <w:r w:rsidR="00AC624F" w:rsidRPr="00104227">
        <w:rPr>
          <w:lang w:val="en-US"/>
        </w:rPr>
        <w:fldChar w:fldCharType="separate"/>
      </w:r>
      <w:r w:rsidR="004276BD">
        <w:rPr>
          <w:lang w:val="en-US"/>
        </w:rPr>
        <w:t>108</w:t>
      </w:r>
      <w:r w:rsidR="00AC624F" w:rsidRPr="00104227">
        <w:rPr>
          <w:lang w:val="en-US"/>
        </w:rPr>
        <w:fldChar w:fldCharType="end"/>
      </w:r>
      <w:r w:rsidR="00BF44DD" w:rsidRPr="00104227">
        <w:rPr>
          <w:lang w:val="en-US"/>
        </w:rPr>
        <w:t>)</w:t>
      </w:r>
      <w:r w:rsidR="00A51DED" w:rsidRPr="00104227">
        <w:rPr>
          <w:lang w:val="en-US"/>
        </w:rPr>
        <w:t>.</w:t>
      </w:r>
      <w:r w:rsidR="00BF44DD" w:rsidRPr="00104227">
        <w:rPr>
          <w:lang w:val="en-US"/>
        </w:rPr>
        <w:t xml:space="preserve"> </w:t>
      </w:r>
      <w:r w:rsidR="00A51DED" w:rsidRPr="00104227">
        <w:rPr>
          <w:lang w:val="en-US"/>
        </w:rPr>
        <w:t>The che</w:t>
      </w:r>
      <w:r w:rsidRPr="00104227">
        <w:rPr>
          <w:lang w:val="en-US"/>
        </w:rPr>
        <w:t>m</w:t>
      </w:r>
      <w:r w:rsidR="00A51DED" w:rsidRPr="00104227">
        <w:rPr>
          <w:lang w:val="en-US"/>
        </w:rPr>
        <w:t xml:space="preserve">ical analysis of </w:t>
      </w:r>
      <w:r w:rsidR="00BF44DD" w:rsidRPr="00104227">
        <w:rPr>
          <w:lang w:val="en-US"/>
        </w:rPr>
        <w:t>Bárbara Italia Méndez Moreno</w:t>
      </w:r>
      <w:r w:rsidR="00A51DED" w:rsidRPr="00104227">
        <w:rPr>
          <w:lang w:val="en-US"/>
        </w:rPr>
        <w:t xml:space="preserve">’s clothes gave a positive result for the presence of semen; however, the information provided to the Court does not reveal that the State followed up on the evidence. All of which </w:t>
      </w:r>
      <w:r w:rsidRPr="00104227">
        <w:rPr>
          <w:lang w:val="en-US"/>
        </w:rPr>
        <w:t>concurs</w:t>
      </w:r>
      <w:r w:rsidR="00A51DED" w:rsidRPr="00104227">
        <w:rPr>
          <w:lang w:val="en-US"/>
        </w:rPr>
        <w:t xml:space="preserve"> with the SCJN’s assertion that “the evidence gathered in these inquiries […] reveals significant </w:t>
      </w:r>
      <w:r w:rsidR="00283959" w:rsidRPr="00104227">
        <w:rPr>
          <w:lang w:val="en-US"/>
        </w:rPr>
        <w:t>errors</w:t>
      </w:r>
      <w:r w:rsidR="00A51DED" w:rsidRPr="00104227">
        <w:rPr>
          <w:lang w:val="en-US"/>
        </w:rPr>
        <w:t xml:space="preserve"> and omissions committed when addressing the</w:t>
      </w:r>
      <w:r w:rsidR="00B1404B" w:rsidRPr="00104227">
        <w:rPr>
          <w:lang w:val="en-US"/>
        </w:rPr>
        <w:t xml:space="preserve"> complaints </w:t>
      </w:r>
      <w:r w:rsidR="003F2587" w:rsidRPr="00104227">
        <w:rPr>
          <w:lang w:val="en-US"/>
        </w:rPr>
        <w:t>made by the women concerning</w:t>
      </w:r>
      <w:r w:rsidR="00B1404B" w:rsidRPr="00104227">
        <w:rPr>
          <w:lang w:val="en-US"/>
        </w:rPr>
        <w:t xml:space="preserve"> these delicate issues</w:t>
      </w:r>
      <w:r w:rsidR="00A51DED" w:rsidRPr="00104227">
        <w:rPr>
          <w:lang w:val="en-US"/>
        </w:rPr>
        <w:t>.</w:t>
      </w:r>
      <w:r w:rsidR="00BF44DD" w:rsidRPr="00104227">
        <w:rPr>
          <w:lang w:val="en-US"/>
        </w:rPr>
        <w:t>”</w:t>
      </w:r>
      <w:r w:rsidR="00BF44DD" w:rsidRPr="00104227">
        <w:rPr>
          <w:rStyle w:val="Refdenotaalpie"/>
          <w:lang w:val="en-US"/>
        </w:rPr>
        <w:footnoteReference w:id="375"/>
      </w:r>
    </w:p>
    <w:p w14:paraId="4959BEDD" w14:textId="77777777" w:rsidR="00204EA1" w:rsidRPr="00104227" w:rsidRDefault="00204EA1" w:rsidP="00E4619F">
      <w:pPr>
        <w:tabs>
          <w:tab w:val="left" w:pos="567"/>
        </w:tabs>
        <w:rPr>
          <w:lang w:eastAsia="es-MX"/>
        </w:rPr>
      </w:pPr>
    </w:p>
    <w:p w14:paraId="6B0F514D" w14:textId="056E9655" w:rsidR="006247C9" w:rsidRPr="00104227" w:rsidRDefault="00283959" w:rsidP="00A23FD0">
      <w:pPr>
        <w:pStyle w:val="Numberedparagraphs"/>
        <w:tabs>
          <w:tab w:val="left" w:pos="567"/>
        </w:tabs>
        <w:rPr>
          <w:lang w:val="en-US"/>
        </w:rPr>
      </w:pPr>
      <w:r w:rsidRPr="00104227">
        <w:rPr>
          <w:lang w:val="en-US"/>
        </w:rPr>
        <w:t>Regarding</w:t>
      </w:r>
      <w:r w:rsidR="006247C9" w:rsidRPr="00104227">
        <w:rPr>
          <w:lang w:val="en-US"/>
        </w:rPr>
        <w:t xml:space="preserve"> </w:t>
      </w:r>
      <w:r w:rsidR="00E31E41" w:rsidRPr="00104227">
        <w:rPr>
          <w:lang w:val="en-US"/>
        </w:rPr>
        <w:t>the preliminary inquiry</w:t>
      </w:r>
      <w:r w:rsidRPr="00104227">
        <w:rPr>
          <w:lang w:val="en-US"/>
        </w:rPr>
        <w:t xml:space="preserve"> </w:t>
      </w:r>
      <w:r w:rsidR="004617E1" w:rsidRPr="00104227">
        <w:rPr>
          <w:lang w:val="en-US"/>
        </w:rPr>
        <w:t>b</w:t>
      </w:r>
      <w:r w:rsidRPr="00104227">
        <w:rPr>
          <w:lang w:val="en-US"/>
        </w:rPr>
        <w:t>y</w:t>
      </w:r>
      <w:r w:rsidR="004617E1" w:rsidRPr="00104227">
        <w:rPr>
          <w:lang w:val="en-US"/>
        </w:rPr>
        <w:t xml:space="preserve"> the</w:t>
      </w:r>
      <w:r w:rsidR="006247C9" w:rsidRPr="00104227">
        <w:rPr>
          <w:lang w:val="en-US"/>
        </w:rPr>
        <w:t xml:space="preserve"> FEVIM, </w:t>
      </w:r>
      <w:r w:rsidR="00BF5241" w:rsidRPr="00104227">
        <w:rPr>
          <w:lang w:val="en-US"/>
        </w:rPr>
        <w:t>the Court</w:t>
      </w:r>
      <w:r w:rsidR="006247C9" w:rsidRPr="00104227">
        <w:rPr>
          <w:lang w:val="en-US"/>
        </w:rPr>
        <w:t xml:space="preserve"> </w:t>
      </w:r>
      <w:r w:rsidRPr="00104227">
        <w:rPr>
          <w:lang w:val="en-US"/>
        </w:rPr>
        <w:t xml:space="preserve">notes that between June 2006 and May 2007, the victims or their representatives requested and provided evidence to be added to the case file in order to prove the </w:t>
      </w:r>
      <w:r w:rsidRPr="00104227">
        <w:rPr>
          <w:i/>
          <w:iCs/>
          <w:lang w:val="en-US"/>
        </w:rPr>
        <w:t>corpus delicti</w:t>
      </w:r>
      <w:r w:rsidRPr="00104227">
        <w:rPr>
          <w:lang w:val="en-US"/>
        </w:rPr>
        <w:t xml:space="preserve">, including the results of the examinations performed in application of the </w:t>
      </w:r>
      <w:r w:rsidRPr="00104227">
        <w:rPr>
          <w:rFonts w:cs="Arial"/>
          <w:lang w:val="en-US"/>
        </w:rPr>
        <w:t xml:space="preserve">Istanbul Protocol by independent experts and by the </w:t>
      </w:r>
      <w:r w:rsidR="0065009A" w:rsidRPr="00104227">
        <w:rPr>
          <w:rFonts w:cs="Arial"/>
          <w:lang w:val="en-US"/>
        </w:rPr>
        <w:t>CNDH</w:t>
      </w:r>
      <w:r w:rsidRPr="00104227">
        <w:rPr>
          <w:rFonts w:cs="Arial"/>
          <w:lang w:val="en-US"/>
        </w:rPr>
        <w:t>;</w:t>
      </w:r>
      <w:r w:rsidR="006247C9" w:rsidRPr="00104227">
        <w:rPr>
          <w:rStyle w:val="Refdenotaalpie"/>
          <w:rFonts w:cs="Arial"/>
          <w:lang w:val="en-US"/>
        </w:rPr>
        <w:footnoteReference w:id="376"/>
      </w:r>
      <w:r w:rsidRPr="00104227">
        <w:rPr>
          <w:rFonts w:cs="Arial"/>
          <w:lang w:val="en-US"/>
        </w:rPr>
        <w:t xml:space="preserve"> they also</w:t>
      </w:r>
      <w:r w:rsidR="00A23FD0" w:rsidRPr="00104227">
        <w:rPr>
          <w:rFonts w:cs="Arial"/>
          <w:lang w:val="en-US"/>
        </w:rPr>
        <w:t xml:space="preserve"> asked FEVIM to</w:t>
      </w:r>
      <w:r w:rsidRPr="00104227">
        <w:rPr>
          <w:rFonts w:cs="Arial"/>
          <w:lang w:val="en-US"/>
        </w:rPr>
        <w:t xml:space="preserve"> exercise </w:t>
      </w:r>
      <w:r w:rsidR="00A23FD0" w:rsidRPr="00104227">
        <w:rPr>
          <w:rFonts w:cs="Arial"/>
          <w:lang w:val="en-US"/>
        </w:rPr>
        <w:t>its</w:t>
      </w:r>
      <w:r w:rsidRPr="00104227">
        <w:rPr>
          <w:rFonts w:cs="Arial"/>
          <w:lang w:val="en-US"/>
        </w:rPr>
        <w:t xml:space="preserve"> right </w:t>
      </w:r>
      <w:r w:rsidR="00A23FD0" w:rsidRPr="00104227">
        <w:rPr>
          <w:rFonts w:cs="Arial"/>
          <w:lang w:val="en-US"/>
        </w:rPr>
        <w:t>to transfer jurisdiction of the</w:t>
      </w:r>
      <w:r w:rsidRPr="00104227">
        <w:rPr>
          <w:rFonts w:cs="Arial"/>
          <w:lang w:val="en-US"/>
        </w:rPr>
        <w:t xml:space="preserve"> ordinary crimes.</w:t>
      </w:r>
      <w:r w:rsidR="006247C9" w:rsidRPr="00104227">
        <w:rPr>
          <w:rStyle w:val="Refdenotaalpie"/>
          <w:lang w:val="en-US"/>
        </w:rPr>
        <w:footnoteReference w:id="377"/>
      </w:r>
      <w:r w:rsidR="00C726C5" w:rsidRPr="00104227">
        <w:rPr>
          <w:lang w:val="en-US"/>
        </w:rPr>
        <w:t xml:space="preserve"> </w:t>
      </w:r>
      <w:r w:rsidRPr="00104227">
        <w:rPr>
          <w:lang w:val="en-US"/>
        </w:rPr>
        <w:t xml:space="preserve">In addition, </w:t>
      </w:r>
      <w:r w:rsidRPr="00104227">
        <w:rPr>
          <w:lang w:val="en-US"/>
        </w:rPr>
        <w:lastRenderedPageBreak/>
        <w:t xml:space="preserve">in February 2007, several of the women presented a brief to </w:t>
      </w:r>
      <w:r w:rsidR="00852707" w:rsidRPr="00104227">
        <w:rPr>
          <w:lang w:val="en-US"/>
        </w:rPr>
        <w:t>the FEVIM</w:t>
      </w:r>
      <w:r w:rsidR="006247C9" w:rsidRPr="00104227">
        <w:rPr>
          <w:lang w:val="en-US"/>
        </w:rPr>
        <w:t xml:space="preserve"> </w:t>
      </w:r>
      <w:r w:rsidRPr="00104227">
        <w:rPr>
          <w:lang w:val="en-US"/>
        </w:rPr>
        <w:t>asking it:</w:t>
      </w:r>
      <w:r w:rsidR="006247C9" w:rsidRPr="00104227">
        <w:rPr>
          <w:lang w:val="en-US"/>
        </w:rPr>
        <w:t xml:space="preserve"> (i) </w:t>
      </w:r>
      <w:r w:rsidRPr="00104227">
        <w:rPr>
          <w:lang w:val="en-US"/>
        </w:rPr>
        <w:t>to file th</w:t>
      </w:r>
      <w:r w:rsidR="003F2587" w:rsidRPr="00104227">
        <w:rPr>
          <w:lang w:val="en-US"/>
        </w:rPr>
        <w:t>e</w:t>
      </w:r>
      <w:r w:rsidRPr="00104227">
        <w:rPr>
          <w:lang w:val="en-US"/>
        </w:rPr>
        <w:t xml:space="preserve"> inquiry before the judicial authority </w:t>
      </w:r>
      <w:r w:rsidR="003F2587" w:rsidRPr="00104227">
        <w:rPr>
          <w:lang w:val="en-US"/>
        </w:rPr>
        <w:t>on the basis of</w:t>
      </w:r>
      <w:r w:rsidRPr="00104227">
        <w:rPr>
          <w:lang w:val="en-US"/>
        </w:rPr>
        <w:t xml:space="preserve"> the crime of </w:t>
      </w:r>
      <w:r w:rsidR="00BC5201" w:rsidRPr="00104227">
        <w:rPr>
          <w:lang w:val="en-US"/>
        </w:rPr>
        <w:t>torture</w:t>
      </w:r>
      <w:r w:rsidR="006247C9" w:rsidRPr="00104227">
        <w:rPr>
          <w:lang w:val="en-US"/>
        </w:rPr>
        <w:t xml:space="preserve">, </w:t>
      </w:r>
      <w:r w:rsidRPr="00104227">
        <w:rPr>
          <w:lang w:val="en-US"/>
        </w:rPr>
        <w:t>and</w:t>
      </w:r>
      <w:r w:rsidR="006247C9" w:rsidRPr="00104227">
        <w:rPr>
          <w:lang w:val="en-US"/>
        </w:rPr>
        <w:t xml:space="preserve"> (ii) </w:t>
      </w:r>
      <w:r w:rsidRPr="00104227">
        <w:rPr>
          <w:lang w:val="en-US"/>
        </w:rPr>
        <w:t xml:space="preserve">to endorse the results of the examinations performed in application of the </w:t>
      </w:r>
      <w:r w:rsidR="00AF4ADA" w:rsidRPr="00104227">
        <w:rPr>
          <w:rFonts w:cs="Arial"/>
          <w:lang w:val="en-US"/>
        </w:rPr>
        <w:t>Istanbul Protocol</w:t>
      </w:r>
      <w:r w:rsidR="006247C9" w:rsidRPr="00104227">
        <w:rPr>
          <w:rFonts w:cs="Arial"/>
          <w:lang w:val="en-US"/>
        </w:rPr>
        <w:t xml:space="preserve"> </w:t>
      </w:r>
      <w:r w:rsidRPr="00104227">
        <w:rPr>
          <w:rFonts w:cs="Arial"/>
          <w:lang w:val="en-US"/>
        </w:rPr>
        <w:t>by</w:t>
      </w:r>
      <w:r w:rsidR="006247C9" w:rsidRPr="00104227">
        <w:rPr>
          <w:rFonts w:cs="Arial"/>
          <w:lang w:val="en-US"/>
        </w:rPr>
        <w:t xml:space="preserve"> </w:t>
      </w:r>
      <w:r w:rsidR="0065009A" w:rsidRPr="00104227">
        <w:rPr>
          <w:rFonts w:cs="Arial"/>
          <w:lang w:val="en-US"/>
        </w:rPr>
        <w:t>the CNDH</w:t>
      </w:r>
      <w:r w:rsidR="00BF5241" w:rsidRPr="00104227">
        <w:rPr>
          <w:rFonts w:cs="Arial"/>
          <w:lang w:val="en-US"/>
        </w:rPr>
        <w:t xml:space="preserve"> and </w:t>
      </w:r>
      <w:r w:rsidRPr="00104227">
        <w:rPr>
          <w:rFonts w:cs="Arial"/>
          <w:lang w:val="en-US"/>
        </w:rPr>
        <w:t>the</w:t>
      </w:r>
      <w:r w:rsidR="006247C9" w:rsidRPr="00104227">
        <w:rPr>
          <w:rFonts w:cs="Arial"/>
          <w:lang w:val="en-US"/>
        </w:rPr>
        <w:t xml:space="preserve"> CCTI</w:t>
      </w:r>
      <w:r w:rsidRPr="00104227">
        <w:rPr>
          <w:rFonts w:cs="Arial"/>
          <w:lang w:val="en-US"/>
        </w:rPr>
        <w:t>.</w:t>
      </w:r>
      <w:r w:rsidR="006247C9" w:rsidRPr="00104227">
        <w:rPr>
          <w:rStyle w:val="Refdenotaalpie"/>
          <w:lang w:val="en-US"/>
        </w:rPr>
        <w:footnoteReference w:id="378"/>
      </w:r>
      <w:r w:rsidRPr="00104227">
        <w:rPr>
          <w:lang w:val="en-US"/>
        </w:rPr>
        <w:t xml:space="preserve"> Regarding the first point, according to information provided by the State, on </w:t>
      </w:r>
      <w:r w:rsidR="00B851FA" w:rsidRPr="00104227">
        <w:rPr>
          <w:lang w:val="en-US"/>
        </w:rPr>
        <w:t>March 9,</w:t>
      </w:r>
      <w:r w:rsidR="006247C9" w:rsidRPr="00104227">
        <w:rPr>
          <w:lang w:val="en-US"/>
        </w:rPr>
        <w:t xml:space="preserve"> 2007</w:t>
      </w:r>
      <w:r w:rsidRPr="00104227">
        <w:rPr>
          <w:lang w:val="en-US"/>
        </w:rPr>
        <w:t>,</w:t>
      </w:r>
      <w:r w:rsidR="006247C9" w:rsidRPr="00104227">
        <w:rPr>
          <w:lang w:val="en-US"/>
        </w:rPr>
        <w:t xml:space="preserve"> </w:t>
      </w:r>
      <w:r w:rsidR="00852707" w:rsidRPr="00104227">
        <w:rPr>
          <w:lang w:val="en-US"/>
        </w:rPr>
        <w:t>the FEVIM</w:t>
      </w:r>
      <w:r w:rsidR="006247C9" w:rsidRPr="00104227">
        <w:rPr>
          <w:lang w:val="en-US"/>
        </w:rPr>
        <w:t xml:space="preserve"> </w:t>
      </w:r>
      <w:r w:rsidRPr="00104227">
        <w:rPr>
          <w:lang w:val="en-US"/>
        </w:rPr>
        <w:t>decided that,</w:t>
      </w:r>
      <w:r w:rsidR="006247C9" w:rsidRPr="00104227">
        <w:rPr>
          <w:lang w:val="en-US"/>
        </w:rPr>
        <w:t xml:space="preserve"> “</w:t>
      </w:r>
      <w:r w:rsidRPr="00104227">
        <w:rPr>
          <w:lang w:val="en-US"/>
        </w:rPr>
        <w:t>f</w:t>
      </w:r>
      <w:r w:rsidR="006247C9" w:rsidRPr="00104227">
        <w:rPr>
          <w:lang w:val="en-US"/>
        </w:rPr>
        <w:t>or</w:t>
      </w:r>
      <w:r w:rsidRPr="00104227">
        <w:rPr>
          <w:lang w:val="en-US"/>
        </w:rPr>
        <w:t xml:space="preserve"> the moment</w:t>
      </w:r>
      <w:r w:rsidR="00A23FD0" w:rsidRPr="00104227">
        <w:rPr>
          <w:lang w:val="en-US"/>
        </w:rPr>
        <w:t>,</w:t>
      </w:r>
      <w:r w:rsidRPr="00104227">
        <w:rPr>
          <w:lang w:val="en-US"/>
        </w:rPr>
        <w:t xml:space="preserve"> it is not possible to agree to your petition because </w:t>
      </w:r>
      <w:r w:rsidR="00A23FD0" w:rsidRPr="00104227">
        <w:rPr>
          <w:lang w:val="en-US"/>
        </w:rPr>
        <w:t xml:space="preserve">the requirements for exercising the </w:t>
      </w:r>
      <w:r w:rsidR="003F2587" w:rsidRPr="00104227">
        <w:rPr>
          <w:lang w:val="en-US"/>
        </w:rPr>
        <w:t>authority</w:t>
      </w:r>
      <w:r w:rsidR="00A23FD0" w:rsidRPr="00104227">
        <w:rPr>
          <w:lang w:val="en-US"/>
        </w:rPr>
        <w:t xml:space="preserve"> to transfer jurisdiction have not been met.” On the second point, the State advised that “[t]he agreement to this request could not be found in</w:t>
      </w:r>
      <w:r w:rsidR="003F2587" w:rsidRPr="00104227">
        <w:rPr>
          <w:lang w:val="en-US"/>
        </w:rPr>
        <w:t xml:space="preserve"> the</w:t>
      </w:r>
      <w:r w:rsidR="00A23FD0" w:rsidRPr="00104227">
        <w:rPr>
          <w:lang w:val="en-US"/>
        </w:rPr>
        <w:t xml:space="preserve"> records of the inquiry; only a </w:t>
      </w:r>
      <w:r w:rsidR="003F2587" w:rsidRPr="00104227">
        <w:rPr>
          <w:lang w:val="en-US"/>
        </w:rPr>
        <w:t>note</w:t>
      </w:r>
      <w:r w:rsidR="00A23FD0" w:rsidRPr="00104227">
        <w:rPr>
          <w:lang w:val="en-US"/>
        </w:rPr>
        <w:t xml:space="preserve"> of May 4, 2007, </w:t>
      </w:r>
      <w:r w:rsidR="003F2587" w:rsidRPr="00104227">
        <w:rPr>
          <w:lang w:val="en-US"/>
        </w:rPr>
        <w:t>indicating</w:t>
      </w:r>
      <w:r w:rsidR="00A23FD0" w:rsidRPr="00104227">
        <w:rPr>
          <w:lang w:val="en-US"/>
        </w:rPr>
        <w:t xml:space="preserve"> that the brief </w:t>
      </w:r>
      <w:r w:rsidR="003F2587" w:rsidRPr="00104227">
        <w:rPr>
          <w:lang w:val="en-US"/>
        </w:rPr>
        <w:t>had been</w:t>
      </w:r>
      <w:r w:rsidR="00A23FD0" w:rsidRPr="00104227">
        <w:rPr>
          <w:lang w:val="en-US"/>
        </w:rPr>
        <w:t xml:space="preserve"> received and added to the </w:t>
      </w:r>
      <w:r w:rsidR="00612B2F" w:rsidRPr="00104227">
        <w:rPr>
          <w:lang w:val="en-US"/>
        </w:rPr>
        <w:t>preliminary inquiry</w:t>
      </w:r>
      <w:r w:rsidR="00A23FD0" w:rsidRPr="00104227">
        <w:rPr>
          <w:lang w:val="en-US"/>
        </w:rPr>
        <w:t>.</w:t>
      </w:r>
      <w:r w:rsidR="006247C9" w:rsidRPr="00104227">
        <w:rPr>
          <w:lang w:val="en-US"/>
        </w:rPr>
        <w:t>”</w:t>
      </w:r>
    </w:p>
    <w:p w14:paraId="3BD07E9E" w14:textId="1CDD31D0" w:rsidR="006247C9" w:rsidRPr="00104227" w:rsidRDefault="006247C9" w:rsidP="00E4619F">
      <w:pPr>
        <w:tabs>
          <w:tab w:val="left" w:pos="567"/>
        </w:tabs>
        <w:rPr>
          <w:lang w:eastAsia="es-MX"/>
        </w:rPr>
      </w:pPr>
    </w:p>
    <w:p w14:paraId="778F4562" w14:textId="64A97E12" w:rsidR="006247C9" w:rsidRPr="00104227" w:rsidRDefault="00A23FD0" w:rsidP="00E4619F">
      <w:pPr>
        <w:pStyle w:val="Numberedparagraphs"/>
        <w:tabs>
          <w:tab w:val="left" w:pos="567"/>
        </w:tabs>
        <w:rPr>
          <w:lang w:val="en-US"/>
        </w:rPr>
      </w:pPr>
      <w:r w:rsidRPr="00104227">
        <w:rPr>
          <w:lang w:val="en-US"/>
        </w:rPr>
        <w:t xml:space="preserve">In addition, in light of the FEVIM request that the appraisals corresponding to the </w:t>
      </w:r>
      <w:r w:rsidR="00AF4ADA" w:rsidRPr="00104227">
        <w:rPr>
          <w:rFonts w:eastAsiaTheme="minorHAnsi" w:cs="Arial"/>
          <w:lang w:val="en-US"/>
        </w:rPr>
        <w:t>Istanbul Protocol</w:t>
      </w:r>
      <w:r w:rsidR="0020571A" w:rsidRPr="00104227">
        <w:rPr>
          <w:rFonts w:eastAsiaTheme="minorHAnsi" w:cs="Arial"/>
          <w:lang w:val="en-US"/>
        </w:rPr>
        <w:t xml:space="preserve"> </w:t>
      </w:r>
      <w:r w:rsidRPr="00104227">
        <w:rPr>
          <w:rFonts w:eastAsiaTheme="minorHAnsi" w:cs="Arial"/>
          <w:lang w:val="en-US"/>
        </w:rPr>
        <w:t xml:space="preserve">be re-applied, this time by PGR personnel, on February 27, </w:t>
      </w:r>
      <w:r w:rsidR="0020571A" w:rsidRPr="00104227">
        <w:rPr>
          <w:lang w:val="en-US"/>
        </w:rPr>
        <w:t>2007</w:t>
      </w:r>
      <w:r w:rsidRPr="00104227">
        <w:rPr>
          <w:lang w:val="en-US"/>
        </w:rPr>
        <w:t>, several of the women presented a letter refusing this, considering that it revictimized them,</w:t>
      </w:r>
      <w:r w:rsidR="006247C9" w:rsidRPr="00104227">
        <w:rPr>
          <w:rStyle w:val="Refdenotaalpie"/>
          <w:rFonts w:eastAsiaTheme="minorHAnsi" w:cs="Arial"/>
          <w:lang w:val="en-US"/>
        </w:rPr>
        <w:footnoteReference w:id="379"/>
      </w:r>
      <w:r w:rsidR="0020571A" w:rsidRPr="00104227">
        <w:rPr>
          <w:rFonts w:eastAsiaTheme="minorHAnsi" w:cs="Arial"/>
          <w:lang w:val="en-US"/>
        </w:rPr>
        <w:t xml:space="preserve"> </w:t>
      </w:r>
      <w:r w:rsidRPr="00104227">
        <w:rPr>
          <w:rFonts w:eastAsiaTheme="minorHAnsi" w:cs="Arial"/>
          <w:lang w:val="en-US"/>
        </w:rPr>
        <w:t>while</w:t>
      </w:r>
      <w:r w:rsidR="006247C9" w:rsidRPr="00104227">
        <w:rPr>
          <w:rFonts w:eastAsiaTheme="minorHAnsi" w:cs="Arial"/>
          <w:lang w:val="en-US"/>
        </w:rPr>
        <w:t xml:space="preserve"> Bárbara Italia Méndez Moreno</w:t>
      </w:r>
      <w:r w:rsidR="00BF5241" w:rsidRPr="00104227">
        <w:rPr>
          <w:rFonts w:eastAsiaTheme="minorHAnsi" w:cs="Arial"/>
          <w:lang w:val="en-US"/>
        </w:rPr>
        <w:t xml:space="preserve"> and </w:t>
      </w:r>
      <w:r w:rsidR="006247C9" w:rsidRPr="00104227">
        <w:rPr>
          <w:rFonts w:eastAsiaTheme="minorHAnsi" w:cs="Arial"/>
          <w:lang w:val="en-US"/>
        </w:rPr>
        <w:t>Ana María Velasco Rodríguez acce</w:t>
      </w:r>
      <w:r w:rsidRPr="00104227">
        <w:rPr>
          <w:rFonts w:eastAsiaTheme="minorHAnsi" w:cs="Arial"/>
          <w:lang w:val="en-US"/>
        </w:rPr>
        <w:t xml:space="preserve">pted to allow the PGR to apply the </w:t>
      </w:r>
      <w:r w:rsidR="00AF4ADA" w:rsidRPr="00104227">
        <w:rPr>
          <w:rFonts w:eastAsiaTheme="minorHAnsi" w:cs="Arial"/>
          <w:lang w:val="en-US"/>
        </w:rPr>
        <w:t>Istanbul Protocol</w:t>
      </w:r>
      <w:r w:rsidR="006247C9" w:rsidRPr="00104227">
        <w:rPr>
          <w:rFonts w:eastAsiaTheme="minorHAnsi" w:cs="Arial"/>
          <w:lang w:val="en-US"/>
        </w:rPr>
        <w:t xml:space="preserve"> direct</w:t>
      </w:r>
      <w:r w:rsidRPr="00104227">
        <w:rPr>
          <w:rFonts w:eastAsiaTheme="minorHAnsi" w:cs="Arial"/>
          <w:lang w:val="en-US"/>
        </w:rPr>
        <w:t>ly.</w:t>
      </w:r>
      <w:r w:rsidR="006247C9" w:rsidRPr="00104227">
        <w:rPr>
          <w:rStyle w:val="Refdenotaalpie"/>
          <w:rFonts w:eastAsiaTheme="minorHAnsi"/>
          <w:lang w:val="en-US"/>
        </w:rPr>
        <w:footnoteReference w:id="380"/>
      </w:r>
      <w:r w:rsidR="006247C9" w:rsidRPr="00104227">
        <w:rPr>
          <w:rFonts w:eastAsiaTheme="minorHAnsi" w:cs="Arial"/>
          <w:lang w:val="en-US"/>
        </w:rPr>
        <w:t xml:space="preserve"> </w:t>
      </w:r>
      <w:r w:rsidRPr="00104227">
        <w:rPr>
          <w:lang w:val="en-US"/>
        </w:rPr>
        <w:t>On May</w:t>
      </w:r>
      <w:r w:rsidR="006247C9" w:rsidRPr="00104227">
        <w:rPr>
          <w:lang w:val="en-US"/>
        </w:rPr>
        <w:t xml:space="preserve"> 16</w:t>
      </w:r>
      <w:r w:rsidR="00BF5241" w:rsidRPr="00104227">
        <w:rPr>
          <w:lang w:val="en-US"/>
        </w:rPr>
        <w:t xml:space="preserve"> and </w:t>
      </w:r>
      <w:r w:rsidR="000777FE" w:rsidRPr="00104227">
        <w:rPr>
          <w:lang w:val="en-US"/>
        </w:rPr>
        <w:t>17,</w:t>
      </w:r>
      <w:r w:rsidR="006247C9" w:rsidRPr="00104227">
        <w:rPr>
          <w:lang w:val="en-US"/>
        </w:rPr>
        <w:t xml:space="preserve"> 2007</w:t>
      </w:r>
      <w:r w:rsidRPr="00104227">
        <w:rPr>
          <w:lang w:val="en-US"/>
        </w:rPr>
        <w:t>, the PGR applied the Protocol to</w:t>
      </w:r>
      <w:r w:rsidR="006247C9" w:rsidRPr="00104227">
        <w:rPr>
          <w:lang w:val="en-US"/>
        </w:rPr>
        <w:t xml:space="preserve"> Bárbara Italia Méndez Moreno</w:t>
      </w:r>
      <w:r w:rsidR="00BF5241" w:rsidRPr="00104227">
        <w:rPr>
          <w:lang w:val="en-US"/>
        </w:rPr>
        <w:t xml:space="preserve"> and </w:t>
      </w:r>
      <w:r w:rsidR="006247C9" w:rsidRPr="00104227">
        <w:rPr>
          <w:lang w:val="en-US"/>
        </w:rPr>
        <w:t>Ana María Velasco Rodríguez</w:t>
      </w:r>
      <w:r w:rsidRPr="00104227">
        <w:rPr>
          <w:lang w:val="en-US"/>
        </w:rPr>
        <w:t>.</w:t>
      </w:r>
      <w:r w:rsidR="006247C9" w:rsidRPr="00104227">
        <w:rPr>
          <w:rStyle w:val="Refdenotaalpie"/>
          <w:lang w:val="en-US"/>
        </w:rPr>
        <w:footnoteReference w:id="381"/>
      </w:r>
      <w:r w:rsidR="006247C9" w:rsidRPr="00104227">
        <w:rPr>
          <w:lang w:val="en-US"/>
        </w:rPr>
        <w:t xml:space="preserve"> </w:t>
      </w:r>
      <w:r w:rsidRPr="00104227">
        <w:rPr>
          <w:lang w:val="en-US"/>
        </w:rPr>
        <w:t>On August 13,</w:t>
      </w:r>
      <w:r w:rsidR="006247C9" w:rsidRPr="00104227">
        <w:rPr>
          <w:lang w:val="en-US"/>
        </w:rPr>
        <w:t xml:space="preserve"> 2007, </w:t>
      </w:r>
      <w:r w:rsidR="0065179F" w:rsidRPr="00104227">
        <w:rPr>
          <w:lang w:val="en-US"/>
        </w:rPr>
        <w:t xml:space="preserve">on discovering that the results had not been added to the </w:t>
      </w:r>
      <w:r w:rsidR="00F27D61" w:rsidRPr="00104227">
        <w:rPr>
          <w:lang w:val="en-US"/>
        </w:rPr>
        <w:t>c</w:t>
      </w:r>
      <w:r w:rsidR="0065179F" w:rsidRPr="00104227">
        <w:rPr>
          <w:lang w:val="en-US"/>
        </w:rPr>
        <w:t xml:space="preserve">ase file, the women and the </w:t>
      </w:r>
      <w:r w:rsidR="00C87135" w:rsidRPr="00104227">
        <w:rPr>
          <w:lang w:val="en-US"/>
        </w:rPr>
        <w:t>Center Prodh</w:t>
      </w:r>
      <w:r w:rsidR="006247C9" w:rsidRPr="00104227">
        <w:rPr>
          <w:lang w:val="en-US"/>
        </w:rPr>
        <w:t xml:space="preserve"> </w:t>
      </w:r>
      <w:r w:rsidR="0065179F" w:rsidRPr="00104227">
        <w:rPr>
          <w:lang w:val="en-US"/>
        </w:rPr>
        <w:t>urged</w:t>
      </w:r>
      <w:r w:rsidR="006247C9" w:rsidRPr="00104227">
        <w:rPr>
          <w:lang w:val="en-US"/>
        </w:rPr>
        <w:t xml:space="preserve"> </w:t>
      </w:r>
      <w:r w:rsidR="00852707" w:rsidRPr="00104227">
        <w:rPr>
          <w:lang w:val="en-US"/>
        </w:rPr>
        <w:t>the FEVIM</w:t>
      </w:r>
      <w:r w:rsidR="006247C9" w:rsidRPr="00104227">
        <w:rPr>
          <w:lang w:val="en-US"/>
        </w:rPr>
        <w:t xml:space="preserve"> </w:t>
      </w:r>
      <w:r w:rsidR="0065179F" w:rsidRPr="00104227">
        <w:rPr>
          <w:lang w:val="en-US"/>
        </w:rPr>
        <w:t>to incorporate them.</w:t>
      </w:r>
      <w:r w:rsidR="006247C9" w:rsidRPr="00104227">
        <w:rPr>
          <w:rStyle w:val="Refdenotaalpie"/>
          <w:lang w:val="en-US"/>
        </w:rPr>
        <w:footnoteReference w:id="382"/>
      </w:r>
      <w:r w:rsidR="0065179F" w:rsidRPr="00104227">
        <w:rPr>
          <w:lang w:val="en-US"/>
        </w:rPr>
        <w:t xml:space="preserve"> The two appraisals were added to the case file in February </w:t>
      </w:r>
      <w:r w:rsidR="006247C9" w:rsidRPr="00104227">
        <w:rPr>
          <w:lang w:val="en-US"/>
        </w:rPr>
        <w:t>2008</w:t>
      </w:r>
      <w:r w:rsidR="0065179F" w:rsidRPr="00104227">
        <w:rPr>
          <w:lang w:val="en-US"/>
        </w:rPr>
        <w:t>.</w:t>
      </w:r>
      <w:r w:rsidR="006247C9" w:rsidRPr="00104227">
        <w:rPr>
          <w:rStyle w:val="Refdenotaalpie"/>
          <w:lang w:val="en-US"/>
        </w:rPr>
        <w:footnoteReference w:id="383"/>
      </w:r>
      <w:r w:rsidR="006247C9" w:rsidRPr="00104227">
        <w:rPr>
          <w:lang w:val="en-US"/>
        </w:rPr>
        <w:t xml:space="preserve"> </w:t>
      </w:r>
    </w:p>
    <w:p w14:paraId="25E14913" w14:textId="77777777" w:rsidR="006247C9" w:rsidRPr="00104227" w:rsidRDefault="006247C9" w:rsidP="00E4619F">
      <w:pPr>
        <w:tabs>
          <w:tab w:val="left" w:pos="567"/>
        </w:tabs>
        <w:rPr>
          <w:lang w:eastAsia="es-MX"/>
        </w:rPr>
      </w:pPr>
    </w:p>
    <w:p w14:paraId="3047BA50" w14:textId="47293AF9" w:rsidR="00BF44DD" w:rsidRPr="00104227" w:rsidRDefault="0065179F" w:rsidP="00E4619F">
      <w:pPr>
        <w:pStyle w:val="Numberedparagraphs"/>
        <w:tabs>
          <w:tab w:val="left" w:pos="567"/>
        </w:tabs>
        <w:rPr>
          <w:lang w:val="en-US"/>
        </w:rPr>
      </w:pPr>
      <w:r w:rsidRPr="00104227">
        <w:rPr>
          <w:lang w:val="en-US"/>
        </w:rPr>
        <w:t xml:space="preserve">In this regard, the Court has said that, in the investigation of cases of </w:t>
      </w:r>
      <w:r w:rsidR="00BC5201" w:rsidRPr="00104227">
        <w:rPr>
          <w:lang w:val="en-US"/>
        </w:rPr>
        <w:t>torture</w:t>
      </w:r>
      <w:r w:rsidR="00BF44DD" w:rsidRPr="00104227">
        <w:rPr>
          <w:lang w:val="en-US"/>
        </w:rPr>
        <w:t xml:space="preserve">, </w:t>
      </w:r>
      <w:r w:rsidRPr="00104227">
        <w:rPr>
          <w:lang w:val="en-US"/>
        </w:rPr>
        <w:t>the</w:t>
      </w:r>
      <w:r w:rsidR="00BF44DD" w:rsidRPr="00104227">
        <w:rPr>
          <w:lang w:val="en-US"/>
        </w:rPr>
        <w:t xml:space="preserve"> </w:t>
      </w:r>
      <w:r w:rsidR="00AF4ADA" w:rsidRPr="00104227">
        <w:rPr>
          <w:lang w:val="en-US"/>
        </w:rPr>
        <w:t>Istanbul Protocol</w:t>
      </w:r>
      <w:r w:rsidR="00BF44DD" w:rsidRPr="00104227">
        <w:rPr>
          <w:lang w:val="en-US"/>
        </w:rPr>
        <w:t xml:space="preserve"> </w:t>
      </w:r>
      <w:r w:rsidRPr="00104227">
        <w:rPr>
          <w:lang w:val="en-US"/>
        </w:rPr>
        <w:t xml:space="preserve">indicates that </w:t>
      </w:r>
      <w:r w:rsidR="00BF44DD" w:rsidRPr="00104227">
        <w:rPr>
          <w:lang w:val="en-US"/>
        </w:rPr>
        <w:t>“</w:t>
      </w:r>
      <w:r w:rsidR="001C1790" w:rsidRPr="00104227">
        <w:rPr>
          <w:lang w:val="en-US"/>
        </w:rPr>
        <w:t>[t]he timeliness of such</w:t>
      </w:r>
      <w:r w:rsidR="00724337" w:rsidRPr="00104227">
        <w:rPr>
          <w:lang w:val="en-US"/>
        </w:rPr>
        <w:t xml:space="preserve"> </w:t>
      </w:r>
      <w:r w:rsidR="001C1790" w:rsidRPr="00104227">
        <w:rPr>
          <w:lang w:val="en-US"/>
        </w:rPr>
        <w:t>medical examination is particularly important</w:t>
      </w:r>
      <w:r w:rsidR="00657EA9" w:rsidRPr="00104227">
        <w:rPr>
          <w:lang w:val="en-US"/>
        </w:rPr>
        <w:t xml:space="preserve">,” and that “[a] </w:t>
      </w:r>
      <w:r w:rsidR="001C1790" w:rsidRPr="00104227">
        <w:rPr>
          <w:lang w:val="en-US"/>
        </w:rPr>
        <w:t>medical</w:t>
      </w:r>
      <w:r w:rsidR="00657EA9" w:rsidRPr="00104227">
        <w:rPr>
          <w:lang w:val="en-US"/>
        </w:rPr>
        <w:t xml:space="preserve"> </w:t>
      </w:r>
      <w:r w:rsidR="001C1790" w:rsidRPr="00104227">
        <w:rPr>
          <w:lang w:val="en-US"/>
        </w:rPr>
        <w:t>examination should be undertaken regardless of the</w:t>
      </w:r>
      <w:r w:rsidR="00657EA9" w:rsidRPr="00104227">
        <w:rPr>
          <w:lang w:val="en-US"/>
        </w:rPr>
        <w:t xml:space="preserve"> </w:t>
      </w:r>
      <w:r w:rsidR="001C1790" w:rsidRPr="00104227">
        <w:rPr>
          <w:lang w:val="en-US"/>
        </w:rPr>
        <w:t>length of time since the torture</w:t>
      </w:r>
      <w:r w:rsidR="00657EA9" w:rsidRPr="00104227">
        <w:rPr>
          <w:lang w:val="en-US"/>
        </w:rPr>
        <w:t>.</w:t>
      </w:r>
      <w:r w:rsidR="00BF44DD" w:rsidRPr="00104227">
        <w:rPr>
          <w:lang w:val="en-US"/>
        </w:rPr>
        <w:t>”</w:t>
      </w:r>
      <w:r w:rsidR="00BF44DD" w:rsidRPr="00104227">
        <w:rPr>
          <w:rStyle w:val="Refdenotaalpie"/>
          <w:sz w:val="20"/>
          <w:szCs w:val="20"/>
          <w:lang w:val="en-US"/>
        </w:rPr>
        <w:footnoteReference w:id="384"/>
      </w:r>
      <w:r w:rsidR="00657EA9" w:rsidRPr="00104227">
        <w:rPr>
          <w:lang w:val="en-US"/>
        </w:rPr>
        <w:t xml:space="preserve"> However, the Protocol notes that </w:t>
      </w:r>
      <w:r w:rsidR="00BF44DD" w:rsidRPr="00104227">
        <w:rPr>
          <w:lang w:val="en-US"/>
        </w:rPr>
        <w:t>“[</w:t>
      </w:r>
      <w:r w:rsidR="00657EA9" w:rsidRPr="00104227">
        <w:rPr>
          <w:lang w:val="en-US"/>
        </w:rPr>
        <w:t>d</w:t>
      </w:r>
      <w:r w:rsidR="00BF44DD" w:rsidRPr="00104227">
        <w:rPr>
          <w:lang w:val="en-US"/>
        </w:rPr>
        <w:t>]</w:t>
      </w:r>
      <w:r w:rsidR="00657EA9" w:rsidRPr="00104227">
        <w:rPr>
          <w:lang w:val="en-US"/>
        </w:rPr>
        <w:t>espite all precautions, physical and psycho-</w:t>
      </w:r>
      <w:r w:rsidR="00657EA9" w:rsidRPr="00104227">
        <w:rPr>
          <w:lang w:val="en-US"/>
        </w:rPr>
        <w:lastRenderedPageBreak/>
        <w:t>logical examinations by their very nature may re-traumatize the patient by provoking or exacerbating symptoms of post-traumatic stress by reviving painful effects and memories.</w:t>
      </w:r>
      <w:r w:rsidR="00BF44DD" w:rsidRPr="00104227">
        <w:rPr>
          <w:lang w:val="en-US"/>
        </w:rPr>
        <w:t>”</w:t>
      </w:r>
      <w:r w:rsidR="00BF44DD" w:rsidRPr="00104227">
        <w:rPr>
          <w:rStyle w:val="Refdenotaalpie"/>
          <w:lang w:val="en-US"/>
        </w:rPr>
        <w:footnoteReference w:id="385"/>
      </w:r>
      <w:r w:rsidR="00BF44DD" w:rsidRPr="00104227">
        <w:rPr>
          <w:lang w:val="en-US"/>
        </w:rPr>
        <w:t xml:space="preserve"> </w:t>
      </w:r>
      <w:r w:rsidR="00657EA9" w:rsidRPr="00104227">
        <w:rPr>
          <w:lang w:val="en-US"/>
        </w:rPr>
        <w:t>Similarly, in cases of</w:t>
      </w:r>
      <w:r w:rsidR="00BF44DD" w:rsidRPr="00104227">
        <w:rPr>
          <w:lang w:val="en-US"/>
        </w:rPr>
        <w:t xml:space="preserve"> </w:t>
      </w:r>
      <w:r w:rsidR="00D25554" w:rsidRPr="00104227">
        <w:rPr>
          <w:lang w:val="en-US"/>
        </w:rPr>
        <w:t>sexual violence</w:t>
      </w:r>
      <w:r w:rsidR="00BF44DD" w:rsidRPr="00104227">
        <w:rPr>
          <w:lang w:val="en-US"/>
        </w:rPr>
        <w:t xml:space="preserve">, </w:t>
      </w:r>
      <w:r w:rsidR="00BF5241" w:rsidRPr="00104227">
        <w:rPr>
          <w:lang w:val="en-US"/>
        </w:rPr>
        <w:t>the Court</w:t>
      </w:r>
      <w:r w:rsidR="00BF44DD" w:rsidRPr="00104227">
        <w:rPr>
          <w:lang w:val="en-US"/>
        </w:rPr>
        <w:t xml:space="preserve"> </w:t>
      </w:r>
      <w:r w:rsidR="00657EA9" w:rsidRPr="00104227">
        <w:rPr>
          <w:lang w:val="en-US"/>
        </w:rPr>
        <w:t>has emphasized that</w:t>
      </w:r>
      <w:r w:rsidR="00DA0929" w:rsidRPr="00104227">
        <w:rPr>
          <w:lang w:val="en-US"/>
        </w:rPr>
        <w:t>:</w:t>
      </w:r>
      <w:r w:rsidR="00BF44DD" w:rsidRPr="00104227">
        <w:rPr>
          <w:lang w:val="en-US"/>
        </w:rPr>
        <w:t xml:space="preserve"> </w:t>
      </w:r>
    </w:p>
    <w:p w14:paraId="4AC36801" w14:textId="77777777" w:rsidR="00BF44DD" w:rsidRPr="00104227" w:rsidRDefault="00BF44DD" w:rsidP="00E4619F">
      <w:pPr>
        <w:pStyle w:val="Numberedparagraphs"/>
        <w:numPr>
          <w:ilvl w:val="0"/>
          <w:numId w:val="0"/>
        </w:numPr>
        <w:tabs>
          <w:tab w:val="left" w:pos="567"/>
        </w:tabs>
        <w:rPr>
          <w:lang w:val="en-US"/>
        </w:rPr>
      </w:pPr>
    </w:p>
    <w:p w14:paraId="4579B924" w14:textId="3CD98AC0" w:rsidR="00BF44DD" w:rsidRPr="00104227" w:rsidRDefault="00BF44DD" w:rsidP="00657EA9">
      <w:pPr>
        <w:ind w:left="540" w:right="540"/>
        <w:rPr>
          <w:sz w:val="18"/>
          <w:szCs w:val="18"/>
        </w:rPr>
      </w:pPr>
      <w:r w:rsidRPr="00104227">
        <w:rPr>
          <w:sz w:val="18"/>
          <w:szCs w:val="18"/>
        </w:rPr>
        <w:t xml:space="preserve">[…] </w:t>
      </w:r>
      <w:r w:rsidR="00657EA9" w:rsidRPr="00104227">
        <w:rPr>
          <w:rFonts w:cs="Arial"/>
          <w:sz w:val="18"/>
          <w:szCs w:val="18"/>
        </w:rPr>
        <w:t>the investigation must try, insofar as possible, to avoid the re-victimization of the presumed victim or the re-experience of the profoundly traumatic incident. Regarding examinations of sexual integrity, […] the gynecological examination should be made as soon as possible […] if it is considered appropriate to perform it and with the prior informed consent of the presumed victim, during the first 72 hours after the reported act, based on a specific protocol for attention to victims of sexual violence</w:t>
      </w:r>
      <w:r w:rsidRPr="00104227">
        <w:rPr>
          <w:sz w:val="18"/>
          <w:szCs w:val="18"/>
        </w:rPr>
        <w:t>.</w:t>
      </w:r>
      <w:r w:rsidR="00657EA9" w:rsidRPr="00104227">
        <w:rPr>
          <w:sz w:val="18"/>
          <w:szCs w:val="18"/>
        </w:rPr>
        <w:t xml:space="preserve"> </w:t>
      </w:r>
      <w:r w:rsidR="00657EA9" w:rsidRPr="00104227">
        <w:rPr>
          <w:rFonts w:cs="Arial"/>
          <w:sz w:val="18"/>
          <w:szCs w:val="18"/>
        </w:rPr>
        <w:t>This does not preclude the gynecological examination being performed after this period, with the presumed victim’s consent, because evidence can be found some time after the act of sexual violence</w:t>
      </w:r>
      <w:r w:rsidR="00724337" w:rsidRPr="00104227">
        <w:rPr>
          <w:rFonts w:cs="Arial"/>
          <w:sz w:val="18"/>
          <w:szCs w:val="18"/>
        </w:rPr>
        <w:t>;</w:t>
      </w:r>
      <w:r w:rsidR="00657EA9" w:rsidRPr="00104227">
        <w:rPr>
          <w:rFonts w:cs="Arial"/>
          <w:sz w:val="18"/>
          <w:szCs w:val="18"/>
        </w:rPr>
        <w:t xml:space="preserve"> […] the appropriateness of a gynecological examination must be considered on the basis of a case-by-case analysis taking into account the time that has passed since the alleged sexual violence occurred. […] </w:t>
      </w:r>
      <w:r w:rsidR="00724337" w:rsidRPr="00104227">
        <w:rPr>
          <w:rFonts w:cs="Arial"/>
          <w:sz w:val="18"/>
          <w:szCs w:val="18"/>
        </w:rPr>
        <w:t>T</w:t>
      </w:r>
      <w:r w:rsidR="00657EA9" w:rsidRPr="00104227">
        <w:rPr>
          <w:rFonts w:cs="Arial"/>
          <w:sz w:val="18"/>
          <w:szCs w:val="18"/>
        </w:rPr>
        <w:t>he authority requesting a gynecological examination must provide detailed reasons for its appropriateness and, should it not be appropriate or if the presumed victim has not given her informed consent, the examination should be omitted, although this should never serve as an excuse for doubting the presumed victim and/or avoiding an investigation.</w:t>
      </w:r>
      <w:r w:rsidRPr="00104227">
        <w:rPr>
          <w:rStyle w:val="Refdenotaalpie"/>
          <w:sz w:val="18"/>
          <w:szCs w:val="18"/>
        </w:rPr>
        <w:footnoteReference w:id="386"/>
      </w:r>
    </w:p>
    <w:p w14:paraId="69C07E8E" w14:textId="77777777" w:rsidR="00BF44DD" w:rsidRPr="00104227" w:rsidRDefault="00BF44DD" w:rsidP="00E4619F">
      <w:pPr>
        <w:pStyle w:val="PrrafodeSentencia"/>
        <w:numPr>
          <w:ilvl w:val="0"/>
          <w:numId w:val="0"/>
        </w:numPr>
        <w:rPr>
          <w:rFonts w:eastAsiaTheme="minorHAnsi" w:cstheme="minorBidi"/>
          <w:spacing w:val="0"/>
          <w:lang w:val="en-US"/>
        </w:rPr>
      </w:pPr>
    </w:p>
    <w:p w14:paraId="18C3FDAE" w14:textId="2645A821" w:rsidR="00BF44DD" w:rsidRPr="00104227" w:rsidRDefault="00D20C9A" w:rsidP="00E4619F">
      <w:pPr>
        <w:pStyle w:val="Numberedparagraphs"/>
        <w:tabs>
          <w:tab w:val="left" w:pos="567"/>
        </w:tabs>
        <w:rPr>
          <w:lang w:val="en-US"/>
        </w:rPr>
      </w:pPr>
      <w:bookmarkStart w:id="344" w:name="_Ref532973723"/>
      <w:r w:rsidRPr="00104227">
        <w:rPr>
          <w:lang w:val="en-US"/>
        </w:rPr>
        <w:t xml:space="preserve">In the instant case, the Court notes that the CNDH and the CCTI applied the Istanbul Protocol to nine </w:t>
      </w:r>
      <w:r w:rsidR="00F12946" w:rsidRPr="00104227">
        <w:rPr>
          <w:lang w:val="en-US"/>
        </w:rPr>
        <w:t>of the eleven women</w:t>
      </w:r>
      <w:r w:rsidR="00BF44DD" w:rsidRPr="00104227">
        <w:rPr>
          <w:lang w:val="en-US"/>
        </w:rPr>
        <w:t xml:space="preserve"> </w:t>
      </w:r>
      <w:r w:rsidRPr="00104227">
        <w:rPr>
          <w:lang w:val="en-US"/>
        </w:rPr>
        <w:t>victims in this case</w:t>
      </w:r>
      <w:r w:rsidR="00BF44DD" w:rsidRPr="00104227">
        <w:rPr>
          <w:lang w:val="en-US"/>
        </w:rPr>
        <w:t>, conclu</w:t>
      </w:r>
      <w:r w:rsidRPr="00104227">
        <w:rPr>
          <w:lang w:val="en-US"/>
        </w:rPr>
        <w:t xml:space="preserve">ding that there were indications of </w:t>
      </w:r>
      <w:r w:rsidR="00BC5201" w:rsidRPr="00104227">
        <w:rPr>
          <w:lang w:val="en-US"/>
        </w:rPr>
        <w:t>torture</w:t>
      </w:r>
      <w:r w:rsidR="00BF5241" w:rsidRPr="00104227">
        <w:rPr>
          <w:lang w:val="en-US"/>
        </w:rPr>
        <w:t xml:space="preserve"> and </w:t>
      </w:r>
      <w:r w:rsidR="00D25554" w:rsidRPr="00104227">
        <w:rPr>
          <w:lang w:val="en-US"/>
        </w:rPr>
        <w:t>sexual violence</w:t>
      </w:r>
      <w:r w:rsidR="00BF44DD" w:rsidRPr="00104227">
        <w:rPr>
          <w:lang w:val="en-US"/>
        </w:rPr>
        <w:t xml:space="preserve">. </w:t>
      </w:r>
      <w:r w:rsidRPr="00104227">
        <w:rPr>
          <w:lang w:val="en-US"/>
        </w:rPr>
        <w:t xml:space="preserve">However, the FEVIM did not consider that this information provided sufficient evidence, and ordered that it be repeated by PGR experts. Consequently, the PGR experts applied the Istanbul Protocol to </w:t>
      </w:r>
      <w:r w:rsidR="00BF44DD" w:rsidRPr="00104227">
        <w:rPr>
          <w:lang w:val="en-US"/>
        </w:rPr>
        <w:t>Bárbara Italia Méndez Moreno</w:t>
      </w:r>
      <w:r w:rsidR="00BF5241" w:rsidRPr="00104227">
        <w:rPr>
          <w:lang w:val="en-US"/>
        </w:rPr>
        <w:t xml:space="preserve"> and </w:t>
      </w:r>
      <w:r w:rsidR="00BF44DD" w:rsidRPr="00104227">
        <w:rPr>
          <w:lang w:val="en-US"/>
        </w:rPr>
        <w:t>Ana María Velasco Rodríguez</w:t>
      </w:r>
      <w:r w:rsidRPr="00104227">
        <w:rPr>
          <w:lang w:val="en-US"/>
        </w:rPr>
        <w:t xml:space="preserve"> for a secon</w:t>
      </w:r>
      <w:r w:rsidR="005104C2" w:rsidRPr="00104227">
        <w:rPr>
          <w:lang w:val="en-US"/>
        </w:rPr>
        <w:t>d</w:t>
      </w:r>
      <w:r w:rsidRPr="00104227">
        <w:rPr>
          <w:lang w:val="en-US"/>
        </w:rPr>
        <w:t xml:space="preserve"> time, one year after the events. They did so without justifying the need to do this or considering the possibility </w:t>
      </w:r>
      <w:r w:rsidR="005104C2" w:rsidRPr="00104227">
        <w:rPr>
          <w:lang w:val="en-US"/>
        </w:rPr>
        <w:t>that</w:t>
      </w:r>
      <w:r w:rsidRPr="00104227">
        <w:rPr>
          <w:lang w:val="en-US"/>
        </w:rPr>
        <w:t xml:space="preserve"> the existing reports provided sufficient evidence, which could have avoided subject</w:t>
      </w:r>
      <w:r w:rsidR="005104C2" w:rsidRPr="00104227">
        <w:rPr>
          <w:lang w:val="en-US"/>
        </w:rPr>
        <w:t>ing</w:t>
      </w:r>
      <w:r w:rsidRPr="00104227">
        <w:rPr>
          <w:lang w:val="en-US"/>
        </w:rPr>
        <w:t xml:space="preserve"> them to re-victimization and to re-experiencing the traumatic incident that an appraisal of this kind may represent.</w:t>
      </w:r>
      <w:bookmarkEnd w:id="344"/>
    </w:p>
    <w:p w14:paraId="420F8327" w14:textId="77777777" w:rsidR="00A855F3" w:rsidRPr="00104227" w:rsidRDefault="00A855F3" w:rsidP="00E4619F">
      <w:pPr>
        <w:tabs>
          <w:tab w:val="left" w:pos="567"/>
        </w:tabs>
      </w:pPr>
    </w:p>
    <w:p w14:paraId="2059B1B2" w14:textId="428BF9A9" w:rsidR="003A1A4B" w:rsidRPr="00104227" w:rsidRDefault="003A1A4B" w:rsidP="003A1A4B">
      <w:pPr>
        <w:pStyle w:val="Numberedparagraphs"/>
        <w:tabs>
          <w:tab w:val="left" w:pos="567"/>
        </w:tabs>
        <w:rPr>
          <w:lang w:val="en-US"/>
        </w:rPr>
      </w:pPr>
      <w:bookmarkStart w:id="345" w:name="_Ref532969069"/>
      <w:r w:rsidRPr="00104227">
        <w:rPr>
          <w:lang w:val="en-US"/>
        </w:rPr>
        <w:t>Furthermore,</w:t>
      </w:r>
      <w:r w:rsidR="00BF44DD" w:rsidRPr="00104227">
        <w:rPr>
          <w:lang w:val="en-US"/>
        </w:rPr>
        <w:t xml:space="preserve"> </w:t>
      </w:r>
      <w:r w:rsidR="00BF5241" w:rsidRPr="00104227">
        <w:rPr>
          <w:lang w:val="en-US"/>
        </w:rPr>
        <w:t>the Court</w:t>
      </w:r>
      <w:r w:rsidR="00BF44DD" w:rsidRPr="00104227">
        <w:rPr>
          <w:lang w:val="en-US"/>
        </w:rPr>
        <w:t xml:space="preserve"> </w:t>
      </w:r>
      <w:r w:rsidRPr="00104227">
        <w:rPr>
          <w:lang w:val="en-US"/>
        </w:rPr>
        <w:t xml:space="preserve">notes with special concern that the authorities </w:t>
      </w:r>
      <w:r w:rsidR="005104C2" w:rsidRPr="00104227">
        <w:rPr>
          <w:lang w:val="en-US"/>
        </w:rPr>
        <w:t>in</w:t>
      </w:r>
      <w:r w:rsidRPr="00104227">
        <w:rPr>
          <w:lang w:val="en-US"/>
        </w:rPr>
        <w:t xml:space="preserve"> charge of the federal investigation focused their efforts on requesting a second application of the Istanbul Protocol and obtaining the statements of the women victims in this case, rather than on securing and safeguarding other evidence. The Court has verified that, consequently, the refusal of some of the women victims in this case to subject themselves again to the traumatic experience of the application of the Istanbul Protocol prejudiced the investigation, and this is revealed by the fact that</w:t>
      </w:r>
      <w:r w:rsidR="005104C2" w:rsidRPr="00104227">
        <w:rPr>
          <w:lang w:val="en-US"/>
        </w:rPr>
        <w:t>, finally,</w:t>
      </w:r>
      <w:r w:rsidRPr="00104227">
        <w:rPr>
          <w:lang w:val="en-US"/>
        </w:rPr>
        <w:t xml:space="preserve"> the FEVIM </w:t>
      </w:r>
      <w:r w:rsidR="005104C2" w:rsidRPr="00104227">
        <w:rPr>
          <w:lang w:val="en-US"/>
        </w:rPr>
        <w:t>waived</w:t>
      </w:r>
      <w:r w:rsidRPr="00104227">
        <w:rPr>
          <w:lang w:val="en-US"/>
        </w:rPr>
        <w:t xml:space="preserve"> </w:t>
      </w:r>
      <w:r w:rsidR="0070088E" w:rsidRPr="00104227">
        <w:rPr>
          <w:lang w:val="en-US"/>
        </w:rPr>
        <w:t>jurisdiction</w:t>
      </w:r>
      <w:r w:rsidRPr="00104227">
        <w:rPr>
          <w:lang w:val="en-US"/>
        </w:rPr>
        <w:t xml:space="preserve"> based on the lack of evidence </w:t>
      </w:r>
      <w:r w:rsidR="005104C2" w:rsidRPr="00104227">
        <w:rPr>
          <w:lang w:val="en-US"/>
        </w:rPr>
        <w:t>proving the</w:t>
      </w:r>
      <w:r w:rsidRPr="00104227">
        <w:rPr>
          <w:lang w:val="en-US"/>
        </w:rPr>
        <w:t xml:space="preserve"> </w:t>
      </w:r>
      <w:r w:rsidRPr="00104227">
        <w:rPr>
          <w:i/>
          <w:iCs/>
          <w:lang w:val="en-US"/>
        </w:rPr>
        <w:t xml:space="preserve">corpus delicti </w:t>
      </w:r>
      <w:r w:rsidRPr="00104227">
        <w:rPr>
          <w:lang w:val="en-US"/>
        </w:rPr>
        <w:t xml:space="preserve">and those probably responsible. </w:t>
      </w:r>
      <w:r w:rsidR="005104C2" w:rsidRPr="00104227">
        <w:rPr>
          <w:lang w:val="en-US"/>
        </w:rPr>
        <w:t>T</w:t>
      </w:r>
      <w:r w:rsidRPr="00104227">
        <w:rPr>
          <w:lang w:val="en-US"/>
        </w:rPr>
        <w:t xml:space="preserve">his was despite the fact that the victims submitted items of evidence on </w:t>
      </w:r>
      <w:r w:rsidR="00F27D61" w:rsidRPr="00104227">
        <w:rPr>
          <w:lang w:val="en-US"/>
        </w:rPr>
        <w:t>numerous</w:t>
      </w:r>
      <w:r w:rsidRPr="00104227">
        <w:rPr>
          <w:lang w:val="en-US"/>
        </w:rPr>
        <w:t xml:space="preserve"> occasions in order to prove the probable responsibility of various federal agents</w:t>
      </w:r>
      <w:r w:rsidR="005104C2" w:rsidRPr="00104227">
        <w:rPr>
          <w:lang w:val="en-US"/>
        </w:rPr>
        <w:t xml:space="preserve">; however, </w:t>
      </w:r>
      <w:r w:rsidRPr="00104227">
        <w:rPr>
          <w:lang w:val="en-US"/>
        </w:rPr>
        <w:t xml:space="preserve">from the evidence provided by the State, it would appear that the FEVIM did not process this or give the reasons for rejecting it. </w:t>
      </w:r>
    </w:p>
    <w:bookmarkEnd w:id="345"/>
    <w:p w14:paraId="0D2DF4F4" w14:textId="77777777" w:rsidR="00BF44DD" w:rsidRPr="00104227" w:rsidRDefault="00BF44DD" w:rsidP="00E4619F">
      <w:pPr>
        <w:tabs>
          <w:tab w:val="left" w:pos="567"/>
        </w:tabs>
        <w:rPr>
          <w:lang w:eastAsia="es-MX"/>
        </w:rPr>
      </w:pPr>
    </w:p>
    <w:p w14:paraId="317AD2D9" w14:textId="2D1A7903" w:rsidR="003A1A4B" w:rsidRPr="00104227" w:rsidRDefault="003A1A4B" w:rsidP="00E4619F">
      <w:pPr>
        <w:pStyle w:val="Numberedparagraphs"/>
        <w:tabs>
          <w:tab w:val="left" w:pos="567"/>
        </w:tabs>
        <w:rPr>
          <w:lang w:val="en-US"/>
        </w:rPr>
      </w:pPr>
      <w:bookmarkStart w:id="346" w:name="_Ref532941904"/>
      <w:r w:rsidRPr="00104227">
        <w:rPr>
          <w:lang w:val="en-US"/>
        </w:rPr>
        <w:t>Based on the foregoing, th</w:t>
      </w:r>
      <w:r w:rsidR="005104C2" w:rsidRPr="00104227">
        <w:rPr>
          <w:lang w:val="en-US"/>
        </w:rPr>
        <w:t>e</w:t>
      </w:r>
      <w:r w:rsidRPr="00104227">
        <w:rPr>
          <w:lang w:val="en-US"/>
        </w:rPr>
        <w:t xml:space="preserve"> Court concludes that the investigations </w:t>
      </w:r>
      <w:r w:rsidR="005104C2" w:rsidRPr="00104227">
        <w:rPr>
          <w:lang w:val="en-US"/>
        </w:rPr>
        <w:t>implemented</w:t>
      </w:r>
      <w:r w:rsidRPr="00104227">
        <w:rPr>
          <w:lang w:val="en-US"/>
        </w:rPr>
        <w:t xml:space="preserve"> by </w:t>
      </w:r>
      <w:r w:rsidR="004432A6" w:rsidRPr="00104227">
        <w:rPr>
          <w:lang w:val="en-US"/>
        </w:rPr>
        <w:t>the PGJEM</w:t>
      </w:r>
      <w:r w:rsidR="00BF5241" w:rsidRPr="00104227">
        <w:rPr>
          <w:lang w:val="en-US"/>
        </w:rPr>
        <w:t xml:space="preserve"> and </w:t>
      </w:r>
      <w:r w:rsidR="00852707" w:rsidRPr="00104227">
        <w:rPr>
          <w:lang w:val="en-US"/>
        </w:rPr>
        <w:t>the FEVIM</w:t>
      </w:r>
      <w:r w:rsidR="00BF44DD" w:rsidRPr="00104227">
        <w:rPr>
          <w:lang w:val="en-US"/>
        </w:rPr>
        <w:t xml:space="preserve"> </w:t>
      </w:r>
      <w:r w:rsidRPr="00104227">
        <w:rPr>
          <w:lang w:val="en-US"/>
        </w:rPr>
        <w:t xml:space="preserve">were not conducted with due diligence because: (i) the gathering and handling of the evidence was </w:t>
      </w:r>
      <w:r w:rsidR="00B23197" w:rsidRPr="00104227">
        <w:rPr>
          <w:lang w:val="en-US"/>
        </w:rPr>
        <w:t xml:space="preserve">very inefficient; (ii) the interviews and the medical examinations </w:t>
      </w:r>
      <w:r w:rsidR="00B23197" w:rsidRPr="00104227">
        <w:rPr>
          <w:lang w:val="en-US"/>
        </w:rPr>
        <w:lastRenderedPageBreak/>
        <w:t>that were conducted did not comply with the requirements in cases of victims of sexual violence and/or torture; (iii) gynecological examinations were not performed and the Istanbul Protocol was not applied immediately; (iv) gynecological care was not provided, even though the</w:t>
      </w:r>
      <w:r w:rsidR="005104C2" w:rsidRPr="00104227">
        <w:rPr>
          <w:lang w:val="en-US"/>
        </w:rPr>
        <w:t xml:space="preserve"> women</w:t>
      </w:r>
      <w:r w:rsidR="00B23197" w:rsidRPr="00104227">
        <w:rPr>
          <w:lang w:val="en-US"/>
        </w:rPr>
        <w:t xml:space="preserve"> had reported being victims of sexual violence; (v) the</w:t>
      </w:r>
      <w:r w:rsidR="005104C2" w:rsidRPr="00104227">
        <w:rPr>
          <w:lang w:val="en-US"/>
        </w:rPr>
        <w:t xml:space="preserve"> women</w:t>
      </w:r>
      <w:r w:rsidR="00B23197" w:rsidRPr="00104227">
        <w:rPr>
          <w:lang w:val="en-US"/>
        </w:rPr>
        <w:t xml:space="preserve"> were subjected unnecessarily to re-victimizing appraisals; (vi) the failure to take other measures was detrimental to the investigation, and (vii) the items of evidence submitted by the victims were not processed. </w:t>
      </w:r>
    </w:p>
    <w:bookmarkEnd w:id="346"/>
    <w:p w14:paraId="2066E021" w14:textId="77777777" w:rsidR="00BF44DD" w:rsidRPr="00104227" w:rsidRDefault="00BF44DD" w:rsidP="00E4619F">
      <w:pPr>
        <w:pStyle w:val="Prrafodelista"/>
        <w:numPr>
          <w:ilvl w:val="0"/>
          <w:numId w:val="0"/>
        </w:numPr>
        <w:tabs>
          <w:tab w:val="left" w:pos="567"/>
        </w:tabs>
        <w:ind w:left="1440"/>
      </w:pPr>
    </w:p>
    <w:p w14:paraId="2AA786F0" w14:textId="590AA4FD" w:rsidR="00B23197" w:rsidRPr="00104227" w:rsidRDefault="00B23197" w:rsidP="00E4619F">
      <w:pPr>
        <w:pStyle w:val="Numberedparagraphs"/>
        <w:tabs>
          <w:tab w:val="left" w:pos="567"/>
        </w:tabs>
        <w:rPr>
          <w:lang w:val="en-US"/>
        </w:rPr>
      </w:pPr>
      <w:bookmarkStart w:id="347" w:name="_Ref532971879"/>
      <w:r w:rsidRPr="00104227">
        <w:rPr>
          <w:lang w:val="en-US"/>
        </w:rPr>
        <w:t xml:space="preserve">It should be added that the Court has no evidence that these initial </w:t>
      </w:r>
      <w:r w:rsidR="00F27D61" w:rsidRPr="00104227">
        <w:rPr>
          <w:lang w:val="en-US"/>
        </w:rPr>
        <w:t>errors</w:t>
      </w:r>
      <w:r w:rsidRPr="00104227">
        <w:rPr>
          <w:lang w:val="en-US"/>
        </w:rPr>
        <w:t xml:space="preserve"> were rectified by subsequent actions that would have </w:t>
      </w:r>
      <w:r w:rsidR="005104C2" w:rsidRPr="00104227">
        <w:rPr>
          <w:lang w:val="en-US"/>
        </w:rPr>
        <w:t>resulted in</w:t>
      </w:r>
      <w:r w:rsidRPr="00104227">
        <w:rPr>
          <w:lang w:val="en-US"/>
        </w:rPr>
        <w:t xml:space="preserve"> determination of the facts and those responsible. To the contrary, the Court notes that the initial lack of diligence</w:t>
      </w:r>
      <w:r w:rsidR="005104C2" w:rsidRPr="00104227">
        <w:rPr>
          <w:lang w:val="en-US"/>
        </w:rPr>
        <w:t xml:space="preserve"> caused significant</w:t>
      </w:r>
      <w:r w:rsidRPr="00104227">
        <w:rPr>
          <w:lang w:val="en-US"/>
        </w:rPr>
        <w:t xml:space="preserve"> prejudice</w:t>
      </w:r>
      <w:r w:rsidR="005104C2" w:rsidRPr="00104227">
        <w:rPr>
          <w:lang w:val="en-US"/>
        </w:rPr>
        <w:t xml:space="preserve"> to</w:t>
      </w:r>
      <w:r w:rsidRPr="00104227">
        <w:rPr>
          <w:lang w:val="en-US"/>
        </w:rPr>
        <w:t xml:space="preserve"> the subsequent investigations. This is revealed by the fact that, owing to the evidentiary difficulties, the State had to resort to investigating the responsibility by omission of the police agents owing to the acts of torture committed against the women and, to date, it has not been possible to identify the perpetrators of those crimes. Thus, even though progress has been made in the said criminal actions based on omissions, they are not clarifying all the crimes, because the initial flaws in the investigation </w:t>
      </w:r>
      <w:r w:rsidR="001E193F" w:rsidRPr="00104227">
        <w:rPr>
          <w:lang w:val="en-US"/>
        </w:rPr>
        <w:t>in relation to gathering evidence has resulted in the impossibility of identifying all the perpetrators. Consequently, the Court considers that the State’s argument that the said initial flaws have been rectified is not admissible.</w:t>
      </w:r>
    </w:p>
    <w:bookmarkEnd w:id="347"/>
    <w:p w14:paraId="171C6A83" w14:textId="77777777" w:rsidR="00BF44DD" w:rsidRPr="00104227" w:rsidRDefault="00BF44DD" w:rsidP="00E4619F">
      <w:pPr>
        <w:tabs>
          <w:tab w:val="left" w:pos="567"/>
        </w:tabs>
        <w:rPr>
          <w:lang w:eastAsia="es-MX"/>
        </w:rPr>
      </w:pPr>
    </w:p>
    <w:p w14:paraId="799E4618" w14:textId="6399BAEF" w:rsidR="00BF44DD" w:rsidRPr="00104227" w:rsidRDefault="00BF44DD" w:rsidP="00E4619F">
      <w:pPr>
        <w:pStyle w:val="Prrafodelista"/>
        <w:numPr>
          <w:ilvl w:val="0"/>
          <w:numId w:val="0"/>
        </w:numPr>
        <w:tabs>
          <w:tab w:val="left" w:pos="567"/>
        </w:tabs>
        <w:ind w:left="1080"/>
        <w:rPr>
          <w:u w:val="single"/>
          <w:lang w:eastAsia="es-MX"/>
        </w:rPr>
      </w:pPr>
      <w:r w:rsidRPr="00104227">
        <w:rPr>
          <w:u w:val="single"/>
          <w:lang w:eastAsia="es-MX"/>
        </w:rPr>
        <w:t>B.1.2 Presu</w:t>
      </w:r>
      <w:r w:rsidR="001E193F" w:rsidRPr="00104227">
        <w:rPr>
          <w:u w:val="single"/>
          <w:lang w:eastAsia="es-MX"/>
        </w:rPr>
        <w:t>med obstruction of the inquiries and access to the case files by</w:t>
      </w:r>
      <w:r w:rsidR="000B2982" w:rsidRPr="00104227">
        <w:rPr>
          <w:u w:val="single"/>
          <w:lang w:eastAsia="es-MX"/>
        </w:rPr>
        <w:t xml:space="preserve"> the </w:t>
      </w:r>
      <w:r w:rsidR="00024310" w:rsidRPr="00104227">
        <w:rPr>
          <w:u w:val="single"/>
          <w:lang w:eastAsia="es-MX"/>
        </w:rPr>
        <w:t>Public Prosecution Service</w:t>
      </w:r>
    </w:p>
    <w:p w14:paraId="267E943B" w14:textId="77777777" w:rsidR="00C31B31" w:rsidRPr="00104227" w:rsidRDefault="00C31B31" w:rsidP="00E4619F">
      <w:pPr>
        <w:pStyle w:val="Prrafodelista"/>
        <w:numPr>
          <w:ilvl w:val="0"/>
          <w:numId w:val="0"/>
        </w:numPr>
        <w:tabs>
          <w:tab w:val="left" w:pos="567"/>
        </w:tabs>
        <w:ind w:left="1080"/>
        <w:rPr>
          <w:u w:val="single"/>
          <w:lang w:eastAsia="es-MX"/>
        </w:rPr>
      </w:pPr>
    </w:p>
    <w:p w14:paraId="74592455" w14:textId="6019FA1A" w:rsidR="00BF44DD" w:rsidRPr="00104227" w:rsidRDefault="00BF5241" w:rsidP="001E193F">
      <w:pPr>
        <w:pStyle w:val="Numberedparagraphs"/>
        <w:tabs>
          <w:tab w:val="left" w:pos="567"/>
        </w:tabs>
        <w:rPr>
          <w:b/>
          <w:lang w:val="en-US"/>
        </w:rPr>
      </w:pPr>
      <w:r w:rsidRPr="00104227">
        <w:rPr>
          <w:lang w:val="en-US"/>
        </w:rPr>
        <w:t xml:space="preserve">The Commission and </w:t>
      </w:r>
      <w:r w:rsidR="002826A6" w:rsidRPr="00104227">
        <w:rPr>
          <w:lang w:val="en-US"/>
        </w:rPr>
        <w:t>the representatives</w:t>
      </w:r>
      <w:r w:rsidR="00BF44DD" w:rsidRPr="00104227">
        <w:rPr>
          <w:lang w:val="en-US"/>
        </w:rPr>
        <w:t xml:space="preserve"> al</w:t>
      </w:r>
      <w:r w:rsidR="001E193F" w:rsidRPr="00104227">
        <w:rPr>
          <w:lang w:val="en-US"/>
        </w:rPr>
        <w:t xml:space="preserve">leged that, by ordering the confidentiality of </w:t>
      </w:r>
      <w:r w:rsidR="00E31E41" w:rsidRPr="00104227">
        <w:rPr>
          <w:lang w:val="en-US"/>
        </w:rPr>
        <w:t>preliminary inquiry</w:t>
      </w:r>
      <w:r w:rsidR="001E193F" w:rsidRPr="00104227">
        <w:rPr>
          <w:lang w:val="en-US"/>
        </w:rPr>
        <w:t xml:space="preserve"> </w:t>
      </w:r>
      <w:r w:rsidR="00BF44DD" w:rsidRPr="00104227">
        <w:rPr>
          <w:lang w:val="en-US"/>
        </w:rPr>
        <w:t>466/2006</w:t>
      </w:r>
      <w:r w:rsidR="001E193F" w:rsidRPr="00104227">
        <w:rPr>
          <w:lang w:val="en-US"/>
        </w:rPr>
        <w:t>, the</w:t>
      </w:r>
      <w:r w:rsidR="0070088E" w:rsidRPr="00104227">
        <w:rPr>
          <w:lang w:val="en-US"/>
        </w:rPr>
        <w:t xml:space="preserve"> investigation and</w:t>
      </w:r>
      <w:r w:rsidR="001E193F" w:rsidRPr="00104227">
        <w:rPr>
          <w:lang w:val="en-US"/>
        </w:rPr>
        <w:t xml:space="preserve"> clarification of the facts at the state level were obstructed. T</w:t>
      </w:r>
      <w:r w:rsidR="002826A6" w:rsidRPr="00104227">
        <w:rPr>
          <w:lang w:val="en-US"/>
        </w:rPr>
        <w:t>he representatives</w:t>
      </w:r>
      <w:r w:rsidR="00BF44DD" w:rsidRPr="00104227">
        <w:rPr>
          <w:lang w:val="en-US"/>
        </w:rPr>
        <w:t xml:space="preserve"> </w:t>
      </w:r>
      <w:r w:rsidR="001E193F" w:rsidRPr="00104227">
        <w:rPr>
          <w:lang w:val="en-US"/>
        </w:rPr>
        <w:t xml:space="preserve">also </w:t>
      </w:r>
      <w:r w:rsidR="00BF44DD" w:rsidRPr="00104227">
        <w:rPr>
          <w:lang w:val="en-US"/>
        </w:rPr>
        <w:t>consider</w:t>
      </w:r>
      <w:r w:rsidR="001E193F" w:rsidRPr="00104227">
        <w:rPr>
          <w:lang w:val="en-US"/>
        </w:rPr>
        <w:t xml:space="preserve">ed that the investigation had been obstructed at the federal level, because “despite the </w:t>
      </w:r>
      <w:r w:rsidR="0070088E" w:rsidRPr="00104227">
        <w:rPr>
          <w:lang w:val="en-US"/>
        </w:rPr>
        <w:t>pro-</w:t>
      </w:r>
      <w:r w:rsidR="001E193F" w:rsidRPr="00104227">
        <w:rPr>
          <w:lang w:val="en-US"/>
        </w:rPr>
        <w:t xml:space="preserve">active procedural activity of the women to ensure that the facts were investigated, and the evidence of the perpetration of crimes of violence against women by and </w:t>
      </w:r>
      <w:r w:rsidR="0070088E" w:rsidRPr="00104227">
        <w:rPr>
          <w:lang w:val="en-US"/>
        </w:rPr>
        <w:t>linked</w:t>
      </w:r>
      <w:r w:rsidR="001E193F" w:rsidRPr="00104227">
        <w:rPr>
          <w:lang w:val="en-US"/>
        </w:rPr>
        <w:t xml:space="preserve"> to actions </w:t>
      </w:r>
      <w:r w:rsidR="0070088E" w:rsidRPr="00104227">
        <w:rPr>
          <w:lang w:val="en-US"/>
        </w:rPr>
        <w:t>by</w:t>
      </w:r>
      <w:r w:rsidR="001E193F" w:rsidRPr="00104227">
        <w:rPr>
          <w:lang w:val="en-US"/>
        </w:rPr>
        <w:t xml:space="preserve"> federal agents,” the FEVIM </w:t>
      </w:r>
      <w:r w:rsidR="0070088E" w:rsidRPr="00104227">
        <w:rPr>
          <w:lang w:val="en-US"/>
        </w:rPr>
        <w:t>waived</w:t>
      </w:r>
      <w:r w:rsidR="001E193F" w:rsidRPr="00104227">
        <w:rPr>
          <w:lang w:val="en-US"/>
        </w:rPr>
        <w:t xml:space="preserve"> </w:t>
      </w:r>
      <w:r w:rsidR="0070088E" w:rsidRPr="00104227">
        <w:rPr>
          <w:lang w:val="en-US"/>
        </w:rPr>
        <w:t>jurisdiction</w:t>
      </w:r>
      <w:r w:rsidR="001E193F" w:rsidRPr="00104227">
        <w:rPr>
          <w:lang w:val="en-US"/>
        </w:rPr>
        <w:t xml:space="preserve"> in favor of the PGJEM. Lastly,</w:t>
      </w:r>
      <w:r w:rsidR="001E193F" w:rsidRPr="00104227">
        <w:rPr>
          <w:b/>
          <w:lang w:val="en-US"/>
        </w:rPr>
        <w:t xml:space="preserve"> </w:t>
      </w:r>
      <w:r w:rsidR="002826A6" w:rsidRPr="00104227">
        <w:rPr>
          <w:lang w:val="en-US"/>
        </w:rPr>
        <w:t>the representatives</w:t>
      </w:r>
      <w:r w:rsidR="00BF44DD" w:rsidRPr="00104227">
        <w:rPr>
          <w:lang w:val="en-US"/>
        </w:rPr>
        <w:t xml:space="preserve"> </w:t>
      </w:r>
      <w:r w:rsidR="001E193F" w:rsidRPr="00104227">
        <w:rPr>
          <w:lang w:val="en-US"/>
        </w:rPr>
        <w:t>indicated that</w:t>
      </w:r>
      <w:r w:rsidR="00BF44DD" w:rsidRPr="00104227">
        <w:rPr>
          <w:lang w:val="en-US"/>
        </w:rPr>
        <w:t xml:space="preserve"> “</w:t>
      </w:r>
      <w:r w:rsidR="001E193F" w:rsidRPr="00104227">
        <w:rPr>
          <w:lang w:val="en-US"/>
        </w:rPr>
        <w:t xml:space="preserve">access to the case file and, in general, to details of the investigation were obstructed on various occasions,” explaining that they were refused copies </w:t>
      </w:r>
      <w:r w:rsidR="00D04B8B" w:rsidRPr="00104227">
        <w:rPr>
          <w:lang w:val="en-US"/>
        </w:rPr>
        <w:t xml:space="preserve">of the </w:t>
      </w:r>
      <w:r w:rsidR="00E31E41" w:rsidRPr="00104227">
        <w:rPr>
          <w:lang w:val="en-US"/>
        </w:rPr>
        <w:t>preliminary inquiry</w:t>
      </w:r>
      <w:r w:rsidR="001E193F" w:rsidRPr="00104227">
        <w:rPr>
          <w:lang w:val="en-US"/>
        </w:rPr>
        <w:t xml:space="preserve"> at the federal level, as well as access to the complete file of the state inquiry. For its part, the State indicated that there was no obstruction, because the waiver of </w:t>
      </w:r>
      <w:r w:rsidR="0070088E" w:rsidRPr="00104227">
        <w:rPr>
          <w:lang w:val="en-US"/>
        </w:rPr>
        <w:t>jurisdiction</w:t>
      </w:r>
      <w:r w:rsidR="001E193F" w:rsidRPr="00104227">
        <w:rPr>
          <w:lang w:val="en-US"/>
        </w:rPr>
        <w:t xml:space="preserve"> was </w:t>
      </w:r>
      <w:r w:rsidR="00BF44DD" w:rsidRPr="00104227">
        <w:rPr>
          <w:lang w:val="en-US"/>
        </w:rPr>
        <w:t>“</w:t>
      </w:r>
      <w:r w:rsidR="001E193F" w:rsidRPr="00104227">
        <w:rPr>
          <w:lang w:val="en-US"/>
        </w:rPr>
        <w:t>in keeping with the law, authorized by the ranking superior</w:t>
      </w:r>
      <w:r w:rsidR="00BF44DD" w:rsidRPr="00104227">
        <w:rPr>
          <w:lang w:val="en-US"/>
        </w:rPr>
        <w:t xml:space="preserve"> [...]</w:t>
      </w:r>
      <w:r w:rsidRPr="00104227">
        <w:rPr>
          <w:lang w:val="en-US"/>
        </w:rPr>
        <w:t xml:space="preserve"> and </w:t>
      </w:r>
      <w:r w:rsidR="00BF44DD" w:rsidRPr="00104227">
        <w:rPr>
          <w:lang w:val="en-US"/>
        </w:rPr>
        <w:t>t</w:t>
      </w:r>
      <w:r w:rsidR="001E193F" w:rsidRPr="00104227">
        <w:rPr>
          <w:lang w:val="en-US"/>
        </w:rPr>
        <w:t>aking into consideration the body of evidence,” and indicated that it had made the case file available to the victims when they requested this.</w:t>
      </w:r>
    </w:p>
    <w:p w14:paraId="08008FAB" w14:textId="77777777" w:rsidR="00DA71E5" w:rsidRPr="00104227" w:rsidRDefault="00DA71E5" w:rsidP="00E4619F">
      <w:pPr>
        <w:tabs>
          <w:tab w:val="left" w:pos="567"/>
        </w:tabs>
        <w:rPr>
          <w:lang w:eastAsia="es-MX"/>
        </w:rPr>
      </w:pPr>
    </w:p>
    <w:p w14:paraId="4723712D" w14:textId="253724AF" w:rsidR="00BF44DD" w:rsidRPr="00104227" w:rsidRDefault="00BF5241" w:rsidP="00A46557">
      <w:pPr>
        <w:pStyle w:val="Numberedparagraphs"/>
        <w:tabs>
          <w:tab w:val="left" w:pos="567"/>
        </w:tabs>
        <w:rPr>
          <w:lang w:val="en-US"/>
        </w:rPr>
      </w:pPr>
      <w:r w:rsidRPr="00104227">
        <w:rPr>
          <w:lang w:val="en-US"/>
        </w:rPr>
        <w:t>This Court</w:t>
      </w:r>
      <w:r w:rsidR="00BF44DD" w:rsidRPr="00104227">
        <w:rPr>
          <w:lang w:val="en-US"/>
        </w:rPr>
        <w:t xml:space="preserve"> ha</w:t>
      </w:r>
      <w:r w:rsidR="001E193F" w:rsidRPr="00104227">
        <w:rPr>
          <w:lang w:val="en-US"/>
        </w:rPr>
        <w:t>s understood that</w:t>
      </w:r>
      <w:r w:rsidR="00A46557" w:rsidRPr="00104227">
        <w:rPr>
          <w:lang w:val="en-US"/>
        </w:rPr>
        <w:t>, among other matters, the following constitute obstacles to the progress of an investigation: coercion</w:t>
      </w:r>
      <w:r w:rsidR="00AC3678" w:rsidRPr="00104227">
        <w:rPr>
          <w:lang w:val="en-US"/>
        </w:rPr>
        <w:t>,</w:t>
      </w:r>
      <w:r w:rsidR="00A46557" w:rsidRPr="00104227">
        <w:rPr>
          <w:lang w:val="en-US"/>
        </w:rPr>
        <w:t xml:space="preserve"> intimidation or threats to witnesses, investigators or judges aimed at </w:t>
      </w:r>
      <w:r w:rsidR="00AC3678" w:rsidRPr="00104227">
        <w:rPr>
          <w:lang w:val="en-US"/>
        </w:rPr>
        <w:t>hindering</w:t>
      </w:r>
      <w:r w:rsidR="00A46557" w:rsidRPr="00104227">
        <w:rPr>
          <w:lang w:val="en-US"/>
        </w:rPr>
        <w:t xml:space="preserve"> the process</w:t>
      </w:r>
      <w:r w:rsidR="00AC3678" w:rsidRPr="00104227">
        <w:rPr>
          <w:lang w:val="en-US"/>
        </w:rPr>
        <w:t>,</w:t>
      </w:r>
      <w:r w:rsidR="00A46557" w:rsidRPr="00104227">
        <w:rPr>
          <w:lang w:val="en-US"/>
        </w:rPr>
        <w:t xml:space="preserve"> avoiding the clarification of the facts</w:t>
      </w:r>
      <w:r w:rsidR="00AC3678" w:rsidRPr="00104227">
        <w:rPr>
          <w:lang w:val="en-US"/>
        </w:rPr>
        <w:t>, and</w:t>
      </w:r>
      <w:r w:rsidR="00A46557" w:rsidRPr="00104227">
        <w:rPr>
          <w:lang w:val="en-US"/>
        </w:rPr>
        <w:t xml:space="preserve"> concealing those responsible for them;</w:t>
      </w:r>
      <w:r w:rsidR="00BF44DD" w:rsidRPr="00104227">
        <w:rPr>
          <w:vertAlign w:val="superscript"/>
          <w:lang w:val="en-US"/>
        </w:rPr>
        <w:footnoteReference w:id="387"/>
      </w:r>
      <w:r w:rsidR="00A46557" w:rsidRPr="00104227">
        <w:rPr>
          <w:lang w:val="en-US"/>
        </w:rPr>
        <w:t xml:space="preserve"> irregularities and unjustified delays resulting from</w:t>
      </w:r>
      <w:r w:rsidR="00AC3678" w:rsidRPr="00104227">
        <w:rPr>
          <w:lang w:val="en-US"/>
        </w:rPr>
        <w:t xml:space="preserve"> the competent authorities’</w:t>
      </w:r>
      <w:r w:rsidR="00A46557" w:rsidRPr="00104227">
        <w:rPr>
          <w:lang w:val="en-US"/>
        </w:rPr>
        <w:t xml:space="preserve"> lack of willingness and commitment to conduct the respective criminal proceedings;</w:t>
      </w:r>
      <w:r w:rsidR="00BF44DD" w:rsidRPr="00104227">
        <w:rPr>
          <w:vertAlign w:val="superscript"/>
          <w:lang w:val="en-US"/>
        </w:rPr>
        <w:footnoteReference w:id="388"/>
      </w:r>
      <w:r w:rsidR="00BF44DD" w:rsidRPr="00104227">
        <w:rPr>
          <w:lang w:val="en-US"/>
        </w:rPr>
        <w:t xml:space="preserve"> </w:t>
      </w:r>
      <w:r w:rsidR="00A46557" w:rsidRPr="00104227">
        <w:rPr>
          <w:lang w:val="en-US"/>
        </w:rPr>
        <w:t xml:space="preserve">lack of access of the victims, their next of kin or their representatives to the investigations and </w:t>
      </w:r>
      <w:r w:rsidR="00A46557" w:rsidRPr="00104227">
        <w:rPr>
          <w:lang w:val="en-US"/>
        </w:rPr>
        <w:lastRenderedPageBreak/>
        <w:t>the proceedings;</w:t>
      </w:r>
      <w:r w:rsidR="00BF44DD" w:rsidRPr="00104227">
        <w:rPr>
          <w:vertAlign w:val="superscript"/>
          <w:lang w:val="en-US"/>
        </w:rPr>
        <w:footnoteReference w:id="389"/>
      </w:r>
      <w:r w:rsidR="00A46557" w:rsidRPr="00104227">
        <w:rPr>
          <w:lang w:val="en-US"/>
        </w:rPr>
        <w:t xml:space="preserve"> alteration, concealment and destruction of evidence by State agents,</w:t>
      </w:r>
      <w:r w:rsidR="00BF44DD" w:rsidRPr="00104227">
        <w:rPr>
          <w:vertAlign w:val="superscript"/>
          <w:lang w:val="en-US"/>
        </w:rPr>
        <w:footnoteReference w:id="390"/>
      </w:r>
      <w:r w:rsidR="00A46557" w:rsidRPr="00104227">
        <w:rPr>
          <w:lang w:val="en-US"/>
        </w:rPr>
        <w:t xml:space="preserve"> and also attempts at bribery or the theft of evidence</w:t>
      </w:r>
      <w:r w:rsidR="00BF44DD" w:rsidRPr="00104227">
        <w:rPr>
          <w:lang w:val="en-US"/>
        </w:rPr>
        <w:t>;</w:t>
      </w:r>
      <w:r w:rsidR="00BF44DD" w:rsidRPr="00104227">
        <w:rPr>
          <w:vertAlign w:val="superscript"/>
          <w:lang w:val="en-US"/>
        </w:rPr>
        <w:footnoteReference w:id="391"/>
      </w:r>
      <w:r w:rsidR="00BF44DD" w:rsidRPr="00104227">
        <w:rPr>
          <w:lang w:val="en-US"/>
        </w:rPr>
        <w:t xml:space="preserve"> </w:t>
      </w:r>
      <w:r w:rsidR="00F13DA5" w:rsidRPr="00104227">
        <w:rPr>
          <w:lang w:val="en-US"/>
        </w:rPr>
        <w:t>failure of</w:t>
      </w:r>
      <w:r w:rsidR="00A46557" w:rsidRPr="00104227">
        <w:rPr>
          <w:lang w:val="en-US"/>
        </w:rPr>
        <w:t xml:space="preserve"> State entities</w:t>
      </w:r>
      <w:r w:rsidR="00F13DA5" w:rsidRPr="00104227">
        <w:rPr>
          <w:lang w:val="en-US"/>
        </w:rPr>
        <w:t xml:space="preserve"> to collaborate</w:t>
      </w:r>
      <w:r w:rsidR="00A46557" w:rsidRPr="00104227">
        <w:rPr>
          <w:lang w:val="en-US"/>
        </w:rPr>
        <w:t xml:space="preserve"> with the authorities responsible for the investigation,</w:t>
      </w:r>
      <w:r w:rsidR="00BF44DD" w:rsidRPr="00104227">
        <w:rPr>
          <w:vertAlign w:val="superscript"/>
          <w:lang w:val="en-US"/>
        </w:rPr>
        <w:footnoteReference w:id="392"/>
      </w:r>
      <w:r w:rsidR="00BF44DD" w:rsidRPr="00104227">
        <w:rPr>
          <w:lang w:val="en-US"/>
        </w:rPr>
        <w:t xml:space="preserve"> especial</w:t>
      </w:r>
      <w:r w:rsidR="00A46557" w:rsidRPr="00104227">
        <w:rPr>
          <w:lang w:val="en-US"/>
        </w:rPr>
        <w:t>ly the refusal to provide information on the grounds that it relates to a State secret;</w:t>
      </w:r>
      <w:r w:rsidR="00BF44DD" w:rsidRPr="00104227">
        <w:rPr>
          <w:vertAlign w:val="superscript"/>
          <w:lang w:val="en-US"/>
        </w:rPr>
        <w:footnoteReference w:id="393"/>
      </w:r>
      <w:r w:rsidR="00A46557" w:rsidRPr="00104227">
        <w:rPr>
          <w:lang w:val="en-US"/>
        </w:rPr>
        <w:t xml:space="preserve"> intervention of the military jurisdiction </w:t>
      </w:r>
      <w:r w:rsidR="00803EFC" w:rsidRPr="00104227">
        <w:rPr>
          <w:lang w:val="en-US"/>
        </w:rPr>
        <w:t>in</w:t>
      </w:r>
      <w:r w:rsidR="00A46557" w:rsidRPr="00104227">
        <w:rPr>
          <w:lang w:val="en-US"/>
        </w:rPr>
        <w:t xml:space="preserve"> facts that constitute human rights violations,</w:t>
      </w:r>
      <w:r w:rsidR="005A7374" w:rsidRPr="00104227">
        <w:rPr>
          <w:vertAlign w:val="superscript"/>
          <w:lang w:val="en-US"/>
        </w:rPr>
        <w:footnoteReference w:id="394"/>
      </w:r>
      <w:r w:rsidRPr="00104227">
        <w:rPr>
          <w:lang w:val="en-US"/>
        </w:rPr>
        <w:t xml:space="preserve"> and </w:t>
      </w:r>
      <w:r w:rsidR="00A46557" w:rsidRPr="00104227">
        <w:rPr>
          <w:lang w:val="en-US"/>
        </w:rPr>
        <w:t>application of amnesty laws.</w:t>
      </w:r>
      <w:r w:rsidR="00BF44DD" w:rsidRPr="00104227">
        <w:rPr>
          <w:vertAlign w:val="superscript"/>
          <w:lang w:val="en-US"/>
        </w:rPr>
        <w:footnoteReference w:id="395"/>
      </w:r>
      <w:r w:rsidR="00BF44DD" w:rsidRPr="00104227">
        <w:rPr>
          <w:lang w:val="en-US"/>
        </w:rPr>
        <w:t xml:space="preserve"> </w:t>
      </w:r>
    </w:p>
    <w:p w14:paraId="050503E2" w14:textId="77777777" w:rsidR="00DA71E5" w:rsidRPr="00104227" w:rsidRDefault="00DA71E5" w:rsidP="00E4619F">
      <w:pPr>
        <w:tabs>
          <w:tab w:val="left" w:pos="567"/>
        </w:tabs>
        <w:rPr>
          <w:lang w:eastAsia="es-MX"/>
        </w:rPr>
      </w:pPr>
    </w:p>
    <w:p w14:paraId="4330FA7E" w14:textId="0CD4AAE9" w:rsidR="00024C92" w:rsidRPr="00104227" w:rsidRDefault="00816E4E" w:rsidP="00E4619F">
      <w:pPr>
        <w:pStyle w:val="Numberedparagraphs"/>
        <w:tabs>
          <w:tab w:val="left" w:pos="567"/>
        </w:tabs>
        <w:rPr>
          <w:b/>
          <w:lang w:val="en-US"/>
        </w:rPr>
      </w:pPr>
      <w:r w:rsidRPr="00104227">
        <w:rPr>
          <w:lang w:val="en-US"/>
        </w:rPr>
        <w:t>In this case</w:t>
      </w:r>
      <w:r w:rsidR="00BF44DD" w:rsidRPr="00104227">
        <w:rPr>
          <w:lang w:val="en-US"/>
        </w:rPr>
        <w:t xml:space="preserve">, </w:t>
      </w:r>
      <w:r w:rsidR="00BF5241" w:rsidRPr="00104227">
        <w:rPr>
          <w:lang w:val="en-US"/>
        </w:rPr>
        <w:t>the Court</w:t>
      </w:r>
      <w:r w:rsidR="00BF44DD" w:rsidRPr="00104227">
        <w:rPr>
          <w:lang w:val="en-US"/>
        </w:rPr>
        <w:t xml:space="preserve"> </w:t>
      </w:r>
      <w:r w:rsidR="00803EFC" w:rsidRPr="00104227">
        <w:rPr>
          <w:lang w:val="en-US"/>
        </w:rPr>
        <w:t xml:space="preserve">notes that, despite the delays that the </w:t>
      </w:r>
      <w:r w:rsidR="00F13DA5" w:rsidRPr="00104227">
        <w:rPr>
          <w:lang w:val="en-US"/>
        </w:rPr>
        <w:t>decree of</w:t>
      </w:r>
      <w:r w:rsidR="00803EFC" w:rsidRPr="00104227">
        <w:rPr>
          <w:lang w:val="en-US"/>
        </w:rPr>
        <w:t xml:space="preserve"> confidentiality could have caused to the investigations (which will be duly analyzed below in relation to the r</w:t>
      </w:r>
      <w:r w:rsidR="005E5DCC" w:rsidRPr="00104227">
        <w:rPr>
          <w:lang w:val="en-US"/>
        </w:rPr>
        <w:t>easonable time</w:t>
      </w:r>
      <w:r w:rsidR="00BF44DD" w:rsidRPr="00104227">
        <w:rPr>
          <w:lang w:val="en-US"/>
        </w:rPr>
        <w:t xml:space="preserve">), </w:t>
      </w:r>
      <w:r w:rsidR="00803EFC" w:rsidRPr="00104227">
        <w:rPr>
          <w:lang w:val="en-US"/>
        </w:rPr>
        <w:t xml:space="preserve">this did not prevent the investigation from continuing once it had been lifted. Thus, the Court notes that </w:t>
      </w:r>
      <w:r w:rsidR="00F13DA5" w:rsidRPr="00104227">
        <w:rPr>
          <w:lang w:val="en-US"/>
        </w:rPr>
        <w:t>when the confidentiality of the file had been lifted</w:t>
      </w:r>
      <w:r w:rsidR="0035239D" w:rsidRPr="00104227">
        <w:rPr>
          <w:lang w:val="en-US"/>
        </w:rPr>
        <w:t xml:space="preserve"> </w:t>
      </w:r>
      <w:r w:rsidR="00F13DA5" w:rsidRPr="00104227">
        <w:rPr>
          <w:lang w:val="en-US"/>
        </w:rPr>
        <w:t>various</w:t>
      </w:r>
      <w:r w:rsidR="00803EFC" w:rsidRPr="00104227">
        <w:rPr>
          <w:lang w:val="en-US"/>
        </w:rPr>
        <w:t xml:space="preserve"> criminal </w:t>
      </w:r>
      <w:r w:rsidR="00F13DA5" w:rsidRPr="00104227">
        <w:rPr>
          <w:lang w:val="en-US"/>
        </w:rPr>
        <w:t>cases</w:t>
      </w:r>
      <w:r w:rsidR="00803EFC" w:rsidRPr="00104227">
        <w:rPr>
          <w:lang w:val="en-US"/>
        </w:rPr>
        <w:t xml:space="preserve"> were </w:t>
      </w:r>
      <w:r w:rsidR="00F13DA5" w:rsidRPr="00104227">
        <w:rPr>
          <w:lang w:val="en-US"/>
        </w:rPr>
        <w:t>opened</w:t>
      </w:r>
      <w:r w:rsidR="00803EFC" w:rsidRPr="00104227">
        <w:rPr>
          <w:lang w:val="en-US"/>
        </w:rPr>
        <w:t xml:space="preserve"> and several of those probably responsible were </w:t>
      </w:r>
      <w:r w:rsidR="00F13DA5" w:rsidRPr="00104227">
        <w:rPr>
          <w:lang w:val="en-US"/>
        </w:rPr>
        <w:t>charged</w:t>
      </w:r>
      <w:r w:rsidR="00803EFC" w:rsidRPr="00104227">
        <w:rPr>
          <w:lang w:val="en-US"/>
        </w:rPr>
        <w:t xml:space="preserve"> and are currently under investigation. Consequently, although due diligence was clearly not complied with, the Court does not observe that the confidentiality of </w:t>
      </w:r>
      <w:r w:rsidR="00E31E41" w:rsidRPr="00104227">
        <w:rPr>
          <w:lang w:val="en-US"/>
        </w:rPr>
        <w:t>preliminary inquiry</w:t>
      </w:r>
      <w:r w:rsidR="00803EFC" w:rsidRPr="00104227">
        <w:rPr>
          <w:lang w:val="en-US"/>
        </w:rPr>
        <w:t xml:space="preserve"> </w:t>
      </w:r>
      <w:r w:rsidR="00BF44DD" w:rsidRPr="00104227">
        <w:rPr>
          <w:lang w:val="en-US"/>
        </w:rPr>
        <w:t xml:space="preserve">466/2006 </w:t>
      </w:r>
      <w:r w:rsidR="00803EFC" w:rsidRPr="00104227">
        <w:rPr>
          <w:lang w:val="en-US"/>
        </w:rPr>
        <w:t>signified a form of obstruction of the investigations at the state level</w:t>
      </w:r>
      <w:r w:rsidR="00BF44DD" w:rsidRPr="00104227">
        <w:rPr>
          <w:lang w:val="en-US"/>
        </w:rPr>
        <w:t xml:space="preserve">. </w:t>
      </w:r>
    </w:p>
    <w:p w14:paraId="1A17C15C" w14:textId="77777777" w:rsidR="00024C92" w:rsidRPr="00104227" w:rsidRDefault="00024C92" w:rsidP="0047539E"/>
    <w:p w14:paraId="2F8702A7" w14:textId="5E12179A" w:rsidR="00BF44DD" w:rsidRPr="00104227" w:rsidRDefault="0035239D" w:rsidP="00E4619F">
      <w:pPr>
        <w:pStyle w:val="Numberedparagraphs"/>
        <w:tabs>
          <w:tab w:val="left" w:pos="567"/>
        </w:tabs>
        <w:rPr>
          <w:b/>
          <w:lang w:val="en-US"/>
        </w:rPr>
      </w:pPr>
      <w:r w:rsidRPr="00104227">
        <w:rPr>
          <w:lang w:val="en-US"/>
        </w:rPr>
        <w:t>In th</w:t>
      </w:r>
      <w:r w:rsidR="00B96675" w:rsidRPr="00104227">
        <w:rPr>
          <w:lang w:val="en-US"/>
        </w:rPr>
        <w:t xml:space="preserve">e </w:t>
      </w:r>
      <w:r w:rsidRPr="00104227">
        <w:rPr>
          <w:lang w:val="en-US"/>
        </w:rPr>
        <w:t xml:space="preserve">same way, with regard to the investigation at the federal level, there are no indications that the decision not to exercise the authority to transfer the jurisdiction of the state investigation to the federal level prevented the opening of subsequent investigations at the federal level and, therefore, it is not considered an act of obstruction. However, this is without prejudice to the lack of due diligence in the processing of the evidence presented by the victims </w:t>
      </w:r>
      <w:r w:rsidR="00BF44DD" w:rsidRPr="00104227">
        <w:rPr>
          <w:lang w:val="en-US"/>
        </w:rPr>
        <w:t>(</w:t>
      </w:r>
      <w:r w:rsidR="00BF44DD" w:rsidRPr="00104227">
        <w:rPr>
          <w:i/>
          <w:lang w:val="en-US"/>
        </w:rPr>
        <w:t xml:space="preserve">supra </w:t>
      </w:r>
      <w:r w:rsidR="00BF5241" w:rsidRPr="00104227">
        <w:rPr>
          <w:lang w:val="en-US"/>
        </w:rPr>
        <w:t>para.</w:t>
      </w:r>
      <w:r w:rsidR="00742398" w:rsidRPr="00104227">
        <w:rPr>
          <w:lang w:val="en-US"/>
        </w:rPr>
        <w:t xml:space="preserve"> </w:t>
      </w:r>
      <w:r w:rsidR="00742398" w:rsidRPr="00104227">
        <w:rPr>
          <w:lang w:val="en-US"/>
        </w:rPr>
        <w:fldChar w:fldCharType="begin"/>
      </w:r>
      <w:r w:rsidR="00742398" w:rsidRPr="00104227">
        <w:rPr>
          <w:lang w:val="en-US"/>
        </w:rPr>
        <w:instrText xml:space="preserve"> REF _Ref532941904 \r \h </w:instrText>
      </w:r>
      <w:r w:rsidR="005F0C95" w:rsidRPr="00104227">
        <w:rPr>
          <w:lang w:val="en-US"/>
        </w:rPr>
        <w:instrText xml:space="preserve"> \* MERGEFORMAT </w:instrText>
      </w:r>
      <w:r w:rsidR="00742398" w:rsidRPr="00104227">
        <w:rPr>
          <w:lang w:val="en-US"/>
        </w:rPr>
      </w:r>
      <w:r w:rsidR="00742398" w:rsidRPr="00104227">
        <w:rPr>
          <w:lang w:val="en-US"/>
        </w:rPr>
        <w:fldChar w:fldCharType="separate"/>
      </w:r>
      <w:r w:rsidR="004276BD">
        <w:rPr>
          <w:lang w:val="en-US"/>
        </w:rPr>
        <w:t>284</w:t>
      </w:r>
      <w:r w:rsidR="00742398" w:rsidRPr="00104227">
        <w:rPr>
          <w:lang w:val="en-US"/>
        </w:rPr>
        <w:fldChar w:fldCharType="end"/>
      </w:r>
      <w:r w:rsidR="00BF44DD" w:rsidRPr="00104227">
        <w:rPr>
          <w:lang w:val="en-US"/>
        </w:rPr>
        <w:t>),</w:t>
      </w:r>
      <w:r w:rsidR="00BF5241" w:rsidRPr="00104227">
        <w:rPr>
          <w:lang w:val="en-US"/>
        </w:rPr>
        <w:t xml:space="preserve"> and </w:t>
      </w:r>
      <w:r w:rsidRPr="00104227">
        <w:rPr>
          <w:lang w:val="en-US"/>
        </w:rPr>
        <w:t xml:space="preserve">the State obligation to investigate all those responsible and to avoid omissions in following up on logical lines of investigation </w:t>
      </w:r>
      <w:r w:rsidR="00BF44DD" w:rsidRPr="00104227">
        <w:rPr>
          <w:lang w:val="en-US"/>
        </w:rPr>
        <w:t>(</w:t>
      </w:r>
      <w:r w:rsidR="00BF44DD" w:rsidRPr="00104227">
        <w:rPr>
          <w:i/>
          <w:lang w:val="en-US"/>
        </w:rPr>
        <w:t xml:space="preserve">infra </w:t>
      </w:r>
      <w:r w:rsidR="00BF5241" w:rsidRPr="00104227">
        <w:rPr>
          <w:lang w:val="en-US"/>
        </w:rPr>
        <w:t>para.</w:t>
      </w:r>
      <w:r w:rsidR="00742398" w:rsidRPr="00104227">
        <w:rPr>
          <w:lang w:val="en-US"/>
        </w:rPr>
        <w:t xml:space="preserve"> </w:t>
      </w:r>
      <w:r w:rsidR="00742398" w:rsidRPr="00104227">
        <w:rPr>
          <w:lang w:val="en-US"/>
        </w:rPr>
        <w:fldChar w:fldCharType="begin"/>
      </w:r>
      <w:r w:rsidR="00742398" w:rsidRPr="00104227">
        <w:rPr>
          <w:lang w:val="en-US"/>
        </w:rPr>
        <w:instrText xml:space="preserve"> REF _Ref532942005 \r \h </w:instrText>
      </w:r>
      <w:r w:rsidR="005F0C95" w:rsidRPr="00104227">
        <w:rPr>
          <w:lang w:val="en-US"/>
        </w:rPr>
        <w:instrText xml:space="preserve"> \* MERGEFORMAT </w:instrText>
      </w:r>
      <w:r w:rsidR="00742398" w:rsidRPr="00104227">
        <w:rPr>
          <w:lang w:val="en-US"/>
        </w:rPr>
      </w:r>
      <w:r w:rsidR="00742398" w:rsidRPr="00104227">
        <w:rPr>
          <w:lang w:val="en-US"/>
        </w:rPr>
        <w:fldChar w:fldCharType="separate"/>
      </w:r>
      <w:r w:rsidR="004276BD">
        <w:rPr>
          <w:lang w:val="en-US"/>
        </w:rPr>
        <w:t>293</w:t>
      </w:r>
      <w:r w:rsidR="00742398" w:rsidRPr="00104227">
        <w:rPr>
          <w:lang w:val="en-US"/>
        </w:rPr>
        <w:fldChar w:fldCharType="end"/>
      </w:r>
      <w:r w:rsidR="00BF44DD" w:rsidRPr="00104227">
        <w:rPr>
          <w:lang w:val="en-US"/>
        </w:rPr>
        <w:t xml:space="preserve">). </w:t>
      </w:r>
    </w:p>
    <w:p w14:paraId="111257C9" w14:textId="77777777" w:rsidR="00DA71E5" w:rsidRPr="00104227" w:rsidRDefault="00DA71E5" w:rsidP="00E4619F">
      <w:pPr>
        <w:tabs>
          <w:tab w:val="left" w:pos="567"/>
        </w:tabs>
        <w:rPr>
          <w:lang w:eastAsia="es-MX"/>
        </w:rPr>
      </w:pPr>
    </w:p>
    <w:p w14:paraId="697D86CC" w14:textId="72B7534D" w:rsidR="00BF44DD" w:rsidRPr="00104227" w:rsidRDefault="0035239D" w:rsidP="00E4619F">
      <w:pPr>
        <w:pStyle w:val="Numberedparagraphs"/>
        <w:tabs>
          <w:tab w:val="left" w:pos="567"/>
        </w:tabs>
        <w:rPr>
          <w:lang w:val="en-US"/>
        </w:rPr>
      </w:pPr>
      <w:r w:rsidRPr="00104227">
        <w:rPr>
          <w:lang w:val="en-US"/>
        </w:rPr>
        <w:t xml:space="preserve">Lastly, with regard to the argument concerning the obstruction of the victims’ access to the case files, neither </w:t>
      </w:r>
      <w:r w:rsidR="002826A6" w:rsidRPr="00104227">
        <w:rPr>
          <w:lang w:val="en-US"/>
        </w:rPr>
        <w:t>the representatives</w:t>
      </w:r>
      <w:r w:rsidR="00BF44DD" w:rsidRPr="00104227">
        <w:rPr>
          <w:lang w:val="en-US"/>
        </w:rPr>
        <w:t xml:space="preserve"> n</w:t>
      </w:r>
      <w:r w:rsidRPr="00104227">
        <w:rPr>
          <w:lang w:val="en-US"/>
        </w:rPr>
        <w:t>or</w:t>
      </w:r>
      <w:r w:rsidR="00BF44DD" w:rsidRPr="00104227">
        <w:rPr>
          <w:lang w:val="en-US"/>
        </w:rPr>
        <w:t xml:space="preserve"> </w:t>
      </w:r>
      <w:r w:rsidR="00BF5241" w:rsidRPr="00104227">
        <w:rPr>
          <w:lang w:val="en-US"/>
        </w:rPr>
        <w:t>the Commission</w:t>
      </w:r>
      <w:r w:rsidR="00BF44DD" w:rsidRPr="00104227">
        <w:rPr>
          <w:lang w:val="en-US"/>
        </w:rPr>
        <w:t xml:space="preserve"> ha</w:t>
      </w:r>
      <w:r w:rsidRPr="00104227">
        <w:rPr>
          <w:lang w:val="en-US"/>
        </w:rPr>
        <w:t>ve provided any evidence to support this. Moreover, the Court does not see any reason that would justify diverging from the general principle in relation to the burden of proof according to which, in principle, it is the plaintiff</w:t>
      </w:r>
      <w:r w:rsidR="00BF44DD" w:rsidRPr="00104227">
        <w:rPr>
          <w:lang w:val="en-US"/>
        </w:rPr>
        <w:t xml:space="preserve"> </w:t>
      </w:r>
      <w:r w:rsidRPr="00104227">
        <w:rPr>
          <w:lang w:val="en-US"/>
        </w:rPr>
        <w:t xml:space="preserve">who bears the burden of </w:t>
      </w:r>
      <w:r w:rsidR="00F562B7" w:rsidRPr="00104227">
        <w:rPr>
          <w:lang w:val="en-US"/>
        </w:rPr>
        <w:t>proving</w:t>
      </w:r>
      <w:r w:rsidRPr="00104227">
        <w:rPr>
          <w:lang w:val="en-US"/>
        </w:rPr>
        <w:t xml:space="preserve"> the facts on which he bases his allegations.</w:t>
      </w:r>
      <w:r w:rsidR="00BF44DD" w:rsidRPr="00104227">
        <w:rPr>
          <w:rStyle w:val="Refdenotaalpie"/>
          <w:lang w:val="en-US"/>
        </w:rPr>
        <w:footnoteReference w:id="396"/>
      </w:r>
      <w:r w:rsidRPr="00104227">
        <w:rPr>
          <w:lang w:val="en-US"/>
        </w:rPr>
        <w:t xml:space="preserve"> Consequently, the </w:t>
      </w:r>
      <w:r w:rsidRPr="00104227">
        <w:rPr>
          <w:lang w:val="en-US"/>
        </w:rPr>
        <w:lastRenderedPageBreak/>
        <w:t xml:space="preserve">Court considers that it has insufficient evidence to determine whether </w:t>
      </w:r>
      <w:r w:rsidR="00F562B7" w:rsidRPr="00104227">
        <w:rPr>
          <w:lang w:val="en-US"/>
        </w:rPr>
        <w:t>a</w:t>
      </w:r>
      <w:r w:rsidRPr="00104227">
        <w:rPr>
          <w:lang w:val="en-US"/>
        </w:rPr>
        <w:t xml:space="preserve">ccess to the </w:t>
      </w:r>
      <w:r w:rsidR="00F13DA5" w:rsidRPr="00104227">
        <w:rPr>
          <w:lang w:val="en-US"/>
        </w:rPr>
        <w:t>domestic</w:t>
      </w:r>
      <w:r w:rsidRPr="00104227">
        <w:rPr>
          <w:lang w:val="en-US"/>
        </w:rPr>
        <w:t xml:space="preserve"> case files was obstructed.</w:t>
      </w:r>
    </w:p>
    <w:p w14:paraId="0FA940EA" w14:textId="77777777" w:rsidR="00BF44DD" w:rsidRPr="00104227" w:rsidRDefault="00BF44DD" w:rsidP="00E4619F">
      <w:pPr>
        <w:pStyle w:val="Estilo1"/>
        <w:spacing w:after="0"/>
        <w:rPr>
          <w:lang w:val="en-US"/>
        </w:rPr>
      </w:pPr>
    </w:p>
    <w:p w14:paraId="6B2C0DB3" w14:textId="2953A027" w:rsidR="00BF44DD" w:rsidRPr="00104227" w:rsidRDefault="00BF44DD" w:rsidP="00E4619F">
      <w:pPr>
        <w:pStyle w:val="Prrafodelista"/>
        <w:numPr>
          <w:ilvl w:val="0"/>
          <w:numId w:val="0"/>
        </w:numPr>
        <w:tabs>
          <w:tab w:val="left" w:pos="567"/>
        </w:tabs>
        <w:ind w:left="1080"/>
        <w:rPr>
          <w:u w:val="single"/>
          <w:lang w:eastAsia="es-MX"/>
        </w:rPr>
      </w:pPr>
      <w:r w:rsidRPr="00104227">
        <w:rPr>
          <w:u w:val="single"/>
          <w:lang w:eastAsia="es-MX"/>
        </w:rPr>
        <w:t xml:space="preserve">B.1.3 </w:t>
      </w:r>
      <w:r w:rsidR="00610C71" w:rsidRPr="00104227">
        <w:rPr>
          <w:u w:val="single"/>
          <w:lang w:eastAsia="es-MX"/>
        </w:rPr>
        <w:t>Investiga</w:t>
      </w:r>
      <w:r w:rsidR="00F562B7" w:rsidRPr="00104227">
        <w:rPr>
          <w:u w:val="single"/>
          <w:lang w:eastAsia="es-MX"/>
        </w:rPr>
        <w:t>tion of all those responsible</w:t>
      </w:r>
    </w:p>
    <w:p w14:paraId="14166AD1" w14:textId="77777777" w:rsidR="00BF44DD" w:rsidRPr="00104227" w:rsidRDefault="00BF44DD" w:rsidP="00E4619F">
      <w:pPr>
        <w:tabs>
          <w:tab w:val="left" w:pos="567"/>
        </w:tabs>
      </w:pPr>
    </w:p>
    <w:p w14:paraId="696B9AD5" w14:textId="03E47F30" w:rsidR="00BF44DD" w:rsidRPr="00104227" w:rsidRDefault="002826A6" w:rsidP="00E4619F">
      <w:pPr>
        <w:pStyle w:val="Numberedparagraphs"/>
        <w:tabs>
          <w:tab w:val="left" w:pos="567"/>
        </w:tabs>
        <w:rPr>
          <w:b/>
          <w:lang w:val="en-US"/>
        </w:rPr>
      </w:pPr>
      <w:r w:rsidRPr="00104227">
        <w:rPr>
          <w:lang w:val="en-US"/>
        </w:rPr>
        <w:t>The representatives</w:t>
      </w:r>
      <w:r w:rsidR="00BF5241" w:rsidRPr="00104227">
        <w:rPr>
          <w:lang w:val="en-US"/>
        </w:rPr>
        <w:t xml:space="preserve"> and the Commission</w:t>
      </w:r>
      <w:r w:rsidR="00BF44DD" w:rsidRPr="00104227">
        <w:rPr>
          <w:lang w:val="en-US"/>
        </w:rPr>
        <w:t xml:space="preserve"> al</w:t>
      </w:r>
      <w:r w:rsidR="00F562B7" w:rsidRPr="00104227">
        <w:rPr>
          <w:lang w:val="en-US"/>
        </w:rPr>
        <w:t xml:space="preserve">lege that </w:t>
      </w:r>
      <w:r w:rsidR="00AC3BFC" w:rsidRPr="00104227">
        <w:rPr>
          <w:lang w:val="en-US"/>
        </w:rPr>
        <w:t>the State</w:t>
      </w:r>
      <w:r w:rsidR="00BF44DD" w:rsidRPr="00104227">
        <w:rPr>
          <w:lang w:val="en-US"/>
        </w:rPr>
        <w:t xml:space="preserve"> </w:t>
      </w:r>
      <w:r w:rsidR="00F562B7" w:rsidRPr="00104227">
        <w:rPr>
          <w:lang w:val="en-US"/>
        </w:rPr>
        <w:t>failed to follow lines of investigation concerning: (i) the participation of federal agents, and (ii) the responsibilities of the chain of command. Meanwhile, the State indicated that “</w:t>
      </w:r>
      <w:r w:rsidR="00F13DA5" w:rsidRPr="00104227">
        <w:rPr>
          <w:lang w:val="en-US"/>
        </w:rPr>
        <w:t xml:space="preserve">the FGEM charged </w:t>
      </w:r>
      <w:r w:rsidR="00F562B7" w:rsidRPr="00104227">
        <w:rPr>
          <w:lang w:val="en-US"/>
        </w:rPr>
        <w:t xml:space="preserve">all the persons identified by the SCJN as possible participants in the sexual abuse that occurred against the eleven </w:t>
      </w:r>
      <w:r w:rsidR="00EF03E5" w:rsidRPr="00104227">
        <w:rPr>
          <w:lang w:val="en-US"/>
        </w:rPr>
        <w:t>victims in this case</w:t>
      </w:r>
      <w:r w:rsidR="00F562B7" w:rsidRPr="00104227">
        <w:rPr>
          <w:lang w:val="en-US"/>
        </w:rPr>
        <w:t>,</w:t>
      </w:r>
      <w:r w:rsidR="00742398" w:rsidRPr="00104227">
        <w:rPr>
          <w:lang w:val="en-US"/>
        </w:rPr>
        <w:t>”</w:t>
      </w:r>
      <w:r w:rsidR="00BF44DD" w:rsidRPr="00104227">
        <w:rPr>
          <w:lang w:val="en-US"/>
        </w:rPr>
        <w:t xml:space="preserve"> </w:t>
      </w:r>
      <w:r w:rsidR="00F562B7" w:rsidRPr="00104227">
        <w:rPr>
          <w:lang w:val="en-US"/>
        </w:rPr>
        <w:t>and noted that</w:t>
      </w:r>
      <w:r w:rsidR="00BF44DD" w:rsidRPr="00104227">
        <w:rPr>
          <w:lang w:val="en-US"/>
        </w:rPr>
        <w:t xml:space="preserve"> “</w:t>
      </w:r>
      <w:r w:rsidR="008F27D0" w:rsidRPr="00104227">
        <w:rPr>
          <w:lang w:val="en-US"/>
        </w:rPr>
        <w:t>the SCJN</w:t>
      </w:r>
      <w:r w:rsidR="00BF44DD" w:rsidRPr="00104227">
        <w:rPr>
          <w:lang w:val="en-US"/>
        </w:rPr>
        <w:t xml:space="preserve"> </w:t>
      </w:r>
      <w:r w:rsidR="00F562B7" w:rsidRPr="00104227">
        <w:rPr>
          <w:lang w:val="en-US"/>
        </w:rPr>
        <w:t>only identified […] police agents of the state of Mexico as possible participants, and not federal agents […] because the transfer of those who had been arrested [</w:t>
      </w:r>
      <w:r w:rsidR="001D29FA" w:rsidRPr="00104227">
        <w:rPr>
          <w:lang w:val="en-US"/>
        </w:rPr>
        <w:t>…</w:t>
      </w:r>
      <w:r w:rsidR="00F562B7" w:rsidRPr="00104227">
        <w:rPr>
          <w:lang w:val="en-US"/>
        </w:rPr>
        <w:t xml:space="preserve">] was solely the responsibility of authorities </w:t>
      </w:r>
      <w:r w:rsidRPr="00104227">
        <w:rPr>
          <w:lang w:val="en-US"/>
        </w:rPr>
        <w:t xml:space="preserve">of the </w:t>
      </w:r>
      <w:r w:rsidR="00CA330F" w:rsidRPr="00104227">
        <w:rPr>
          <w:lang w:val="en-US"/>
        </w:rPr>
        <w:t>state of Mexico</w:t>
      </w:r>
      <w:r w:rsidR="00F562B7" w:rsidRPr="00104227">
        <w:rPr>
          <w:lang w:val="en-US"/>
        </w:rPr>
        <w:t>.</w:t>
      </w:r>
      <w:r w:rsidR="00742398" w:rsidRPr="00104227">
        <w:rPr>
          <w:lang w:val="en-US"/>
        </w:rPr>
        <w:t>”</w:t>
      </w:r>
      <w:r w:rsidR="00BF44DD" w:rsidRPr="00104227">
        <w:rPr>
          <w:b/>
          <w:lang w:val="en-US"/>
        </w:rPr>
        <w:t xml:space="preserve"> </w:t>
      </w:r>
      <w:r w:rsidR="00F562B7" w:rsidRPr="00104227">
        <w:rPr>
          <w:lang w:val="en-US"/>
        </w:rPr>
        <w:t>In addition, it argued that, “</w:t>
      </w:r>
      <w:r w:rsidR="001D29FA" w:rsidRPr="00104227">
        <w:rPr>
          <w:lang w:val="en-US"/>
        </w:rPr>
        <w:t>by its</w:t>
      </w:r>
      <w:r w:rsidR="00F562B7" w:rsidRPr="00104227">
        <w:rPr>
          <w:lang w:val="en-US"/>
        </w:rPr>
        <w:t xml:space="preserve"> investigations, it had complied with the identification of different </w:t>
      </w:r>
      <w:r w:rsidR="001D29FA" w:rsidRPr="00104227">
        <w:rPr>
          <w:lang w:val="en-US"/>
        </w:rPr>
        <w:t>levels</w:t>
      </w:r>
      <w:r w:rsidR="00F562B7" w:rsidRPr="00104227">
        <w:rPr>
          <w:lang w:val="en-US"/>
        </w:rPr>
        <w:t xml:space="preserve"> of responsibility, including each and every one of the aut</w:t>
      </w:r>
      <w:r w:rsidR="001D29FA" w:rsidRPr="00104227">
        <w:rPr>
          <w:lang w:val="en-US"/>
        </w:rPr>
        <w:t>h</w:t>
      </w:r>
      <w:r w:rsidR="00F562B7" w:rsidRPr="00104227">
        <w:rPr>
          <w:lang w:val="en-US"/>
        </w:rPr>
        <w:t xml:space="preserve">orities involved in the chain of command,” and that </w:t>
      </w:r>
      <w:r w:rsidR="00BF44DD" w:rsidRPr="00104227">
        <w:rPr>
          <w:lang w:val="en-US"/>
        </w:rPr>
        <w:t>“</w:t>
      </w:r>
      <w:r w:rsidR="00E466FA" w:rsidRPr="00104227">
        <w:rPr>
          <w:lang w:val="en-US"/>
        </w:rPr>
        <w:t>the Supreme Court</w:t>
      </w:r>
      <w:r w:rsidR="00BF44DD" w:rsidRPr="00104227">
        <w:rPr>
          <w:lang w:val="en-US"/>
        </w:rPr>
        <w:t xml:space="preserve"> conclu</w:t>
      </w:r>
      <w:r w:rsidR="00F562B7" w:rsidRPr="00104227">
        <w:rPr>
          <w:lang w:val="en-US"/>
        </w:rPr>
        <w:t>ded that it was impossible to prove the hypothesis that, during the operation, an order had been given to attack […] the protesters.”</w:t>
      </w:r>
    </w:p>
    <w:p w14:paraId="0845FDEC" w14:textId="77777777" w:rsidR="00DA71E5" w:rsidRPr="00104227" w:rsidRDefault="00DA71E5" w:rsidP="00E4619F">
      <w:pPr>
        <w:tabs>
          <w:tab w:val="left" w:pos="567"/>
        </w:tabs>
        <w:rPr>
          <w:lang w:eastAsia="es-MX"/>
        </w:rPr>
      </w:pPr>
    </w:p>
    <w:p w14:paraId="601FC035" w14:textId="6475644F" w:rsidR="00BF44DD" w:rsidRPr="00104227" w:rsidRDefault="00F562B7" w:rsidP="00E4619F">
      <w:pPr>
        <w:pStyle w:val="Numberedparagraphs"/>
        <w:tabs>
          <w:tab w:val="left" w:pos="567"/>
        </w:tabs>
        <w:rPr>
          <w:lang w:val="en-US"/>
        </w:rPr>
      </w:pPr>
      <w:r w:rsidRPr="00104227">
        <w:rPr>
          <w:lang w:val="en-US"/>
        </w:rPr>
        <w:t>This Court has established that States have the obligation to conduct an inve</w:t>
      </w:r>
      <w:r w:rsidR="00EA3404" w:rsidRPr="00104227">
        <w:rPr>
          <w:lang w:val="en-US"/>
        </w:rPr>
        <w:t>s</w:t>
      </w:r>
      <w:r w:rsidRPr="00104227">
        <w:rPr>
          <w:lang w:val="en-US"/>
        </w:rPr>
        <w:t>tigation, using all available legal means and a</w:t>
      </w:r>
      <w:r w:rsidR="00EA3404" w:rsidRPr="00104227">
        <w:rPr>
          <w:lang w:val="en-US"/>
        </w:rPr>
        <w:t>imed</w:t>
      </w:r>
      <w:r w:rsidRPr="00104227">
        <w:rPr>
          <w:lang w:val="en-US"/>
        </w:rPr>
        <w:t xml:space="preserve"> at determining the truth</w:t>
      </w:r>
      <w:r w:rsidR="001D29FA" w:rsidRPr="00104227">
        <w:rPr>
          <w:lang w:val="en-US"/>
        </w:rPr>
        <w:t>,</w:t>
      </w:r>
      <w:r w:rsidRPr="00104227">
        <w:rPr>
          <w:lang w:val="en-US"/>
        </w:rPr>
        <w:t xml:space="preserve"> and the pursuit, capture, prosecution and punishment, as appropriate</w:t>
      </w:r>
      <w:r w:rsidR="001D29FA" w:rsidRPr="00104227">
        <w:rPr>
          <w:lang w:val="en-US"/>
        </w:rPr>
        <w:t>,</w:t>
      </w:r>
      <w:r w:rsidRPr="00104227">
        <w:rPr>
          <w:lang w:val="en-US"/>
        </w:rPr>
        <w:t xml:space="preserve"> of those responsible, </w:t>
      </w:r>
      <w:r w:rsidR="00EA3404" w:rsidRPr="00104227">
        <w:rPr>
          <w:lang w:val="en-US"/>
        </w:rPr>
        <w:t>whatever their participation in the facts.</w:t>
      </w:r>
      <w:r w:rsidR="00BF44DD" w:rsidRPr="00104227">
        <w:rPr>
          <w:rStyle w:val="Refdenotaalpie"/>
          <w:lang w:val="en-US"/>
        </w:rPr>
        <w:footnoteReference w:id="397"/>
      </w:r>
      <w:r w:rsidR="00EA3404" w:rsidRPr="00104227">
        <w:rPr>
          <w:lang w:val="en-US"/>
        </w:rPr>
        <w:t xml:space="preserve"> Thus, they should avoid omission in following logical lines of investigation</w:t>
      </w:r>
      <w:r w:rsidR="00BF44DD" w:rsidRPr="00104227">
        <w:rPr>
          <w:lang w:val="en-US"/>
        </w:rPr>
        <w:t>,</w:t>
      </w:r>
      <w:r w:rsidR="00BF44DD" w:rsidRPr="00104227">
        <w:rPr>
          <w:rStyle w:val="Refdenotaalpie"/>
          <w:lang w:val="en-US"/>
        </w:rPr>
        <w:footnoteReference w:id="398"/>
      </w:r>
      <w:r w:rsidR="00BF44DD" w:rsidRPr="00104227">
        <w:rPr>
          <w:lang w:val="en-US"/>
        </w:rPr>
        <w:t xml:space="preserve"> </w:t>
      </w:r>
      <w:r w:rsidR="00EA3404" w:rsidRPr="00104227">
        <w:rPr>
          <w:lang w:val="en-US"/>
        </w:rPr>
        <w:t>to ensure the proper analysis of the presumptions of responsibility resulting from the investigation.</w:t>
      </w:r>
      <w:r w:rsidR="00BF44DD" w:rsidRPr="00104227">
        <w:rPr>
          <w:rStyle w:val="Refdenotaalpie"/>
          <w:lang w:val="en-US"/>
        </w:rPr>
        <w:footnoteReference w:id="399"/>
      </w:r>
      <w:r w:rsidR="00BF44DD" w:rsidRPr="00104227">
        <w:rPr>
          <w:lang w:val="en-US"/>
        </w:rPr>
        <w:t xml:space="preserve"> </w:t>
      </w:r>
      <w:r w:rsidR="00EA3404" w:rsidRPr="00104227">
        <w:rPr>
          <w:lang w:val="en-US"/>
        </w:rPr>
        <w:t xml:space="preserve">Accordingly, in order to determine whether a </w:t>
      </w:r>
      <w:r w:rsidR="003F10B2" w:rsidRPr="00104227">
        <w:rPr>
          <w:lang w:val="en-US"/>
        </w:rPr>
        <w:t xml:space="preserve">State </w:t>
      </w:r>
      <w:r w:rsidR="00EA3404" w:rsidRPr="00104227">
        <w:rPr>
          <w:lang w:val="en-US"/>
        </w:rPr>
        <w:t xml:space="preserve">has complied with its </w:t>
      </w:r>
      <w:r w:rsidR="005E5DCC" w:rsidRPr="00104227">
        <w:rPr>
          <w:lang w:val="en-US"/>
        </w:rPr>
        <w:t>obligation to investigate</w:t>
      </w:r>
      <w:r w:rsidR="00BF44DD" w:rsidRPr="00104227">
        <w:rPr>
          <w:lang w:val="en-US"/>
        </w:rPr>
        <w:t xml:space="preserve"> </w:t>
      </w:r>
      <w:r w:rsidR="00EA3404" w:rsidRPr="00104227">
        <w:rPr>
          <w:lang w:val="en-US"/>
        </w:rPr>
        <w:t>all those criminally responsible, this Court has referred to the need to analyze: (i) the existence of evidence of the participation of those presumed to be responsible, and (ii) whether there was diligence or negligence in the investigation of this evidence.</w:t>
      </w:r>
      <w:r w:rsidR="00BF44DD" w:rsidRPr="00104227">
        <w:rPr>
          <w:rStyle w:val="Refdenotaalpie"/>
          <w:lang w:val="en-US"/>
        </w:rPr>
        <w:footnoteReference w:id="400"/>
      </w:r>
      <w:r w:rsidR="00BF44DD" w:rsidRPr="00104227">
        <w:rPr>
          <w:lang w:val="en-US"/>
        </w:rPr>
        <w:t xml:space="preserve"> </w:t>
      </w:r>
    </w:p>
    <w:p w14:paraId="3D1DA17F" w14:textId="77777777" w:rsidR="00BF44DD" w:rsidRPr="00104227" w:rsidRDefault="00BF44DD" w:rsidP="00E4619F">
      <w:pPr>
        <w:tabs>
          <w:tab w:val="left" w:pos="567"/>
        </w:tabs>
      </w:pPr>
    </w:p>
    <w:p w14:paraId="05335AB0" w14:textId="21953FDE" w:rsidR="00A531A6" w:rsidRPr="00104227" w:rsidRDefault="00EA3404" w:rsidP="00A531A6">
      <w:pPr>
        <w:pStyle w:val="Numberedparagraphs"/>
        <w:tabs>
          <w:tab w:val="left" w:pos="567"/>
        </w:tabs>
        <w:rPr>
          <w:lang w:val="en-US"/>
        </w:rPr>
      </w:pPr>
      <w:bookmarkStart w:id="348" w:name="_Ref532942005"/>
      <w:r w:rsidRPr="00104227">
        <w:rPr>
          <w:lang w:val="en-US"/>
        </w:rPr>
        <w:t>In this case, the Court notes that several of</w:t>
      </w:r>
      <w:r w:rsidR="00BF44DD" w:rsidRPr="00104227">
        <w:rPr>
          <w:lang w:val="en-US"/>
        </w:rPr>
        <w:t xml:space="preserve"> </w:t>
      </w:r>
      <w:r w:rsidR="003A1A4B" w:rsidRPr="00104227">
        <w:rPr>
          <w:lang w:val="en-US"/>
        </w:rPr>
        <w:t>the women</w:t>
      </w:r>
      <w:r w:rsidR="00BF44DD" w:rsidRPr="00104227">
        <w:rPr>
          <w:lang w:val="en-US"/>
        </w:rPr>
        <w:t xml:space="preserve"> </w:t>
      </w:r>
      <w:r w:rsidR="00844C80" w:rsidRPr="00104227">
        <w:rPr>
          <w:lang w:val="en-US"/>
        </w:rPr>
        <w:t>victims in this case</w:t>
      </w:r>
      <w:r w:rsidR="00BF44DD" w:rsidRPr="00104227">
        <w:rPr>
          <w:lang w:val="en-US"/>
        </w:rPr>
        <w:t xml:space="preserve"> </w:t>
      </w:r>
      <w:r w:rsidRPr="00104227">
        <w:rPr>
          <w:lang w:val="en-US"/>
        </w:rPr>
        <w:t>recounted that they had suffered different forms of violence and abuse at the hands of federal agents</w:t>
      </w:r>
      <w:r w:rsidR="00BF44DD" w:rsidRPr="00104227">
        <w:rPr>
          <w:rStyle w:val="Refdenotaalpie"/>
          <w:lang w:val="en-US"/>
        </w:rPr>
        <w:footnoteReference w:id="401"/>
      </w:r>
      <w:r w:rsidR="00BF44DD" w:rsidRPr="00104227">
        <w:rPr>
          <w:lang w:val="en-US"/>
        </w:rPr>
        <w:t xml:space="preserve"> </w:t>
      </w:r>
      <w:r w:rsidRPr="00104227">
        <w:rPr>
          <w:lang w:val="en-US"/>
        </w:rPr>
        <w:t xml:space="preserve">when they were </w:t>
      </w:r>
      <w:r w:rsidR="001D29FA" w:rsidRPr="00104227">
        <w:rPr>
          <w:lang w:val="en-US"/>
        </w:rPr>
        <w:t>detained</w:t>
      </w:r>
      <w:r w:rsidRPr="00104227">
        <w:rPr>
          <w:lang w:val="en-US"/>
        </w:rPr>
        <w:t xml:space="preserve"> and handed over to state agents who transferred them.</w:t>
      </w:r>
      <w:r w:rsidR="00BF44DD" w:rsidRPr="00104227">
        <w:rPr>
          <w:rStyle w:val="Refdenotaalpie"/>
          <w:lang w:val="en-US"/>
        </w:rPr>
        <w:footnoteReference w:id="402"/>
      </w:r>
      <w:r w:rsidRPr="00104227">
        <w:rPr>
          <w:lang w:val="en-US"/>
        </w:rPr>
        <w:t xml:space="preserve"> Consequently, the Court considers that there w</w:t>
      </w:r>
      <w:r w:rsidR="001D29FA" w:rsidRPr="00104227">
        <w:rPr>
          <w:lang w:val="en-US"/>
        </w:rPr>
        <w:t>as</w:t>
      </w:r>
      <w:r w:rsidRPr="00104227">
        <w:rPr>
          <w:lang w:val="en-US"/>
        </w:rPr>
        <w:t xml:space="preserve"> sufficient </w:t>
      </w:r>
      <w:r w:rsidR="001D29FA" w:rsidRPr="00104227">
        <w:rPr>
          <w:lang w:val="en-US"/>
        </w:rPr>
        <w:t>evidence</w:t>
      </w:r>
      <w:r w:rsidRPr="00104227">
        <w:rPr>
          <w:lang w:val="en-US"/>
        </w:rPr>
        <w:t xml:space="preserve"> to </w:t>
      </w:r>
      <w:r w:rsidR="00A531A6" w:rsidRPr="00104227">
        <w:rPr>
          <w:lang w:val="en-US"/>
        </w:rPr>
        <w:t xml:space="preserve">oblige the State </w:t>
      </w:r>
      <w:r w:rsidR="005E5DCC" w:rsidRPr="00104227">
        <w:rPr>
          <w:lang w:val="en-US"/>
        </w:rPr>
        <w:t>to investigate</w:t>
      </w:r>
      <w:r w:rsidR="00BF44DD" w:rsidRPr="00104227">
        <w:rPr>
          <w:lang w:val="en-US"/>
        </w:rPr>
        <w:t xml:space="preserve"> </w:t>
      </w:r>
      <w:r w:rsidR="00A531A6" w:rsidRPr="00104227">
        <w:rPr>
          <w:lang w:val="en-US"/>
        </w:rPr>
        <w:t>the responsibility of federal agents for the facts that are the purpose this case. Regarding the</w:t>
      </w:r>
      <w:r w:rsidR="001D29FA" w:rsidRPr="00104227">
        <w:rPr>
          <w:lang w:val="en-US"/>
        </w:rPr>
        <w:t xml:space="preserve"> State’s</w:t>
      </w:r>
      <w:r w:rsidR="00A531A6" w:rsidRPr="00104227">
        <w:rPr>
          <w:lang w:val="en-US"/>
        </w:rPr>
        <w:t xml:space="preserve"> conduct, the Court has already noted that the FEVIM investigation was not </w:t>
      </w:r>
      <w:r w:rsidR="001D29FA" w:rsidRPr="00104227">
        <w:rPr>
          <w:lang w:val="en-US"/>
        </w:rPr>
        <w:t>executed</w:t>
      </w:r>
      <w:r w:rsidR="00A531A6" w:rsidRPr="00104227">
        <w:rPr>
          <w:lang w:val="en-US"/>
        </w:rPr>
        <w:t xml:space="preserve"> with due </w:t>
      </w:r>
      <w:r w:rsidR="00A531A6" w:rsidRPr="00104227">
        <w:rPr>
          <w:lang w:val="en-US"/>
        </w:rPr>
        <w:lastRenderedPageBreak/>
        <w:t xml:space="preserve">diligence, because it failed to process the items of evidence provided by the women victims in this case adequately, which meant that it failed to follow logical lines of investigation that could have resulted from this evidence. The Court has no information indicating that, at the present time, any investigation is open to determine the possible responsibility of federal agents. Although the State alleges that it has </w:t>
      </w:r>
      <w:r w:rsidR="001D29FA" w:rsidRPr="00104227">
        <w:rPr>
          <w:lang w:val="en-US"/>
        </w:rPr>
        <w:t>charged</w:t>
      </w:r>
      <w:r w:rsidR="00A531A6" w:rsidRPr="00104227">
        <w:rPr>
          <w:lang w:val="en-US"/>
        </w:rPr>
        <w:t xml:space="preserve"> all the agents identified by the SCJN who took part in the transfers, the Court notes that the acts of sexual violence also occurred during the initial arrest and at the time of the handover, acts in which federal agents took part (</w:t>
      </w:r>
      <w:r w:rsidR="00A531A6" w:rsidRPr="00104227">
        <w:rPr>
          <w:i/>
          <w:lang w:val="en-US"/>
        </w:rPr>
        <w:t xml:space="preserve">supra </w:t>
      </w:r>
      <w:r w:rsidR="00A531A6" w:rsidRPr="00104227">
        <w:rPr>
          <w:lang w:val="en-US"/>
        </w:rPr>
        <w:t xml:space="preserve">paras. </w:t>
      </w:r>
      <w:r w:rsidR="00A531A6" w:rsidRPr="00104227">
        <w:rPr>
          <w:lang w:val="en-US"/>
        </w:rPr>
        <w:fldChar w:fldCharType="begin"/>
      </w:r>
      <w:r w:rsidR="00A531A6" w:rsidRPr="00104227">
        <w:rPr>
          <w:lang w:val="en-US"/>
        </w:rPr>
        <w:instrText xml:space="preserve"> REF _Ref532935559 \r \h  \* MERGEFORMAT </w:instrText>
      </w:r>
      <w:r w:rsidR="00A531A6" w:rsidRPr="00104227">
        <w:rPr>
          <w:lang w:val="en-US"/>
        </w:rPr>
      </w:r>
      <w:r w:rsidR="00A531A6" w:rsidRPr="00104227">
        <w:rPr>
          <w:lang w:val="en-US"/>
        </w:rPr>
        <w:fldChar w:fldCharType="separate"/>
      </w:r>
      <w:r w:rsidR="004276BD">
        <w:rPr>
          <w:lang w:val="en-US"/>
        </w:rPr>
        <w:t>75</w:t>
      </w:r>
      <w:r w:rsidR="00A531A6" w:rsidRPr="00104227">
        <w:rPr>
          <w:lang w:val="en-US"/>
        </w:rPr>
        <w:fldChar w:fldCharType="end"/>
      </w:r>
      <w:r w:rsidR="00A531A6" w:rsidRPr="00104227">
        <w:rPr>
          <w:lang w:val="en-US"/>
        </w:rPr>
        <w:t xml:space="preserve"> to </w:t>
      </w:r>
      <w:r w:rsidR="00A531A6" w:rsidRPr="00104227">
        <w:rPr>
          <w:lang w:val="en-US"/>
        </w:rPr>
        <w:fldChar w:fldCharType="begin"/>
      </w:r>
      <w:r w:rsidR="00A531A6" w:rsidRPr="00104227">
        <w:rPr>
          <w:lang w:val="en-US"/>
        </w:rPr>
        <w:instrText xml:space="preserve"> REF _Ref532935645 \r \h  \* MERGEFORMAT </w:instrText>
      </w:r>
      <w:r w:rsidR="00A531A6" w:rsidRPr="00104227">
        <w:rPr>
          <w:lang w:val="en-US"/>
        </w:rPr>
      </w:r>
      <w:r w:rsidR="00A531A6" w:rsidRPr="00104227">
        <w:rPr>
          <w:lang w:val="en-US"/>
        </w:rPr>
        <w:fldChar w:fldCharType="separate"/>
      </w:r>
      <w:r w:rsidR="004276BD">
        <w:rPr>
          <w:lang w:val="en-US"/>
        </w:rPr>
        <w:t>105</w:t>
      </w:r>
      <w:r w:rsidR="00A531A6" w:rsidRPr="00104227">
        <w:rPr>
          <w:lang w:val="en-US"/>
        </w:rPr>
        <w:fldChar w:fldCharType="end"/>
      </w:r>
      <w:r w:rsidR="00A531A6" w:rsidRPr="00104227">
        <w:rPr>
          <w:lang w:val="en-US"/>
        </w:rPr>
        <w:t xml:space="preserve">). Consequently, the Court considers that it is not sufficient that the State has investigated those persons </w:t>
      </w:r>
      <w:r w:rsidR="001D29FA" w:rsidRPr="00104227">
        <w:rPr>
          <w:lang w:val="en-US"/>
        </w:rPr>
        <w:t>listed by the</w:t>
      </w:r>
      <w:r w:rsidR="00A531A6" w:rsidRPr="00104227">
        <w:rPr>
          <w:lang w:val="en-US"/>
        </w:rPr>
        <w:t xml:space="preserve"> SCJN as probably responsible owing to their participation in the transfers of the women; rather the State should have following the logical lines of investigation concerning the participation of federal agents in the crimes committed, especially in light of the significant </w:t>
      </w:r>
      <w:r w:rsidR="005A4908" w:rsidRPr="00104227">
        <w:rPr>
          <w:lang w:val="en-US"/>
        </w:rPr>
        <w:t>evidence indicated</w:t>
      </w:r>
      <w:r w:rsidR="00A531A6" w:rsidRPr="00104227">
        <w:rPr>
          <w:lang w:val="en-US"/>
        </w:rPr>
        <w:t>.</w:t>
      </w:r>
    </w:p>
    <w:bookmarkEnd w:id="348"/>
    <w:p w14:paraId="2CDD2807" w14:textId="77777777" w:rsidR="00BF44DD" w:rsidRPr="00104227" w:rsidRDefault="00BF44DD" w:rsidP="00A531A6">
      <w:pPr>
        <w:tabs>
          <w:tab w:val="left" w:pos="567"/>
        </w:tabs>
      </w:pPr>
    </w:p>
    <w:p w14:paraId="3B555FB2" w14:textId="30B18A49" w:rsidR="00BF44DD" w:rsidRPr="00104227" w:rsidRDefault="00A531A6" w:rsidP="00DD4329">
      <w:pPr>
        <w:pStyle w:val="Numberedparagraphs"/>
        <w:tabs>
          <w:tab w:val="left" w:pos="567"/>
        </w:tabs>
        <w:rPr>
          <w:lang w:val="en-US"/>
        </w:rPr>
      </w:pPr>
      <w:r w:rsidRPr="00104227">
        <w:rPr>
          <w:lang w:val="en-US"/>
        </w:rPr>
        <w:t>Regarding the a</w:t>
      </w:r>
      <w:r w:rsidR="005A4908" w:rsidRPr="00104227">
        <w:rPr>
          <w:lang w:val="en-US"/>
        </w:rPr>
        <w:t>rgument</w:t>
      </w:r>
      <w:r w:rsidRPr="00104227">
        <w:rPr>
          <w:lang w:val="en-US"/>
        </w:rPr>
        <w:t xml:space="preserve">s </w:t>
      </w:r>
      <w:r w:rsidR="005A4908" w:rsidRPr="00104227">
        <w:rPr>
          <w:lang w:val="en-US"/>
        </w:rPr>
        <w:t>concerning</w:t>
      </w:r>
      <w:r w:rsidRPr="00104227">
        <w:rPr>
          <w:lang w:val="en-US"/>
        </w:rPr>
        <w:t xml:space="preserve"> the failure to investigate the presumed responsibility </w:t>
      </w:r>
      <w:r w:rsidR="00CA2534" w:rsidRPr="00104227">
        <w:rPr>
          <w:lang w:val="en-US"/>
        </w:rPr>
        <w:t xml:space="preserve">based on the chain of command, the </w:t>
      </w:r>
      <w:r w:rsidR="00BF44DD" w:rsidRPr="00104227">
        <w:rPr>
          <w:lang w:val="en-US"/>
        </w:rPr>
        <w:t>Co</w:t>
      </w:r>
      <w:r w:rsidR="00CA2534" w:rsidRPr="00104227">
        <w:rPr>
          <w:lang w:val="en-US"/>
        </w:rPr>
        <w:t xml:space="preserve">urt notes that </w:t>
      </w:r>
      <w:r w:rsidR="00BF5241" w:rsidRPr="00104227">
        <w:rPr>
          <w:lang w:val="en-US"/>
        </w:rPr>
        <w:t>Article</w:t>
      </w:r>
      <w:r w:rsidR="00BF44DD" w:rsidRPr="00104227">
        <w:rPr>
          <w:lang w:val="en-US"/>
        </w:rPr>
        <w:t xml:space="preserve"> 3</w:t>
      </w:r>
      <w:r w:rsidR="00BF5241" w:rsidRPr="00104227">
        <w:rPr>
          <w:lang w:val="en-US"/>
        </w:rPr>
        <w:t xml:space="preserve"> of the </w:t>
      </w:r>
      <w:r w:rsidR="007E2382" w:rsidRPr="00104227">
        <w:rPr>
          <w:lang w:val="en-US"/>
        </w:rPr>
        <w:t>Inter-American Convention against Torture</w:t>
      </w:r>
      <w:r w:rsidR="00BF44DD" w:rsidRPr="00104227">
        <w:rPr>
          <w:lang w:val="en-US"/>
        </w:rPr>
        <w:t xml:space="preserve"> establ</w:t>
      </w:r>
      <w:r w:rsidR="00CA2534" w:rsidRPr="00104227">
        <w:rPr>
          <w:lang w:val="en-US"/>
        </w:rPr>
        <w:t xml:space="preserve">ishes that “[a] </w:t>
      </w:r>
      <w:r w:rsidR="00CA2534" w:rsidRPr="00104227">
        <w:rPr>
          <w:rFonts w:cs="Tahoma"/>
          <w:lang w:val="en-US"/>
        </w:rPr>
        <w:t xml:space="preserve">public servant or employee who acting in that capacity orders, instigates or induces the use of torture, or who directly commits it or who, being able to prevent it, fails to do so” shall be held guilty of this crime. This means that, as indicated in the expert opinion of </w:t>
      </w:r>
      <w:r w:rsidR="00CA2534" w:rsidRPr="00104227">
        <w:rPr>
          <w:lang w:val="en-US"/>
        </w:rPr>
        <w:t>Susana SáCouto,</w:t>
      </w:r>
      <w:r w:rsidR="00BF44DD" w:rsidRPr="00104227">
        <w:rPr>
          <w:lang w:val="en-US"/>
        </w:rPr>
        <w:t xml:space="preserve"> “</w:t>
      </w:r>
      <w:r w:rsidR="00CA2534" w:rsidRPr="00104227">
        <w:rPr>
          <w:lang w:val="en-US"/>
        </w:rPr>
        <w:t>in cases of</w:t>
      </w:r>
      <w:r w:rsidR="00BF44DD" w:rsidRPr="00104227">
        <w:rPr>
          <w:lang w:val="en-US"/>
        </w:rPr>
        <w:t xml:space="preserve"> </w:t>
      </w:r>
      <w:r w:rsidR="00BC5201" w:rsidRPr="00104227">
        <w:rPr>
          <w:lang w:val="en-US"/>
        </w:rPr>
        <w:t>torture</w:t>
      </w:r>
      <w:r w:rsidR="00BF44DD" w:rsidRPr="00104227">
        <w:rPr>
          <w:lang w:val="en-US"/>
        </w:rPr>
        <w:t xml:space="preserve"> </w:t>
      </w:r>
      <w:r w:rsidR="00CA2534" w:rsidRPr="00104227">
        <w:rPr>
          <w:lang w:val="en-US"/>
        </w:rPr>
        <w:t>the obligation</w:t>
      </w:r>
      <w:r w:rsidR="005E5DCC" w:rsidRPr="00104227">
        <w:rPr>
          <w:lang w:val="en-US"/>
        </w:rPr>
        <w:t xml:space="preserve"> to investigate</w:t>
      </w:r>
      <w:r w:rsidR="00BF44DD" w:rsidRPr="00104227">
        <w:rPr>
          <w:lang w:val="en-US"/>
        </w:rPr>
        <w:t xml:space="preserve"> </w:t>
      </w:r>
      <w:r w:rsidR="00CA2534" w:rsidRPr="00104227">
        <w:rPr>
          <w:lang w:val="en-US"/>
        </w:rPr>
        <w:t>under the</w:t>
      </w:r>
      <w:r w:rsidR="00BF44DD" w:rsidRPr="00104227">
        <w:rPr>
          <w:lang w:val="en-US"/>
        </w:rPr>
        <w:t xml:space="preserve"> </w:t>
      </w:r>
      <w:r w:rsidR="004F1E2B" w:rsidRPr="00104227">
        <w:rPr>
          <w:lang w:val="en-US"/>
        </w:rPr>
        <w:t>[American</w:t>
      </w:r>
      <w:r w:rsidR="00CA2534" w:rsidRPr="00104227">
        <w:rPr>
          <w:lang w:val="en-US"/>
        </w:rPr>
        <w:t xml:space="preserve"> Convention</w:t>
      </w:r>
      <w:r w:rsidR="004F1E2B" w:rsidRPr="00104227">
        <w:rPr>
          <w:lang w:val="en-US"/>
        </w:rPr>
        <w:t xml:space="preserve">] </w:t>
      </w:r>
      <w:r w:rsidR="00CA2534" w:rsidRPr="00104227">
        <w:rPr>
          <w:lang w:val="en-US"/>
        </w:rPr>
        <w:t xml:space="preserve">supplemented by the [Inter-American Convention against Torture] extends not only to the direct perpetrator but also to the </w:t>
      </w:r>
      <w:r w:rsidR="005A4908" w:rsidRPr="00104227">
        <w:rPr>
          <w:lang w:val="en-US"/>
        </w:rPr>
        <w:t>S</w:t>
      </w:r>
      <w:r w:rsidR="00CA2534" w:rsidRPr="00104227">
        <w:rPr>
          <w:lang w:val="en-US"/>
        </w:rPr>
        <w:t>tate officials who order, instigate</w:t>
      </w:r>
      <w:r w:rsidR="00DD4329" w:rsidRPr="00104227">
        <w:rPr>
          <w:lang w:val="en-US"/>
        </w:rPr>
        <w:t xml:space="preserve"> or</w:t>
      </w:r>
      <w:r w:rsidR="00CA2534" w:rsidRPr="00104227">
        <w:rPr>
          <w:lang w:val="en-US"/>
        </w:rPr>
        <w:t xml:space="preserve"> in</w:t>
      </w:r>
      <w:r w:rsidR="00DD4329" w:rsidRPr="00104227">
        <w:rPr>
          <w:lang w:val="en-US"/>
        </w:rPr>
        <w:t>cite its perpetration, or who, being in a position to prevent it, fail to do so.</w:t>
      </w:r>
      <w:r w:rsidR="00BF44DD" w:rsidRPr="00104227">
        <w:rPr>
          <w:lang w:val="en-US"/>
        </w:rPr>
        <w:t>”</w:t>
      </w:r>
      <w:r w:rsidR="00BF44DD" w:rsidRPr="00104227">
        <w:rPr>
          <w:rStyle w:val="Refdenotaalpie"/>
          <w:lang w:val="en-US"/>
        </w:rPr>
        <w:footnoteReference w:id="403"/>
      </w:r>
      <w:r w:rsidR="00DD4329" w:rsidRPr="00104227">
        <w:rPr>
          <w:lang w:val="en-US"/>
        </w:rPr>
        <w:t xml:space="preserve"> On this point, it should be recalled that it is not </w:t>
      </w:r>
      <w:r w:rsidR="005A4908" w:rsidRPr="00104227">
        <w:rPr>
          <w:lang w:val="en-US"/>
        </w:rPr>
        <w:t>incumbent on</w:t>
      </w:r>
      <w:r w:rsidR="00DD4329" w:rsidRPr="00104227">
        <w:rPr>
          <w:lang w:val="en-US"/>
        </w:rPr>
        <w:t xml:space="preserve"> the Court to analyze the </w:t>
      </w:r>
      <w:r w:rsidR="005A4908" w:rsidRPr="00104227">
        <w:rPr>
          <w:lang w:val="en-US"/>
        </w:rPr>
        <w:t xml:space="preserve">presumptions concerning </w:t>
      </w:r>
      <w:r w:rsidR="00DD4329" w:rsidRPr="00104227">
        <w:rPr>
          <w:lang w:val="en-US"/>
        </w:rPr>
        <w:t xml:space="preserve">the perpetrators examined </w:t>
      </w:r>
      <w:r w:rsidR="00814DEC" w:rsidRPr="00104227">
        <w:rPr>
          <w:lang w:val="en-US"/>
        </w:rPr>
        <w:t xml:space="preserve">during </w:t>
      </w:r>
      <w:r w:rsidR="004617E1" w:rsidRPr="00104227">
        <w:rPr>
          <w:lang w:val="en-US"/>
        </w:rPr>
        <w:t>the</w:t>
      </w:r>
      <w:r w:rsidR="00BF44DD" w:rsidRPr="00104227">
        <w:rPr>
          <w:lang w:val="en-US"/>
        </w:rPr>
        <w:t xml:space="preserve"> investiga</w:t>
      </w:r>
      <w:r w:rsidR="00DD4329" w:rsidRPr="00104227">
        <w:rPr>
          <w:lang w:val="en-US"/>
        </w:rPr>
        <w:t>tion into the facts and, thus, to determine individual responsibilities; th</w:t>
      </w:r>
      <w:r w:rsidR="005A4908" w:rsidRPr="00104227">
        <w:rPr>
          <w:lang w:val="en-US"/>
        </w:rPr>
        <w:t>at</w:t>
      </w:r>
      <w:r w:rsidR="00DD4329" w:rsidRPr="00104227">
        <w:rPr>
          <w:lang w:val="en-US"/>
        </w:rPr>
        <w:t xml:space="preserve"> is the task of the domestic criminal courts. Rather, the Court must evaluate the acts or omissions of Stat</w:t>
      </w:r>
      <w:r w:rsidR="003C5065" w:rsidRPr="00104227">
        <w:rPr>
          <w:lang w:val="en-US"/>
        </w:rPr>
        <w:t>e</w:t>
      </w:r>
      <w:r w:rsidR="00DD4329" w:rsidRPr="00104227">
        <w:rPr>
          <w:lang w:val="en-US"/>
        </w:rPr>
        <w:t xml:space="preserve"> agents, based on the evidence presented by the parties</w:t>
      </w:r>
      <w:r w:rsidR="00BF44DD" w:rsidRPr="00104227">
        <w:rPr>
          <w:lang w:val="en-US"/>
        </w:rPr>
        <w:t>,</w:t>
      </w:r>
      <w:r w:rsidR="00BF44DD" w:rsidRPr="00104227">
        <w:rPr>
          <w:rStyle w:val="Refdenotaalpie"/>
          <w:lang w:val="en-US"/>
        </w:rPr>
        <w:footnoteReference w:id="404"/>
      </w:r>
      <w:r w:rsidR="00BF44DD" w:rsidRPr="00104227">
        <w:rPr>
          <w:lang w:val="en-US"/>
        </w:rPr>
        <w:t xml:space="preserve"> </w:t>
      </w:r>
      <w:r w:rsidR="003C5065" w:rsidRPr="00104227">
        <w:rPr>
          <w:lang w:val="en-US"/>
        </w:rPr>
        <w:t>and verify whether, in the course of the measures taken in the domestic sphere, the</w:t>
      </w:r>
      <w:r w:rsidR="005A4908" w:rsidRPr="00104227">
        <w:rPr>
          <w:lang w:val="en-US"/>
        </w:rPr>
        <w:t xml:space="preserve"> State’s</w:t>
      </w:r>
      <w:r w:rsidR="003C5065" w:rsidRPr="00104227">
        <w:rPr>
          <w:lang w:val="en-US"/>
        </w:rPr>
        <w:t xml:space="preserve"> international obligations arising from </w:t>
      </w:r>
      <w:r w:rsidR="00BF5241" w:rsidRPr="00104227">
        <w:rPr>
          <w:lang w:val="en-US"/>
        </w:rPr>
        <w:t>Articles</w:t>
      </w:r>
      <w:r w:rsidR="00BF44DD" w:rsidRPr="00104227">
        <w:rPr>
          <w:lang w:val="en-US"/>
        </w:rPr>
        <w:t xml:space="preserve"> 8</w:t>
      </w:r>
      <w:r w:rsidR="00BF5241" w:rsidRPr="00104227">
        <w:rPr>
          <w:lang w:val="en-US"/>
        </w:rPr>
        <w:t xml:space="preserve"> and </w:t>
      </w:r>
      <w:r w:rsidR="00BF44DD" w:rsidRPr="00104227">
        <w:rPr>
          <w:lang w:val="en-US"/>
        </w:rPr>
        <w:t>25</w:t>
      </w:r>
      <w:r w:rsidR="00BF5241" w:rsidRPr="00104227">
        <w:rPr>
          <w:lang w:val="en-US"/>
        </w:rPr>
        <w:t xml:space="preserve"> of the American Convention</w:t>
      </w:r>
      <w:r w:rsidR="003C5065" w:rsidRPr="00104227">
        <w:rPr>
          <w:lang w:val="en-US"/>
        </w:rPr>
        <w:t xml:space="preserve"> were violated.</w:t>
      </w:r>
      <w:r w:rsidR="00BF44DD" w:rsidRPr="00104227">
        <w:rPr>
          <w:rStyle w:val="Refdenotaalpie"/>
          <w:lang w:val="en-US"/>
        </w:rPr>
        <w:footnoteReference w:id="405"/>
      </w:r>
      <w:r w:rsidR="00BF44DD" w:rsidRPr="00104227">
        <w:rPr>
          <w:lang w:val="en-US"/>
        </w:rPr>
        <w:t xml:space="preserve"> </w:t>
      </w:r>
      <w:r w:rsidR="003C5065" w:rsidRPr="00104227">
        <w:rPr>
          <w:lang w:val="en-US"/>
        </w:rPr>
        <w:t xml:space="preserve">To this end, the Court will </w:t>
      </w:r>
      <w:r w:rsidR="005A4908" w:rsidRPr="00104227">
        <w:rPr>
          <w:lang w:val="en-US"/>
        </w:rPr>
        <w:t>now</w:t>
      </w:r>
      <w:r w:rsidR="003C5065" w:rsidRPr="00104227">
        <w:rPr>
          <w:lang w:val="en-US"/>
        </w:rPr>
        <w:t xml:space="preserve"> analyze whether, in this case, there is any </w:t>
      </w:r>
      <w:r w:rsidR="005A4908" w:rsidRPr="00104227">
        <w:rPr>
          <w:lang w:val="en-US"/>
        </w:rPr>
        <w:t>evidence</w:t>
      </w:r>
      <w:r w:rsidR="003C5065" w:rsidRPr="00104227">
        <w:rPr>
          <w:lang w:val="en-US"/>
        </w:rPr>
        <w:t xml:space="preserve"> that the civil authorities</w:t>
      </w:r>
      <w:r w:rsidR="004F1E2B" w:rsidRPr="00104227">
        <w:rPr>
          <w:rStyle w:val="Refdenotaalpie"/>
          <w:lang w:val="en-US"/>
        </w:rPr>
        <w:footnoteReference w:id="406"/>
      </w:r>
      <w:r w:rsidR="00BF44DD" w:rsidRPr="00104227">
        <w:rPr>
          <w:lang w:val="en-US"/>
        </w:rPr>
        <w:t xml:space="preserve"> </w:t>
      </w:r>
      <w:r w:rsidR="003C5065" w:rsidRPr="00104227">
        <w:rPr>
          <w:lang w:val="en-US"/>
        </w:rPr>
        <w:t>who planned and supervised the operations ordered, instigated or in</w:t>
      </w:r>
      <w:r w:rsidR="005A4908" w:rsidRPr="00104227">
        <w:rPr>
          <w:lang w:val="en-US"/>
        </w:rPr>
        <w:t>duc</w:t>
      </w:r>
      <w:r w:rsidR="003C5065" w:rsidRPr="00104227">
        <w:rPr>
          <w:lang w:val="en-US"/>
        </w:rPr>
        <w:t xml:space="preserve">ed the </w:t>
      </w:r>
      <w:r w:rsidR="005A4908" w:rsidRPr="00104227">
        <w:rPr>
          <w:lang w:val="en-US"/>
        </w:rPr>
        <w:t>use of</w:t>
      </w:r>
      <w:r w:rsidR="003C5065" w:rsidRPr="00104227">
        <w:rPr>
          <w:lang w:val="en-US"/>
        </w:rPr>
        <w:t xml:space="preserve"> torture or who, being </w:t>
      </w:r>
      <w:r w:rsidR="005A4908" w:rsidRPr="00104227">
        <w:rPr>
          <w:lang w:val="en-US"/>
        </w:rPr>
        <w:t>able to</w:t>
      </w:r>
      <w:r w:rsidR="003C5065" w:rsidRPr="00104227">
        <w:rPr>
          <w:lang w:val="en-US"/>
        </w:rPr>
        <w:t xml:space="preserve"> prevent it, </w:t>
      </w:r>
      <w:r w:rsidR="005A4908" w:rsidRPr="00104227">
        <w:rPr>
          <w:lang w:val="en-US"/>
        </w:rPr>
        <w:t>failed to do</w:t>
      </w:r>
      <w:r w:rsidR="003C5065" w:rsidRPr="00104227">
        <w:rPr>
          <w:lang w:val="en-US"/>
        </w:rPr>
        <w:t xml:space="preserve"> so,</w:t>
      </w:r>
      <w:r w:rsidR="00E30D13" w:rsidRPr="00104227">
        <w:rPr>
          <w:rStyle w:val="Refdenotaalpie"/>
          <w:lang w:val="en-US"/>
        </w:rPr>
        <w:footnoteReference w:id="407"/>
      </w:r>
      <w:r w:rsidR="00BF5241" w:rsidRPr="00104227">
        <w:rPr>
          <w:lang w:val="en-US"/>
        </w:rPr>
        <w:t xml:space="preserve"> and </w:t>
      </w:r>
      <w:r w:rsidR="003C5065" w:rsidRPr="00104227">
        <w:rPr>
          <w:lang w:val="en-US"/>
        </w:rPr>
        <w:t>whether th</w:t>
      </w:r>
      <w:r w:rsidR="005A4908" w:rsidRPr="00104227">
        <w:rPr>
          <w:lang w:val="en-US"/>
        </w:rPr>
        <w:t xml:space="preserve">at </w:t>
      </w:r>
      <w:r w:rsidR="005A4908" w:rsidRPr="00104227">
        <w:rPr>
          <w:lang w:val="en-US"/>
        </w:rPr>
        <w:lastRenderedPageBreak/>
        <w:t>evidence</w:t>
      </w:r>
      <w:r w:rsidR="003C5065" w:rsidRPr="00104227">
        <w:rPr>
          <w:lang w:val="en-US"/>
        </w:rPr>
        <w:t xml:space="preserve"> </w:t>
      </w:r>
      <w:r w:rsidR="005A4908" w:rsidRPr="00104227">
        <w:rPr>
          <w:lang w:val="en-US"/>
        </w:rPr>
        <w:t>was</w:t>
      </w:r>
      <w:r w:rsidR="002223F1" w:rsidRPr="00104227">
        <w:rPr>
          <w:lang w:val="en-US"/>
        </w:rPr>
        <w:t xml:space="preserve"> sufficient to justify the opening of lines of investigation relating to the command responsibility of the superiors.</w:t>
      </w:r>
    </w:p>
    <w:p w14:paraId="5545109F" w14:textId="77777777" w:rsidR="00BF44DD" w:rsidRPr="00104227" w:rsidRDefault="00BF44DD" w:rsidP="00E4619F">
      <w:pPr>
        <w:tabs>
          <w:tab w:val="left" w:pos="567"/>
        </w:tabs>
      </w:pPr>
    </w:p>
    <w:p w14:paraId="496D8BC6" w14:textId="2A3461C8" w:rsidR="00BF44DD" w:rsidRPr="00104227" w:rsidRDefault="002223F1" w:rsidP="00E4619F">
      <w:pPr>
        <w:pStyle w:val="Numberedparagraphs"/>
        <w:tabs>
          <w:tab w:val="left" w:pos="567"/>
        </w:tabs>
        <w:rPr>
          <w:lang w:val="en-US"/>
        </w:rPr>
      </w:pPr>
      <w:r w:rsidRPr="00104227">
        <w:rPr>
          <w:lang w:val="en-US"/>
        </w:rPr>
        <w:t>In this case, the Court considers that there w</w:t>
      </w:r>
      <w:r w:rsidR="008B4543" w:rsidRPr="00104227">
        <w:rPr>
          <w:lang w:val="en-US"/>
        </w:rPr>
        <w:t>as</w:t>
      </w:r>
      <w:r w:rsidRPr="00104227">
        <w:rPr>
          <w:lang w:val="en-US"/>
        </w:rPr>
        <w:t xml:space="preserve"> sufficient </w:t>
      </w:r>
      <w:r w:rsidR="008B4543" w:rsidRPr="00104227">
        <w:rPr>
          <w:lang w:val="en-US"/>
        </w:rPr>
        <w:t>evidence</w:t>
      </w:r>
      <w:r w:rsidRPr="00104227">
        <w:rPr>
          <w:lang w:val="en-US"/>
        </w:rPr>
        <w:t xml:space="preserve"> to justify the opening of a line of investigation in relation to the command responsibility of the official</w:t>
      </w:r>
      <w:r w:rsidR="008B4543" w:rsidRPr="00104227">
        <w:rPr>
          <w:lang w:val="en-US"/>
        </w:rPr>
        <w:t>s</w:t>
      </w:r>
      <w:r w:rsidRPr="00104227">
        <w:rPr>
          <w:lang w:val="en-US"/>
        </w:rPr>
        <w:t xml:space="preserve"> in charge of the operations of May </w:t>
      </w:r>
      <w:r w:rsidR="00BF44DD" w:rsidRPr="00104227">
        <w:rPr>
          <w:lang w:val="en-US"/>
        </w:rPr>
        <w:t>3</w:t>
      </w:r>
      <w:r w:rsidR="00BF5241" w:rsidRPr="00104227">
        <w:rPr>
          <w:lang w:val="en-US"/>
        </w:rPr>
        <w:t xml:space="preserve"> and</w:t>
      </w:r>
      <w:r w:rsidR="00385E98" w:rsidRPr="00104227">
        <w:rPr>
          <w:lang w:val="en-US"/>
        </w:rPr>
        <w:t xml:space="preserve"> 4</w:t>
      </w:r>
      <w:r w:rsidR="00BF44DD" w:rsidRPr="00104227">
        <w:rPr>
          <w:lang w:val="en-US"/>
        </w:rPr>
        <w:t xml:space="preserve">. </w:t>
      </w:r>
    </w:p>
    <w:p w14:paraId="3FFF3467" w14:textId="77777777" w:rsidR="00DA71E5" w:rsidRPr="00104227" w:rsidRDefault="00DA71E5" w:rsidP="00E4619F">
      <w:pPr>
        <w:pStyle w:val="PrrafodeSentencia"/>
        <w:numPr>
          <w:ilvl w:val="0"/>
          <w:numId w:val="0"/>
        </w:numPr>
        <w:rPr>
          <w:lang w:val="en-US"/>
        </w:rPr>
      </w:pPr>
    </w:p>
    <w:p w14:paraId="02D3E413" w14:textId="1B2D82CF" w:rsidR="00BF44DD" w:rsidRPr="00104227" w:rsidRDefault="002223F1" w:rsidP="005D6D2C">
      <w:pPr>
        <w:pStyle w:val="Numberedparagraphs"/>
        <w:tabs>
          <w:tab w:val="left" w:pos="567"/>
        </w:tabs>
        <w:rPr>
          <w:lang w:val="en-US"/>
        </w:rPr>
      </w:pPr>
      <w:r w:rsidRPr="00104227">
        <w:rPr>
          <w:lang w:val="en-US"/>
        </w:rPr>
        <w:t>First, the Court notes that there w</w:t>
      </w:r>
      <w:r w:rsidR="008B4543" w:rsidRPr="00104227">
        <w:rPr>
          <w:lang w:val="en-US"/>
        </w:rPr>
        <w:t>as</w:t>
      </w:r>
      <w:r w:rsidRPr="00104227">
        <w:rPr>
          <w:lang w:val="en-US"/>
        </w:rPr>
        <w:t xml:space="preserve"> sufficient </w:t>
      </w:r>
      <w:r w:rsidR="008B4543" w:rsidRPr="00104227">
        <w:rPr>
          <w:lang w:val="en-US"/>
        </w:rPr>
        <w:t>evidence</w:t>
      </w:r>
      <w:r w:rsidRPr="00104227">
        <w:rPr>
          <w:lang w:val="en-US"/>
        </w:rPr>
        <w:t xml:space="preserve"> that the officials had the material capacity to prevent and punish the acts. Indeed, the Court notes that, despite “the climate of violence, confrontation and excesses” that, according to the SCJN, characterized the operations, the police maintained their organizational capacity,</w:t>
      </w:r>
      <w:r w:rsidR="00BF44DD" w:rsidRPr="00104227">
        <w:rPr>
          <w:rStyle w:val="Refdenotaalpie"/>
          <w:lang w:val="en-US"/>
        </w:rPr>
        <w:footnoteReference w:id="408"/>
      </w:r>
      <w:r w:rsidR="00BF44DD" w:rsidRPr="00104227">
        <w:rPr>
          <w:lang w:val="en-US"/>
        </w:rPr>
        <w:t xml:space="preserve"> </w:t>
      </w:r>
      <w:r w:rsidRPr="00104227">
        <w:rPr>
          <w:lang w:val="en-US"/>
        </w:rPr>
        <w:t>which is demonstrated by testimony reveal</w:t>
      </w:r>
      <w:r w:rsidR="008B4543" w:rsidRPr="00104227">
        <w:rPr>
          <w:lang w:val="en-US"/>
        </w:rPr>
        <w:t>ing</w:t>
      </w:r>
      <w:r w:rsidRPr="00104227">
        <w:rPr>
          <w:lang w:val="en-US"/>
        </w:rPr>
        <w:t xml:space="preserve"> that the police agents were able to </w:t>
      </w:r>
      <w:r w:rsidR="008B4543" w:rsidRPr="00104227">
        <w:rPr>
          <w:lang w:val="en-US"/>
        </w:rPr>
        <w:t>adapt</w:t>
      </w:r>
      <w:r w:rsidRPr="00104227">
        <w:rPr>
          <w:lang w:val="en-US"/>
        </w:rPr>
        <w:t xml:space="preserve"> their conduct based on verbal orders or in the presence of the media</w:t>
      </w:r>
      <w:r w:rsidR="00BF44DD" w:rsidRPr="00104227">
        <w:rPr>
          <w:lang w:val="en-US"/>
        </w:rPr>
        <w:t xml:space="preserve"> (</w:t>
      </w:r>
      <w:r w:rsidR="00BF44DD" w:rsidRPr="00104227">
        <w:rPr>
          <w:i/>
          <w:lang w:val="en-US"/>
        </w:rPr>
        <w:t xml:space="preserve">supra </w:t>
      </w:r>
      <w:r w:rsidR="00BF5241" w:rsidRPr="00104227">
        <w:rPr>
          <w:lang w:val="en-US"/>
        </w:rPr>
        <w:t>paras.</w:t>
      </w:r>
      <w:r w:rsidR="00820891" w:rsidRPr="00104227">
        <w:rPr>
          <w:lang w:val="en-US"/>
        </w:rPr>
        <w:t xml:space="preserve"> </w:t>
      </w:r>
      <w:r w:rsidR="00820891" w:rsidRPr="00104227">
        <w:rPr>
          <w:lang w:val="en-US"/>
        </w:rPr>
        <w:fldChar w:fldCharType="begin"/>
      </w:r>
      <w:r w:rsidR="00820891" w:rsidRPr="00104227">
        <w:rPr>
          <w:lang w:val="en-US"/>
        </w:rPr>
        <w:instrText xml:space="preserve"> REF _Ref532907342 \r \h </w:instrText>
      </w:r>
      <w:r w:rsidR="00284EAE" w:rsidRPr="00104227">
        <w:rPr>
          <w:lang w:val="en-US"/>
        </w:rPr>
        <w:instrText xml:space="preserve"> \* MERGEFORMAT </w:instrText>
      </w:r>
      <w:r w:rsidR="00820891" w:rsidRPr="00104227">
        <w:rPr>
          <w:lang w:val="en-US"/>
        </w:rPr>
      </w:r>
      <w:r w:rsidR="00820891" w:rsidRPr="00104227">
        <w:rPr>
          <w:lang w:val="en-US"/>
        </w:rPr>
        <w:fldChar w:fldCharType="separate"/>
      </w:r>
      <w:r w:rsidR="004276BD">
        <w:rPr>
          <w:lang w:val="en-US"/>
        </w:rPr>
        <w:t>78</w:t>
      </w:r>
      <w:r w:rsidR="00820891" w:rsidRPr="00104227">
        <w:rPr>
          <w:lang w:val="en-US"/>
        </w:rPr>
        <w:fldChar w:fldCharType="end"/>
      </w:r>
      <w:r w:rsidR="00BF5241" w:rsidRPr="00104227">
        <w:rPr>
          <w:lang w:val="en-US"/>
        </w:rPr>
        <w:t xml:space="preserve"> and </w:t>
      </w:r>
      <w:r w:rsidR="00820891" w:rsidRPr="00104227">
        <w:rPr>
          <w:lang w:val="en-US"/>
        </w:rPr>
        <w:fldChar w:fldCharType="begin"/>
      </w:r>
      <w:r w:rsidR="00820891" w:rsidRPr="00104227">
        <w:rPr>
          <w:lang w:val="en-US"/>
        </w:rPr>
        <w:instrText xml:space="preserve"> REF _Ref532908001 \r \h </w:instrText>
      </w:r>
      <w:r w:rsidR="00284EAE" w:rsidRPr="00104227">
        <w:rPr>
          <w:lang w:val="en-US"/>
        </w:rPr>
        <w:instrText xml:space="preserve"> \* MERGEFORMAT </w:instrText>
      </w:r>
      <w:r w:rsidR="00820891" w:rsidRPr="00104227">
        <w:rPr>
          <w:lang w:val="en-US"/>
        </w:rPr>
      </w:r>
      <w:r w:rsidR="00820891" w:rsidRPr="00104227">
        <w:rPr>
          <w:lang w:val="en-US"/>
        </w:rPr>
        <w:fldChar w:fldCharType="separate"/>
      </w:r>
      <w:r w:rsidR="004276BD">
        <w:rPr>
          <w:lang w:val="en-US"/>
        </w:rPr>
        <w:t>87</w:t>
      </w:r>
      <w:r w:rsidR="00820891" w:rsidRPr="00104227">
        <w:rPr>
          <w:lang w:val="en-US"/>
        </w:rPr>
        <w:fldChar w:fldCharType="end"/>
      </w:r>
      <w:r w:rsidR="00BF44DD" w:rsidRPr="00104227">
        <w:rPr>
          <w:lang w:val="en-US"/>
        </w:rPr>
        <w:t xml:space="preserve">). </w:t>
      </w:r>
      <w:r w:rsidRPr="00104227">
        <w:rPr>
          <w:lang w:val="en-US"/>
        </w:rPr>
        <w:t xml:space="preserve">Second, there </w:t>
      </w:r>
      <w:r w:rsidR="008A4B5A" w:rsidRPr="00104227">
        <w:rPr>
          <w:lang w:val="en-US"/>
        </w:rPr>
        <w:t>is evidence</w:t>
      </w:r>
      <w:r w:rsidRPr="00104227">
        <w:rPr>
          <w:lang w:val="en-US"/>
        </w:rPr>
        <w:t xml:space="preserve"> that the authorities knew or should have known that the acts were occurring. The SCJN j</w:t>
      </w:r>
      <w:r w:rsidR="00BF5241" w:rsidRPr="00104227">
        <w:rPr>
          <w:lang w:val="en-US"/>
        </w:rPr>
        <w:t xml:space="preserve">udgment </w:t>
      </w:r>
      <w:r w:rsidRPr="00104227">
        <w:rPr>
          <w:lang w:val="en-US"/>
        </w:rPr>
        <w:t xml:space="preserve">indicates that, owing to the way in which the sexual abuse </w:t>
      </w:r>
      <w:r w:rsidR="008B4543" w:rsidRPr="00104227">
        <w:rPr>
          <w:lang w:val="en-US"/>
        </w:rPr>
        <w:t>occurred</w:t>
      </w:r>
      <w:r w:rsidRPr="00104227">
        <w:rPr>
          <w:lang w:val="en-US"/>
        </w:rPr>
        <w:t>, “perhaps it was more difficult for the superior officers of the police to be aware of</w:t>
      </w:r>
      <w:r w:rsidR="008B4543" w:rsidRPr="00104227">
        <w:rPr>
          <w:lang w:val="en-US"/>
        </w:rPr>
        <w:t xml:space="preserve"> it</w:t>
      </w:r>
      <w:r w:rsidRPr="00104227">
        <w:rPr>
          <w:lang w:val="en-US"/>
        </w:rPr>
        <w:t xml:space="preserve"> in real time while it was occurring; thus, owing to </w:t>
      </w:r>
      <w:r w:rsidR="008B4543" w:rsidRPr="00104227">
        <w:rPr>
          <w:lang w:val="en-US"/>
        </w:rPr>
        <w:t>the lack of</w:t>
      </w:r>
      <w:r w:rsidRPr="00104227">
        <w:rPr>
          <w:lang w:val="en-US"/>
        </w:rPr>
        <w:t xml:space="preserve"> visibility, the </w:t>
      </w:r>
      <w:r w:rsidR="008B4543" w:rsidRPr="00104227">
        <w:rPr>
          <w:lang w:val="en-US"/>
        </w:rPr>
        <w:t>c</w:t>
      </w:r>
      <w:r w:rsidRPr="00104227">
        <w:rPr>
          <w:lang w:val="en-US"/>
        </w:rPr>
        <w:t xml:space="preserve">ourt cannot establish </w:t>
      </w:r>
      <w:r w:rsidR="005D6D2C" w:rsidRPr="00104227">
        <w:rPr>
          <w:lang w:val="en-US"/>
        </w:rPr>
        <w:t>criminal omission for failing to make them stop.</w:t>
      </w:r>
      <w:r w:rsidR="00BF44DD" w:rsidRPr="00104227">
        <w:rPr>
          <w:lang w:val="en-US"/>
        </w:rPr>
        <w:t>”</w:t>
      </w:r>
      <w:r w:rsidR="00BF44DD" w:rsidRPr="00104227">
        <w:rPr>
          <w:rStyle w:val="Refdenotaalpie"/>
          <w:lang w:val="en-US"/>
        </w:rPr>
        <w:footnoteReference w:id="409"/>
      </w:r>
      <w:r w:rsidR="005D6D2C" w:rsidRPr="00104227">
        <w:rPr>
          <w:lang w:val="en-US"/>
        </w:rPr>
        <w:t xml:space="preserve"> In this regard, the Court notes th</w:t>
      </w:r>
      <w:r w:rsidR="008B4543" w:rsidRPr="00104227">
        <w:rPr>
          <w:lang w:val="en-US"/>
        </w:rPr>
        <w:t>a</w:t>
      </w:r>
      <w:r w:rsidR="005D6D2C" w:rsidRPr="00104227">
        <w:rPr>
          <w:lang w:val="en-US"/>
        </w:rPr>
        <w:t>t it is not necessary for the superior to have specific de</w:t>
      </w:r>
      <w:r w:rsidR="00183C5D" w:rsidRPr="00104227">
        <w:rPr>
          <w:lang w:val="en-US"/>
        </w:rPr>
        <w:t>t</w:t>
      </w:r>
      <w:r w:rsidR="005D6D2C" w:rsidRPr="00104227">
        <w:rPr>
          <w:lang w:val="en-US"/>
        </w:rPr>
        <w:t>ails of the wrongful acts committed or about to be committed; rather</w:t>
      </w:r>
      <w:r w:rsidR="008B4543" w:rsidRPr="00104227">
        <w:rPr>
          <w:lang w:val="en-US"/>
        </w:rPr>
        <w:t>,</w:t>
      </w:r>
      <w:r w:rsidR="005D6D2C" w:rsidRPr="00104227">
        <w:rPr>
          <w:lang w:val="en-US"/>
        </w:rPr>
        <w:t xml:space="preserve"> it is sufficient that he has some general information that alerts him to possible wrongful acts of his subordinates.</w:t>
      </w:r>
      <w:r w:rsidR="00BF44DD" w:rsidRPr="00104227">
        <w:rPr>
          <w:rStyle w:val="Refdenotaalpie"/>
          <w:lang w:val="en-US"/>
        </w:rPr>
        <w:footnoteReference w:id="410"/>
      </w:r>
      <w:r w:rsidR="00BF44DD" w:rsidRPr="00104227">
        <w:rPr>
          <w:lang w:val="en-US"/>
        </w:rPr>
        <w:t xml:space="preserve"> </w:t>
      </w:r>
      <w:r w:rsidR="00BF5241" w:rsidRPr="00104227">
        <w:rPr>
          <w:lang w:val="en-US"/>
        </w:rPr>
        <w:t>The Court</w:t>
      </w:r>
      <w:r w:rsidR="00BF44DD" w:rsidRPr="00104227">
        <w:rPr>
          <w:lang w:val="en-US"/>
        </w:rPr>
        <w:t xml:space="preserve"> observ</w:t>
      </w:r>
      <w:r w:rsidR="005D6D2C" w:rsidRPr="00104227">
        <w:rPr>
          <w:lang w:val="en-US"/>
        </w:rPr>
        <w:t>es that</w:t>
      </w:r>
      <w:r w:rsidR="00BF44DD" w:rsidRPr="00104227">
        <w:rPr>
          <w:lang w:val="en-US"/>
        </w:rPr>
        <w:t xml:space="preserve"> </w:t>
      </w:r>
      <w:r w:rsidR="008C6D02" w:rsidRPr="00104227">
        <w:rPr>
          <w:lang w:val="en-US"/>
        </w:rPr>
        <w:t>the operation</w:t>
      </w:r>
      <w:r w:rsidR="00BF44DD" w:rsidRPr="00104227">
        <w:rPr>
          <w:lang w:val="en-US"/>
        </w:rPr>
        <w:t xml:space="preserve"> </w:t>
      </w:r>
      <w:r w:rsidR="005D6D2C" w:rsidRPr="00104227">
        <w:rPr>
          <w:lang w:val="en-US"/>
        </w:rPr>
        <w:t xml:space="preserve">was given </w:t>
      </w:r>
      <w:r w:rsidR="008B4543" w:rsidRPr="00104227">
        <w:rPr>
          <w:lang w:val="en-US"/>
        </w:rPr>
        <w:t>extensive</w:t>
      </w:r>
      <w:r w:rsidR="005D6D2C" w:rsidRPr="00104227">
        <w:rPr>
          <w:lang w:val="en-US"/>
        </w:rPr>
        <w:t xml:space="preserve"> media coverage in real time and was supervised </w:t>
      </w:r>
      <w:r w:rsidR="008B4543" w:rsidRPr="00104227">
        <w:rPr>
          <w:lang w:val="en-US"/>
        </w:rPr>
        <w:t>by</w:t>
      </w:r>
      <w:r w:rsidR="005D6D2C" w:rsidRPr="00104227">
        <w:rPr>
          <w:lang w:val="en-US"/>
        </w:rPr>
        <w:t xml:space="preserve"> land and air by the superior officers of those who were executing it</w:t>
      </w:r>
      <w:r w:rsidR="008A4B5A" w:rsidRPr="00104227">
        <w:rPr>
          <w:lang w:val="en-US"/>
        </w:rPr>
        <w:t>; accordingly,</w:t>
      </w:r>
      <w:r w:rsidR="005D6D2C" w:rsidRPr="00104227">
        <w:rPr>
          <w:lang w:val="en-US"/>
        </w:rPr>
        <w:t xml:space="preserve"> even if th</w:t>
      </w:r>
      <w:r w:rsidR="008A4B5A" w:rsidRPr="00104227">
        <w:rPr>
          <w:lang w:val="en-US"/>
        </w:rPr>
        <w:t>ose officers</w:t>
      </w:r>
      <w:r w:rsidR="005D6D2C" w:rsidRPr="00104227">
        <w:rPr>
          <w:lang w:val="en-US"/>
        </w:rPr>
        <w:t xml:space="preserve"> had no </w:t>
      </w:r>
      <w:r w:rsidR="008A4B5A" w:rsidRPr="00104227">
        <w:rPr>
          <w:lang w:val="en-US"/>
        </w:rPr>
        <w:t>sure</w:t>
      </w:r>
      <w:r w:rsidR="005D6D2C" w:rsidRPr="00104227">
        <w:rPr>
          <w:lang w:val="en-US"/>
        </w:rPr>
        <w:t xml:space="preserve"> knowledge of the sexual abuse that</w:t>
      </w:r>
      <w:r w:rsidR="008A4B5A" w:rsidRPr="00104227">
        <w:rPr>
          <w:lang w:val="en-US"/>
        </w:rPr>
        <w:t xml:space="preserve"> was occurring, they did have general information indicating a risk that it might</w:t>
      </w:r>
      <w:r w:rsidR="005D6D2C" w:rsidRPr="00104227">
        <w:rPr>
          <w:lang w:val="en-US"/>
        </w:rPr>
        <w:t xml:space="preserve"> occur. Lastly, a third indication that would have justified the opening of lines of investigation into the command responsibility relates to the failure to take steps to prevent and/or to punish the acts. The Court notes that, in this case, there is no evidence that allows it to suppose that the authorities took the necessary steps to prevent or to punish the perpetration of the said wrongful acts.</w:t>
      </w:r>
      <w:r w:rsidR="00BF44DD" w:rsidRPr="00104227">
        <w:rPr>
          <w:rStyle w:val="Refdenotaalpie"/>
          <w:lang w:val="en-US"/>
        </w:rPr>
        <w:footnoteReference w:id="411"/>
      </w:r>
      <w:r w:rsidR="005D6D2C" w:rsidRPr="00104227">
        <w:rPr>
          <w:lang w:val="en-US"/>
        </w:rPr>
        <w:t xml:space="preserve"> The Court therefore concludes that there w</w:t>
      </w:r>
      <w:r w:rsidR="008A4B5A" w:rsidRPr="00104227">
        <w:rPr>
          <w:lang w:val="en-US"/>
        </w:rPr>
        <w:t>as</w:t>
      </w:r>
      <w:r w:rsidR="005D6D2C" w:rsidRPr="00104227">
        <w:rPr>
          <w:lang w:val="en-US"/>
        </w:rPr>
        <w:t xml:space="preserve"> sufficient </w:t>
      </w:r>
      <w:r w:rsidR="008A4B5A" w:rsidRPr="00104227">
        <w:rPr>
          <w:lang w:val="en-US"/>
        </w:rPr>
        <w:t>evidence</w:t>
      </w:r>
      <w:r w:rsidR="005D6D2C" w:rsidRPr="00104227">
        <w:rPr>
          <w:lang w:val="en-US"/>
        </w:rPr>
        <w:t xml:space="preserve"> to justify opening lines of investigation to determine whether the authorities in charge of the </w:t>
      </w:r>
      <w:r w:rsidR="00B96675" w:rsidRPr="00104227">
        <w:rPr>
          <w:lang w:val="en-US"/>
        </w:rPr>
        <w:t>o</w:t>
      </w:r>
      <w:r w:rsidR="005D6D2C" w:rsidRPr="00104227">
        <w:rPr>
          <w:lang w:val="en-US"/>
        </w:rPr>
        <w:t xml:space="preserve">perations failed to prevent </w:t>
      </w:r>
      <w:r w:rsidR="00183C5D" w:rsidRPr="00104227">
        <w:rPr>
          <w:lang w:val="en-US"/>
        </w:rPr>
        <w:t>or to investigate the acts of torture, even though they were in a position to do so</w:t>
      </w:r>
      <w:r w:rsidR="00BF44DD" w:rsidRPr="00104227">
        <w:rPr>
          <w:lang w:val="en-US"/>
        </w:rPr>
        <w:t xml:space="preserve">. </w:t>
      </w:r>
    </w:p>
    <w:p w14:paraId="1FDF4742" w14:textId="77777777" w:rsidR="00DA71E5" w:rsidRPr="00104227" w:rsidRDefault="00DA71E5" w:rsidP="00E4619F">
      <w:pPr>
        <w:pStyle w:val="PrrafodeSentencia"/>
        <w:numPr>
          <w:ilvl w:val="0"/>
          <w:numId w:val="0"/>
        </w:numPr>
        <w:rPr>
          <w:lang w:val="en-US"/>
        </w:rPr>
      </w:pPr>
    </w:p>
    <w:p w14:paraId="1D51045F" w14:textId="34F334BA" w:rsidR="006358F4" w:rsidRPr="00104227" w:rsidRDefault="006358F4" w:rsidP="00E4619F">
      <w:pPr>
        <w:pStyle w:val="Numberedparagraphs"/>
        <w:tabs>
          <w:tab w:val="left" w:pos="567"/>
        </w:tabs>
        <w:rPr>
          <w:lang w:val="en-US"/>
        </w:rPr>
      </w:pPr>
      <w:r w:rsidRPr="00104227">
        <w:rPr>
          <w:lang w:val="en-US"/>
        </w:rPr>
        <w:t>This Court</w:t>
      </w:r>
      <w:r w:rsidR="00B32A8C" w:rsidRPr="00104227">
        <w:rPr>
          <w:lang w:val="en-US"/>
        </w:rPr>
        <w:t xml:space="preserve"> </w:t>
      </w:r>
      <w:r w:rsidRPr="00104227">
        <w:rPr>
          <w:lang w:val="en-US"/>
        </w:rPr>
        <w:t xml:space="preserve">is not a criminal court, but it cannot </w:t>
      </w:r>
      <w:r w:rsidR="00FA4C72" w:rsidRPr="00104227">
        <w:rPr>
          <w:lang w:val="en-US"/>
        </w:rPr>
        <w:t>overlook the fact that</w:t>
      </w:r>
      <w:r w:rsidRPr="00104227">
        <w:rPr>
          <w:lang w:val="en-US"/>
        </w:rPr>
        <w:t xml:space="preserve"> the State’s omission </w:t>
      </w:r>
      <w:r w:rsidR="00FA4C72" w:rsidRPr="00104227">
        <w:rPr>
          <w:lang w:val="en-US"/>
        </w:rPr>
        <w:t>in relation to</w:t>
      </w:r>
      <w:r w:rsidRPr="00104227">
        <w:rPr>
          <w:lang w:val="en-US"/>
        </w:rPr>
        <w:t xml:space="preserve"> the chain of command should have been investigated </w:t>
      </w:r>
      <w:r w:rsidR="00FA4C72" w:rsidRPr="00104227">
        <w:rPr>
          <w:lang w:val="en-US"/>
        </w:rPr>
        <w:t>based on</w:t>
      </w:r>
      <w:r w:rsidRPr="00104227">
        <w:rPr>
          <w:lang w:val="en-US"/>
        </w:rPr>
        <w:t xml:space="preserve"> the </w:t>
      </w:r>
      <w:r w:rsidR="00FA4C72" w:rsidRPr="00104227">
        <w:rPr>
          <w:lang w:val="en-US"/>
        </w:rPr>
        <w:t>reports</w:t>
      </w:r>
      <w:r w:rsidRPr="00104227">
        <w:rPr>
          <w:lang w:val="en-US"/>
        </w:rPr>
        <w:t xml:space="preserve"> that would have reached the superior authorities, not only </w:t>
      </w:r>
      <w:r w:rsidR="00FA4C72" w:rsidRPr="00104227">
        <w:rPr>
          <w:lang w:val="en-US"/>
        </w:rPr>
        <w:t>in the eventuality that they had</w:t>
      </w:r>
      <w:r w:rsidRPr="00104227">
        <w:rPr>
          <w:lang w:val="en-US"/>
        </w:rPr>
        <w:t xml:space="preserve"> </w:t>
      </w:r>
      <w:r w:rsidR="00FA4C72" w:rsidRPr="00104227">
        <w:rPr>
          <w:lang w:val="en-US"/>
        </w:rPr>
        <w:t xml:space="preserve">ignored the </w:t>
      </w:r>
      <w:r w:rsidR="00FA4C72" w:rsidRPr="00104227">
        <w:rPr>
          <w:lang w:val="en-US"/>
        </w:rPr>
        <w:lastRenderedPageBreak/>
        <w:t xml:space="preserve">reports </w:t>
      </w:r>
      <w:r w:rsidRPr="00104227">
        <w:rPr>
          <w:lang w:val="en-US"/>
        </w:rPr>
        <w:t xml:space="preserve">and </w:t>
      </w:r>
      <w:r w:rsidR="00FA4C72" w:rsidRPr="00104227">
        <w:rPr>
          <w:lang w:val="en-US"/>
        </w:rPr>
        <w:t>had</w:t>
      </w:r>
      <w:r w:rsidRPr="00104227">
        <w:rPr>
          <w:lang w:val="en-US"/>
        </w:rPr>
        <w:t xml:space="preserve"> </w:t>
      </w:r>
      <w:r w:rsidR="00FA4C72" w:rsidRPr="00104227">
        <w:rPr>
          <w:lang w:val="en-US"/>
        </w:rPr>
        <w:t xml:space="preserve">accepted the </w:t>
      </w:r>
      <w:r w:rsidRPr="00104227">
        <w:rPr>
          <w:lang w:val="en-US"/>
        </w:rPr>
        <w:t>possibility of the result (</w:t>
      </w:r>
      <w:r w:rsidR="008E796D" w:rsidRPr="00104227">
        <w:rPr>
          <w:i/>
          <w:iCs/>
          <w:lang w:val="en-US"/>
        </w:rPr>
        <w:t>dolus eventualis</w:t>
      </w:r>
      <w:r w:rsidR="00BC051F" w:rsidRPr="00104227">
        <w:rPr>
          <w:i/>
          <w:iCs/>
          <w:lang w:val="en-US"/>
        </w:rPr>
        <w:t xml:space="preserve"> </w:t>
      </w:r>
      <w:r w:rsidR="00BC051F" w:rsidRPr="00104227">
        <w:rPr>
          <w:lang w:val="en-US"/>
        </w:rPr>
        <w:t>or legal intention</w:t>
      </w:r>
      <w:r w:rsidRPr="00104227">
        <w:rPr>
          <w:lang w:val="en-US"/>
        </w:rPr>
        <w:t xml:space="preserve">), but also </w:t>
      </w:r>
      <w:r w:rsidR="00FA4C72" w:rsidRPr="00104227">
        <w:rPr>
          <w:lang w:val="en-US"/>
        </w:rPr>
        <w:t>in</w:t>
      </w:r>
      <w:r w:rsidRPr="00104227">
        <w:rPr>
          <w:lang w:val="en-US"/>
        </w:rPr>
        <w:t xml:space="preserve"> the </w:t>
      </w:r>
      <w:r w:rsidR="00FA4C72" w:rsidRPr="00104227">
        <w:rPr>
          <w:lang w:val="en-US"/>
        </w:rPr>
        <w:t xml:space="preserve">eventuality </w:t>
      </w:r>
      <w:r w:rsidRPr="00104227">
        <w:rPr>
          <w:lang w:val="en-US"/>
        </w:rPr>
        <w:t>that they had underestimated</w:t>
      </w:r>
      <w:r w:rsidR="00FA4C72" w:rsidRPr="00104227">
        <w:rPr>
          <w:lang w:val="en-US"/>
        </w:rPr>
        <w:t xml:space="preserve"> the reports</w:t>
      </w:r>
      <w:r w:rsidRPr="00104227">
        <w:rPr>
          <w:lang w:val="en-US"/>
        </w:rPr>
        <w:t>, rejecting the possibility of that result (</w:t>
      </w:r>
      <w:r w:rsidR="00BC051F" w:rsidRPr="00104227">
        <w:rPr>
          <w:lang w:val="en-US"/>
        </w:rPr>
        <w:t>c</w:t>
      </w:r>
      <w:r w:rsidR="00FA4C72" w:rsidRPr="00104227">
        <w:rPr>
          <w:lang w:val="en-US"/>
        </w:rPr>
        <w:t>onscious guilt</w:t>
      </w:r>
      <w:r w:rsidRPr="00104227">
        <w:rPr>
          <w:lang w:val="en-US"/>
        </w:rPr>
        <w:t>). Furthermore,</w:t>
      </w:r>
      <w:r w:rsidR="000B4BED" w:rsidRPr="00104227">
        <w:rPr>
          <w:lang w:val="en-US"/>
        </w:rPr>
        <w:t xml:space="preserve"> the State should not have rejected</w:t>
      </w:r>
      <w:r w:rsidRPr="00104227">
        <w:rPr>
          <w:lang w:val="en-US"/>
        </w:rPr>
        <w:t xml:space="preserve"> the latter</w:t>
      </w:r>
      <w:r w:rsidR="00BC051F" w:rsidRPr="00104227">
        <w:rPr>
          <w:lang w:val="en-US"/>
        </w:rPr>
        <w:t xml:space="preserve"> element</w:t>
      </w:r>
      <w:r w:rsidRPr="00104227">
        <w:rPr>
          <w:lang w:val="en-US"/>
        </w:rPr>
        <w:t xml:space="preserve"> of criminal responsibility</w:t>
      </w:r>
      <w:r w:rsidR="000B4BED" w:rsidRPr="00104227">
        <w:rPr>
          <w:lang w:val="en-US"/>
        </w:rPr>
        <w:t xml:space="preserve"> because, in light of the characteristics of the sexual abuse, which was not committed by a single individual, but in group, it is evident that the </w:t>
      </w:r>
      <w:r w:rsidR="00B665DF" w:rsidRPr="00104227">
        <w:rPr>
          <w:lang w:val="en-US"/>
        </w:rPr>
        <w:t>law enforcement agents who</w:t>
      </w:r>
      <w:r w:rsidR="000B4BED" w:rsidRPr="00104227">
        <w:rPr>
          <w:lang w:val="en-US"/>
        </w:rPr>
        <w:t xml:space="preserve"> took part in the operation lacked the most elemental and appropriate training, </w:t>
      </w:r>
      <w:r w:rsidR="00BC051F" w:rsidRPr="00104227">
        <w:rPr>
          <w:lang w:val="en-US"/>
        </w:rPr>
        <w:t>and</w:t>
      </w:r>
      <w:r w:rsidR="000B4BED" w:rsidRPr="00104227">
        <w:rPr>
          <w:lang w:val="en-US"/>
        </w:rPr>
        <w:t xml:space="preserve"> any duly organized and disciplined police force would never have permitted the perpetration of such heinous crimes by a group of its agents.</w:t>
      </w:r>
    </w:p>
    <w:p w14:paraId="5B149030" w14:textId="54387AAC" w:rsidR="00B32A8C" w:rsidRPr="00104227" w:rsidRDefault="00B32A8C" w:rsidP="00E4619F">
      <w:pPr>
        <w:pStyle w:val="PrrafodeSentencia"/>
        <w:numPr>
          <w:ilvl w:val="0"/>
          <w:numId w:val="0"/>
        </w:numPr>
        <w:rPr>
          <w:lang w:val="en-US"/>
        </w:rPr>
      </w:pPr>
    </w:p>
    <w:p w14:paraId="5200CDB8" w14:textId="6DCD1D8C" w:rsidR="00B32A8C" w:rsidRPr="00104227" w:rsidRDefault="000B4BED" w:rsidP="00A856FC">
      <w:pPr>
        <w:pStyle w:val="Numberedparagraphs"/>
        <w:tabs>
          <w:tab w:val="left" w:pos="567"/>
        </w:tabs>
        <w:rPr>
          <w:lang w:val="en-US"/>
        </w:rPr>
      </w:pPr>
      <w:r w:rsidRPr="00104227">
        <w:rPr>
          <w:lang w:val="en-US"/>
        </w:rPr>
        <w:t xml:space="preserve">This Court does not advocate any form of objective criminal responsibility </w:t>
      </w:r>
      <w:r w:rsidR="00BC051F" w:rsidRPr="00104227">
        <w:rPr>
          <w:lang w:val="en-US"/>
        </w:rPr>
        <w:t xml:space="preserve">that would be </w:t>
      </w:r>
      <w:r w:rsidRPr="00104227">
        <w:rPr>
          <w:lang w:val="en-US"/>
        </w:rPr>
        <w:t xml:space="preserve">contrary to the contemporary general principles of criminal responsibility and, consequently, pursuant to these universally recognized principles, reaffirms that only the person acting with intent or with imprudence or negligence commits a crime. The Court understands that, in this case, it is for the State’s criminal judges to establish whether there was </w:t>
      </w:r>
      <w:r w:rsidR="008E796D" w:rsidRPr="00104227">
        <w:rPr>
          <w:i/>
          <w:iCs/>
          <w:lang w:val="en-US"/>
        </w:rPr>
        <w:t>dolus eventualis</w:t>
      </w:r>
      <w:r w:rsidR="008E796D" w:rsidRPr="00104227">
        <w:rPr>
          <w:lang w:val="en-US"/>
        </w:rPr>
        <w:t xml:space="preserve"> </w:t>
      </w:r>
      <w:r w:rsidRPr="00104227">
        <w:rPr>
          <w:lang w:val="en-US"/>
        </w:rPr>
        <w:t xml:space="preserve">(if the superior officers knew of the acts or </w:t>
      </w:r>
      <w:r w:rsidR="00BC051F" w:rsidRPr="00104227">
        <w:rPr>
          <w:lang w:val="en-US"/>
        </w:rPr>
        <w:t>evidence</w:t>
      </w:r>
      <w:r w:rsidRPr="00104227">
        <w:rPr>
          <w:lang w:val="en-US"/>
        </w:rPr>
        <w:t xml:space="preserve"> of them and ignored this, admitting the possibility of the result) or whether, to the contrary, they did not incur in </w:t>
      </w:r>
      <w:r w:rsidR="008E796D" w:rsidRPr="00104227">
        <w:rPr>
          <w:i/>
          <w:iCs/>
          <w:lang w:val="en-US"/>
        </w:rPr>
        <w:t>dolus eventualis</w:t>
      </w:r>
      <w:r w:rsidRPr="00104227">
        <w:rPr>
          <w:lang w:val="en-US"/>
        </w:rPr>
        <w:t xml:space="preserve">. In the latter case, which would </w:t>
      </w:r>
      <w:r w:rsidR="00BC051F" w:rsidRPr="00104227">
        <w:rPr>
          <w:lang w:val="en-US"/>
        </w:rPr>
        <w:t>b</w:t>
      </w:r>
      <w:r w:rsidRPr="00104227">
        <w:rPr>
          <w:lang w:val="en-US"/>
        </w:rPr>
        <w:t xml:space="preserve">e the most favorable to the superiors in the chain of command, the Court observes that there was no investigation, either, into their </w:t>
      </w:r>
      <w:r w:rsidR="00A856FC" w:rsidRPr="00104227">
        <w:rPr>
          <w:lang w:val="en-US"/>
        </w:rPr>
        <w:t xml:space="preserve">possible responsibility by guilt (imprudence owing to organizing the operation with an undisciplined and disorganized police force) or negligence (underestimating the </w:t>
      </w:r>
      <w:r w:rsidR="00BC051F" w:rsidRPr="00104227">
        <w:rPr>
          <w:lang w:val="en-US"/>
        </w:rPr>
        <w:t>reports</w:t>
      </w:r>
      <w:r w:rsidR="00A856FC" w:rsidRPr="00104227">
        <w:rPr>
          <w:lang w:val="en-US"/>
        </w:rPr>
        <w:t xml:space="preserve"> that reached them). In the Court’s opinion, it would appear that, at least, the latter possibility needed to be investigated, because the fact itself, revealing the extreme lack of discipline and preparation of the </w:t>
      </w:r>
      <w:r w:rsidR="00B665DF" w:rsidRPr="00104227">
        <w:rPr>
          <w:lang w:val="en-US"/>
        </w:rPr>
        <w:t>law enforcement agencies</w:t>
      </w:r>
      <w:r w:rsidR="00A856FC" w:rsidRPr="00104227">
        <w:rPr>
          <w:lang w:val="en-US"/>
        </w:rPr>
        <w:t xml:space="preserve"> whose </w:t>
      </w:r>
      <w:r w:rsidR="00B665DF" w:rsidRPr="00104227">
        <w:rPr>
          <w:lang w:val="en-US"/>
        </w:rPr>
        <w:t>members</w:t>
      </w:r>
      <w:r w:rsidR="00A856FC" w:rsidRPr="00104227">
        <w:rPr>
          <w:lang w:val="en-US"/>
        </w:rPr>
        <w:t xml:space="preserve"> were </w:t>
      </w:r>
      <w:r w:rsidR="00B665DF" w:rsidRPr="00104227">
        <w:rPr>
          <w:lang w:val="en-US"/>
        </w:rPr>
        <w:t xml:space="preserve">the </w:t>
      </w:r>
      <w:r w:rsidR="00A856FC" w:rsidRPr="00104227">
        <w:rPr>
          <w:lang w:val="en-US"/>
        </w:rPr>
        <w:t>perpetrators of the crimes, is an extremely clear indication of imprudence, because plainly the superior who organize</w:t>
      </w:r>
      <w:r w:rsidR="00BC051F" w:rsidRPr="00104227">
        <w:rPr>
          <w:lang w:val="en-US"/>
        </w:rPr>
        <w:t>s</w:t>
      </w:r>
      <w:r w:rsidR="00A856FC" w:rsidRPr="00104227">
        <w:rPr>
          <w:lang w:val="en-US"/>
        </w:rPr>
        <w:t xml:space="preserve"> an operation of this nature</w:t>
      </w:r>
      <w:r w:rsidR="00BC051F" w:rsidRPr="00104227">
        <w:rPr>
          <w:lang w:val="en-US"/>
        </w:rPr>
        <w:t>,</w:t>
      </w:r>
      <w:r w:rsidR="00A856FC" w:rsidRPr="00104227">
        <w:rPr>
          <w:lang w:val="en-US"/>
        </w:rPr>
        <w:t xml:space="preserve"> using a force with such internal disorder</w:t>
      </w:r>
      <w:r w:rsidR="00BC051F" w:rsidRPr="00104227">
        <w:rPr>
          <w:lang w:val="en-US"/>
        </w:rPr>
        <w:t>,</w:t>
      </w:r>
      <w:r w:rsidR="00A856FC" w:rsidRPr="00104227">
        <w:rPr>
          <w:lang w:val="en-US"/>
        </w:rPr>
        <w:t xml:space="preserve"> incurs in a clear violation of his duty of care based on his function of command and decision. It should be pointed out that the SCJN indicated this also.</w:t>
      </w:r>
      <w:r w:rsidR="00252B05" w:rsidRPr="00104227">
        <w:rPr>
          <w:rStyle w:val="Refdenotaalpie"/>
          <w:lang w:val="en-US"/>
        </w:rPr>
        <w:footnoteReference w:id="412"/>
      </w:r>
    </w:p>
    <w:p w14:paraId="4D22C85B" w14:textId="77777777" w:rsidR="00B32A8C" w:rsidRPr="00104227" w:rsidRDefault="00B32A8C" w:rsidP="00E4619F">
      <w:pPr>
        <w:pStyle w:val="PrrafodeSentencia"/>
        <w:numPr>
          <w:ilvl w:val="0"/>
          <w:numId w:val="0"/>
        </w:numPr>
        <w:rPr>
          <w:lang w:val="en-US"/>
        </w:rPr>
      </w:pPr>
    </w:p>
    <w:p w14:paraId="0D8124C8" w14:textId="06F76AE3" w:rsidR="00B32A8C" w:rsidRPr="00104227" w:rsidRDefault="006C0BE1" w:rsidP="00AE5794">
      <w:pPr>
        <w:pStyle w:val="Numberedparagraphs"/>
        <w:tabs>
          <w:tab w:val="left" w:pos="567"/>
        </w:tabs>
        <w:rPr>
          <w:lang w:val="en-US"/>
        </w:rPr>
      </w:pPr>
      <w:r w:rsidRPr="00104227">
        <w:rPr>
          <w:lang w:val="en-US"/>
        </w:rPr>
        <w:t>R</w:t>
      </w:r>
      <w:r w:rsidR="00AE5794" w:rsidRPr="00104227">
        <w:rPr>
          <w:lang w:val="en-US"/>
        </w:rPr>
        <w:t>egarding</w:t>
      </w:r>
      <w:r w:rsidR="00B32A8C" w:rsidRPr="00104227">
        <w:rPr>
          <w:lang w:val="en-US"/>
        </w:rPr>
        <w:t xml:space="preserve"> </w:t>
      </w:r>
      <w:r w:rsidR="00A856FC" w:rsidRPr="00104227">
        <w:rPr>
          <w:lang w:val="en-US"/>
        </w:rPr>
        <w:t>the possibility of less</w:t>
      </w:r>
      <w:r w:rsidRPr="00104227">
        <w:rPr>
          <w:lang w:val="en-US"/>
        </w:rPr>
        <w:t>er</w:t>
      </w:r>
      <w:r w:rsidR="00A856FC" w:rsidRPr="00104227">
        <w:rPr>
          <w:lang w:val="en-US"/>
        </w:rPr>
        <w:t xml:space="preserve"> criminal responsibility for </w:t>
      </w:r>
      <w:r w:rsidR="00AE5794" w:rsidRPr="00104227">
        <w:rPr>
          <w:lang w:val="en-US"/>
        </w:rPr>
        <w:t xml:space="preserve">those </w:t>
      </w:r>
      <w:r w:rsidRPr="00104227">
        <w:rPr>
          <w:lang w:val="en-US"/>
        </w:rPr>
        <w:t xml:space="preserve">responsible </w:t>
      </w:r>
      <w:r w:rsidR="00AE5794" w:rsidRPr="00104227">
        <w:rPr>
          <w:lang w:val="en-US"/>
        </w:rPr>
        <w:t xml:space="preserve">in the chain of command, </w:t>
      </w:r>
      <w:r w:rsidRPr="00104227">
        <w:rPr>
          <w:lang w:val="en-US"/>
        </w:rPr>
        <w:t xml:space="preserve">the Court indicates that </w:t>
      </w:r>
      <w:r w:rsidR="00AE5794" w:rsidRPr="00104227">
        <w:rPr>
          <w:lang w:val="en-US"/>
        </w:rPr>
        <w:t>the argument that an investigation into po</w:t>
      </w:r>
      <w:r w:rsidRPr="00104227">
        <w:rPr>
          <w:lang w:val="en-US"/>
        </w:rPr>
        <w:t>s</w:t>
      </w:r>
      <w:r w:rsidR="00AE5794" w:rsidRPr="00104227">
        <w:rPr>
          <w:lang w:val="en-US"/>
        </w:rPr>
        <w:t xml:space="preserve">sible responsibility of the superior officers for violation of the duty of care was omitted because torture and </w:t>
      </w:r>
      <w:r w:rsidRPr="00104227">
        <w:rPr>
          <w:lang w:val="en-US"/>
        </w:rPr>
        <w:t>rape</w:t>
      </w:r>
      <w:r w:rsidR="00AE5794" w:rsidRPr="00104227">
        <w:rPr>
          <w:lang w:val="en-US"/>
        </w:rPr>
        <w:t xml:space="preserve"> require intent and do not admit negligence</w:t>
      </w:r>
      <w:r w:rsidRPr="00104227">
        <w:rPr>
          <w:lang w:val="en-US"/>
        </w:rPr>
        <w:t xml:space="preserve"> is invalid</w:t>
      </w:r>
      <w:r w:rsidR="00AE5794" w:rsidRPr="00104227">
        <w:rPr>
          <w:lang w:val="en-US"/>
        </w:rPr>
        <w:t>.</w:t>
      </w:r>
    </w:p>
    <w:p w14:paraId="36CA99BE" w14:textId="77777777" w:rsidR="00B32A8C" w:rsidRPr="00104227" w:rsidRDefault="00B32A8C" w:rsidP="00E4619F">
      <w:pPr>
        <w:pStyle w:val="PrrafodeSentencia"/>
        <w:numPr>
          <w:ilvl w:val="0"/>
          <w:numId w:val="0"/>
        </w:numPr>
        <w:rPr>
          <w:lang w:val="en-US"/>
        </w:rPr>
      </w:pPr>
    </w:p>
    <w:p w14:paraId="541417F2" w14:textId="3DC1F348" w:rsidR="008E796D" w:rsidRPr="00104227" w:rsidRDefault="0050199D" w:rsidP="00AB2F3C">
      <w:pPr>
        <w:pStyle w:val="Numberedparagraphs"/>
        <w:tabs>
          <w:tab w:val="left" w:pos="567"/>
        </w:tabs>
        <w:rPr>
          <w:lang w:val="en-US"/>
        </w:rPr>
      </w:pPr>
      <w:r w:rsidRPr="00104227">
        <w:rPr>
          <w:lang w:val="en-US"/>
        </w:rPr>
        <w:t xml:space="preserve">Pursuant </w:t>
      </w:r>
      <w:r w:rsidR="008E796D" w:rsidRPr="00104227">
        <w:rPr>
          <w:lang w:val="en-US"/>
        </w:rPr>
        <w:t>to the principle that each participant in a crime is only responsible for his own wrongful act, it is true that the perpetrators</w:t>
      </w:r>
      <w:r w:rsidR="00E16A2A" w:rsidRPr="00104227">
        <w:rPr>
          <w:lang w:val="en-US"/>
        </w:rPr>
        <w:t>,</w:t>
      </w:r>
      <w:r w:rsidR="008E796D" w:rsidRPr="00104227">
        <w:rPr>
          <w:lang w:val="en-US"/>
        </w:rPr>
        <w:t xml:space="preserve"> instigators and accessories to the crimes of torture and rape can only </w:t>
      </w:r>
      <w:r w:rsidR="00233269" w:rsidRPr="00104227">
        <w:rPr>
          <w:lang w:val="en-US"/>
        </w:rPr>
        <w:t>commit</w:t>
      </w:r>
      <w:r w:rsidR="008E796D" w:rsidRPr="00104227">
        <w:rPr>
          <w:lang w:val="en-US"/>
        </w:rPr>
        <w:t xml:space="preserve"> these </w:t>
      </w:r>
      <w:r w:rsidR="00D143A8" w:rsidRPr="00104227">
        <w:rPr>
          <w:lang w:val="en-US"/>
        </w:rPr>
        <w:t>crimes</w:t>
      </w:r>
      <w:r w:rsidR="008E796D" w:rsidRPr="00104227">
        <w:rPr>
          <w:lang w:val="en-US"/>
        </w:rPr>
        <w:t xml:space="preserve"> by </w:t>
      </w:r>
      <w:r w:rsidR="008E796D" w:rsidRPr="00104227">
        <w:rPr>
          <w:i/>
          <w:iCs/>
          <w:lang w:val="en-US"/>
        </w:rPr>
        <w:t>dolus eventualis</w:t>
      </w:r>
      <w:r w:rsidR="008E796D" w:rsidRPr="00104227">
        <w:rPr>
          <w:lang w:val="en-US"/>
        </w:rPr>
        <w:t xml:space="preserve"> or</w:t>
      </w:r>
      <w:r w:rsidR="008E796D" w:rsidRPr="00104227">
        <w:rPr>
          <w:i/>
          <w:iCs/>
          <w:lang w:val="en-US"/>
        </w:rPr>
        <w:t xml:space="preserve"> dolus directus</w:t>
      </w:r>
      <w:r w:rsidR="008E796D" w:rsidRPr="00104227">
        <w:rPr>
          <w:lang w:val="en-US"/>
        </w:rPr>
        <w:t xml:space="preserve"> </w:t>
      </w:r>
      <w:r w:rsidR="008E796D" w:rsidRPr="00104227">
        <w:rPr>
          <w:rStyle w:val="FAFunotentextCar"/>
        </w:rPr>
        <w:t xml:space="preserve">and, in particular, that rape is a crime that can only be </w:t>
      </w:r>
      <w:r w:rsidR="00233269" w:rsidRPr="00104227">
        <w:rPr>
          <w:rStyle w:val="FAFunotentextCar"/>
        </w:rPr>
        <w:t>perpetrated by the individual who commits it directly and personally</w:t>
      </w:r>
      <w:r w:rsidR="00E16A2A" w:rsidRPr="00104227">
        <w:rPr>
          <w:rStyle w:val="FAFunotentextCar"/>
        </w:rPr>
        <w:t xml:space="preserve"> (on his own).</w:t>
      </w:r>
      <w:r w:rsidR="00233269" w:rsidRPr="00104227">
        <w:rPr>
          <w:rStyle w:val="FAFunotentextCar"/>
        </w:rPr>
        <w:t xml:space="preserve"> </w:t>
      </w:r>
      <w:r w:rsidR="00E16A2A" w:rsidRPr="00104227">
        <w:rPr>
          <w:rStyle w:val="FAFunotentextCar"/>
        </w:rPr>
        <w:t>A</w:t>
      </w:r>
      <w:r w:rsidR="00D143A8" w:rsidRPr="00104227">
        <w:rPr>
          <w:rStyle w:val="FAFunotentextCar"/>
        </w:rPr>
        <w:t>nd a</w:t>
      </w:r>
      <w:r w:rsidR="00233269" w:rsidRPr="00104227">
        <w:rPr>
          <w:rStyle w:val="FAFunotentextCar"/>
        </w:rPr>
        <w:t xml:space="preserve">lso </w:t>
      </w:r>
      <w:r w:rsidR="00E16A2A" w:rsidRPr="00104227">
        <w:rPr>
          <w:rStyle w:val="FAFunotentextCar"/>
        </w:rPr>
        <w:t xml:space="preserve">that </w:t>
      </w:r>
      <w:r w:rsidR="00233269" w:rsidRPr="00104227">
        <w:rPr>
          <w:rStyle w:val="FAFunotentextCar"/>
        </w:rPr>
        <w:t xml:space="preserve">the injuries suffered by the victims as a result of the </w:t>
      </w:r>
      <w:r w:rsidR="00D143A8" w:rsidRPr="00104227">
        <w:rPr>
          <w:rStyle w:val="FAFunotentextCar"/>
        </w:rPr>
        <w:t>crimes</w:t>
      </w:r>
      <w:r w:rsidR="00233269" w:rsidRPr="00104227">
        <w:rPr>
          <w:rStyle w:val="FAFunotentextCar"/>
        </w:rPr>
        <w:t xml:space="preserve"> attributed to those agents cannot be considered </w:t>
      </w:r>
      <w:bookmarkStart w:id="349" w:name="_Hlk31202307"/>
      <w:r w:rsidR="00E16A2A" w:rsidRPr="00104227">
        <w:rPr>
          <w:rStyle w:val="FAFunotentextCar"/>
        </w:rPr>
        <w:t>“</w:t>
      </w:r>
      <w:r w:rsidR="00233269" w:rsidRPr="00104227">
        <w:rPr>
          <w:rStyle w:val="FAFunotentextCar"/>
          <w:i/>
          <w:iCs/>
        </w:rPr>
        <w:t>concurso idea</w:t>
      </w:r>
      <w:r w:rsidR="00E16A2A" w:rsidRPr="00104227">
        <w:rPr>
          <w:rStyle w:val="FAFunotentextCar"/>
          <w:i/>
          <w:iCs/>
        </w:rPr>
        <w:t>l”</w:t>
      </w:r>
      <w:r w:rsidR="00E16A2A" w:rsidRPr="00104227">
        <w:rPr>
          <w:b/>
          <w:bCs/>
          <w:lang w:val="en-US"/>
        </w:rPr>
        <w:t xml:space="preserve"> </w:t>
      </w:r>
      <w:r w:rsidR="00E16A2A" w:rsidRPr="00104227">
        <w:rPr>
          <w:lang w:val="en-US"/>
        </w:rPr>
        <w:t>[where one and the same act is an offence against several different statutory provisions]</w:t>
      </w:r>
      <w:r w:rsidR="00233269" w:rsidRPr="00104227">
        <w:rPr>
          <w:rStyle w:val="FAFunotentextCar"/>
        </w:rPr>
        <w:t xml:space="preserve">, </w:t>
      </w:r>
      <w:bookmarkEnd w:id="349"/>
      <w:r w:rsidR="00233269" w:rsidRPr="00104227">
        <w:rPr>
          <w:rStyle w:val="FAFunotentextCar"/>
        </w:rPr>
        <w:t xml:space="preserve">because those injuries are </w:t>
      </w:r>
      <w:r w:rsidR="00D143A8" w:rsidRPr="00104227">
        <w:rPr>
          <w:rStyle w:val="FAFunotentextCar"/>
        </w:rPr>
        <w:t>absorbed by</w:t>
      </w:r>
      <w:r w:rsidR="00233269" w:rsidRPr="00104227">
        <w:rPr>
          <w:rStyle w:val="FAFunotentextCar"/>
        </w:rPr>
        <w:t xml:space="preserve"> the violence required </w:t>
      </w:r>
      <w:r w:rsidR="00137F7C" w:rsidRPr="00104227">
        <w:rPr>
          <w:rStyle w:val="FAFunotentextCar"/>
        </w:rPr>
        <w:t>by</w:t>
      </w:r>
      <w:r w:rsidR="00233269" w:rsidRPr="00104227">
        <w:rPr>
          <w:rStyle w:val="FAFunotentextCar"/>
        </w:rPr>
        <w:t xml:space="preserve"> </w:t>
      </w:r>
      <w:r w:rsidR="00D143A8" w:rsidRPr="00104227">
        <w:rPr>
          <w:rStyle w:val="FAFunotentextCar"/>
        </w:rPr>
        <w:t>such</w:t>
      </w:r>
      <w:r w:rsidR="00233269" w:rsidRPr="00104227">
        <w:rPr>
          <w:rStyle w:val="FAFunotentextCar"/>
        </w:rPr>
        <w:t xml:space="preserve"> crime</w:t>
      </w:r>
      <w:r w:rsidR="00D143A8" w:rsidRPr="00104227">
        <w:rPr>
          <w:rStyle w:val="FAFunotentextCar"/>
        </w:rPr>
        <w:t>s</w:t>
      </w:r>
      <w:r w:rsidR="00233269" w:rsidRPr="00104227">
        <w:rPr>
          <w:rStyle w:val="FAFunotentextCar"/>
        </w:rPr>
        <w:t xml:space="preserve">, </w:t>
      </w:r>
      <w:r w:rsidR="00137F7C" w:rsidRPr="00104227">
        <w:rPr>
          <w:rStyle w:val="FAFunotentextCar"/>
        </w:rPr>
        <w:t xml:space="preserve">and this is </w:t>
      </w:r>
      <w:r w:rsidR="00D143A8" w:rsidRPr="00104227">
        <w:rPr>
          <w:rStyle w:val="FAFunotentextCar"/>
        </w:rPr>
        <w:t>even clearer</w:t>
      </w:r>
      <w:r w:rsidR="00233269" w:rsidRPr="00104227">
        <w:rPr>
          <w:rStyle w:val="FAFunotentextCar"/>
        </w:rPr>
        <w:t xml:space="preserve"> when, in general, the definition of </w:t>
      </w:r>
      <w:r w:rsidR="00D143A8" w:rsidRPr="00104227">
        <w:rPr>
          <w:rStyle w:val="FAFunotentextCar"/>
        </w:rPr>
        <w:t>those acts [injuries]</w:t>
      </w:r>
      <w:r w:rsidR="00233269" w:rsidRPr="00104227">
        <w:rPr>
          <w:rStyle w:val="FAFunotentextCar"/>
        </w:rPr>
        <w:t xml:space="preserve"> indicate</w:t>
      </w:r>
      <w:r w:rsidR="00D143A8" w:rsidRPr="00104227">
        <w:rPr>
          <w:rStyle w:val="FAFunotentextCar"/>
        </w:rPr>
        <w:t>s</w:t>
      </w:r>
      <w:r w:rsidR="00233269" w:rsidRPr="00104227">
        <w:rPr>
          <w:rStyle w:val="FAFunotentextCar"/>
        </w:rPr>
        <w:t xml:space="preserve"> that they are aggravating </w:t>
      </w:r>
      <w:r w:rsidR="00D143A8" w:rsidRPr="00104227">
        <w:rPr>
          <w:rStyle w:val="FAFunotentextCar"/>
        </w:rPr>
        <w:t>factors</w:t>
      </w:r>
      <w:r w:rsidR="00233269" w:rsidRPr="00104227">
        <w:rPr>
          <w:rStyle w:val="FAFunotentextCar"/>
        </w:rPr>
        <w:t xml:space="preserve"> of the </w:t>
      </w:r>
      <w:r w:rsidR="00D143A8" w:rsidRPr="00104227">
        <w:rPr>
          <w:rStyle w:val="FAFunotentextCar"/>
        </w:rPr>
        <w:t>crime</w:t>
      </w:r>
      <w:r w:rsidR="00233269" w:rsidRPr="00104227">
        <w:rPr>
          <w:rStyle w:val="FAFunotentextCar"/>
        </w:rPr>
        <w:t xml:space="preserve">, as </w:t>
      </w:r>
      <w:r w:rsidR="00D143A8" w:rsidRPr="00104227">
        <w:rPr>
          <w:rStyle w:val="FAFunotentextCar"/>
        </w:rPr>
        <w:t xml:space="preserve">is </w:t>
      </w:r>
      <w:r w:rsidR="00233269" w:rsidRPr="00104227">
        <w:rPr>
          <w:rStyle w:val="FAFunotentextCar"/>
        </w:rPr>
        <w:t>the possible result of death.</w:t>
      </w:r>
    </w:p>
    <w:p w14:paraId="54236BE3" w14:textId="77777777" w:rsidR="00B32A8C" w:rsidRPr="00104227" w:rsidRDefault="00B32A8C" w:rsidP="00E4619F">
      <w:pPr>
        <w:pStyle w:val="PrrafodeSentencia"/>
        <w:numPr>
          <w:ilvl w:val="0"/>
          <w:numId w:val="0"/>
        </w:numPr>
        <w:rPr>
          <w:lang w:val="en-US"/>
        </w:rPr>
      </w:pPr>
    </w:p>
    <w:p w14:paraId="21CBD4B2" w14:textId="0C579083" w:rsidR="00B32A8C" w:rsidRPr="00104227" w:rsidRDefault="00137F7C" w:rsidP="00B65052">
      <w:pPr>
        <w:pStyle w:val="Numberedparagraphs"/>
        <w:tabs>
          <w:tab w:val="left" w:pos="567"/>
        </w:tabs>
        <w:rPr>
          <w:lang w:val="en-US" w:eastAsia="es-MX"/>
        </w:rPr>
      </w:pPr>
      <w:r w:rsidRPr="00104227">
        <w:rPr>
          <w:lang w:val="en-US"/>
        </w:rPr>
        <w:t xml:space="preserve">Despite the foregoing and, based on the principle that a criminal act is always personal, the State failed to comply with its obligation to investigate, at the very least, the criminal responsibility of the superiors in the chain of command, </w:t>
      </w:r>
      <w:r w:rsidR="00D143A8" w:rsidRPr="00104227">
        <w:rPr>
          <w:lang w:val="en-US"/>
        </w:rPr>
        <w:t>by not</w:t>
      </w:r>
      <w:r w:rsidRPr="00104227">
        <w:rPr>
          <w:lang w:val="en-US"/>
        </w:rPr>
        <w:t xml:space="preserve"> investigat</w:t>
      </w:r>
      <w:r w:rsidR="00D143A8" w:rsidRPr="00104227">
        <w:rPr>
          <w:lang w:val="en-US"/>
        </w:rPr>
        <w:t>ing</w:t>
      </w:r>
      <w:r w:rsidRPr="00104227">
        <w:rPr>
          <w:lang w:val="en-US"/>
        </w:rPr>
        <w:t xml:space="preserve"> their possible responsibility by guilt (negligence or imprudence) with regard to the</w:t>
      </w:r>
      <w:r w:rsidR="00D773F2" w:rsidRPr="00104227">
        <w:rPr>
          <w:lang w:val="en-US"/>
        </w:rPr>
        <w:t xml:space="preserve"> victims’</w:t>
      </w:r>
      <w:r w:rsidRPr="00104227">
        <w:rPr>
          <w:lang w:val="en-US"/>
        </w:rPr>
        <w:t xml:space="preserve"> injuries that were verified, because these </w:t>
      </w:r>
      <w:r w:rsidR="006823D1" w:rsidRPr="00104227">
        <w:rPr>
          <w:lang w:val="en-US"/>
        </w:rPr>
        <w:t>we</w:t>
      </w:r>
      <w:r w:rsidRPr="00104227">
        <w:rPr>
          <w:lang w:val="en-US"/>
        </w:rPr>
        <w:t xml:space="preserve">re crimes that </w:t>
      </w:r>
      <w:r w:rsidR="006823D1" w:rsidRPr="00104227">
        <w:rPr>
          <w:lang w:val="en-US"/>
        </w:rPr>
        <w:t>we</w:t>
      </w:r>
      <w:r w:rsidRPr="00104227">
        <w:rPr>
          <w:lang w:val="en-US"/>
        </w:rPr>
        <w:t>re obviously established in domestic law</w:t>
      </w:r>
      <w:r w:rsidR="006823D1" w:rsidRPr="00104227">
        <w:rPr>
          <w:lang w:val="en-US"/>
        </w:rPr>
        <w:t xml:space="preserve">, also based </w:t>
      </w:r>
      <w:r w:rsidR="006823D1" w:rsidRPr="00104227">
        <w:rPr>
          <w:lang w:val="en-US"/>
        </w:rPr>
        <w:lastRenderedPageBreak/>
        <w:t xml:space="preserve">on direct guilt </w:t>
      </w:r>
      <w:r w:rsidRPr="00104227">
        <w:rPr>
          <w:lang w:val="en-US"/>
        </w:rPr>
        <w:t xml:space="preserve">and, </w:t>
      </w:r>
      <w:r w:rsidR="006823D1" w:rsidRPr="00104227">
        <w:rPr>
          <w:lang w:val="en-US"/>
        </w:rPr>
        <w:t>in this regard</w:t>
      </w:r>
      <w:r w:rsidRPr="00104227">
        <w:rPr>
          <w:lang w:val="en-US"/>
        </w:rPr>
        <w:t>, even in the most favorable hypothesis for the superiors, the</w:t>
      </w:r>
      <w:r w:rsidR="00D773F2" w:rsidRPr="00104227">
        <w:rPr>
          <w:lang w:val="en-US"/>
        </w:rPr>
        <w:t xml:space="preserve"> said</w:t>
      </w:r>
      <w:r w:rsidRPr="00104227">
        <w:rPr>
          <w:lang w:val="en-US"/>
        </w:rPr>
        <w:t xml:space="preserve"> injuries were not </w:t>
      </w:r>
      <w:r w:rsidR="006823D1" w:rsidRPr="00104227">
        <w:rPr>
          <w:lang w:val="en-US"/>
        </w:rPr>
        <w:t>absorbed by</w:t>
      </w:r>
      <w:r w:rsidRPr="00104227">
        <w:rPr>
          <w:lang w:val="en-US"/>
        </w:rPr>
        <w:t xml:space="preserve"> any crime they might have committed that required violence. </w:t>
      </w:r>
    </w:p>
    <w:p w14:paraId="7AA0C056" w14:textId="77777777" w:rsidR="006823D1" w:rsidRPr="00104227" w:rsidRDefault="006823D1" w:rsidP="006823D1">
      <w:pPr>
        <w:rPr>
          <w:lang w:eastAsia="es-MX"/>
        </w:rPr>
      </w:pPr>
    </w:p>
    <w:p w14:paraId="00021486" w14:textId="687D40F2" w:rsidR="00BF44DD" w:rsidRPr="00104227" w:rsidRDefault="00137F7C" w:rsidP="0010589D">
      <w:pPr>
        <w:pStyle w:val="Numberedparagraphs"/>
        <w:tabs>
          <w:tab w:val="left" w:pos="567"/>
        </w:tabs>
        <w:rPr>
          <w:lang w:val="en-US"/>
        </w:rPr>
      </w:pPr>
      <w:r w:rsidRPr="00104227">
        <w:rPr>
          <w:lang w:val="en-US"/>
        </w:rPr>
        <w:t xml:space="preserve">Regarding the </w:t>
      </w:r>
      <w:r w:rsidR="001B4FBB" w:rsidRPr="00104227">
        <w:rPr>
          <w:lang w:val="en-US"/>
        </w:rPr>
        <w:t xml:space="preserve">State’s </w:t>
      </w:r>
      <w:r w:rsidRPr="00104227">
        <w:rPr>
          <w:lang w:val="en-US"/>
        </w:rPr>
        <w:t xml:space="preserve">conduct, the Court has no information </w:t>
      </w:r>
      <w:r w:rsidR="0010589D" w:rsidRPr="00104227">
        <w:rPr>
          <w:lang w:val="en-US"/>
        </w:rPr>
        <w:t>that, at this time, any investigation is underway or completed to determine the command responsibility of the superiors in charge of the operation, over and above the criminal action against the Deputy Director for Operations of the southern region of the state Security Agency that is currently underway</w:t>
      </w:r>
      <w:r w:rsidR="00BF44DD" w:rsidRPr="00104227">
        <w:rPr>
          <w:lang w:val="en-US"/>
        </w:rPr>
        <w:t xml:space="preserve"> (</w:t>
      </w:r>
      <w:r w:rsidR="00BF44DD" w:rsidRPr="00104227">
        <w:rPr>
          <w:i/>
          <w:lang w:val="en-US"/>
        </w:rPr>
        <w:t xml:space="preserve">supra </w:t>
      </w:r>
      <w:r w:rsidR="00BF5241" w:rsidRPr="00104227">
        <w:rPr>
          <w:lang w:val="en-US"/>
        </w:rPr>
        <w:t>para.</w:t>
      </w:r>
      <w:r w:rsidR="00BF44DD" w:rsidRPr="00104227">
        <w:rPr>
          <w:lang w:val="en-US"/>
        </w:rPr>
        <w:t xml:space="preserve"> </w:t>
      </w:r>
      <w:r w:rsidR="00D94928" w:rsidRPr="00104227">
        <w:rPr>
          <w:lang w:val="en-US"/>
        </w:rPr>
        <w:fldChar w:fldCharType="begin"/>
      </w:r>
      <w:r w:rsidR="00D94928" w:rsidRPr="00104227">
        <w:rPr>
          <w:lang w:val="en-US"/>
        </w:rPr>
        <w:instrText xml:space="preserve"> REF _Ref532971127 \r \h </w:instrText>
      </w:r>
      <w:r w:rsidR="00284EAE" w:rsidRPr="00104227">
        <w:rPr>
          <w:lang w:val="en-US"/>
        </w:rPr>
        <w:instrText xml:space="preserve"> \* MERGEFORMAT </w:instrText>
      </w:r>
      <w:r w:rsidR="00D94928" w:rsidRPr="00104227">
        <w:rPr>
          <w:lang w:val="en-US"/>
        </w:rPr>
      </w:r>
      <w:r w:rsidR="00D94928" w:rsidRPr="00104227">
        <w:rPr>
          <w:lang w:val="en-US"/>
        </w:rPr>
        <w:fldChar w:fldCharType="separate"/>
      </w:r>
      <w:r w:rsidR="004276BD">
        <w:rPr>
          <w:lang w:val="en-US"/>
        </w:rPr>
        <w:t>143</w:t>
      </w:r>
      <w:r w:rsidR="00D94928" w:rsidRPr="00104227">
        <w:rPr>
          <w:lang w:val="en-US"/>
        </w:rPr>
        <w:fldChar w:fldCharType="end"/>
      </w:r>
      <w:r w:rsidR="00BF44DD" w:rsidRPr="00104227">
        <w:rPr>
          <w:lang w:val="en-US"/>
        </w:rPr>
        <w:t xml:space="preserve">). </w:t>
      </w:r>
      <w:r w:rsidR="0010589D" w:rsidRPr="00104227">
        <w:rPr>
          <w:lang w:val="en-US"/>
        </w:rPr>
        <w:t xml:space="preserve">Although the </w:t>
      </w:r>
      <w:r w:rsidR="003F10B2" w:rsidRPr="00104227">
        <w:rPr>
          <w:lang w:val="en-US"/>
        </w:rPr>
        <w:t xml:space="preserve">State </w:t>
      </w:r>
      <w:r w:rsidR="0010589D" w:rsidRPr="00104227">
        <w:rPr>
          <w:lang w:val="en-US"/>
        </w:rPr>
        <w:t xml:space="preserve">argued that the command responsibility had been duly analyzed and discarded by </w:t>
      </w:r>
      <w:r w:rsidR="008F27D0" w:rsidRPr="00104227">
        <w:rPr>
          <w:lang w:val="en-US"/>
        </w:rPr>
        <w:t>the SCJN</w:t>
      </w:r>
      <w:r w:rsidR="00BF44DD" w:rsidRPr="00104227">
        <w:rPr>
          <w:lang w:val="en-US"/>
        </w:rPr>
        <w:t xml:space="preserve"> </w:t>
      </w:r>
      <w:r w:rsidR="0010589D" w:rsidRPr="00104227">
        <w:rPr>
          <w:lang w:val="en-US"/>
        </w:rPr>
        <w:t xml:space="preserve">during its investigation into the events of May 3 and 4, the Court considers that the said investigation was not sufficient to comply with the obligation </w:t>
      </w:r>
      <w:r w:rsidR="005E5DCC" w:rsidRPr="00104227">
        <w:rPr>
          <w:lang w:val="en-US"/>
        </w:rPr>
        <w:t>to investigate</w:t>
      </w:r>
      <w:r w:rsidR="00BF44DD" w:rsidRPr="00104227">
        <w:rPr>
          <w:lang w:val="en-US"/>
        </w:rPr>
        <w:t xml:space="preserve"> </w:t>
      </w:r>
      <w:r w:rsidR="0010589D" w:rsidRPr="00104227">
        <w:rPr>
          <w:lang w:val="en-US"/>
        </w:rPr>
        <w:t>all those responsible. This is because it was not a jurisdictional procedure with the ability to determine criminal responsibilities and the judgment itself established the need to continue investigating those possibly responsible.</w:t>
      </w:r>
      <w:r w:rsidR="0010589D" w:rsidRPr="00104227">
        <w:rPr>
          <w:rStyle w:val="Refdenotaalpie"/>
          <w:lang w:val="en-US"/>
        </w:rPr>
        <w:footnoteReference w:id="413"/>
      </w:r>
      <w:r w:rsidR="0010589D" w:rsidRPr="00104227">
        <w:rPr>
          <w:lang w:val="en-US"/>
        </w:rPr>
        <w:t xml:space="preserve"> In addition, although the SCJN ruled out</w:t>
      </w:r>
      <w:r w:rsidR="00D773F2" w:rsidRPr="00104227">
        <w:rPr>
          <w:lang w:val="en-US"/>
        </w:rPr>
        <w:t xml:space="preserve"> </w:t>
      </w:r>
      <w:r w:rsidR="00E94E6C" w:rsidRPr="00104227">
        <w:rPr>
          <w:lang w:val="en-US"/>
        </w:rPr>
        <w:t>the existence of</w:t>
      </w:r>
      <w:r w:rsidR="0010589D" w:rsidRPr="00104227">
        <w:rPr>
          <w:lang w:val="en-US"/>
        </w:rPr>
        <w:t xml:space="preserve"> sufficient evidence of express orders by the authorities to attack those present, this Court notes that: (i) responsibility for the crime of torture may arise not only from the issue of orders, but also, as mentioned above, by instigation, incitement, or when, being in a position to prevent it, this is not done; (ii) the orders may be implicit rather than explicit,</w:t>
      </w:r>
      <w:r w:rsidR="00BF44DD" w:rsidRPr="00104227">
        <w:rPr>
          <w:rStyle w:val="Refdenotaalpie"/>
          <w:lang w:val="en-US"/>
        </w:rPr>
        <w:footnoteReference w:id="414"/>
      </w:r>
      <w:r w:rsidR="00BF5241" w:rsidRPr="00104227">
        <w:rPr>
          <w:lang w:val="en-US"/>
        </w:rPr>
        <w:t xml:space="preserve"> and </w:t>
      </w:r>
      <w:r w:rsidR="00BF44DD" w:rsidRPr="00104227">
        <w:rPr>
          <w:lang w:val="en-US"/>
        </w:rPr>
        <w:t xml:space="preserve">(iii) </w:t>
      </w:r>
      <w:r w:rsidR="0010589D" w:rsidRPr="00104227">
        <w:rPr>
          <w:lang w:val="en-US"/>
        </w:rPr>
        <w:t>the instructions may not necessarily be criminal in themselves; rather, it is sufficient that there is a substantial probability that crimes are committed in the execution of the instruction.</w:t>
      </w:r>
      <w:r w:rsidR="00BF44DD" w:rsidRPr="00104227">
        <w:rPr>
          <w:rStyle w:val="Refdenotaalpie"/>
          <w:lang w:val="en-US"/>
        </w:rPr>
        <w:footnoteReference w:id="415"/>
      </w:r>
      <w:r w:rsidR="0010589D" w:rsidRPr="00104227">
        <w:rPr>
          <w:lang w:val="en-US"/>
        </w:rPr>
        <w:t xml:space="preserve"> None of these circumstances were ruled out by</w:t>
      </w:r>
      <w:r w:rsidR="00BF44DD" w:rsidRPr="00104227">
        <w:rPr>
          <w:lang w:val="en-US"/>
        </w:rPr>
        <w:t xml:space="preserve"> </w:t>
      </w:r>
      <w:r w:rsidR="008F27D0" w:rsidRPr="00104227">
        <w:rPr>
          <w:lang w:val="en-US"/>
        </w:rPr>
        <w:t>the SCJN</w:t>
      </w:r>
      <w:r w:rsidR="00BF44DD" w:rsidRPr="00104227">
        <w:rPr>
          <w:lang w:val="en-US"/>
        </w:rPr>
        <w:t>.</w:t>
      </w:r>
      <w:r w:rsidR="00C726C5" w:rsidRPr="00104227">
        <w:rPr>
          <w:lang w:val="en-US"/>
        </w:rPr>
        <w:t xml:space="preserve"> </w:t>
      </w:r>
    </w:p>
    <w:p w14:paraId="14EB2E9B" w14:textId="77777777" w:rsidR="00767CFB" w:rsidRPr="00104227" w:rsidRDefault="00767CFB" w:rsidP="00E4619F">
      <w:pPr>
        <w:pStyle w:val="Numberedparagraphs"/>
        <w:numPr>
          <w:ilvl w:val="0"/>
          <w:numId w:val="0"/>
        </w:numPr>
        <w:tabs>
          <w:tab w:val="left" w:pos="567"/>
        </w:tabs>
        <w:rPr>
          <w:lang w:val="en-US"/>
        </w:rPr>
      </w:pPr>
    </w:p>
    <w:p w14:paraId="2BD01AD3" w14:textId="4858A489" w:rsidR="00767CFB" w:rsidRPr="00104227" w:rsidRDefault="00885A57" w:rsidP="00E4619F">
      <w:pPr>
        <w:pStyle w:val="Numberedparagraphs"/>
        <w:tabs>
          <w:tab w:val="left" w:pos="567"/>
        </w:tabs>
        <w:rPr>
          <w:lang w:val="en-US"/>
        </w:rPr>
      </w:pPr>
      <w:r w:rsidRPr="00104227">
        <w:rPr>
          <w:lang w:val="en-US"/>
        </w:rPr>
        <w:t xml:space="preserve">Furthermore, the </w:t>
      </w:r>
      <w:r w:rsidR="003F10B2" w:rsidRPr="00104227">
        <w:rPr>
          <w:lang w:val="en-US"/>
        </w:rPr>
        <w:t xml:space="preserve">State </w:t>
      </w:r>
      <w:r w:rsidRPr="00104227">
        <w:rPr>
          <w:lang w:val="en-US"/>
        </w:rPr>
        <w:t xml:space="preserve">did not initiate any investigation into the possible responsibility by intention of the authorities owing to their conduct following the events. The subsequent declarations affirming that the victims’ complaints were false and were merely tactical inventions of “members of the guerrilla” </w:t>
      </w:r>
      <w:r w:rsidR="00767CFB" w:rsidRPr="00104227">
        <w:rPr>
          <w:lang w:val="en-US"/>
        </w:rPr>
        <w:t>(</w:t>
      </w:r>
      <w:r w:rsidR="00767CFB" w:rsidRPr="00104227">
        <w:rPr>
          <w:i/>
          <w:lang w:val="en-US"/>
        </w:rPr>
        <w:t xml:space="preserve">supra </w:t>
      </w:r>
      <w:r w:rsidR="00767CFB" w:rsidRPr="00104227">
        <w:rPr>
          <w:lang w:val="en-US"/>
        </w:rPr>
        <w:t>par</w:t>
      </w:r>
      <w:r w:rsidR="00E94E6C" w:rsidRPr="00104227">
        <w:rPr>
          <w:lang w:val="en-US"/>
        </w:rPr>
        <w:t>as</w:t>
      </w:r>
      <w:r w:rsidR="00767CFB" w:rsidRPr="00104227">
        <w:rPr>
          <w:lang w:val="en-US"/>
        </w:rPr>
        <w:t xml:space="preserve">. </w:t>
      </w:r>
      <w:r w:rsidR="00767CFB" w:rsidRPr="00104227">
        <w:rPr>
          <w:lang w:val="en-US"/>
        </w:rPr>
        <w:fldChar w:fldCharType="begin"/>
      </w:r>
      <w:r w:rsidR="00767CFB" w:rsidRPr="00104227">
        <w:rPr>
          <w:lang w:val="en-US"/>
        </w:rPr>
        <w:instrText xml:space="preserve"> REF _Ref528949566 \r \h </w:instrText>
      </w:r>
      <w:r w:rsidR="004B326D" w:rsidRPr="00104227">
        <w:rPr>
          <w:lang w:val="en-US"/>
        </w:rPr>
        <w:instrText xml:space="preserve"> \* MERGEFORMAT </w:instrText>
      </w:r>
      <w:r w:rsidR="00767CFB" w:rsidRPr="00104227">
        <w:rPr>
          <w:lang w:val="en-US"/>
        </w:rPr>
      </w:r>
      <w:r w:rsidR="00767CFB" w:rsidRPr="00104227">
        <w:rPr>
          <w:lang w:val="en-US"/>
        </w:rPr>
        <w:fldChar w:fldCharType="separate"/>
      </w:r>
      <w:r w:rsidR="004276BD">
        <w:rPr>
          <w:lang w:val="en-US"/>
        </w:rPr>
        <w:t>73</w:t>
      </w:r>
      <w:r w:rsidR="00767CFB" w:rsidRPr="00104227">
        <w:rPr>
          <w:lang w:val="en-US"/>
        </w:rPr>
        <w:fldChar w:fldCharType="end"/>
      </w:r>
      <w:r w:rsidR="00BF5241" w:rsidRPr="00104227">
        <w:rPr>
          <w:lang w:val="en-US"/>
        </w:rPr>
        <w:t xml:space="preserve"> and </w:t>
      </w:r>
      <w:r w:rsidR="00767CFB" w:rsidRPr="00104227">
        <w:rPr>
          <w:lang w:val="en-US"/>
        </w:rPr>
        <w:fldChar w:fldCharType="begin"/>
      </w:r>
      <w:r w:rsidR="00767CFB" w:rsidRPr="00104227">
        <w:rPr>
          <w:lang w:val="en-US"/>
        </w:rPr>
        <w:instrText xml:space="preserve"> REF _Ref528949573 \r \h </w:instrText>
      </w:r>
      <w:r w:rsidR="004B326D" w:rsidRPr="00104227">
        <w:rPr>
          <w:lang w:val="en-US"/>
        </w:rPr>
        <w:instrText xml:space="preserve"> \* MERGEFORMAT </w:instrText>
      </w:r>
      <w:r w:rsidR="00767CFB" w:rsidRPr="00104227">
        <w:rPr>
          <w:lang w:val="en-US"/>
        </w:rPr>
      </w:r>
      <w:r w:rsidR="00767CFB" w:rsidRPr="00104227">
        <w:rPr>
          <w:lang w:val="en-US"/>
        </w:rPr>
        <w:fldChar w:fldCharType="separate"/>
      </w:r>
      <w:r w:rsidR="004276BD">
        <w:rPr>
          <w:lang w:val="en-US"/>
        </w:rPr>
        <w:t>74</w:t>
      </w:r>
      <w:r w:rsidR="00767CFB" w:rsidRPr="00104227">
        <w:rPr>
          <w:lang w:val="en-US"/>
        </w:rPr>
        <w:fldChar w:fldCharType="end"/>
      </w:r>
      <w:r w:rsidR="00767CFB" w:rsidRPr="00104227">
        <w:rPr>
          <w:lang w:val="en-US"/>
        </w:rPr>
        <w:t>)</w:t>
      </w:r>
      <w:r w:rsidRPr="00104227">
        <w:rPr>
          <w:lang w:val="en-US"/>
        </w:rPr>
        <w:t xml:space="preserve"> </w:t>
      </w:r>
      <w:r w:rsidR="00E94E6C" w:rsidRPr="00104227">
        <w:rPr>
          <w:lang w:val="en-US"/>
        </w:rPr>
        <w:t>provided</w:t>
      </w:r>
      <w:r w:rsidRPr="00104227">
        <w:rPr>
          <w:lang w:val="en-US"/>
        </w:rPr>
        <w:t xml:space="preserve"> sufficient evidence to open the investigation of a possible offense against the administration of justice; in other words, of a po</w:t>
      </w:r>
      <w:r w:rsidR="00E94E6C" w:rsidRPr="00104227">
        <w:rPr>
          <w:lang w:val="en-US"/>
        </w:rPr>
        <w:t>s</w:t>
      </w:r>
      <w:r w:rsidRPr="00104227">
        <w:rPr>
          <w:lang w:val="en-US"/>
        </w:rPr>
        <w:t xml:space="preserve">sible offense of concealment, </w:t>
      </w:r>
      <w:r w:rsidR="00E94E6C" w:rsidRPr="00104227">
        <w:rPr>
          <w:lang w:val="en-US"/>
        </w:rPr>
        <w:t>and this</w:t>
      </w:r>
      <w:r w:rsidRPr="00104227">
        <w:rPr>
          <w:lang w:val="en-US"/>
        </w:rPr>
        <w:t xml:space="preserve"> arises from the </w:t>
      </w:r>
      <w:r w:rsidR="008F27D0" w:rsidRPr="00104227">
        <w:rPr>
          <w:lang w:val="en-US"/>
        </w:rPr>
        <w:t>SCJN</w:t>
      </w:r>
      <w:r w:rsidR="00E94E6C" w:rsidRPr="00104227">
        <w:rPr>
          <w:lang w:val="en-US"/>
        </w:rPr>
        <w:t>’s observations</w:t>
      </w:r>
      <w:r w:rsidRPr="00104227">
        <w:rPr>
          <w:lang w:val="en-US"/>
        </w:rPr>
        <w:t>.</w:t>
      </w:r>
      <w:r w:rsidR="00767CFB" w:rsidRPr="00104227">
        <w:rPr>
          <w:rStyle w:val="Refdenotaalpie"/>
          <w:lang w:val="en-US"/>
        </w:rPr>
        <w:footnoteReference w:id="416"/>
      </w:r>
      <w:r w:rsidR="00767CFB" w:rsidRPr="00104227">
        <w:rPr>
          <w:lang w:val="en-US"/>
        </w:rPr>
        <w:t xml:space="preserve"> </w:t>
      </w:r>
      <w:r w:rsidRPr="00104227">
        <w:rPr>
          <w:lang w:val="en-US"/>
        </w:rPr>
        <w:t xml:space="preserve">Evidently, only one of these investigations was required, because if responsibility for the facts was found, then the offense of concealment would be ruled out. </w:t>
      </w:r>
    </w:p>
    <w:p w14:paraId="78872108" w14:textId="77777777" w:rsidR="00DA71E5" w:rsidRPr="00104227" w:rsidRDefault="00DA71E5" w:rsidP="00E4619F">
      <w:pPr>
        <w:tabs>
          <w:tab w:val="left" w:pos="567"/>
        </w:tabs>
        <w:rPr>
          <w:lang w:eastAsia="es-MX"/>
        </w:rPr>
      </w:pPr>
    </w:p>
    <w:p w14:paraId="6ADA06AF" w14:textId="6066FA1E" w:rsidR="00BF44DD" w:rsidRPr="00104227" w:rsidRDefault="000D2BEA" w:rsidP="00E4619F">
      <w:pPr>
        <w:pStyle w:val="Numberedparagraphs"/>
        <w:tabs>
          <w:tab w:val="left" w:pos="567"/>
        </w:tabs>
        <w:rPr>
          <w:lang w:val="en-US"/>
        </w:rPr>
      </w:pPr>
      <w:r w:rsidRPr="00104227">
        <w:rPr>
          <w:lang w:val="en-US"/>
        </w:rPr>
        <w:t>Therefore, in light of the fact that:</w:t>
      </w:r>
      <w:r w:rsidR="00BF44DD" w:rsidRPr="00104227">
        <w:rPr>
          <w:lang w:val="en-US"/>
        </w:rPr>
        <w:t xml:space="preserve"> (i) </w:t>
      </w:r>
      <w:r w:rsidRPr="00104227">
        <w:rPr>
          <w:lang w:val="en-US"/>
        </w:rPr>
        <w:t>the investigations conduc</w:t>
      </w:r>
      <w:r w:rsidR="00F27D61" w:rsidRPr="00104227">
        <w:rPr>
          <w:lang w:val="en-US"/>
        </w:rPr>
        <w:t>te</w:t>
      </w:r>
      <w:r w:rsidRPr="00104227">
        <w:rPr>
          <w:lang w:val="en-US"/>
        </w:rPr>
        <w:t xml:space="preserve">d by the </w:t>
      </w:r>
      <w:r w:rsidR="003F10B2" w:rsidRPr="00104227">
        <w:rPr>
          <w:lang w:val="en-US"/>
        </w:rPr>
        <w:t xml:space="preserve">State </w:t>
      </w:r>
      <w:r w:rsidRPr="00104227">
        <w:rPr>
          <w:lang w:val="en-US"/>
        </w:rPr>
        <w:t xml:space="preserve">were limited to the participation of state agents, when there was </w:t>
      </w:r>
      <w:r w:rsidR="00F27D61" w:rsidRPr="00104227">
        <w:rPr>
          <w:lang w:val="en-US"/>
        </w:rPr>
        <w:t>evidence</w:t>
      </w:r>
      <w:r w:rsidRPr="00104227">
        <w:rPr>
          <w:lang w:val="en-US"/>
        </w:rPr>
        <w:t xml:space="preserve"> of the participation of federal agents, and (ii) no investigation was conducted into all the possible forms of individual responsibility for the acts of torture that are established in </w:t>
      </w:r>
      <w:r w:rsidR="00BF5241" w:rsidRPr="00104227">
        <w:rPr>
          <w:lang w:val="en-US"/>
        </w:rPr>
        <w:t xml:space="preserve">the </w:t>
      </w:r>
      <w:r w:rsidR="007E2382" w:rsidRPr="00104227">
        <w:rPr>
          <w:lang w:val="en-US"/>
        </w:rPr>
        <w:t>Inter-American Convention against Torture</w:t>
      </w:r>
      <w:r w:rsidR="00BF44DD" w:rsidRPr="00104227">
        <w:rPr>
          <w:lang w:val="en-US"/>
        </w:rPr>
        <w:t>, inclu</w:t>
      </w:r>
      <w:r w:rsidRPr="00104227">
        <w:rPr>
          <w:lang w:val="en-US"/>
        </w:rPr>
        <w:t xml:space="preserve">ding command responsibility, despite the existence of </w:t>
      </w:r>
      <w:r w:rsidR="00E94E6C" w:rsidRPr="00104227">
        <w:rPr>
          <w:lang w:val="en-US"/>
        </w:rPr>
        <w:t>evidence</w:t>
      </w:r>
      <w:r w:rsidRPr="00104227">
        <w:rPr>
          <w:lang w:val="en-US"/>
        </w:rPr>
        <w:t xml:space="preserve"> in this regard, the Court finds that the State failed to investigate all the possible criminal responsibilities and did not follow all the logical lines of investigation, thus failing to comply with its </w:t>
      </w:r>
      <w:r w:rsidR="00AB2F3C" w:rsidRPr="00104227">
        <w:rPr>
          <w:lang w:val="en-US"/>
        </w:rPr>
        <w:t>duty</w:t>
      </w:r>
      <w:r w:rsidRPr="00104227">
        <w:rPr>
          <w:lang w:val="en-US"/>
        </w:rPr>
        <w:t xml:space="preserve"> to investigate with due diligence.</w:t>
      </w:r>
      <w:r w:rsidR="00BF44DD" w:rsidRPr="00104227">
        <w:rPr>
          <w:rStyle w:val="Refdenotaalpie"/>
          <w:lang w:val="en-US"/>
        </w:rPr>
        <w:footnoteReference w:id="417"/>
      </w:r>
      <w:r w:rsidR="00BF44DD" w:rsidRPr="00104227">
        <w:rPr>
          <w:lang w:val="en-US"/>
        </w:rPr>
        <w:t xml:space="preserve"> </w:t>
      </w:r>
    </w:p>
    <w:p w14:paraId="493F55A5" w14:textId="77777777" w:rsidR="00BF44DD" w:rsidRPr="00104227" w:rsidRDefault="00BF44DD" w:rsidP="00E4619F">
      <w:pPr>
        <w:tabs>
          <w:tab w:val="left" w:pos="567"/>
        </w:tabs>
      </w:pPr>
    </w:p>
    <w:p w14:paraId="1DC57C20" w14:textId="2F09E414" w:rsidR="00BF44DD" w:rsidRPr="00104227" w:rsidRDefault="00C0103D" w:rsidP="00E4619F">
      <w:pPr>
        <w:pStyle w:val="Prrafodelista"/>
        <w:numPr>
          <w:ilvl w:val="0"/>
          <w:numId w:val="0"/>
        </w:numPr>
        <w:tabs>
          <w:tab w:val="left" w:pos="567"/>
        </w:tabs>
        <w:ind w:left="1080"/>
        <w:rPr>
          <w:u w:val="single"/>
          <w:lang w:eastAsia="es-MX"/>
        </w:rPr>
      </w:pPr>
      <w:r w:rsidRPr="00104227">
        <w:rPr>
          <w:u w:val="single"/>
          <w:lang w:eastAsia="es-MX"/>
        </w:rPr>
        <w:t>B.1</w:t>
      </w:r>
      <w:r w:rsidR="00BF44DD" w:rsidRPr="00104227">
        <w:rPr>
          <w:u w:val="single"/>
          <w:lang w:eastAsia="es-MX"/>
        </w:rPr>
        <w:t xml:space="preserve">.4 </w:t>
      </w:r>
      <w:r w:rsidR="000948A4" w:rsidRPr="00104227">
        <w:rPr>
          <w:u w:val="single"/>
          <w:lang w:eastAsia="es-MX"/>
        </w:rPr>
        <w:t>Conclusion</w:t>
      </w:r>
      <w:r w:rsidR="00BF44DD" w:rsidRPr="00104227">
        <w:rPr>
          <w:u w:val="single"/>
          <w:lang w:eastAsia="es-MX"/>
        </w:rPr>
        <w:t xml:space="preserve"> </w:t>
      </w:r>
      <w:r w:rsidR="000D2BEA" w:rsidRPr="00104227">
        <w:rPr>
          <w:u w:val="single"/>
          <w:lang w:eastAsia="es-MX"/>
        </w:rPr>
        <w:t xml:space="preserve">concerning the </w:t>
      </w:r>
      <w:r w:rsidR="00AB2F3C" w:rsidRPr="00104227">
        <w:rPr>
          <w:u w:val="single"/>
          <w:lang w:eastAsia="es-MX"/>
        </w:rPr>
        <w:t>duty</w:t>
      </w:r>
      <w:r w:rsidR="000D2BEA" w:rsidRPr="00104227">
        <w:rPr>
          <w:u w:val="single"/>
          <w:lang w:eastAsia="es-MX"/>
        </w:rPr>
        <w:t xml:space="preserve"> to investigate with due diligence</w:t>
      </w:r>
    </w:p>
    <w:p w14:paraId="3C37A1A8" w14:textId="77777777" w:rsidR="00BF44DD" w:rsidRPr="00104227" w:rsidRDefault="00BF44DD" w:rsidP="00E4619F">
      <w:pPr>
        <w:tabs>
          <w:tab w:val="left" w:pos="567"/>
        </w:tabs>
      </w:pPr>
    </w:p>
    <w:p w14:paraId="3D416F31" w14:textId="78EB908D" w:rsidR="00BF44DD" w:rsidRPr="00104227" w:rsidRDefault="001B4FBB" w:rsidP="00E4619F">
      <w:pPr>
        <w:pStyle w:val="Numberedparagraphs"/>
        <w:tabs>
          <w:tab w:val="left" w:pos="567"/>
        </w:tabs>
        <w:rPr>
          <w:lang w:val="en-US"/>
        </w:rPr>
      </w:pPr>
      <w:r w:rsidRPr="00104227">
        <w:rPr>
          <w:lang w:val="en-US"/>
        </w:rPr>
        <w:t xml:space="preserve">Based on the acknowledgement of responsibility, as well as the findings in this judgment, the Court concludes that, owing to the initial flaws in the investigation, the failure to assess the evidence presented to the FEVIM by </w:t>
      </w:r>
      <w:r w:rsidR="003A1A4B" w:rsidRPr="00104227">
        <w:rPr>
          <w:lang w:val="en-US"/>
        </w:rPr>
        <w:t>the women</w:t>
      </w:r>
      <w:r w:rsidR="00BF44DD" w:rsidRPr="00104227">
        <w:rPr>
          <w:lang w:val="en-US"/>
        </w:rPr>
        <w:t xml:space="preserve"> </w:t>
      </w:r>
      <w:r w:rsidR="00EF03E5" w:rsidRPr="00104227">
        <w:rPr>
          <w:lang w:val="en-US"/>
        </w:rPr>
        <w:t>victims in this case</w:t>
      </w:r>
      <w:r w:rsidR="00BF44DD" w:rsidRPr="00104227">
        <w:rPr>
          <w:lang w:val="en-US"/>
        </w:rPr>
        <w:t xml:space="preserve">, </w:t>
      </w:r>
      <w:r w:rsidRPr="00104227">
        <w:rPr>
          <w:lang w:val="en-US"/>
        </w:rPr>
        <w:t xml:space="preserve">and also the failure to investigate all those who were possibly criminally responsible and to follow logical lines of investigation, </w:t>
      </w:r>
      <w:r w:rsidR="00AC3BFC" w:rsidRPr="00104227">
        <w:rPr>
          <w:kern w:val="2"/>
          <w:lang w:val="en-US"/>
        </w:rPr>
        <w:t>the Mexican State</w:t>
      </w:r>
      <w:r w:rsidR="00BF44DD" w:rsidRPr="00104227">
        <w:rPr>
          <w:kern w:val="2"/>
          <w:lang w:val="en-US"/>
        </w:rPr>
        <w:t xml:space="preserve"> </w:t>
      </w:r>
      <w:r w:rsidRPr="00104227">
        <w:rPr>
          <w:kern w:val="2"/>
          <w:lang w:val="en-US"/>
        </w:rPr>
        <w:t xml:space="preserve">did not act with the due diligence required of investigations into the </w:t>
      </w:r>
      <w:r w:rsidR="00BC5201" w:rsidRPr="00104227">
        <w:rPr>
          <w:kern w:val="2"/>
          <w:lang w:val="en-US"/>
        </w:rPr>
        <w:t>torture</w:t>
      </w:r>
      <w:r w:rsidR="00BF5241" w:rsidRPr="00104227">
        <w:rPr>
          <w:kern w:val="2"/>
          <w:lang w:val="en-US"/>
        </w:rPr>
        <w:t xml:space="preserve"> and </w:t>
      </w:r>
      <w:r w:rsidR="00D25554" w:rsidRPr="00104227">
        <w:rPr>
          <w:kern w:val="2"/>
          <w:lang w:val="en-US"/>
        </w:rPr>
        <w:t>sexual violence</w:t>
      </w:r>
      <w:r w:rsidR="00BF44DD" w:rsidRPr="00104227">
        <w:rPr>
          <w:kern w:val="2"/>
          <w:lang w:val="en-US"/>
        </w:rPr>
        <w:t xml:space="preserve"> </w:t>
      </w:r>
      <w:r w:rsidRPr="00104227">
        <w:rPr>
          <w:kern w:val="2"/>
          <w:lang w:val="en-US"/>
        </w:rPr>
        <w:t>suffered by</w:t>
      </w:r>
      <w:r w:rsidR="00BF44DD" w:rsidRPr="00104227">
        <w:rPr>
          <w:kern w:val="2"/>
          <w:lang w:val="en-US"/>
        </w:rPr>
        <w:t xml:space="preserve"> </w:t>
      </w:r>
      <w:r w:rsidR="00F12946" w:rsidRPr="00104227">
        <w:rPr>
          <w:kern w:val="2"/>
          <w:lang w:val="en-US"/>
        </w:rPr>
        <w:t>the eleven women</w:t>
      </w:r>
      <w:r w:rsidR="00BF44DD" w:rsidRPr="00104227">
        <w:rPr>
          <w:kern w:val="2"/>
          <w:lang w:val="en-US"/>
        </w:rPr>
        <w:t xml:space="preserve"> </w:t>
      </w:r>
      <w:r w:rsidR="00844C80" w:rsidRPr="00104227">
        <w:rPr>
          <w:kern w:val="2"/>
          <w:lang w:val="en-US"/>
        </w:rPr>
        <w:t>victims in this case</w:t>
      </w:r>
      <w:r w:rsidR="00BF44DD" w:rsidRPr="00104227">
        <w:rPr>
          <w:kern w:val="2"/>
          <w:lang w:val="en-US"/>
        </w:rPr>
        <w:t xml:space="preserve">. </w:t>
      </w:r>
    </w:p>
    <w:p w14:paraId="12537761" w14:textId="77777777" w:rsidR="00BF44DD" w:rsidRPr="00104227" w:rsidRDefault="00BF44DD" w:rsidP="00E4619F">
      <w:pPr>
        <w:tabs>
          <w:tab w:val="left" w:pos="567"/>
        </w:tabs>
      </w:pPr>
    </w:p>
    <w:p w14:paraId="27179024" w14:textId="7B3CE3BC" w:rsidR="00BF44DD" w:rsidRPr="00104227" w:rsidRDefault="00C41C69" w:rsidP="00E4619F">
      <w:pPr>
        <w:pStyle w:val="Ttulo3"/>
        <w:tabs>
          <w:tab w:val="left" w:pos="567"/>
        </w:tabs>
        <w:rPr>
          <w:lang w:val="en-US"/>
        </w:rPr>
      </w:pPr>
      <w:bookmarkStart w:id="350" w:name="_Toc31290607"/>
      <w:r w:rsidRPr="00104227">
        <w:rPr>
          <w:lang w:val="en-US"/>
        </w:rPr>
        <w:t>B.2</w:t>
      </w:r>
      <w:r w:rsidR="00BF44DD" w:rsidRPr="00104227">
        <w:rPr>
          <w:lang w:val="en-US"/>
        </w:rPr>
        <w:t xml:space="preserve"> </w:t>
      </w:r>
      <w:r w:rsidR="005E5DCC" w:rsidRPr="00104227">
        <w:rPr>
          <w:lang w:val="en-US"/>
        </w:rPr>
        <w:t>Reasonable time</w:t>
      </w:r>
      <w:bookmarkEnd w:id="350"/>
      <w:r w:rsidR="00BF44DD" w:rsidRPr="00104227">
        <w:rPr>
          <w:lang w:val="en-US"/>
        </w:rPr>
        <w:t xml:space="preserve"> </w:t>
      </w:r>
    </w:p>
    <w:p w14:paraId="4E018EFE" w14:textId="77777777" w:rsidR="00BF44DD" w:rsidRPr="00104227" w:rsidRDefault="00BF44DD" w:rsidP="00E4619F">
      <w:pPr>
        <w:tabs>
          <w:tab w:val="left" w:pos="567"/>
        </w:tabs>
      </w:pPr>
    </w:p>
    <w:p w14:paraId="2CD77EEA" w14:textId="307B7A23" w:rsidR="00BF44DD" w:rsidRPr="00104227" w:rsidRDefault="00BF5241" w:rsidP="00E4619F">
      <w:pPr>
        <w:pStyle w:val="Numberedparagraphs"/>
        <w:tabs>
          <w:tab w:val="left" w:pos="567"/>
        </w:tabs>
        <w:rPr>
          <w:lang w:val="en-US"/>
        </w:rPr>
      </w:pPr>
      <w:r w:rsidRPr="00104227">
        <w:rPr>
          <w:lang w:val="en-US"/>
        </w:rPr>
        <w:t xml:space="preserve">The Commission and </w:t>
      </w:r>
      <w:r w:rsidR="002826A6" w:rsidRPr="00104227">
        <w:rPr>
          <w:lang w:val="en-US"/>
        </w:rPr>
        <w:t>the representatives</w:t>
      </w:r>
      <w:r w:rsidR="00BF44DD" w:rsidRPr="00104227">
        <w:rPr>
          <w:lang w:val="en-US"/>
        </w:rPr>
        <w:t xml:space="preserve"> a</w:t>
      </w:r>
      <w:r w:rsidR="00252F89" w:rsidRPr="00104227">
        <w:rPr>
          <w:lang w:val="en-US"/>
        </w:rPr>
        <w:t xml:space="preserve">rgued that </w:t>
      </w:r>
      <w:r w:rsidR="00AC3BFC" w:rsidRPr="00104227">
        <w:rPr>
          <w:lang w:val="en-US"/>
        </w:rPr>
        <w:t>the State</w:t>
      </w:r>
      <w:r w:rsidR="00BF44DD" w:rsidRPr="00104227">
        <w:rPr>
          <w:lang w:val="en-US"/>
        </w:rPr>
        <w:t xml:space="preserve"> ha</w:t>
      </w:r>
      <w:r w:rsidR="00252F89" w:rsidRPr="00104227">
        <w:rPr>
          <w:lang w:val="en-US"/>
        </w:rPr>
        <w:t>d violated the r</w:t>
      </w:r>
      <w:r w:rsidR="005E5DCC" w:rsidRPr="00104227">
        <w:rPr>
          <w:lang w:val="en-US"/>
        </w:rPr>
        <w:t>easonable time</w:t>
      </w:r>
      <w:r w:rsidR="00BF44DD" w:rsidRPr="00104227">
        <w:rPr>
          <w:lang w:val="en-US"/>
        </w:rPr>
        <w:t xml:space="preserve"> establ</w:t>
      </w:r>
      <w:r w:rsidR="00252F89" w:rsidRPr="00104227">
        <w:rPr>
          <w:lang w:val="en-US"/>
        </w:rPr>
        <w:t>ished in</w:t>
      </w:r>
      <w:r w:rsidR="00BF44DD" w:rsidRPr="00104227">
        <w:rPr>
          <w:lang w:val="en-US"/>
        </w:rPr>
        <w:t xml:space="preserve"> </w:t>
      </w:r>
      <w:r w:rsidRPr="00104227">
        <w:rPr>
          <w:lang w:val="en-US"/>
        </w:rPr>
        <w:t>Article</w:t>
      </w:r>
      <w:r w:rsidR="00BF44DD" w:rsidRPr="00104227">
        <w:rPr>
          <w:lang w:val="en-US"/>
        </w:rPr>
        <w:t xml:space="preserve"> </w:t>
      </w:r>
      <w:r w:rsidR="0094395C" w:rsidRPr="00104227">
        <w:rPr>
          <w:lang w:val="en-US"/>
        </w:rPr>
        <w:t>8(1)</w:t>
      </w:r>
      <w:r w:rsidR="00BF44DD" w:rsidRPr="00104227">
        <w:rPr>
          <w:lang w:val="en-US"/>
        </w:rPr>
        <w:t xml:space="preserve">. </w:t>
      </w:r>
      <w:r w:rsidR="00252F89" w:rsidRPr="00104227">
        <w:rPr>
          <w:lang w:val="en-US"/>
        </w:rPr>
        <w:t>In this regard</w:t>
      </w:r>
      <w:r w:rsidR="00BF44DD" w:rsidRPr="00104227">
        <w:rPr>
          <w:lang w:val="en-US"/>
        </w:rPr>
        <w:t xml:space="preserve">, </w:t>
      </w:r>
      <w:r w:rsidRPr="00104227">
        <w:rPr>
          <w:lang w:val="en-US"/>
        </w:rPr>
        <w:t>th</w:t>
      </w:r>
      <w:r w:rsidR="00252F89" w:rsidRPr="00104227">
        <w:rPr>
          <w:lang w:val="en-US"/>
        </w:rPr>
        <w:t>e</w:t>
      </w:r>
      <w:r w:rsidRPr="00104227">
        <w:rPr>
          <w:lang w:val="en-US"/>
        </w:rPr>
        <w:t xml:space="preserve"> Court</w:t>
      </w:r>
      <w:r w:rsidR="00BF44DD" w:rsidRPr="00104227">
        <w:rPr>
          <w:lang w:val="en-US"/>
        </w:rPr>
        <w:t xml:space="preserve"> ha</w:t>
      </w:r>
      <w:r w:rsidR="00252F89" w:rsidRPr="00104227">
        <w:rPr>
          <w:lang w:val="en-US"/>
        </w:rPr>
        <w:t>s reiterated that the</w:t>
      </w:r>
      <w:r w:rsidR="00BF44DD" w:rsidRPr="00104227">
        <w:rPr>
          <w:lang w:val="en-US"/>
        </w:rPr>
        <w:t xml:space="preserve"> </w:t>
      </w:r>
      <w:r w:rsidR="00252F89" w:rsidRPr="00104227">
        <w:rPr>
          <w:lang w:val="en-US"/>
        </w:rPr>
        <w:t>r</w:t>
      </w:r>
      <w:r w:rsidR="005E5DCC" w:rsidRPr="00104227">
        <w:rPr>
          <w:lang w:val="en-US"/>
        </w:rPr>
        <w:t>easonable time</w:t>
      </w:r>
      <w:r w:rsidR="00BF44DD" w:rsidRPr="00104227">
        <w:rPr>
          <w:lang w:val="en-US"/>
        </w:rPr>
        <w:t xml:space="preserve"> </w:t>
      </w:r>
      <w:r w:rsidR="00252F89" w:rsidRPr="00104227">
        <w:rPr>
          <w:lang w:val="en-US"/>
        </w:rPr>
        <w:t>should be examined in each specific case in relation to the total duration of the proceedings, from the initial procedural act until the final judgment is handed down.</w:t>
      </w:r>
      <w:r w:rsidR="00BF44DD" w:rsidRPr="00104227">
        <w:rPr>
          <w:vertAlign w:val="superscript"/>
          <w:lang w:val="en-US"/>
        </w:rPr>
        <w:footnoteReference w:id="418"/>
      </w:r>
      <w:r w:rsidR="00252F89" w:rsidRPr="00104227">
        <w:rPr>
          <w:lang w:val="en-US"/>
        </w:rPr>
        <w:t xml:space="preserve"> Thus, it has considered four elements to analyze whether the guarantee of r</w:t>
      </w:r>
      <w:r w:rsidR="005E5DCC" w:rsidRPr="00104227">
        <w:rPr>
          <w:lang w:val="en-US"/>
        </w:rPr>
        <w:t>easonable time</w:t>
      </w:r>
      <w:r w:rsidR="00252F89" w:rsidRPr="00104227">
        <w:rPr>
          <w:lang w:val="en-US"/>
        </w:rPr>
        <w:t xml:space="preserve"> has been met, namely: (</w:t>
      </w:r>
      <w:r w:rsidR="00BF44DD" w:rsidRPr="00104227">
        <w:rPr>
          <w:lang w:val="en-US"/>
        </w:rPr>
        <w:t xml:space="preserve">a) </w:t>
      </w:r>
      <w:r w:rsidR="00252F89" w:rsidRPr="00104227">
        <w:rPr>
          <w:lang w:val="en-US"/>
        </w:rPr>
        <w:t>the complexity of the matter; (b) the procedural activity of the interested party; (c) the conduct of the judicial authorities, and (d) the effects on the legal situation of the person involved in the proceedings. The Court recalls that it is for the State to justify, based on these criteri</w:t>
      </w:r>
      <w:r w:rsidR="00D05250" w:rsidRPr="00104227">
        <w:rPr>
          <w:lang w:val="en-US"/>
        </w:rPr>
        <w:t>a</w:t>
      </w:r>
      <w:r w:rsidR="00252F89" w:rsidRPr="00104227">
        <w:rPr>
          <w:lang w:val="en-US"/>
        </w:rPr>
        <w:t>, the reason why it h</w:t>
      </w:r>
      <w:r w:rsidR="00D05250" w:rsidRPr="00104227">
        <w:rPr>
          <w:lang w:val="en-US"/>
        </w:rPr>
        <w:t>a</w:t>
      </w:r>
      <w:r w:rsidR="00252F89" w:rsidRPr="00104227">
        <w:rPr>
          <w:lang w:val="en-US"/>
        </w:rPr>
        <w:t xml:space="preserve">s required the time that has elapsed to process </w:t>
      </w:r>
      <w:r w:rsidR="00D05250" w:rsidRPr="00104227">
        <w:rPr>
          <w:lang w:val="en-US"/>
        </w:rPr>
        <w:t xml:space="preserve">the </w:t>
      </w:r>
      <w:r w:rsidR="00252F89" w:rsidRPr="00104227">
        <w:rPr>
          <w:lang w:val="en-US"/>
        </w:rPr>
        <w:t xml:space="preserve">case and, if it does not do so, the Court has broad authority to make its own </w:t>
      </w:r>
      <w:r w:rsidR="00D05250" w:rsidRPr="00104227">
        <w:rPr>
          <w:lang w:val="en-US"/>
        </w:rPr>
        <w:t>assessment</w:t>
      </w:r>
      <w:r w:rsidR="00252F89" w:rsidRPr="00104227">
        <w:rPr>
          <w:lang w:val="en-US"/>
        </w:rPr>
        <w:t xml:space="preserve"> in this regard.</w:t>
      </w:r>
      <w:r w:rsidR="00BF44DD" w:rsidRPr="00104227">
        <w:rPr>
          <w:vertAlign w:val="superscript"/>
          <w:lang w:val="en-US"/>
        </w:rPr>
        <w:footnoteReference w:id="419"/>
      </w:r>
    </w:p>
    <w:p w14:paraId="622CAC46" w14:textId="77777777" w:rsidR="00BF44DD" w:rsidRPr="00104227" w:rsidRDefault="00BF44DD" w:rsidP="00E4619F">
      <w:pPr>
        <w:tabs>
          <w:tab w:val="left" w:pos="567"/>
        </w:tabs>
        <w:rPr>
          <w:lang w:eastAsia="es-MX"/>
        </w:rPr>
      </w:pPr>
    </w:p>
    <w:p w14:paraId="66D9EE64" w14:textId="5ECDFCBB" w:rsidR="00BF44DD" w:rsidRPr="00104227" w:rsidRDefault="00252F89" w:rsidP="00E4619F">
      <w:pPr>
        <w:pStyle w:val="Numberedparagraphs"/>
        <w:tabs>
          <w:tab w:val="left" w:pos="567"/>
        </w:tabs>
        <w:rPr>
          <w:lang w:val="en-US"/>
        </w:rPr>
      </w:pPr>
      <w:r w:rsidRPr="00104227">
        <w:rPr>
          <w:lang w:val="en-US"/>
        </w:rPr>
        <w:t xml:space="preserve">In this case, the State </w:t>
      </w:r>
      <w:r w:rsidR="0067488A" w:rsidRPr="00104227">
        <w:rPr>
          <w:lang w:val="en-US"/>
        </w:rPr>
        <w:t xml:space="preserve">conducted two investigations, one at the federal level and the other at the state level. Regarding the former, the Court recalls that, after three years, the FEVIM </w:t>
      </w:r>
      <w:r w:rsidR="00D05250" w:rsidRPr="00104227">
        <w:rPr>
          <w:lang w:val="en-US"/>
        </w:rPr>
        <w:t>waived</w:t>
      </w:r>
      <w:r w:rsidR="0067488A" w:rsidRPr="00104227">
        <w:rPr>
          <w:lang w:val="en-US"/>
        </w:rPr>
        <w:t xml:space="preserve"> </w:t>
      </w:r>
      <w:r w:rsidR="00D05250" w:rsidRPr="00104227">
        <w:rPr>
          <w:lang w:val="en-US"/>
        </w:rPr>
        <w:t xml:space="preserve">jurisdiction </w:t>
      </w:r>
      <w:r w:rsidR="0067488A" w:rsidRPr="00104227">
        <w:rPr>
          <w:lang w:val="en-US"/>
        </w:rPr>
        <w:t xml:space="preserve">in favor of </w:t>
      </w:r>
      <w:r w:rsidR="00D04B8B" w:rsidRPr="00104227">
        <w:rPr>
          <w:lang w:val="en-US"/>
        </w:rPr>
        <w:t xml:space="preserve">the </w:t>
      </w:r>
      <w:r w:rsidR="004432A6" w:rsidRPr="00104227">
        <w:rPr>
          <w:lang w:val="en-US"/>
        </w:rPr>
        <w:t>PGJEM</w:t>
      </w:r>
      <w:r w:rsidR="00BF44DD" w:rsidRPr="00104227">
        <w:rPr>
          <w:lang w:val="en-US"/>
        </w:rPr>
        <w:t xml:space="preserve">, </w:t>
      </w:r>
      <w:r w:rsidR="0067488A" w:rsidRPr="00104227">
        <w:rPr>
          <w:lang w:val="en-US"/>
        </w:rPr>
        <w:t xml:space="preserve">ending </w:t>
      </w:r>
      <w:r w:rsidR="00E31E41" w:rsidRPr="00104227">
        <w:rPr>
          <w:lang w:val="en-US"/>
        </w:rPr>
        <w:t>the preliminary inquiry</w:t>
      </w:r>
      <w:r w:rsidR="0067488A" w:rsidRPr="00104227">
        <w:rPr>
          <w:lang w:val="en-US"/>
        </w:rPr>
        <w:t xml:space="preserve"> without having indicted anyone. In the case of the </w:t>
      </w:r>
      <w:r w:rsidR="00D05250" w:rsidRPr="00104227">
        <w:rPr>
          <w:lang w:val="en-US"/>
        </w:rPr>
        <w:t>s</w:t>
      </w:r>
      <w:r w:rsidR="0067488A" w:rsidRPr="00104227">
        <w:rPr>
          <w:lang w:val="en-US"/>
        </w:rPr>
        <w:t xml:space="preserve">tate investigation which began </w:t>
      </w:r>
      <w:r w:rsidR="00E31E41" w:rsidRPr="00104227">
        <w:rPr>
          <w:lang w:val="en-US"/>
        </w:rPr>
        <w:t>on May 10,</w:t>
      </w:r>
      <w:r w:rsidR="00BF44DD" w:rsidRPr="00104227">
        <w:rPr>
          <w:lang w:val="en-US"/>
        </w:rPr>
        <w:t xml:space="preserve"> 2006, </w:t>
      </w:r>
      <w:r w:rsidR="00BF5241" w:rsidRPr="00104227">
        <w:rPr>
          <w:lang w:val="en-US"/>
        </w:rPr>
        <w:t>the Court</w:t>
      </w:r>
      <w:r w:rsidR="00BF44DD" w:rsidRPr="00104227">
        <w:rPr>
          <w:lang w:val="en-US"/>
        </w:rPr>
        <w:t xml:space="preserve"> not</w:t>
      </w:r>
      <w:r w:rsidR="0067488A" w:rsidRPr="00104227">
        <w:rPr>
          <w:lang w:val="en-US"/>
        </w:rPr>
        <w:t>es that, although</w:t>
      </w:r>
      <w:r w:rsidR="00BF44DD" w:rsidRPr="00104227">
        <w:rPr>
          <w:lang w:val="en-US"/>
        </w:rPr>
        <w:t xml:space="preserve"> </w:t>
      </w:r>
      <w:r w:rsidR="00E31E41" w:rsidRPr="00104227">
        <w:rPr>
          <w:lang w:val="en-US"/>
        </w:rPr>
        <w:t>preliminary inquiry</w:t>
      </w:r>
      <w:r w:rsidR="0067488A" w:rsidRPr="00104227">
        <w:rPr>
          <w:lang w:val="en-US"/>
        </w:rPr>
        <w:t xml:space="preserve"> </w:t>
      </w:r>
      <w:r w:rsidR="00BF44DD" w:rsidRPr="00104227">
        <w:rPr>
          <w:lang w:val="en-US"/>
        </w:rPr>
        <w:t>466/06 result</w:t>
      </w:r>
      <w:r w:rsidR="0067488A" w:rsidRPr="00104227">
        <w:rPr>
          <w:lang w:val="en-US"/>
        </w:rPr>
        <w:t>ed in the indictment of</w:t>
      </w:r>
      <w:r w:rsidR="00BF44DD" w:rsidRPr="00104227">
        <w:rPr>
          <w:lang w:val="en-US"/>
        </w:rPr>
        <w:t xml:space="preserve"> </w:t>
      </w:r>
      <w:r w:rsidR="0067488A" w:rsidRPr="00104227">
        <w:rPr>
          <w:lang w:val="en-US"/>
        </w:rPr>
        <w:t>several persons and the launching of several criminal proceedings, to date</w:t>
      </w:r>
      <w:r w:rsidR="00D05250" w:rsidRPr="00104227">
        <w:rPr>
          <w:lang w:val="en-US"/>
        </w:rPr>
        <w:t>,</w:t>
      </w:r>
      <w:r w:rsidR="0067488A" w:rsidRPr="00104227">
        <w:rPr>
          <w:lang w:val="en-US"/>
        </w:rPr>
        <w:t xml:space="preserve"> no final ruling has been issued. Consequently, the Court will now determine whether the time that has elapsed is reasonable based on the criteria established in its case law.</w:t>
      </w:r>
      <w:r w:rsidR="00BF44DD" w:rsidRPr="00104227">
        <w:rPr>
          <w:lang w:val="en-US"/>
        </w:rPr>
        <w:t xml:space="preserve"> </w:t>
      </w:r>
    </w:p>
    <w:p w14:paraId="519B60EC" w14:textId="77777777" w:rsidR="00BF44DD" w:rsidRPr="00104227" w:rsidRDefault="00BF44DD" w:rsidP="00E4619F">
      <w:pPr>
        <w:tabs>
          <w:tab w:val="left" w:pos="567"/>
        </w:tabs>
        <w:rPr>
          <w:lang w:eastAsia="es-MX"/>
        </w:rPr>
      </w:pPr>
    </w:p>
    <w:p w14:paraId="50E21B78" w14:textId="060F2B12" w:rsidR="00BF44DD" w:rsidRPr="00104227" w:rsidRDefault="00BF5241" w:rsidP="00502830">
      <w:pPr>
        <w:pStyle w:val="Numberedparagraphs"/>
        <w:tabs>
          <w:tab w:val="left" w:pos="567"/>
        </w:tabs>
        <w:rPr>
          <w:u w:color="000000"/>
          <w:lang w:val="en-US"/>
        </w:rPr>
      </w:pPr>
      <w:r w:rsidRPr="00104227">
        <w:rPr>
          <w:u w:color="000000"/>
          <w:lang w:val="en-US"/>
        </w:rPr>
        <w:t>Th</w:t>
      </w:r>
      <w:r w:rsidR="00D05250" w:rsidRPr="00104227">
        <w:rPr>
          <w:u w:color="000000"/>
          <w:lang w:val="en-US"/>
        </w:rPr>
        <w:t>is</w:t>
      </w:r>
      <w:r w:rsidRPr="00104227">
        <w:rPr>
          <w:u w:color="000000"/>
          <w:lang w:val="en-US"/>
        </w:rPr>
        <w:t xml:space="preserve"> Court</w:t>
      </w:r>
      <w:r w:rsidR="00BF44DD" w:rsidRPr="00104227">
        <w:rPr>
          <w:u w:color="000000"/>
          <w:lang w:val="en-US"/>
        </w:rPr>
        <w:t xml:space="preserve"> ha</w:t>
      </w:r>
      <w:r w:rsidR="0067488A" w:rsidRPr="00104227">
        <w:rPr>
          <w:u w:color="000000"/>
          <w:lang w:val="en-US"/>
        </w:rPr>
        <w:t>s taken different criteri</w:t>
      </w:r>
      <w:r w:rsidR="00D05250" w:rsidRPr="00104227">
        <w:rPr>
          <w:u w:color="000000"/>
          <w:lang w:val="en-US"/>
        </w:rPr>
        <w:t>a</w:t>
      </w:r>
      <w:r w:rsidR="0067488A" w:rsidRPr="00104227">
        <w:rPr>
          <w:u w:color="000000"/>
          <w:lang w:val="en-US"/>
        </w:rPr>
        <w:t xml:space="preserve"> into account to determine the complexity of </w:t>
      </w:r>
      <w:r w:rsidR="00D05250" w:rsidRPr="00104227">
        <w:rPr>
          <w:u w:color="000000"/>
          <w:lang w:val="en-US"/>
        </w:rPr>
        <w:t xml:space="preserve">the </w:t>
      </w:r>
      <w:r w:rsidR="0067488A" w:rsidRPr="00104227">
        <w:rPr>
          <w:u w:color="000000"/>
          <w:lang w:val="en-US"/>
        </w:rPr>
        <w:t>proceedings.</w:t>
      </w:r>
      <w:r w:rsidR="00BF44DD" w:rsidRPr="00104227">
        <w:rPr>
          <w:u w:color="000000"/>
          <w:vertAlign w:val="superscript"/>
          <w:lang w:val="en-US"/>
        </w:rPr>
        <w:footnoteReference w:id="420"/>
      </w:r>
      <w:r w:rsidR="0067488A" w:rsidRPr="00104227">
        <w:rPr>
          <w:u w:color="000000"/>
          <w:lang w:val="en-US"/>
        </w:rPr>
        <w:t xml:space="preserve"> In this case, the Court observes that the characteristics of the proceedings do not represent a particularly great complexity, considering that: (a) the probative difficulties resulted, to a great extent, from the lack of initial diligence in the gathering of evidence (</w:t>
      </w:r>
      <w:r w:rsidR="0067488A" w:rsidRPr="00104227">
        <w:rPr>
          <w:i/>
          <w:u w:color="000000"/>
          <w:lang w:val="en-US"/>
        </w:rPr>
        <w:t xml:space="preserve">supra </w:t>
      </w:r>
      <w:r w:rsidR="0067488A" w:rsidRPr="00104227">
        <w:rPr>
          <w:u w:color="000000"/>
          <w:lang w:val="en-US"/>
        </w:rPr>
        <w:t xml:space="preserve">paras. </w:t>
      </w:r>
      <w:r w:rsidR="0067488A" w:rsidRPr="00104227">
        <w:rPr>
          <w:u w:color="000000"/>
          <w:lang w:val="en-US"/>
        </w:rPr>
        <w:fldChar w:fldCharType="begin"/>
      </w:r>
      <w:r w:rsidR="0067488A" w:rsidRPr="00104227">
        <w:rPr>
          <w:u w:color="000000"/>
          <w:lang w:val="en-US"/>
        </w:rPr>
        <w:instrText xml:space="preserve"> REF _Ref532971875 \r \h  \* MERGEFORMAT </w:instrText>
      </w:r>
      <w:r w:rsidR="0067488A" w:rsidRPr="00104227">
        <w:rPr>
          <w:u w:color="000000"/>
          <w:lang w:val="en-US"/>
        </w:rPr>
      </w:r>
      <w:r w:rsidR="0067488A" w:rsidRPr="00104227">
        <w:rPr>
          <w:u w:color="000000"/>
          <w:lang w:val="en-US"/>
        </w:rPr>
        <w:fldChar w:fldCharType="separate"/>
      </w:r>
      <w:r w:rsidR="004276BD">
        <w:rPr>
          <w:u w:color="000000"/>
          <w:lang w:val="en-US"/>
        </w:rPr>
        <w:t>272</w:t>
      </w:r>
      <w:r w:rsidR="0067488A" w:rsidRPr="00104227">
        <w:rPr>
          <w:u w:color="000000"/>
          <w:lang w:val="en-US"/>
        </w:rPr>
        <w:fldChar w:fldCharType="end"/>
      </w:r>
      <w:r w:rsidR="0067488A" w:rsidRPr="00104227">
        <w:rPr>
          <w:u w:color="000000"/>
          <w:lang w:val="en-US"/>
        </w:rPr>
        <w:t xml:space="preserve"> and ff.), and (b) both the victims and the police agents who took part in the operations were </w:t>
      </w:r>
      <w:r w:rsidR="0067488A" w:rsidRPr="00104227">
        <w:rPr>
          <w:u w:color="000000"/>
          <w:lang w:val="en-US"/>
        </w:rPr>
        <w:lastRenderedPageBreak/>
        <w:t>easily identifiable.</w:t>
      </w:r>
      <w:r w:rsidR="0067488A" w:rsidRPr="00104227">
        <w:rPr>
          <w:rStyle w:val="Refdenotaalpie"/>
          <w:u w:color="000000"/>
          <w:lang w:val="en-US"/>
        </w:rPr>
        <w:footnoteReference w:id="421"/>
      </w:r>
      <w:r w:rsidR="0067488A" w:rsidRPr="00104227">
        <w:rPr>
          <w:u w:color="000000"/>
          <w:lang w:val="en-US"/>
        </w:rPr>
        <w:t xml:space="preserve"> Regarding the procedural activity of the interested parties, the Court notes that there is no evidence that </w:t>
      </w:r>
      <w:r w:rsidR="0067488A" w:rsidRPr="00104227">
        <w:rPr>
          <w:lang w:val="en-US"/>
        </w:rPr>
        <w:t>the eleven women victims in this case took steps that obstructed the progress of the investigations; to the contrary, as revealed by the proven facts, the victims played an active role in furthering the proceedings, offering different items of evidence.</w:t>
      </w:r>
      <w:r w:rsidR="0067488A" w:rsidRPr="00104227">
        <w:rPr>
          <w:rStyle w:val="Refdenotaalpie"/>
          <w:lang w:val="en-US"/>
        </w:rPr>
        <w:footnoteReference w:id="422"/>
      </w:r>
      <w:r w:rsidR="0067488A" w:rsidRPr="00104227">
        <w:rPr>
          <w:lang w:val="en-US"/>
        </w:rPr>
        <w:t xml:space="preserve"> With regard to the conduct of the judicial aut</w:t>
      </w:r>
      <w:r w:rsidR="00502830" w:rsidRPr="00104227">
        <w:rPr>
          <w:lang w:val="en-US"/>
        </w:rPr>
        <w:t xml:space="preserve">horities, the Court considers that there were delays in the investigations as a result of the inactivity of the authorities and the failure of the authorities in charge of the investigation to act with due diligence. Indeed, the Court notes that: (i) the confidentiality of </w:t>
      </w:r>
      <w:r w:rsidR="00D05250" w:rsidRPr="00104227">
        <w:rPr>
          <w:lang w:val="en-US"/>
        </w:rPr>
        <w:t xml:space="preserve">the </w:t>
      </w:r>
      <w:r w:rsidR="00502830" w:rsidRPr="00104227">
        <w:rPr>
          <w:lang w:val="en-US"/>
        </w:rPr>
        <w:t>preliminary inquir</w:t>
      </w:r>
      <w:r w:rsidR="00D05250" w:rsidRPr="00104227">
        <w:rPr>
          <w:lang w:val="en-US"/>
        </w:rPr>
        <w:t>y</w:t>
      </w:r>
      <w:r w:rsidR="00502830" w:rsidRPr="00104227">
        <w:rPr>
          <w:lang w:val="en-US"/>
        </w:rPr>
        <w:t xml:space="preserve"> was ordered, and this remained in force for more than three years</w:t>
      </w:r>
      <w:r w:rsidR="00502830" w:rsidRPr="00104227">
        <w:rPr>
          <w:u w:color="000000"/>
          <w:lang w:val="en-US"/>
        </w:rPr>
        <w:t>;</w:t>
      </w:r>
      <w:r w:rsidR="00BF44DD" w:rsidRPr="00104227">
        <w:rPr>
          <w:rStyle w:val="Refdenotaalpie"/>
          <w:lang w:val="en-US"/>
        </w:rPr>
        <w:footnoteReference w:id="423"/>
      </w:r>
      <w:r w:rsidR="00BF44DD" w:rsidRPr="00104227">
        <w:rPr>
          <w:lang w:val="en-US"/>
        </w:rPr>
        <w:t xml:space="preserve"> (ii) </w:t>
      </w:r>
      <w:r w:rsidR="00502830" w:rsidRPr="00104227">
        <w:rPr>
          <w:lang w:val="en-US"/>
        </w:rPr>
        <w:t xml:space="preserve">the restrictive interpretation of the crime of torture made by the judicial authorities, as well as the time that passed from the refusal of the </w:t>
      </w:r>
      <w:r w:rsidR="004160EE" w:rsidRPr="00104227">
        <w:rPr>
          <w:lang w:val="en-US"/>
        </w:rPr>
        <w:t>arrest warrants</w:t>
      </w:r>
      <w:r w:rsidR="00BF44DD" w:rsidRPr="00104227">
        <w:rPr>
          <w:lang w:val="en-US"/>
        </w:rPr>
        <w:t xml:space="preserve"> </w:t>
      </w:r>
      <w:r w:rsidR="00502830" w:rsidRPr="00104227">
        <w:rPr>
          <w:lang w:val="en-US"/>
        </w:rPr>
        <w:t>requested by</w:t>
      </w:r>
      <w:r w:rsidR="00BF44DD" w:rsidRPr="00104227">
        <w:rPr>
          <w:lang w:val="en-US"/>
        </w:rPr>
        <w:t xml:space="preserve"> </w:t>
      </w:r>
      <w:r w:rsidR="00024310" w:rsidRPr="00104227">
        <w:rPr>
          <w:lang w:val="en-US"/>
        </w:rPr>
        <w:t>the Public Prosecution Service</w:t>
      </w:r>
      <w:r w:rsidR="00BF44DD" w:rsidRPr="00104227">
        <w:rPr>
          <w:lang w:val="en-US"/>
        </w:rPr>
        <w:t xml:space="preserve"> </w:t>
      </w:r>
      <w:r w:rsidR="00502830" w:rsidRPr="00104227">
        <w:rPr>
          <w:lang w:val="en-US"/>
        </w:rPr>
        <w:t xml:space="preserve">up until the moment in which the action was </w:t>
      </w:r>
      <w:r w:rsidR="00595227" w:rsidRPr="00104227">
        <w:rPr>
          <w:lang w:val="en-US"/>
        </w:rPr>
        <w:t>corrected and completed,</w:t>
      </w:r>
      <w:r w:rsidR="00502830" w:rsidRPr="00104227">
        <w:rPr>
          <w:lang w:val="en-US"/>
        </w:rPr>
        <w:t xml:space="preserve"> led to an additional delay of three years in the prosecution </w:t>
      </w:r>
      <w:r w:rsidR="00595227" w:rsidRPr="00104227">
        <w:rPr>
          <w:lang w:val="en-US"/>
        </w:rPr>
        <w:t>of</w:t>
      </w:r>
      <w:r w:rsidR="00502830" w:rsidRPr="00104227">
        <w:rPr>
          <w:lang w:val="en-US"/>
        </w:rPr>
        <w:t xml:space="preserve"> 26 of the 29 accused in </w:t>
      </w:r>
      <w:r w:rsidR="0050556D" w:rsidRPr="00104227">
        <w:rPr>
          <w:lang w:val="en-US"/>
        </w:rPr>
        <w:t>criminal case 418</w:t>
      </w:r>
      <w:r w:rsidR="00BF44DD" w:rsidRPr="00104227">
        <w:rPr>
          <w:lang w:val="en-US"/>
        </w:rPr>
        <w:t xml:space="preserve">/11; (iii) </w:t>
      </w:r>
      <w:r w:rsidR="00502830" w:rsidRPr="00104227">
        <w:rPr>
          <w:lang w:val="en-US"/>
        </w:rPr>
        <w:t xml:space="preserve">to date, all those responsible have not been investigated. Lastly, regarding the effect on the legal situation of those involved in the proceedings, the Court has established that, if the passage of time has a relevant impact on the legal situation of the individual involved, the proceedings must </w:t>
      </w:r>
      <w:r w:rsidR="00595227" w:rsidRPr="00104227">
        <w:rPr>
          <w:lang w:val="en-US"/>
        </w:rPr>
        <w:t>move forward</w:t>
      </w:r>
      <w:r w:rsidR="00502830" w:rsidRPr="00104227">
        <w:rPr>
          <w:lang w:val="en-US"/>
        </w:rPr>
        <w:t xml:space="preserve"> with greater diligence so that the case is decided promptly.</w:t>
      </w:r>
      <w:r w:rsidR="00BF44DD" w:rsidRPr="00104227">
        <w:rPr>
          <w:rStyle w:val="Refdenotaalpie"/>
          <w:lang w:val="en-US"/>
        </w:rPr>
        <w:footnoteReference w:id="424"/>
      </w:r>
      <w:r w:rsidR="00502830" w:rsidRPr="00104227">
        <w:rPr>
          <w:lang w:val="en-US"/>
        </w:rPr>
        <w:t xml:space="preserve"> In this case, the effects on the legal situation </w:t>
      </w:r>
      <w:r w:rsidR="00F12946" w:rsidRPr="00104227">
        <w:rPr>
          <w:lang w:val="en-US"/>
        </w:rPr>
        <w:t>of the eleven women</w:t>
      </w:r>
      <w:r w:rsidR="000A1379" w:rsidRPr="00104227">
        <w:rPr>
          <w:lang w:val="en-US"/>
        </w:rPr>
        <w:t xml:space="preserve"> </w:t>
      </w:r>
      <w:r w:rsidR="00502830" w:rsidRPr="00104227">
        <w:rPr>
          <w:lang w:val="en-US"/>
        </w:rPr>
        <w:t>is evident because, owing to the type of violation analyzed, the delay resulted in greater difficulties to obtain evidence, thus favoring impunity.</w:t>
      </w:r>
      <w:r w:rsidR="001D0A04" w:rsidRPr="00104227">
        <w:rPr>
          <w:lang w:val="en-US"/>
        </w:rPr>
        <w:t xml:space="preserve"> </w:t>
      </w:r>
    </w:p>
    <w:p w14:paraId="0D44AD5A" w14:textId="77777777" w:rsidR="00BF44DD" w:rsidRPr="00104227" w:rsidRDefault="00BF44DD" w:rsidP="00E4619F">
      <w:pPr>
        <w:tabs>
          <w:tab w:val="left" w:pos="567"/>
        </w:tabs>
        <w:rPr>
          <w:lang w:eastAsia="x-none"/>
        </w:rPr>
      </w:pPr>
    </w:p>
    <w:p w14:paraId="1EBB189C" w14:textId="1E27BB0F" w:rsidR="00BF44DD" w:rsidRPr="00104227" w:rsidRDefault="00502830" w:rsidP="00E4619F">
      <w:pPr>
        <w:pStyle w:val="Numberedparagraphs"/>
        <w:tabs>
          <w:tab w:val="left" w:pos="567"/>
        </w:tabs>
        <w:rPr>
          <w:rFonts w:eastAsia="Verdana" w:cs="Cambria"/>
          <w:bCs/>
          <w:u w:color="000000"/>
          <w:lang w:val="en-US"/>
        </w:rPr>
      </w:pPr>
      <w:r w:rsidRPr="00104227">
        <w:rPr>
          <w:lang w:val="en-US"/>
        </w:rPr>
        <w:t>Based on the above, the Court concludes that</w:t>
      </w:r>
      <w:r w:rsidR="00595227" w:rsidRPr="00104227">
        <w:rPr>
          <w:lang w:val="en-US"/>
        </w:rPr>
        <w:t xml:space="preserve"> the</w:t>
      </w:r>
      <w:r w:rsidRPr="00104227">
        <w:rPr>
          <w:lang w:val="en-US"/>
        </w:rPr>
        <w:t xml:space="preserve"> </w:t>
      </w:r>
      <w:r w:rsidR="00AC3BFC" w:rsidRPr="00104227">
        <w:rPr>
          <w:lang w:val="en-US"/>
        </w:rPr>
        <w:t>State</w:t>
      </w:r>
      <w:r w:rsidR="00BF44DD" w:rsidRPr="00104227">
        <w:rPr>
          <w:lang w:val="en-US"/>
        </w:rPr>
        <w:t xml:space="preserve"> </w:t>
      </w:r>
      <w:r w:rsidRPr="00104227">
        <w:rPr>
          <w:lang w:val="en-US"/>
        </w:rPr>
        <w:t>violated the</w:t>
      </w:r>
      <w:r w:rsidR="00BF44DD" w:rsidRPr="00104227">
        <w:rPr>
          <w:lang w:val="en-US"/>
        </w:rPr>
        <w:t xml:space="preserve"> </w:t>
      </w:r>
      <w:r w:rsidR="0094395C" w:rsidRPr="00104227">
        <w:rPr>
          <w:lang w:val="en-US"/>
        </w:rPr>
        <w:t>judicial guarantees</w:t>
      </w:r>
      <w:r w:rsidR="00BF44DD" w:rsidRPr="00104227">
        <w:rPr>
          <w:lang w:val="en-US"/>
        </w:rPr>
        <w:t xml:space="preserve"> </w:t>
      </w:r>
      <w:r w:rsidRPr="00104227">
        <w:rPr>
          <w:lang w:val="en-US"/>
        </w:rPr>
        <w:t xml:space="preserve">of due diligence </w:t>
      </w:r>
      <w:r w:rsidR="00BF5241" w:rsidRPr="00104227">
        <w:rPr>
          <w:lang w:val="en-US"/>
        </w:rPr>
        <w:t xml:space="preserve">and </w:t>
      </w:r>
      <w:r w:rsidRPr="00104227">
        <w:rPr>
          <w:lang w:val="en-US"/>
        </w:rPr>
        <w:t>r</w:t>
      </w:r>
      <w:r w:rsidR="005E5DCC" w:rsidRPr="00104227">
        <w:rPr>
          <w:lang w:val="en-US"/>
        </w:rPr>
        <w:t>easonable time</w:t>
      </w:r>
      <w:r w:rsidR="00BF44DD" w:rsidRPr="00104227">
        <w:rPr>
          <w:lang w:val="en-US"/>
        </w:rPr>
        <w:t xml:space="preserve"> </w:t>
      </w:r>
      <w:r w:rsidRPr="00104227">
        <w:rPr>
          <w:lang w:val="en-US"/>
        </w:rPr>
        <w:t>established in</w:t>
      </w:r>
      <w:r w:rsidR="00BF44DD" w:rsidRPr="00104227">
        <w:rPr>
          <w:lang w:val="en-US"/>
        </w:rPr>
        <w:t xml:space="preserve"> </w:t>
      </w:r>
      <w:r w:rsidR="00BF5241" w:rsidRPr="00104227">
        <w:rPr>
          <w:lang w:val="en-US"/>
        </w:rPr>
        <w:t>Article</w:t>
      </w:r>
      <w:r w:rsidR="00BF44DD" w:rsidRPr="00104227">
        <w:rPr>
          <w:lang w:val="en-US"/>
        </w:rPr>
        <w:t xml:space="preserve"> </w:t>
      </w:r>
      <w:r w:rsidR="0094395C" w:rsidRPr="00104227">
        <w:rPr>
          <w:lang w:val="en-US"/>
        </w:rPr>
        <w:t>8(1)</w:t>
      </w:r>
      <w:r w:rsidR="00BF5241" w:rsidRPr="00104227">
        <w:rPr>
          <w:lang w:val="en-US"/>
        </w:rPr>
        <w:t xml:space="preserve"> of the American Convention on Human Rights</w:t>
      </w:r>
      <w:r w:rsidR="00BF44DD" w:rsidRPr="00104227">
        <w:rPr>
          <w:lang w:val="en-US"/>
        </w:rPr>
        <w:t xml:space="preserve">, </w:t>
      </w:r>
      <w:r w:rsidR="00C2124F" w:rsidRPr="00104227">
        <w:rPr>
          <w:lang w:val="en-US"/>
        </w:rPr>
        <w:t>in relation to Article 1(1)</w:t>
      </w:r>
      <w:r w:rsidR="00BF44DD" w:rsidRPr="00104227">
        <w:rPr>
          <w:lang w:val="en-US"/>
        </w:rPr>
        <w:t xml:space="preserve"> </w:t>
      </w:r>
      <w:r w:rsidR="00C2124F" w:rsidRPr="00104227">
        <w:rPr>
          <w:lang w:val="en-US"/>
        </w:rPr>
        <w:t>of this instrument</w:t>
      </w:r>
      <w:r w:rsidR="00BF44DD" w:rsidRPr="00104227">
        <w:rPr>
          <w:lang w:val="en-US"/>
        </w:rPr>
        <w:t xml:space="preserve">, </w:t>
      </w:r>
      <w:r w:rsidR="00C2124F" w:rsidRPr="00104227">
        <w:rPr>
          <w:lang w:val="en-US"/>
        </w:rPr>
        <w:t>to the detriment of</w:t>
      </w:r>
      <w:r w:rsidR="00BF44DD" w:rsidRPr="00104227">
        <w:rPr>
          <w:lang w:val="en-US"/>
        </w:rPr>
        <w:t xml:space="preserve"> </w:t>
      </w:r>
      <w:r w:rsidR="00F12946" w:rsidRPr="00104227">
        <w:rPr>
          <w:lang w:val="en-US"/>
        </w:rPr>
        <w:t>the eleven women</w:t>
      </w:r>
      <w:r w:rsidR="00BF44DD" w:rsidRPr="00104227">
        <w:rPr>
          <w:lang w:val="en-US"/>
        </w:rPr>
        <w:t xml:space="preserve"> </w:t>
      </w:r>
      <w:r w:rsidR="00844C80" w:rsidRPr="00104227">
        <w:rPr>
          <w:lang w:val="en-US"/>
        </w:rPr>
        <w:t>victims in this case</w:t>
      </w:r>
      <w:r w:rsidR="00BF44DD" w:rsidRPr="00104227">
        <w:rPr>
          <w:lang w:val="en-US"/>
        </w:rPr>
        <w:t xml:space="preserve">. </w:t>
      </w:r>
    </w:p>
    <w:p w14:paraId="0AABD405" w14:textId="77777777" w:rsidR="00BF44DD" w:rsidRPr="00104227" w:rsidRDefault="00BF44DD" w:rsidP="00E4619F">
      <w:pPr>
        <w:tabs>
          <w:tab w:val="left" w:pos="567"/>
        </w:tabs>
      </w:pPr>
    </w:p>
    <w:p w14:paraId="7CF171E5" w14:textId="01F4B8DB" w:rsidR="00BF44DD" w:rsidRPr="00104227" w:rsidRDefault="009303B1" w:rsidP="00E4619F">
      <w:pPr>
        <w:pStyle w:val="Ttulo3"/>
        <w:tabs>
          <w:tab w:val="left" w:pos="567"/>
        </w:tabs>
        <w:rPr>
          <w:lang w:val="en-US"/>
        </w:rPr>
      </w:pPr>
      <w:bookmarkStart w:id="351" w:name="_Toc31290608"/>
      <w:r w:rsidRPr="00104227">
        <w:rPr>
          <w:lang w:val="en-US"/>
        </w:rPr>
        <w:t>B.3</w:t>
      </w:r>
      <w:r w:rsidR="00BF44DD" w:rsidRPr="00104227">
        <w:rPr>
          <w:lang w:val="en-US"/>
        </w:rPr>
        <w:t xml:space="preserve"> </w:t>
      </w:r>
      <w:r w:rsidR="005E5DCC" w:rsidRPr="00104227">
        <w:rPr>
          <w:lang w:val="en-US"/>
        </w:rPr>
        <w:t xml:space="preserve">Gender-based discrimination </w:t>
      </w:r>
      <w:r w:rsidR="003913F4" w:rsidRPr="00104227">
        <w:rPr>
          <w:lang w:val="en-US"/>
        </w:rPr>
        <w:t>based on the</w:t>
      </w:r>
      <w:r w:rsidR="005E5DCC" w:rsidRPr="00104227">
        <w:rPr>
          <w:lang w:val="en-US"/>
        </w:rPr>
        <w:t xml:space="preserve"> flaws in the investigation</w:t>
      </w:r>
      <w:bookmarkEnd w:id="351"/>
      <w:r w:rsidR="00BF44DD" w:rsidRPr="00104227">
        <w:rPr>
          <w:lang w:val="en-US"/>
        </w:rPr>
        <w:t xml:space="preserve"> </w:t>
      </w:r>
    </w:p>
    <w:p w14:paraId="1AC5BE73" w14:textId="77777777" w:rsidR="0020571A" w:rsidRPr="00104227" w:rsidRDefault="0020571A" w:rsidP="00E4619F">
      <w:pPr>
        <w:tabs>
          <w:tab w:val="left" w:pos="567"/>
        </w:tabs>
      </w:pPr>
    </w:p>
    <w:p w14:paraId="28A4CDA2" w14:textId="4317F4A0" w:rsidR="00BF44DD" w:rsidRPr="00104227" w:rsidRDefault="00B90CD9" w:rsidP="00E4619F">
      <w:pPr>
        <w:pStyle w:val="Numberedparagraphs"/>
        <w:tabs>
          <w:tab w:val="left" w:pos="567"/>
        </w:tabs>
        <w:rPr>
          <w:lang w:val="en-US"/>
        </w:rPr>
      </w:pPr>
      <w:r w:rsidRPr="00104227">
        <w:rPr>
          <w:lang w:val="en-US"/>
        </w:rPr>
        <w:t>In th</w:t>
      </w:r>
      <w:r w:rsidR="00AF3640" w:rsidRPr="00104227">
        <w:rPr>
          <w:lang w:val="en-US"/>
        </w:rPr>
        <w:t>e instant</w:t>
      </w:r>
      <w:r w:rsidRPr="00104227">
        <w:rPr>
          <w:lang w:val="en-US"/>
        </w:rPr>
        <w:t xml:space="preserve"> case</w:t>
      </w:r>
      <w:r w:rsidR="00BF44DD" w:rsidRPr="00104227">
        <w:rPr>
          <w:lang w:val="en-US"/>
        </w:rPr>
        <w:t xml:space="preserve">, </w:t>
      </w:r>
      <w:r w:rsidR="00BF5241" w:rsidRPr="00104227">
        <w:rPr>
          <w:lang w:val="en-US"/>
        </w:rPr>
        <w:t>the Court</w:t>
      </w:r>
      <w:r w:rsidR="00BF44DD" w:rsidRPr="00104227">
        <w:rPr>
          <w:lang w:val="en-US"/>
        </w:rPr>
        <w:t xml:space="preserve"> </w:t>
      </w:r>
      <w:r w:rsidR="00AF3640" w:rsidRPr="00104227">
        <w:rPr>
          <w:lang w:val="en-US"/>
        </w:rPr>
        <w:t xml:space="preserve">has already referred to the flaws in the initial stages of the investigation, especially in the collection and handling of the evidence </w:t>
      </w:r>
      <w:r w:rsidR="00BF44DD" w:rsidRPr="00104227">
        <w:rPr>
          <w:lang w:val="en-US"/>
        </w:rPr>
        <w:t>(</w:t>
      </w:r>
      <w:r w:rsidR="00BF44DD" w:rsidRPr="00104227">
        <w:rPr>
          <w:i/>
          <w:lang w:val="en-US"/>
        </w:rPr>
        <w:t xml:space="preserve">supra </w:t>
      </w:r>
      <w:r w:rsidR="00BF5241" w:rsidRPr="00104227">
        <w:rPr>
          <w:lang w:val="en-US"/>
        </w:rPr>
        <w:t>paras.</w:t>
      </w:r>
      <w:r w:rsidR="00FC4D35" w:rsidRPr="00104227">
        <w:rPr>
          <w:lang w:val="en-US"/>
        </w:rPr>
        <w:t xml:space="preserve"> </w:t>
      </w:r>
      <w:r w:rsidR="00FC4D35" w:rsidRPr="00104227">
        <w:rPr>
          <w:lang w:val="en-US"/>
        </w:rPr>
        <w:fldChar w:fldCharType="begin"/>
      </w:r>
      <w:r w:rsidR="00FC4D35" w:rsidRPr="00104227">
        <w:rPr>
          <w:lang w:val="en-US"/>
        </w:rPr>
        <w:instrText xml:space="preserve"> REF _Ref532971875 \r \h </w:instrText>
      </w:r>
      <w:r w:rsidR="008F3CAD" w:rsidRPr="00104227">
        <w:rPr>
          <w:lang w:val="en-US"/>
        </w:rPr>
        <w:instrText xml:space="preserve"> \* MERGEFORMAT </w:instrText>
      </w:r>
      <w:r w:rsidR="00FC4D35" w:rsidRPr="00104227">
        <w:rPr>
          <w:lang w:val="en-US"/>
        </w:rPr>
      </w:r>
      <w:r w:rsidR="00FC4D35" w:rsidRPr="00104227">
        <w:rPr>
          <w:lang w:val="en-US"/>
        </w:rPr>
        <w:fldChar w:fldCharType="separate"/>
      </w:r>
      <w:r w:rsidR="004276BD">
        <w:rPr>
          <w:lang w:val="en-US"/>
        </w:rPr>
        <w:t>272</w:t>
      </w:r>
      <w:r w:rsidR="00FC4D35" w:rsidRPr="00104227">
        <w:rPr>
          <w:lang w:val="en-US"/>
        </w:rPr>
        <w:fldChar w:fldCharType="end"/>
      </w:r>
      <w:r w:rsidR="00BF5241" w:rsidRPr="00104227">
        <w:rPr>
          <w:lang w:val="en-US"/>
        </w:rPr>
        <w:t xml:space="preserve"> and</w:t>
      </w:r>
      <w:r w:rsidR="000E345C" w:rsidRPr="00104227">
        <w:rPr>
          <w:lang w:val="en-US"/>
        </w:rPr>
        <w:t xml:space="preserve"> ff.</w:t>
      </w:r>
      <w:r w:rsidR="00BF44DD" w:rsidRPr="00104227">
        <w:rPr>
          <w:lang w:val="en-US"/>
        </w:rPr>
        <w:t xml:space="preserve">). </w:t>
      </w:r>
      <w:r w:rsidR="00AF3640" w:rsidRPr="00104227">
        <w:rPr>
          <w:lang w:val="en-US"/>
        </w:rPr>
        <w:t xml:space="preserve">The refusal to accept the complaints made by the women, the absence of medical and gynecological care, the failure to conduct the </w:t>
      </w:r>
      <w:r w:rsidR="00F27D61" w:rsidRPr="00104227">
        <w:rPr>
          <w:lang w:val="en-US"/>
        </w:rPr>
        <w:t>pertinent</w:t>
      </w:r>
      <w:r w:rsidR="00AF3640" w:rsidRPr="00104227">
        <w:rPr>
          <w:lang w:val="en-US"/>
        </w:rPr>
        <w:t xml:space="preserve"> medical and psychological appraisals – especially the gynecological tests – as well as the deficient handling of the evidence collected, reveal not only non-compliance with due diligence, but also that the </w:t>
      </w:r>
      <w:r w:rsidR="003F10B2" w:rsidRPr="00104227">
        <w:rPr>
          <w:lang w:val="en-US"/>
        </w:rPr>
        <w:t xml:space="preserve">State </w:t>
      </w:r>
      <w:r w:rsidR="00AF3640" w:rsidRPr="00104227">
        <w:rPr>
          <w:lang w:val="en-US"/>
        </w:rPr>
        <w:t>failed to con</w:t>
      </w:r>
      <w:r w:rsidR="00595227" w:rsidRPr="00104227">
        <w:rPr>
          <w:lang w:val="en-US"/>
        </w:rPr>
        <w:t>du</w:t>
      </w:r>
      <w:r w:rsidR="00AF3640" w:rsidRPr="00104227">
        <w:rPr>
          <w:lang w:val="en-US"/>
        </w:rPr>
        <w:t xml:space="preserve">ct the </w:t>
      </w:r>
      <w:r w:rsidR="00AF3640" w:rsidRPr="00104227">
        <w:rPr>
          <w:lang w:val="en-US"/>
        </w:rPr>
        <w:lastRenderedPageBreak/>
        <w:t xml:space="preserve">investigation with a gender perspective, as the case required. In addition, the investigation of the acts denounced by the women was characterized by discriminatory, stereotypical and re-victimizing statements and conducts, infringing the right of access to justice of </w:t>
      </w:r>
      <w:r w:rsidR="003A1A4B" w:rsidRPr="00104227">
        <w:rPr>
          <w:lang w:val="en-US"/>
        </w:rPr>
        <w:t>the women</w:t>
      </w:r>
      <w:r w:rsidR="00BF44DD" w:rsidRPr="00104227">
        <w:rPr>
          <w:lang w:val="en-US"/>
        </w:rPr>
        <w:t xml:space="preserve"> </w:t>
      </w:r>
      <w:r w:rsidR="00844C80" w:rsidRPr="00104227">
        <w:rPr>
          <w:lang w:val="en-US"/>
        </w:rPr>
        <w:t>victims in this case</w:t>
      </w:r>
      <w:r w:rsidR="00BF44DD" w:rsidRPr="00104227">
        <w:rPr>
          <w:lang w:val="en-US"/>
        </w:rPr>
        <w:t>.</w:t>
      </w:r>
    </w:p>
    <w:p w14:paraId="55719977" w14:textId="77777777" w:rsidR="00BF44DD" w:rsidRPr="00104227" w:rsidRDefault="00BF44DD" w:rsidP="006625E1">
      <w:pPr>
        <w:tabs>
          <w:tab w:val="left" w:pos="567"/>
        </w:tabs>
      </w:pPr>
    </w:p>
    <w:p w14:paraId="0F9F3BFE" w14:textId="5672A070" w:rsidR="006B7AA9" w:rsidRPr="00104227" w:rsidRDefault="00AF3640" w:rsidP="006B7AA9">
      <w:pPr>
        <w:pStyle w:val="Numberedparagraphs"/>
        <w:tabs>
          <w:tab w:val="left" w:pos="567"/>
        </w:tabs>
        <w:rPr>
          <w:lang w:val="en-US"/>
        </w:rPr>
      </w:pPr>
      <w:r w:rsidRPr="00104227">
        <w:rPr>
          <w:lang w:val="en-US"/>
        </w:rPr>
        <w:t>The Court has also referred to the stereotyp</w:t>
      </w:r>
      <w:r w:rsidR="00191974" w:rsidRPr="00104227">
        <w:rPr>
          <w:lang w:val="en-US"/>
        </w:rPr>
        <w:t>ed</w:t>
      </w:r>
      <w:r w:rsidRPr="00104227">
        <w:rPr>
          <w:lang w:val="en-US"/>
        </w:rPr>
        <w:t xml:space="preserve"> violence of which the women were victims, by being humiliated</w:t>
      </w:r>
      <w:r w:rsidR="00A47C75" w:rsidRPr="00104227">
        <w:rPr>
          <w:lang w:val="en-US"/>
        </w:rPr>
        <w:t xml:space="preserve"> based on stereotypical and re-victimizing assertions by some authorities </w:t>
      </w:r>
      <w:r w:rsidR="006B7AA9" w:rsidRPr="00104227">
        <w:rPr>
          <w:lang w:val="en-US"/>
        </w:rPr>
        <w:t>(</w:t>
      </w:r>
      <w:r w:rsidR="006B7AA9" w:rsidRPr="00104227">
        <w:rPr>
          <w:i/>
          <w:lang w:val="en-US"/>
        </w:rPr>
        <w:t xml:space="preserve">supra </w:t>
      </w:r>
      <w:r w:rsidR="00BF5241" w:rsidRPr="00104227">
        <w:rPr>
          <w:lang w:val="en-US"/>
        </w:rPr>
        <w:t>para.</w:t>
      </w:r>
      <w:r w:rsidR="006B7AA9" w:rsidRPr="00104227">
        <w:rPr>
          <w:lang w:val="en-US"/>
        </w:rPr>
        <w:t xml:space="preserve"> </w:t>
      </w:r>
      <w:r w:rsidR="006B7AA9" w:rsidRPr="00104227">
        <w:rPr>
          <w:lang w:val="en-US"/>
        </w:rPr>
        <w:fldChar w:fldCharType="begin"/>
      </w:r>
      <w:r w:rsidR="006B7AA9" w:rsidRPr="00104227">
        <w:rPr>
          <w:lang w:val="en-US"/>
        </w:rPr>
        <w:instrText xml:space="preserve"> REF _Ref533065121 \r \h </w:instrText>
      </w:r>
      <w:r w:rsidR="005E6D0B" w:rsidRPr="00104227">
        <w:rPr>
          <w:lang w:val="en-US"/>
        </w:rPr>
        <w:instrText xml:space="preserve"> \* MERGEFORMAT </w:instrText>
      </w:r>
      <w:r w:rsidR="006B7AA9" w:rsidRPr="00104227">
        <w:rPr>
          <w:lang w:val="en-US"/>
        </w:rPr>
      </w:r>
      <w:r w:rsidR="006B7AA9" w:rsidRPr="00104227">
        <w:rPr>
          <w:lang w:val="en-US"/>
        </w:rPr>
        <w:fldChar w:fldCharType="separate"/>
      </w:r>
      <w:r w:rsidR="004276BD">
        <w:rPr>
          <w:lang w:val="en-US"/>
        </w:rPr>
        <w:t>219</w:t>
      </w:r>
      <w:r w:rsidR="006B7AA9" w:rsidRPr="00104227">
        <w:rPr>
          <w:lang w:val="en-US"/>
        </w:rPr>
        <w:fldChar w:fldCharType="end"/>
      </w:r>
      <w:r w:rsidR="006B7AA9" w:rsidRPr="00104227">
        <w:rPr>
          <w:lang w:val="en-US"/>
        </w:rPr>
        <w:t xml:space="preserve">). </w:t>
      </w:r>
      <w:r w:rsidR="00A47C75" w:rsidRPr="00104227">
        <w:rPr>
          <w:lang w:val="en-US"/>
        </w:rPr>
        <w:t xml:space="preserve">However, the effect that these </w:t>
      </w:r>
      <w:r w:rsidR="00191974" w:rsidRPr="00104227">
        <w:rPr>
          <w:lang w:val="en-US"/>
        </w:rPr>
        <w:t>assertions</w:t>
      </w:r>
      <w:r w:rsidR="00A47C75" w:rsidRPr="00104227">
        <w:rPr>
          <w:lang w:val="en-US"/>
        </w:rPr>
        <w:t xml:space="preserve"> may have had on the diligence with which the investigations were conducted, especially at the initial stages</w:t>
      </w:r>
      <w:r w:rsidR="00191974" w:rsidRPr="00104227">
        <w:rPr>
          <w:lang w:val="en-US"/>
        </w:rPr>
        <w:t>,</w:t>
      </w:r>
      <w:r w:rsidR="00A47C75" w:rsidRPr="00104227">
        <w:rPr>
          <w:lang w:val="en-US"/>
        </w:rPr>
        <w:t xml:space="preserve"> remains to be analyzed.</w:t>
      </w:r>
      <w:r w:rsidR="006B7AA9" w:rsidRPr="00104227">
        <w:rPr>
          <w:lang w:val="en-US"/>
        </w:rPr>
        <w:t xml:space="preserve"> </w:t>
      </w:r>
    </w:p>
    <w:p w14:paraId="00B4D22E" w14:textId="5FB3CBD3" w:rsidR="006B7AA9" w:rsidRPr="00104227" w:rsidRDefault="006B7AA9" w:rsidP="006625E1">
      <w:pPr>
        <w:tabs>
          <w:tab w:val="left" w:pos="567"/>
        </w:tabs>
      </w:pPr>
    </w:p>
    <w:p w14:paraId="0DCC57BA" w14:textId="4D456537" w:rsidR="006B7AA9" w:rsidRPr="00104227" w:rsidRDefault="00A47C75" w:rsidP="00A47C75">
      <w:pPr>
        <w:pStyle w:val="Numberedparagraphs"/>
        <w:tabs>
          <w:tab w:val="left" w:pos="567"/>
        </w:tabs>
        <w:rPr>
          <w:lang w:val="en-US"/>
        </w:rPr>
      </w:pPr>
      <w:r w:rsidRPr="00104227">
        <w:rPr>
          <w:lang w:val="en-US"/>
        </w:rPr>
        <w:t>In this regard</w:t>
      </w:r>
      <w:r w:rsidR="006B7AA9" w:rsidRPr="00104227">
        <w:rPr>
          <w:lang w:val="en-US"/>
        </w:rPr>
        <w:t xml:space="preserve">, </w:t>
      </w:r>
      <w:r w:rsidRPr="00104227">
        <w:rPr>
          <w:lang w:val="en-US"/>
        </w:rPr>
        <w:t>during the public hearing before th</w:t>
      </w:r>
      <w:r w:rsidR="00191974" w:rsidRPr="00104227">
        <w:rPr>
          <w:lang w:val="en-US"/>
        </w:rPr>
        <w:t>is</w:t>
      </w:r>
      <w:r w:rsidRPr="00104227">
        <w:rPr>
          <w:lang w:val="en-US"/>
        </w:rPr>
        <w:t xml:space="preserve"> Court, expert witness</w:t>
      </w:r>
      <w:r w:rsidR="006B7AA9" w:rsidRPr="00104227">
        <w:rPr>
          <w:lang w:val="en-US"/>
        </w:rPr>
        <w:t xml:space="preserve"> Julissa Mantilla expl</w:t>
      </w:r>
      <w:r w:rsidRPr="00104227">
        <w:rPr>
          <w:lang w:val="en-US"/>
        </w:rPr>
        <w:t>ained that the humiliation of a victim by senior officials not only re-victimizes a woman, but also has an impact on the care and diligence with which the judicial officials undertake the investigation. This may have particularly serious effect</w:t>
      </w:r>
      <w:r w:rsidR="00191974" w:rsidRPr="00104227">
        <w:rPr>
          <w:lang w:val="en-US"/>
        </w:rPr>
        <w:t>s</w:t>
      </w:r>
      <w:r w:rsidRPr="00104227">
        <w:rPr>
          <w:lang w:val="en-US"/>
        </w:rPr>
        <w:t xml:space="preserve"> when, as in this case, this occurs at the outset of the investigation, which is when the greatest speed and diligence</w:t>
      </w:r>
      <w:r w:rsidR="00191974" w:rsidRPr="00104227">
        <w:rPr>
          <w:lang w:val="en-US"/>
        </w:rPr>
        <w:t xml:space="preserve"> is required</w:t>
      </w:r>
      <w:r w:rsidRPr="00104227">
        <w:rPr>
          <w:lang w:val="en-US"/>
        </w:rPr>
        <w:t xml:space="preserve"> of the authorities.</w:t>
      </w:r>
      <w:r w:rsidR="006B7AA9" w:rsidRPr="00104227">
        <w:rPr>
          <w:rStyle w:val="Refdenotaalpie"/>
          <w:lang w:val="en-US"/>
        </w:rPr>
        <w:footnoteReference w:id="425"/>
      </w:r>
      <w:r w:rsidR="006B7AA9" w:rsidRPr="00104227">
        <w:rPr>
          <w:lang w:val="en-US"/>
        </w:rPr>
        <w:t xml:space="preserve"> </w:t>
      </w:r>
    </w:p>
    <w:p w14:paraId="24AF7119" w14:textId="77777777" w:rsidR="006B7AA9" w:rsidRPr="00104227" w:rsidRDefault="006B7AA9" w:rsidP="006625E1"/>
    <w:p w14:paraId="1A446FC2" w14:textId="5C377B34" w:rsidR="006B7AA9" w:rsidRPr="00104227" w:rsidRDefault="00A47C75" w:rsidP="006B7AA9">
      <w:pPr>
        <w:pStyle w:val="Numberedparagraphs"/>
        <w:tabs>
          <w:tab w:val="left" w:pos="567"/>
        </w:tabs>
        <w:rPr>
          <w:lang w:val="en-US"/>
        </w:rPr>
      </w:pPr>
      <w:r w:rsidRPr="00104227">
        <w:rPr>
          <w:lang w:val="en-US"/>
        </w:rPr>
        <w:t xml:space="preserve">In this case, the Court observes that it was stated that </w:t>
      </w:r>
      <w:r w:rsidR="003A1A4B" w:rsidRPr="00104227">
        <w:rPr>
          <w:lang w:val="en-US"/>
        </w:rPr>
        <w:t>the women</w:t>
      </w:r>
      <w:r w:rsidR="006B7AA9" w:rsidRPr="00104227">
        <w:rPr>
          <w:lang w:val="en-US"/>
        </w:rPr>
        <w:t xml:space="preserve"> “</w:t>
      </w:r>
      <w:r w:rsidRPr="00104227">
        <w:rPr>
          <w:lang w:val="en-US"/>
        </w:rPr>
        <w:t>for reasons of modesty, had not let doctors examine them</w:t>
      </w:r>
      <w:r w:rsidR="009B2A5C" w:rsidRPr="00104227">
        <w:rPr>
          <w:lang w:val="en-US"/>
        </w:rPr>
        <w:t>,</w:t>
      </w:r>
      <w:r w:rsidR="006B7AA9" w:rsidRPr="00104227">
        <w:rPr>
          <w:lang w:val="en-US"/>
        </w:rPr>
        <w:t>”</w:t>
      </w:r>
      <w:r w:rsidR="009B2A5C" w:rsidRPr="00104227">
        <w:rPr>
          <w:lang w:val="en-US"/>
        </w:rPr>
        <w:t xml:space="preserve"> which was particularly vexatious because most of </w:t>
      </w:r>
      <w:r w:rsidR="003A1A4B" w:rsidRPr="00104227">
        <w:rPr>
          <w:lang w:val="en-US"/>
        </w:rPr>
        <w:t>the women</w:t>
      </w:r>
      <w:r w:rsidR="009B2A5C" w:rsidRPr="00104227">
        <w:rPr>
          <w:lang w:val="en-US"/>
        </w:rPr>
        <w:t xml:space="preserve"> were denied a gynecological examination, even though some of them had expressly requested this, even having to resort to a hunger strike </w:t>
      </w:r>
      <w:r w:rsidR="006B7AA9" w:rsidRPr="00104227">
        <w:rPr>
          <w:lang w:val="en-US"/>
        </w:rPr>
        <w:t>(</w:t>
      </w:r>
      <w:r w:rsidR="006B7AA9" w:rsidRPr="00104227">
        <w:rPr>
          <w:i/>
          <w:lang w:val="en-US"/>
        </w:rPr>
        <w:t xml:space="preserve">supra </w:t>
      </w:r>
      <w:r w:rsidR="00BF5241" w:rsidRPr="00104227">
        <w:rPr>
          <w:lang w:val="en-US"/>
        </w:rPr>
        <w:t>para.</w:t>
      </w:r>
      <w:r w:rsidR="006B7AA9" w:rsidRPr="00104227">
        <w:rPr>
          <w:lang w:val="en-US"/>
        </w:rPr>
        <w:t xml:space="preserve"> </w:t>
      </w:r>
      <w:r w:rsidR="006B7AA9" w:rsidRPr="00104227">
        <w:rPr>
          <w:lang w:val="en-US"/>
        </w:rPr>
        <w:fldChar w:fldCharType="begin"/>
      </w:r>
      <w:r w:rsidR="006B7AA9" w:rsidRPr="00104227">
        <w:rPr>
          <w:lang w:val="en-US"/>
        </w:rPr>
        <w:instrText xml:space="preserve"> REF _Ref532973331 \r \h  \* MERGEFORMAT </w:instrText>
      </w:r>
      <w:r w:rsidR="006B7AA9" w:rsidRPr="00104227">
        <w:rPr>
          <w:lang w:val="en-US"/>
        </w:rPr>
      </w:r>
      <w:r w:rsidR="006B7AA9" w:rsidRPr="00104227">
        <w:rPr>
          <w:lang w:val="en-US"/>
        </w:rPr>
        <w:fldChar w:fldCharType="separate"/>
      </w:r>
      <w:r w:rsidR="004276BD">
        <w:rPr>
          <w:lang w:val="en-US"/>
        </w:rPr>
        <w:t>109</w:t>
      </w:r>
      <w:r w:rsidR="006B7AA9" w:rsidRPr="00104227">
        <w:rPr>
          <w:lang w:val="en-US"/>
        </w:rPr>
        <w:fldChar w:fldCharType="end"/>
      </w:r>
      <w:r w:rsidR="006B7AA9" w:rsidRPr="00104227">
        <w:rPr>
          <w:lang w:val="en-US"/>
        </w:rPr>
        <w:t xml:space="preserve">). </w:t>
      </w:r>
      <w:r w:rsidR="009B2A5C" w:rsidRPr="00104227">
        <w:rPr>
          <w:lang w:val="en-US"/>
        </w:rPr>
        <w:t>Furthermore, the women were disbelieved by den</w:t>
      </w:r>
      <w:r w:rsidR="00191974" w:rsidRPr="00104227">
        <w:rPr>
          <w:lang w:val="en-US"/>
        </w:rPr>
        <w:t>ial</w:t>
      </w:r>
      <w:r w:rsidR="009B2A5C" w:rsidRPr="00104227">
        <w:rPr>
          <w:lang w:val="en-US"/>
        </w:rPr>
        <w:t xml:space="preserve"> </w:t>
      </w:r>
      <w:r w:rsidR="00191974" w:rsidRPr="00104227">
        <w:rPr>
          <w:lang w:val="en-US"/>
        </w:rPr>
        <w:t xml:space="preserve">of </w:t>
      </w:r>
      <w:r w:rsidR="009B2A5C" w:rsidRPr="00104227">
        <w:rPr>
          <w:lang w:val="en-US"/>
        </w:rPr>
        <w:t xml:space="preserve">the </w:t>
      </w:r>
      <w:r w:rsidR="00814266" w:rsidRPr="00104227">
        <w:rPr>
          <w:lang w:val="en-US"/>
        </w:rPr>
        <w:t>sexual violence</w:t>
      </w:r>
      <w:r w:rsidR="006B7AA9" w:rsidRPr="00104227">
        <w:rPr>
          <w:lang w:val="en-US"/>
        </w:rPr>
        <w:t xml:space="preserve"> </w:t>
      </w:r>
      <w:r w:rsidR="00191974" w:rsidRPr="00104227">
        <w:rPr>
          <w:lang w:val="en-US"/>
        </w:rPr>
        <w:t>because</w:t>
      </w:r>
      <w:r w:rsidR="009B2A5C" w:rsidRPr="00104227">
        <w:rPr>
          <w:lang w:val="en-US"/>
        </w:rPr>
        <w:t xml:space="preserve"> no complaints had been filed, when this was not only irrelevant, because the obligation to investigate arises when evidence exists, irrespective of the existence of a complaint, but was also false, since several of the women had tried to file complaints about the facts and the authorities had not allowed this </w:t>
      </w:r>
      <w:r w:rsidR="006B7AA9" w:rsidRPr="00104227">
        <w:rPr>
          <w:lang w:val="en-US"/>
        </w:rPr>
        <w:t>(</w:t>
      </w:r>
      <w:r w:rsidR="006B7AA9" w:rsidRPr="00104227">
        <w:rPr>
          <w:i/>
          <w:lang w:val="en-US"/>
        </w:rPr>
        <w:t xml:space="preserve">supra </w:t>
      </w:r>
      <w:r w:rsidR="00BF5241" w:rsidRPr="00104227">
        <w:rPr>
          <w:lang w:val="en-US"/>
        </w:rPr>
        <w:t>para.</w:t>
      </w:r>
      <w:r w:rsidR="006B7AA9" w:rsidRPr="00104227">
        <w:rPr>
          <w:lang w:val="en-US"/>
        </w:rPr>
        <w:t xml:space="preserve"> </w:t>
      </w:r>
      <w:r w:rsidR="006B7AA9" w:rsidRPr="00104227">
        <w:rPr>
          <w:lang w:val="en-US"/>
        </w:rPr>
        <w:fldChar w:fldCharType="begin"/>
      </w:r>
      <w:r w:rsidR="006B7AA9" w:rsidRPr="00104227">
        <w:rPr>
          <w:lang w:val="en-US"/>
        </w:rPr>
        <w:instrText xml:space="preserve"> REF _Ref532935645 \r \h  \* MERGEFORMAT </w:instrText>
      </w:r>
      <w:r w:rsidR="006B7AA9" w:rsidRPr="00104227">
        <w:rPr>
          <w:lang w:val="en-US"/>
        </w:rPr>
      </w:r>
      <w:r w:rsidR="006B7AA9" w:rsidRPr="00104227">
        <w:rPr>
          <w:lang w:val="en-US"/>
        </w:rPr>
        <w:fldChar w:fldCharType="separate"/>
      </w:r>
      <w:r w:rsidR="004276BD">
        <w:rPr>
          <w:lang w:val="en-US"/>
        </w:rPr>
        <w:t>105</w:t>
      </w:r>
      <w:r w:rsidR="006B7AA9" w:rsidRPr="00104227">
        <w:rPr>
          <w:lang w:val="en-US"/>
        </w:rPr>
        <w:fldChar w:fldCharType="end"/>
      </w:r>
      <w:r w:rsidR="006B7AA9" w:rsidRPr="00104227">
        <w:rPr>
          <w:lang w:val="en-US"/>
        </w:rPr>
        <w:t>)</w:t>
      </w:r>
      <w:r w:rsidR="006625E1" w:rsidRPr="00104227">
        <w:rPr>
          <w:lang w:val="en-US"/>
        </w:rPr>
        <w:t>.</w:t>
      </w:r>
      <w:r w:rsidR="006B7AA9" w:rsidRPr="00104227">
        <w:rPr>
          <w:lang w:val="en-US"/>
        </w:rPr>
        <w:t xml:space="preserve"> </w:t>
      </w:r>
      <w:r w:rsidR="00BF5241" w:rsidRPr="00104227">
        <w:rPr>
          <w:lang w:val="en-US"/>
        </w:rPr>
        <w:t>The Court</w:t>
      </w:r>
      <w:r w:rsidR="006B7AA9" w:rsidRPr="00104227">
        <w:rPr>
          <w:lang w:val="en-US"/>
        </w:rPr>
        <w:t xml:space="preserve"> </w:t>
      </w:r>
      <w:r w:rsidR="009B2A5C" w:rsidRPr="00104227">
        <w:rPr>
          <w:lang w:val="en-US"/>
        </w:rPr>
        <w:t>also notes the use of expressions aimed at relieving the perpetrators of responsibility o</w:t>
      </w:r>
      <w:r w:rsidR="00191974" w:rsidRPr="00104227">
        <w:rPr>
          <w:lang w:val="en-US"/>
        </w:rPr>
        <w:t>r</w:t>
      </w:r>
      <w:r w:rsidR="009B2A5C" w:rsidRPr="00104227">
        <w:rPr>
          <w:lang w:val="en-US"/>
        </w:rPr>
        <w:t xml:space="preserve"> justifying their acts; for example, by reducing the police abuse to a consequence of stress, as well as the perpetration of stereotypes relating to the lack of credibility of women, attributing the complaints to tactics of “insurgent groups”</w:t>
      </w:r>
      <w:r w:rsidR="00191974" w:rsidRPr="00104227">
        <w:rPr>
          <w:lang w:val="en-US"/>
        </w:rPr>
        <w:t xml:space="preserve"> </w:t>
      </w:r>
      <w:r w:rsidR="009B2A5C" w:rsidRPr="00104227">
        <w:rPr>
          <w:lang w:val="en-US"/>
        </w:rPr>
        <w:t>or “radicals”</w:t>
      </w:r>
      <w:r w:rsidR="006B7AA9" w:rsidRPr="00104227">
        <w:rPr>
          <w:lang w:val="en-US"/>
        </w:rPr>
        <w:t xml:space="preserve"> (</w:t>
      </w:r>
      <w:r w:rsidR="006B7AA9" w:rsidRPr="00104227">
        <w:rPr>
          <w:i/>
          <w:lang w:val="en-US"/>
        </w:rPr>
        <w:t xml:space="preserve">supra </w:t>
      </w:r>
      <w:r w:rsidR="00BF5241" w:rsidRPr="00104227">
        <w:rPr>
          <w:lang w:val="en-US"/>
        </w:rPr>
        <w:t>para.</w:t>
      </w:r>
      <w:r w:rsidR="006B7AA9" w:rsidRPr="00104227">
        <w:rPr>
          <w:lang w:val="en-US"/>
        </w:rPr>
        <w:t xml:space="preserve"> </w:t>
      </w:r>
      <w:r w:rsidR="006B7AA9" w:rsidRPr="00104227">
        <w:rPr>
          <w:lang w:val="en-US"/>
        </w:rPr>
        <w:fldChar w:fldCharType="begin"/>
      </w:r>
      <w:r w:rsidR="006B7AA9" w:rsidRPr="00104227">
        <w:rPr>
          <w:lang w:val="en-US"/>
        </w:rPr>
        <w:instrText xml:space="preserve"> REF _Ref528949573 \r \h  \* MERGEFORMAT </w:instrText>
      </w:r>
      <w:r w:rsidR="006B7AA9" w:rsidRPr="00104227">
        <w:rPr>
          <w:lang w:val="en-US"/>
        </w:rPr>
      </w:r>
      <w:r w:rsidR="006B7AA9" w:rsidRPr="00104227">
        <w:rPr>
          <w:lang w:val="en-US"/>
        </w:rPr>
        <w:fldChar w:fldCharType="separate"/>
      </w:r>
      <w:r w:rsidR="004276BD">
        <w:rPr>
          <w:lang w:val="en-US"/>
        </w:rPr>
        <w:t>74</w:t>
      </w:r>
      <w:r w:rsidR="006B7AA9" w:rsidRPr="00104227">
        <w:rPr>
          <w:lang w:val="en-US"/>
        </w:rPr>
        <w:fldChar w:fldCharType="end"/>
      </w:r>
      <w:r w:rsidR="006B7AA9" w:rsidRPr="00104227">
        <w:rPr>
          <w:lang w:val="en-US"/>
        </w:rPr>
        <w:t xml:space="preserve">). </w:t>
      </w:r>
      <w:r w:rsidR="009E39E9" w:rsidRPr="00104227">
        <w:rPr>
          <w:lang w:val="en-US"/>
        </w:rPr>
        <w:t xml:space="preserve">In short, the Court notes that statements of this type are not only discriminatory and re-victimizing, but </w:t>
      </w:r>
      <w:r w:rsidR="00191974" w:rsidRPr="00104227">
        <w:rPr>
          <w:lang w:val="en-US"/>
        </w:rPr>
        <w:t xml:space="preserve">also </w:t>
      </w:r>
      <w:r w:rsidR="009E39E9" w:rsidRPr="00104227">
        <w:rPr>
          <w:lang w:val="en-US"/>
        </w:rPr>
        <w:t>create an adverse climate for the effective investigation of the facts and encourage impunity.</w:t>
      </w:r>
    </w:p>
    <w:p w14:paraId="2A79B5E9" w14:textId="77777777" w:rsidR="006B7AA9" w:rsidRPr="00104227" w:rsidRDefault="006B7AA9" w:rsidP="006B7AA9"/>
    <w:p w14:paraId="29A69019" w14:textId="23C98555" w:rsidR="00BF44DD" w:rsidRPr="00104227" w:rsidRDefault="009E39E9" w:rsidP="00482011">
      <w:pPr>
        <w:pStyle w:val="Numberedparagraphs"/>
        <w:tabs>
          <w:tab w:val="left" w:pos="567"/>
        </w:tabs>
        <w:rPr>
          <w:lang w:val="en-US"/>
        </w:rPr>
      </w:pPr>
      <w:r w:rsidRPr="00104227">
        <w:rPr>
          <w:lang w:val="en-US"/>
        </w:rPr>
        <w:t xml:space="preserve">The Court also notes that the women </w:t>
      </w:r>
      <w:r w:rsidR="008913F4" w:rsidRPr="00104227">
        <w:rPr>
          <w:lang w:val="en-US"/>
        </w:rPr>
        <w:t>were also denigrated by</w:t>
      </w:r>
      <w:r w:rsidRPr="00104227">
        <w:rPr>
          <w:lang w:val="en-US"/>
        </w:rPr>
        <w:t xml:space="preserve"> the treatment they received from the officials in charge of the investigation. </w:t>
      </w:r>
      <w:r w:rsidR="00482011" w:rsidRPr="00104227">
        <w:rPr>
          <w:lang w:val="en-US"/>
        </w:rPr>
        <w:t xml:space="preserve">For example, </w:t>
      </w:r>
      <w:r w:rsidR="004617E1" w:rsidRPr="00104227">
        <w:rPr>
          <w:lang w:val="en-US"/>
        </w:rPr>
        <w:t>during the public hearing before this Court</w:t>
      </w:r>
      <w:r w:rsidR="00BF44DD" w:rsidRPr="00104227">
        <w:rPr>
          <w:lang w:val="en-US"/>
        </w:rPr>
        <w:t xml:space="preserve">, Bárbara Italia Méndez Moreno </w:t>
      </w:r>
      <w:r w:rsidR="00482011" w:rsidRPr="00104227">
        <w:rPr>
          <w:lang w:val="en-US"/>
        </w:rPr>
        <w:t xml:space="preserve">stated that, the whole time, she felt that questions were being raised with regard to her behavior and </w:t>
      </w:r>
      <w:r w:rsidR="008913F4" w:rsidRPr="00104227">
        <w:rPr>
          <w:lang w:val="en-US"/>
        </w:rPr>
        <w:t xml:space="preserve">regarding </w:t>
      </w:r>
      <w:r w:rsidR="00482011" w:rsidRPr="00104227">
        <w:rPr>
          <w:lang w:val="en-US"/>
        </w:rPr>
        <w:t>what she had done to deserve what happened</w:t>
      </w:r>
      <w:r w:rsidR="008913F4" w:rsidRPr="00104227">
        <w:rPr>
          <w:lang w:val="en-US"/>
        </w:rPr>
        <w:t xml:space="preserve"> to her</w:t>
      </w:r>
      <w:r w:rsidR="00482011" w:rsidRPr="00104227">
        <w:rPr>
          <w:lang w:val="en-US"/>
        </w:rPr>
        <w:t>.</w:t>
      </w:r>
      <w:r w:rsidR="00BF44DD" w:rsidRPr="00104227">
        <w:rPr>
          <w:rStyle w:val="Refdenotaalpie"/>
          <w:lang w:val="en-US"/>
        </w:rPr>
        <w:footnoteReference w:id="426"/>
      </w:r>
      <w:r w:rsidR="00482011" w:rsidRPr="00104227">
        <w:rPr>
          <w:lang w:val="en-US"/>
        </w:rPr>
        <w:t xml:space="preserve"> The attitude of one of the doctors (whose duty it was to treat the women and document the acts reported) towards Claudia Hernández was particularly disturbing, when he said that he did not believe her and called her a “r</w:t>
      </w:r>
      <w:r w:rsidR="008913F4" w:rsidRPr="00104227">
        <w:rPr>
          <w:lang w:val="en-US"/>
        </w:rPr>
        <w:t>adical</w:t>
      </w:r>
      <w:r w:rsidR="00482011" w:rsidRPr="00104227">
        <w:rPr>
          <w:lang w:val="en-US"/>
        </w:rPr>
        <w:t>” and “filth”</w:t>
      </w:r>
      <w:r w:rsidR="00BF44DD" w:rsidRPr="00104227">
        <w:rPr>
          <w:lang w:val="en-US"/>
        </w:rPr>
        <w:t xml:space="preserve"> (</w:t>
      </w:r>
      <w:r w:rsidR="00BF44DD" w:rsidRPr="00104227">
        <w:rPr>
          <w:i/>
          <w:lang w:val="en-US"/>
        </w:rPr>
        <w:t xml:space="preserve">supra </w:t>
      </w:r>
      <w:r w:rsidR="00BF5241" w:rsidRPr="00104227">
        <w:rPr>
          <w:lang w:val="en-US"/>
        </w:rPr>
        <w:t>para.</w:t>
      </w:r>
      <w:r w:rsidR="00BF44DD" w:rsidRPr="00104227">
        <w:rPr>
          <w:lang w:val="en-US"/>
        </w:rPr>
        <w:t xml:space="preserve"> </w:t>
      </w:r>
      <w:r w:rsidR="006E5B44" w:rsidRPr="00104227">
        <w:rPr>
          <w:lang w:val="en-US"/>
        </w:rPr>
        <w:fldChar w:fldCharType="begin"/>
      </w:r>
      <w:r w:rsidR="006E5B44" w:rsidRPr="00104227">
        <w:rPr>
          <w:lang w:val="en-US"/>
        </w:rPr>
        <w:instrText xml:space="preserve"> REF _Ref532908192 \r \h </w:instrText>
      </w:r>
      <w:r w:rsidR="008F3CAD" w:rsidRPr="00104227">
        <w:rPr>
          <w:lang w:val="en-US"/>
        </w:rPr>
        <w:instrText xml:space="preserve"> \* MERGEFORMAT </w:instrText>
      </w:r>
      <w:r w:rsidR="006E5B44" w:rsidRPr="00104227">
        <w:rPr>
          <w:lang w:val="en-US"/>
        </w:rPr>
      </w:r>
      <w:r w:rsidR="006E5B44" w:rsidRPr="00104227">
        <w:rPr>
          <w:lang w:val="en-US"/>
        </w:rPr>
        <w:fldChar w:fldCharType="separate"/>
      </w:r>
      <w:r w:rsidR="004276BD">
        <w:rPr>
          <w:lang w:val="en-US"/>
        </w:rPr>
        <w:t>104</w:t>
      </w:r>
      <w:r w:rsidR="006E5B44" w:rsidRPr="00104227">
        <w:rPr>
          <w:lang w:val="en-US"/>
        </w:rPr>
        <w:fldChar w:fldCharType="end"/>
      </w:r>
      <w:r w:rsidR="00BF44DD" w:rsidRPr="00104227">
        <w:rPr>
          <w:lang w:val="en-US"/>
        </w:rPr>
        <w:t xml:space="preserve">). </w:t>
      </w:r>
    </w:p>
    <w:p w14:paraId="0C59614D" w14:textId="77777777" w:rsidR="00DA71E5" w:rsidRPr="00104227" w:rsidRDefault="00DA71E5" w:rsidP="00E4619F">
      <w:pPr>
        <w:tabs>
          <w:tab w:val="left" w:pos="567"/>
        </w:tabs>
        <w:rPr>
          <w:lang w:eastAsia="es-MX"/>
        </w:rPr>
      </w:pPr>
    </w:p>
    <w:p w14:paraId="103351AC" w14:textId="58AFABB5" w:rsidR="00800831" w:rsidRPr="00104227" w:rsidRDefault="00BF5241" w:rsidP="00D90070">
      <w:pPr>
        <w:pStyle w:val="Numberedparagraphs"/>
        <w:tabs>
          <w:tab w:val="left" w:pos="567"/>
        </w:tabs>
        <w:rPr>
          <w:lang w:val="en-US"/>
        </w:rPr>
      </w:pPr>
      <w:r w:rsidRPr="00104227">
        <w:rPr>
          <w:lang w:val="en-US"/>
        </w:rPr>
        <w:t>This Court</w:t>
      </w:r>
      <w:r w:rsidR="00BF44DD" w:rsidRPr="00104227">
        <w:rPr>
          <w:lang w:val="en-US"/>
        </w:rPr>
        <w:t xml:space="preserve"> ha</w:t>
      </w:r>
      <w:r w:rsidR="00482011" w:rsidRPr="00104227">
        <w:rPr>
          <w:lang w:val="en-US"/>
        </w:rPr>
        <w:t xml:space="preserve">s indicated, with regard to rape, that given the nature of this </w:t>
      </w:r>
      <w:r w:rsidR="00800831" w:rsidRPr="00104227">
        <w:rPr>
          <w:lang w:val="en-US"/>
        </w:rPr>
        <w:t>form</w:t>
      </w:r>
      <w:r w:rsidR="00482011" w:rsidRPr="00104227">
        <w:rPr>
          <w:lang w:val="en-US"/>
        </w:rPr>
        <w:t xml:space="preserve"> of violence, </w:t>
      </w:r>
      <w:r w:rsidR="00800831" w:rsidRPr="00104227">
        <w:rPr>
          <w:lang w:val="en-US"/>
        </w:rPr>
        <w:t xml:space="preserve">the existence of graphic or documentary evidence cannot be expected and, therefore, the victim’s </w:t>
      </w:r>
      <w:r w:rsidR="00800831" w:rsidRPr="00104227">
        <w:rPr>
          <w:lang w:val="en-US"/>
        </w:rPr>
        <w:lastRenderedPageBreak/>
        <w:t>statement is fundamental proof of the fact.</w:t>
      </w:r>
      <w:r w:rsidR="00BF44DD" w:rsidRPr="00104227">
        <w:rPr>
          <w:rStyle w:val="Refdenotaalpie"/>
          <w:lang w:val="en-US"/>
        </w:rPr>
        <w:footnoteReference w:id="427"/>
      </w:r>
      <w:r w:rsidR="00BF44DD" w:rsidRPr="00104227">
        <w:rPr>
          <w:lang w:val="en-US"/>
        </w:rPr>
        <w:t xml:space="preserve"> </w:t>
      </w:r>
      <w:r w:rsidR="00800831" w:rsidRPr="00104227">
        <w:rPr>
          <w:lang w:val="en-US"/>
        </w:rPr>
        <w:t>In this case, the Court observes numerous exa</w:t>
      </w:r>
      <w:r w:rsidR="008913F4" w:rsidRPr="00104227">
        <w:rPr>
          <w:lang w:val="en-US"/>
        </w:rPr>
        <w:t>m</w:t>
      </w:r>
      <w:r w:rsidR="00800831" w:rsidRPr="00104227">
        <w:rPr>
          <w:lang w:val="en-US"/>
        </w:rPr>
        <w:t xml:space="preserve">ples of occasions on which the </w:t>
      </w:r>
      <w:r w:rsidR="003F10B2" w:rsidRPr="00104227">
        <w:rPr>
          <w:lang w:val="en-US"/>
        </w:rPr>
        <w:t xml:space="preserve">State </w:t>
      </w:r>
      <w:r w:rsidR="00F27D61" w:rsidRPr="00104227">
        <w:rPr>
          <w:lang w:val="en-US"/>
        </w:rPr>
        <w:t>authorities</w:t>
      </w:r>
      <w:r w:rsidR="00800831" w:rsidRPr="00104227">
        <w:rPr>
          <w:lang w:val="en-US"/>
        </w:rPr>
        <w:t xml:space="preserve"> accorded excessive importance to the absence of physical evidence, which is particularly serious taking into account that, to a great extent, the absence of this evidence was due to the negligent actions of the same authorities </w:t>
      </w:r>
      <w:r w:rsidR="008913F4" w:rsidRPr="00104227">
        <w:rPr>
          <w:lang w:val="en-US"/>
        </w:rPr>
        <w:t>who</w:t>
      </w:r>
      <w:r w:rsidR="00800831" w:rsidRPr="00104227">
        <w:rPr>
          <w:lang w:val="en-US"/>
        </w:rPr>
        <w:t xml:space="preserve"> later required it. The Court has already determined that the refusal by some of the women victims in this case to undergo the application of the Istanbul Protocol a second time prejudiced the investigation, owing to the failure of the FEVIM to adopt other measures, such as </w:t>
      </w:r>
      <w:r w:rsidR="008913F4" w:rsidRPr="00104227">
        <w:rPr>
          <w:lang w:val="en-US"/>
        </w:rPr>
        <w:t>taking into account</w:t>
      </w:r>
      <w:r w:rsidR="00800831" w:rsidRPr="00104227">
        <w:rPr>
          <w:lang w:val="en-US"/>
        </w:rPr>
        <w:t xml:space="preserve"> the appraisals that other entities had conducted previously. The Court also emphasizes the </w:t>
      </w:r>
      <w:r w:rsidR="008913F4" w:rsidRPr="00104227">
        <w:rPr>
          <w:lang w:val="en-US"/>
        </w:rPr>
        <w:t>statement</w:t>
      </w:r>
      <w:r w:rsidR="00800831" w:rsidRPr="00104227">
        <w:rPr>
          <w:lang w:val="en-US"/>
        </w:rPr>
        <w:t xml:space="preserve"> of the Secretary General of Government of the state of Mexico that it was not possible to open an investigation owing to the absence of gynecological examinations or criminal complaints (</w:t>
      </w:r>
      <w:r w:rsidR="00800831" w:rsidRPr="00104227">
        <w:rPr>
          <w:i/>
          <w:lang w:val="en-US"/>
        </w:rPr>
        <w:t xml:space="preserve">supra </w:t>
      </w:r>
      <w:r w:rsidR="00800831" w:rsidRPr="00104227">
        <w:rPr>
          <w:lang w:val="en-US"/>
        </w:rPr>
        <w:t xml:space="preserve">para. </w:t>
      </w:r>
      <w:r w:rsidR="00800831" w:rsidRPr="00104227">
        <w:rPr>
          <w:lang w:val="en-US"/>
        </w:rPr>
        <w:fldChar w:fldCharType="begin"/>
      </w:r>
      <w:r w:rsidR="00800831" w:rsidRPr="00104227">
        <w:rPr>
          <w:lang w:val="en-US"/>
        </w:rPr>
        <w:instrText xml:space="preserve"> REF _Ref528949566 \r \h  \* MERGEFORMAT </w:instrText>
      </w:r>
      <w:r w:rsidR="00800831" w:rsidRPr="00104227">
        <w:rPr>
          <w:lang w:val="en-US"/>
        </w:rPr>
      </w:r>
      <w:r w:rsidR="00800831" w:rsidRPr="00104227">
        <w:rPr>
          <w:lang w:val="en-US"/>
        </w:rPr>
        <w:fldChar w:fldCharType="separate"/>
      </w:r>
      <w:r w:rsidR="004276BD">
        <w:rPr>
          <w:lang w:val="en-US"/>
        </w:rPr>
        <w:t>73</w:t>
      </w:r>
      <w:r w:rsidR="00800831" w:rsidRPr="00104227">
        <w:rPr>
          <w:lang w:val="en-US"/>
        </w:rPr>
        <w:fldChar w:fldCharType="end"/>
      </w:r>
      <w:r w:rsidR="00800831" w:rsidRPr="00104227">
        <w:rPr>
          <w:lang w:val="en-US"/>
        </w:rPr>
        <w:t>), as well as the state Security Agency’s report of May 17, 2006, submitted to the Governor and the PGJEM, which state</w:t>
      </w:r>
      <w:r w:rsidR="008913F4" w:rsidRPr="00104227">
        <w:rPr>
          <w:lang w:val="en-US"/>
        </w:rPr>
        <w:t>d</w:t>
      </w:r>
      <w:r w:rsidR="00800831" w:rsidRPr="00104227">
        <w:rPr>
          <w:lang w:val="en-US"/>
        </w:rPr>
        <w:t xml:space="preserve"> that “a possible victim of a violent rape would have injuries that could endanger her life and mental capacity and </w:t>
      </w:r>
      <w:r w:rsidR="00D90070" w:rsidRPr="00104227">
        <w:rPr>
          <w:lang w:val="en-US"/>
        </w:rPr>
        <w:t>[…]</w:t>
      </w:r>
      <w:r w:rsidR="008913F4" w:rsidRPr="00104227">
        <w:rPr>
          <w:lang w:val="en-US"/>
        </w:rPr>
        <w:t xml:space="preserve"> </w:t>
      </w:r>
      <w:r w:rsidR="00800831" w:rsidRPr="00104227">
        <w:rPr>
          <w:lang w:val="en-US"/>
        </w:rPr>
        <w:t>she would have to be hospitalized</w:t>
      </w:r>
      <w:r w:rsidR="00D90070" w:rsidRPr="00104227">
        <w:rPr>
          <w:lang w:val="en-US"/>
        </w:rPr>
        <w:t>.</w:t>
      </w:r>
      <w:r w:rsidR="00BF44DD" w:rsidRPr="00104227">
        <w:rPr>
          <w:lang w:val="en-US"/>
        </w:rPr>
        <w:t>”</w:t>
      </w:r>
      <w:r w:rsidR="00BF44DD" w:rsidRPr="00104227">
        <w:rPr>
          <w:rStyle w:val="Refdenotaalpie"/>
          <w:lang w:val="en-US"/>
        </w:rPr>
        <w:footnoteReference w:id="428"/>
      </w:r>
      <w:r w:rsidR="00BF44DD" w:rsidRPr="00104227">
        <w:rPr>
          <w:lang w:val="en-US"/>
        </w:rPr>
        <w:t xml:space="preserve"> </w:t>
      </w:r>
      <w:r w:rsidR="00D90070" w:rsidRPr="00104227">
        <w:rPr>
          <w:lang w:val="en-US"/>
        </w:rPr>
        <w:t xml:space="preserve"> </w:t>
      </w:r>
      <w:r w:rsidR="00BF44DD" w:rsidRPr="00104227">
        <w:rPr>
          <w:lang w:val="en-US"/>
        </w:rPr>
        <w:t>T</w:t>
      </w:r>
      <w:r w:rsidR="00D90070" w:rsidRPr="00104227">
        <w:rPr>
          <w:lang w:val="en-US"/>
        </w:rPr>
        <w:t>he</w:t>
      </w:r>
      <w:r w:rsidR="008913F4" w:rsidRPr="00104227">
        <w:rPr>
          <w:lang w:val="en-US"/>
        </w:rPr>
        <w:t xml:space="preserve">se </w:t>
      </w:r>
      <w:r w:rsidR="00D90070" w:rsidRPr="00104227">
        <w:rPr>
          <w:lang w:val="en-US"/>
        </w:rPr>
        <w:t xml:space="preserve">are examples of the excessive importance that the authorities assigned to the physical evidence, contravening the inter-American standards for the investigation of cases of </w:t>
      </w:r>
      <w:r w:rsidR="00D25554" w:rsidRPr="00104227">
        <w:rPr>
          <w:lang w:val="en-US"/>
        </w:rPr>
        <w:t>sexual violence</w:t>
      </w:r>
      <w:r w:rsidR="00BF44DD" w:rsidRPr="00104227">
        <w:rPr>
          <w:lang w:val="en-US"/>
        </w:rPr>
        <w:t xml:space="preserve">. </w:t>
      </w:r>
    </w:p>
    <w:p w14:paraId="7ADF60A2" w14:textId="77777777" w:rsidR="00DA71E5" w:rsidRPr="00104227" w:rsidRDefault="00DA71E5" w:rsidP="00E4619F">
      <w:pPr>
        <w:tabs>
          <w:tab w:val="left" w:pos="567"/>
        </w:tabs>
        <w:rPr>
          <w:lang w:eastAsia="es-MX"/>
        </w:rPr>
      </w:pPr>
    </w:p>
    <w:p w14:paraId="303D8456" w14:textId="1474A0BF" w:rsidR="00BF44DD" w:rsidRPr="00104227" w:rsidRDefault="00D90070" w:rsidP="00E4619F">
      <w:pPr>
        <w:pStyle w:val="Numberedparagraphs"/>
        <w:tabs>
          <w:tab w:val="left" w:pos="567"/>
        </w:tabs>
        <w:rPr>
          <w:lang w:val="en-US"/>
        </w:rPr>
      </w:pPr>
      <w:r w:rsidRPr="00104227">
        <w:rPr>
          <w:lang w:val="en-US"/>
        </w:rPr>
        <w:t>In addition, the Court also notes the re-victimizing effects of the stereotypical and discriminatory treatment that the</w:t>
      </w:r>
      <w:r w:rsidR="003A1A4B" w:rsidRPr="00104227">
        <w:rPr>
          <w:lang w:val="en-US"/>
        </w:rPr>
        <w:t xml:space="preserve"> women</w:t>
      </w:r>
      <w:r w:rsidRPr="00104227">
        <w:rPr>
          <w:lang w:val="en-US"/>
        </w:rPr>
        <w:t xml:space="preserve"> received</w:t>
      </w:r>
      <w:r w:rsidR="008913F4" w:rsidRPr="00104227">
        <w:rPr>
          <w:lang w:val="en-US"/>
        </w:rPr>
        <w:t>.</w:t>
      </w:r>
      <w:r w:rsidR="00F25A04" w:rsidRPr="00104227">
        <w:rPr>
          <w:lang w:val="en-US"/>
        </w:rPr>
        <w:t xml:space="preserve"> </w:t>
      </w:r>
      <w:r w:rsidR="008913F4" w:rsidRPr="00104227">
        <w:rPr>
          <w:lang w:val="en-US"/>
        </w:rPr>
        <w:t>F</w:t>
      </w:r>
      <w:r w:rsidRPr="00104227">
        <w:rPr>
          <w:lang w:val="en-US"/>
        </w:rPr>
        <w:t xml:space="preserve">or example, the authorities in charge of the investigation failed to take steps to avoid subjecting them repeatedly and unnecessarily to the re-victimizing and invasive experience of the application of medical and psychological appraisals </w:t>
      </w:r>
      <w:r w:rsidR="00BF44DD" w:rsidRPr="00104227">
        <w:rPr>
          <w:lang w:val="en-US"/>
        </w:rPr>
        <w:t>(</w:t>
      </w:r>
      <w:r w:rsidR="00BF44DD" w:rsidRPr="00104227">
        <w:rPr>
          <w:i/>
          <w:lang w:val="en-US"/>
        </w:rPr>
        <w:t xml:space="preserve">supra </w:t>
      </w:r>
      <w:r w:rsidR="00BF5241" w:rsidRPr="00104227">
        <w:rPr>
          <w:lang w:val="en-US"/>
        </w:rPr>
        <w:t>paras.</w:t>
      </w:r>
      <w:r w:rsidR="00BF44DD" w:rsidRPr="00104227">
        <w:rPr>
          <w:lang w:val="en-US"/>
        </w:rPr>
        <w:t xml:space="preserve"> </w:t>
      </w:r>
      <w:r w:rsidR="006E5B44" w:rsidRPr="00104227">
        <w:rPr>
          <w:lang w:val="en-US"/>
        </w:rPr>
        <w:fldChar w:fldCharType="begin"/>
      </w:r>
      <w:r w:rsidR="006E5B44" w:rsidRPr="00104227">
        <w:rPr>
          <w:lang w:val="en-US"/>
        </w:rPr>
        <w:instrText xml:space="preserve"> REF _Ref532973723 \r \h </w:instrText>
      </w:r>
      <w:r w:rsidR="008F3CAD" w:rsidRPr="00104227">
        <w:rPr>
          <w:lang w:val="en-US"/>
        </w:rPr>
        <w:instrText xml:space="preserve"> \* MERGEFORMAT </w:instrText>
      </w:r>
      <w:r w:rsidR="006E5B44" w:rsidRPr="00104227">
        <w:rPr>
          <w:lang w:val="en-US"/>
        </w:rPr>
      </w:r>
      <w:r w:rsidR="006E5B44" w:rsidRPr="00104227">
        <w:rPr>
          <w:lang w:val="en-US"/>
        </w:rPr>
        <w:fldChar w:fldCharType="separate"/>
      </w:r>
      <w:r w:rsidR="004276BD">
        <w:rPr>
          <w:lang w:val="en-US"/>
        </w:rPr>
        <w:t>282</w:t>
      </w:r>
      <w:r w:rsidR="006E5B44" w:rsidRPr="00104227">
        <w:rPr>
          <w:lang w:val="en-US"/>
        </w:rPr>
        <w:fldChar w:fldCharType="end"/>
      </w:r>
      <w:r w:rsidR="00BF5241" w:rsidRPr="00104227">
        <w:rPr>
          <w:lang w:val="en-US"/>
        </w:rPr>
        <w:t xml:space="preserve"> and </w:t>
      </w:r>
      <w:r w:rsidR="006E5B44" w:rsidRPr="00104227">
        <w:rPr>
          <w:lang w:val="en-US"/>
        </w:rPr>
        <w:fldChar w:fldCharType="begin"/>
      </w:r>
      <w:r w:rsidR="006E5B44" w:rsidRPr="00104227">
        <w:rPr>
          <w:lang w:val="en-US"/>
        </w:rPr>
        <w:instrText xml:space="preserve"> REF _Ref532969069 \r \h </w:instrText>
      </w:r>
      <w:r w:rsidR="008F3CAD" w:rsidRPr="00104227">
        <w:rPr>
          <w:lang w:val="en-US"/>
        </w:rPr>
        <w:instrText xml:space="preserve"> \* MERGEFORMAT </w:instrText>
      </w:r>
      <w:r w:rsidR="006E5B44" w:rsidRPr="00104227">
        <w:rPr>
          <w:lang w:val="en-US"/>
        </w:rPr>
      </w:r>
      <w:r w:rsidR="006E5B44" w:rsidRPr="00104227">
        <w:rPr>
          <w:lang w:val="en-US"/>
        </w:rPr>
        <w:fldChar w:fldCharType="separate"/>
      </w:r>
      <w:r w:rsidR="004276BD">
        <w:rPr>
          <w:lang w:val="en-US"/>
        </w:rPr>
        <w:t>283</w:t>
      </w:r>
      <w:r w:rsidR="006E5B44" w:rsidRPr="00104227">
        <w:rPr>
          <w:lang w:val="en-US"/>
        </w:rPr>
        <w:fldChar w:fldCharType="end"/>
      </w:r>
      <w:r w:rsidR="00BF44DD" w:rsidRPr="00104227">
        <w:rPr>
          <w:lang w:val="en-US"/>
        </w:rPr>
        <w:t xml:space="preserve">). </w:t>
      </w:r>
      <w:r w:rsidRPr="00104227">
        <w:rPr>
          <w:lang w:val="en-US"/>
        </w:rPr>
        <w:t>The</w:t>
      </w:r>
      <w:r w:rsidR="00BF5241" w:rsidRPr="00104227">
        <w:rPr>
          <w:lang w:val="en-US"/>
        </w:rPr>
        <w:t xml:space="preserve"> Court</w:t>
      </w:r>
      <w:r w:rsidR="00BF44DD" w:rsidRPr="00104227">
        <w:rPr>
          <w:lang w:val="en-US"/>
        </w:rPr>
        <w:t xml:space="preserve"> </w:t>
      </w:r>
      <w:r w:rsidRPr="00104227">
        <w:rPr>
          <w:lang w:val="en-US"/>
        </w:rPr>
        <w:t xml:space="preserve">also notes that </w:t>
      </w:r>
      <w:r w:rsidR="00852707" w:rsidRPr="00104227">
        <w:rPr>
          <w:lang w:val="en-US"/>
        </w:rPr>
        <w:t>the FEVIM</w:t>
      </w:r>
      <w:r w:rsidR="00BF44DD" w:rsidRPr="00104227">
        <w:rPr>
          <w:lang w:val="en-US"/>
        </w:rPr>
        <w:t xml:space="preserve"> </w:t>
      </w:r>
      <w:r w:rsidRPr="00104227">
        <w:rPr>
          <w:lang w:val="en-US"/>
        </w:rPr>
        <w:t>made a partial “social, family and economic report on the complainants</w:t>
      </w:r>
      <w:r w:rsidR="008913F4" w:rsidRPr="00104227">
        <w:rPr>
          <w:lang w:val="en-US"/>
        </w:rPr>
        <w:t>;</w:t>
      </w:r>
      <w:r w:rsidRPr="00104227">
        <w:rPr>
          <w:lang w:val="en-US"/>
        </w:rPr>
        <w:t xml:space="preserve"> the victim’s </w:t>
      </w:r>
      <w:r w:rsidR="00EB711C" w:rsidRPr="00104227">
        <w:rPr>
          <w:lang w:val="en-US"/>
        </w:rPr>
        <w:t>background</w:t>
      </w:r>
      <w:r w:rsidRPr="00104227">
        <w:rPr>
          <w:lang w:val="en-US"/>
        </w:rPr>
        <w:t xml:space="preserve">, customs and </w:t>
      </w:r>
      <w:r w:rsidR="00EB711C" w:rsidRPr="00104227">
        <w:rPr>
          <w:lang w:val="en-US"/>
        </w:rPr>
        <w:t>practices</w:t>
      </w:r>
      <w:r w:rsidRPr="00104227">
        <w:rPr>
          <w:lang w:val="en-US"/>
        </w:rPr>
        <w:t xml:space="preserve">” contrary to the wishes </w:t>
      </w:r>
      <w:r w:rsidR="00F12946" w:rsidRPr="00104227">
        <w:rPr>
          <w:lang w:val="en-US"/>
        </w:rPr>
        <w:t>of the eleven women</w:t>
      </w:r>
      <w:r w:rsidR="00BF44DD" w:rsidRPr="00104227">
        <w:rPr>
          <w:lang w:val="en-US"/>
        </w:rPr>
        <w:t xml:space="preserve"> </w:t>
      </w:r>
      <w:r w:rsidR="00844C80" w:rsidRPr="00104227">
        <w:rPr>
          <w:lang w:val="en-US"/>
        </w:rPr>
        <w:t>victims in this case</w:t>
      </w:r>
      <w:r w:rsidRPr="00104227">
        <w:rPr>
          <w:lang w:val="en-US"/>
        </w:rPr>
        <w:t>.</w:t>
      </w:r>
      <w:r w:rsidR="002F460E" w:rsidRPr="00104227">
        <w:rPr>
          <w:rStyle w:val="Refdenotaalpie"/>
          <w:lang w:val="en-US"/>
        </w:rPr>
        <w:footnoteReference w:id="429"/>
      </w:r>
      <w:r w:rsidR="00BF44DD" w:rsidRPr="00104227">
        <w:rPr>
          <w:lang w:val="en-US"/>
        </w:rPr>
        <w:t xml:space="preserve"> </w:t>
      </w:r>
      <w:r w:rsidR="00C40E14" w:rsidRPr="00104227">
        <w:rPr>
          <w:lang w:val="en-US"/>
        </w:rPr>
        <w:t xml:space="preserve">In this regard, this Court has </w:t>
      </w:r>
      <w:r w:rsidR="002E6D3D" w:rsidRPr="00104227">
        <w:rPr>
          <w:lang w:val="en-US"/>
        </w:rPr>
        <w:t>indic</w:t>
      </w:r>
      <w:r w:rsidR="00C40E14" w:rsidRPr="00104227">
        <w:rPr>
          <w:lang w:val="en-US"/>
        </w:rPr>
        <w:t>ated that opening lines of investigation into the previous social or sexual conduct of the victims in cases of</w:t>
      </w:r>
      <w:r w:rsidR="00684C3C" w:rsidRPr="00104227">
        <w:rPr>
          <w:lang w:val="en-US"/>
        </w:rPr>
        <w:t xml:space="preserve"> </w:t>
      </w:r>
      <w:r w:rsidR="00C40E14" w:rsidRPr="00104227">
        <w:rPr>
          <w:lang w:val="en-US"/>
        </w:rPr>
        <w:t xml:space="preserve">gender-based violence </w:t>
      </w:r>
      <w:r w:rsidR="007B669E" w:rsidRPr="00104227">
        <w:rPr>
          <w:lang w:val="en-US"/>
        </w:rPr>
        <w:t>is merely a demonstration of policies or attitudes base</w:t>
      </w:r>
      <w:r w:rsidR="002E6D3D" w:rsidRPr="00104227">
        <w:rPr>
          <w:lang w:val="en-US"/>
        </w:rPr>
        <w:t xml:space="preserve">d </w:t>
      </w:r>
      <w:r w:rsidR="007B669E" w:rsidRPr="00104227">
        <w:rPr>
          <w:lang w:val="en-US"/>
        </w:rPr>
        <w:t xml:space="preserve">on gender stereotypes. Furthermore, the victim’s consent is essential for any expert appraisal or examination </w:t>
      </w:r>
      <w:r w:rsidR="002E6D3D" w:rsidRPr="00104227">
        <w:rPr>
          <w:lang w:val="en-US"/>
        </w:rPr>
        <w:t>performed</w:t>
      </w:r>
      <w:r w:rsidR="007B669E" w:rsidRPr="00104227">
        <w:rPr>
          <w:lang w:val="en-US"/>
        </w:rPr>
        <w:t xml:space="preserve"> on the victim of torture and/or</w:t>
      </w:r>
      <w:r w:rsidR="00BF44DD" w:rsidRPr="00104227">
        <w:rPr>
          <w:lang w:val="en-US"/>
        </w:rPr>
        <w:t xml:space="preserve"> </w:t>
      </w:r>
      <w:r w:rsidR="00D25554" w:rsidRPr="00104227">
        <w:rPr>
          <w:lang w:val="en-US"/>
        </w:rPr>
        <w:t>sexual violence</w:t>
      </w:r>
      <w:r w:rsidR="00BF44DD" w:rsidRPr="00104227">
        <w:rPr>
          <w:lang w:val="en-US"/>
        </w:rPr>
        <w:t xml:space="preserve">. </w:t>
      </w:r>
      <w:r w:rsidR="007B669E" w:rsidRPr="00104227">
        <w:rPr>
          <w:lang w:val="en-US"/>
        </w:rPr>
        <w:t xml:space="preserve">In this regard, the Court considers that the preparation of these reports was unnecessary, because there was no justification as to how the social, family and economic history of the victims would be relevant to verify the </w:t>
      </w:r>
      <w:r w:rsidR="007B669E" w:rsidRPr="00104227">
        <w:rPr>
          <w:i/>
          <w:iCs/>
          <w:lang w:val="en-US"/>
        </w:rPr>
        <w:t>corpus delicti</w:t>
      </w:r>
      <w:r w:rsidR="007B669E" w:rsidRPr="00104227">
        <w:rPr>
          <w:lang w:val="en-US"/>
        </w:rPr>
        <w:t xml:space="preserve"> and those probably responsible, and was also re-victimizing, especially as the</w:t>
      </w:r>
      <w:r w:rsidR="002E6D3D" w:rsidRPr="00104227">
        <w:rPr>
          <w:lang w:val="en-US"/>
        </w:rPr>
        <w:t>se reports</w:t>
      </w:r>
      <w:r w:rsidR="007B669E" w:rsidRPr="00104227">
        <w:rPr>
          <w:lang w:val="en-US"/>
        </w:rPr>
        <w:t xml:space="preserve"> were prepared without the</w:t>
      </w:r>
      <w:r w:rsidR="002E6D3D" w:rsidRPr="00104227">
        <w:rPr>
          <w:lang w:val="en-US"/>
        </w:rPr>
        <w:t xml:space="preserve"> victims’</w:t>
      </w:r>
      <w:r w:rsidR="007B669E" w:rsidRPr="00104227">
        <w:rPr>
          <w:lang w:val="en-US"/>
        </w:rPr>
        <w:t xml:space="preserve"> consent</w:t>
      </w:r>
      <w:r w:rsidR="00BF44DD" w:rsidRPr="00104227">
        <w:rPr>
          <w:lang w:val="en-US"/>
        </w:rPr>
        <w:t xml:space="preserve">. </w:t>
      </w:r>
    </w:p>
    <w:p w14:paraId="0EB1A696" w14:textId="77777777" w:rsidR="00A7617C" w:rsidRPr="00104227" w:rsidRDefault="00A7617C" w:rsidP="00E4619F">
      <w:pPr>
        <w:tabs>
          <w:tab w:val="left" w:pos="567"/>
        </w:tabs>
        <w:rPr>
          <w:lang w:eastAsia="es-MX"/>
        </w:rPr>
      </w:pPr>
    </w:p>
    <w:p w14:paraId="09192842" w14:textId="4AE13DB5" w:rsidR="00BF44DD" w:rsidRPr="00104227" w:rsidRDefault="007B669E" w:rsidP="00E4619F">
      <w:pPr>
        <w:pStyle w:val="Numberedparagraphs"/>
        <w:tabs>
          <w:tab w:val="left" w:pos="567"/>
        </w:tabs>
        <w:rPr>
          <w:lang w:val="en-US"/>
        </w:rPr>
      </w:pPr>
      <w:r w:rsidRPr="00104227">
        <w:rPr>
          <w:lang w:val="en-US"/>
        </w:rPr>
        <w:t xml:space="preserve">Consequently, the Court finds that the investigation of the </w:t>
      </w:r>
      <w:r w:rsidR="00BC5201" w:rsidRPr="00104227">
        <w:rPr>
          <w:lang w:val="en-US"/>
        </w:rPr>
        <w:t>torture</w:t>
      </w:r>
      <w:r w:rsidR="00BF5241" w:rsidRPr="00104227">
        <w:rPr>
          <w:lang w:val="en-US"/>
        </w:rPr>
        <w:t xml:space="preserve"> and </w:t>
      </w:r>
      <w:r w:rsidR="00D25554" w:rsidRPr="00104227">
        <w:rPr>
          <w:lang w:val="en-US"/>
        </w:rPr>
        <w:t>sexual violence</w:t>
      </w:r>
      <w:r w:rsidR="00BF44DD" w:rsidRPr="00104227">
        <w:rPr>
          <w:lang w:val="en-US"/>
        </w:rPr>
        <w:t xml:space="preserve"> </w:t>
      </w:r>
      <w:r w:rsidR="00EB711C" w:rsidRPr="00104227">
        <w:rPr>
          <w:lang w:val="en-US"/>
        </w:rPr>
        <w:t>perpetrated</w:t>
      </w:r>
      <w:r w:rsidRPr="00104227">
        <w:rPr>
          <w:lang w:val="en-US"/>
        </w:rPr>
        <w:t xml:space="preserve"> against </w:t>
      </w:r>
      <w:r w:rsidR="003A1A4B" w:rsidRPr="00104227">
        <w:rPr>
          <w:lang w:val="en-US"/>
        </w:rPr>
        <w:t>the women</w:t>
      </w:r>
      <w:r w:rsidR="00BF44DD" w:rsidRPr="00104227">
        <w:rPr>
          <w:lang w:val="en-US"/>
        </w:rPr>
        <w:t xml:space="preserve"> </w:t>
      </w:r>
      <w:r w:rsidR="00844C80" w:rsidRPr="00104227">
        <w:rPr>
          <w:lang w:val="en-US"/>
        </w:rPr>
        <w:t>victims in this case</w:t>
      </w:r>
      <w:r w:rsidR="00BF44DD" w:rsidRPr="00104227">
        <w:rPr>
          <w:lang w:val="en-US"/>
        </w:rPr>
        <w:t xml:space="preserve"> </w:t>
      </w:r>
      <w:r w:rsidRPr="00104227">
        <w:rPr>
          <w:lang w:val="en-US"/>
        </w:rPr>
        <w:t>was not conducted with a gender-perspective in accordanc</w:t>
      </w:r>
      <w:r w:rsidR="00EB711C" w:rsidRPr="00104227">
        <w:rPr>
          <w:lang w:val="en-US"/>
        </w:rPr>
        <w:t>e</w:t>
      </w:r>
      <w:r w:rsidRPr="00104227">
        <w:rPr>
          <w:lang w:val="en-US"/>
        </w:rPr>
        <w:t xml:space="preserve"> with the special obligations imposed by </w:t>
      </w:r>
      <w:r w:rsidR="00BF5241" w:rsidRPr="00104227">
        <w:rPr>
          <w:lang w:val="en-US"/>
        </w:rPr>
        <w:t>the Convention</w:t>
      </w:r>
      <w:r w:rsidR="00BF44DD" w:rsidRPr="00104227">
        <w:rPr>
          <w:lang w:val="en-US"/>
        </w:rPr>
        <w:t xml:space="preserve"> </w:t>
      </w:r>
      <w:r w:rsidR="0094395C" w:rsidRPr="00104227">
        <w:rPr>
          <w:lang w:val="en-US"/>
        </w:rPr>
        <w:t>of Belém</w:t>
      </w:r>
      <w:r w:rsidR="00BF44DD" w:rsidRPr="00104227">
        <w:rPr>
          <w:lang w:val="en-US"/>
        </w:rPr>
        <w:t xml:space="preserve"> do Pará. </w:t>
      </w:r>
      <w:r w:rsidRPr="00104227">
        <w:rPr>
          <w:lang w:val="en-US"/>
        </w:rPr>
        <w:lastRenderedPageBreak/>
        <w:t xml:space="preserve">Therefore, the Court considers that the State violated the obligation to respect and to ensure, without discrimination, the rights contained in </w:t>
      </w:r>
      <w:r w:rsidR="00BF5241" w:rsidRPr="00104227">
        <w:rPr>
          <w:lang w:val="en-US"/>
        </w:rPr>
        <w:t>the American Convention</w:t>
      </w:r>
      <w:r w:rsidR="00BF44DD" w:rsidRPr="00104227">
        <w:rPr>
          <w:lang w:val="en-US"/>
        </w:rPr>
        <w:t xml:space="preserve"> (</w:t>
      </w:r>
      <w:r w:rsidR="00C2124F" w:rsidRPr="00104227">
        <w:rPr>
          <w:lang w:val="en-US"/>
        </w:rPr>
        <w:t>Article 1(1)</w:t>
      </w:r>
      <w:r w:rsidR="00BF44DD" w:rsidRPr="00104227">
        <w:rPr>
          <w:lang w:val="en-US"/>
        </w:rPr>
        <w:t>)</w:t>
      </w:r>
      <w:r w:rsidR="00F25A04" w:rsidRPr="00104227">
        <w:rPr>
          <w:lang w:val="en-US"/>
        </w:rPr>
        <w:t>,</w:t>
      </w:r>
      <w:r w:rsidR="00BF5241" w:rsidRPr="00104227">
        <w:rPr>
          <w:lang w:val="en-US"/>
        </w:rPr>
        <w:t xml:space="preserve"> and </w:t>
      </w:r>
      <w:r w:rsidRPr="00104227">
        <w:rPr>
          <w:lang w:val="en-US"/>
        </w:rPr>
        <w:t>recalls that</w:t>
      </w:r>
      <w:r w:rsidR="008272FA" w:rsidRPr="00104227">
        <w:rPr>
          <w:lang w:val="en-US"/>
        </w:rPr>
        <w:t xml:space="preserve"> </w:t>
      </w:r>
      <w:r w:rsidR="00AC3BFC" w:rsidRPr="00104227">
        <w:rPr>
          <w:lang w:val="en-US"/>
        </w:rPr>
        <w:t>the State</w:t>
      </w:r>
      <w:r w:rsidR="008272FA" w:rsidRPr="00104227">
        <w:rPr>
          <w:lang w:val="en-US"/>
        </w:rPr>
        <w:t xml:space="preserve"> </w:t>
      </w:r>
      <w:r w:rsidRPr="00104227">
        <w:rPr>
          <w:lang w:val="en-US"/>
        </w:rPr>
        <w:t>has acknowledged the v</w:t>
      </w:r>
      <w:r w:rsidR="00E466FA" w:rsidRPr="00104227">
        <w:rPr>
          <w:lang w:val="en-US"/>
        </w:rPr>
        <w:t>iolation of the right to</w:t>
      </w:r>
      <w:r w:rsidR="00BF44DD" w:rsidRPr="00104227">
        <w:rPr>
          <w:lang w:val="en-US"/>
        </w:rPr>
        <w:t xml:space="preserve"> </w:t>
      </w:r>
      <w:r w:rsidR="00E466FA" w:rsidRPr="00104227">
        <w:rPr>
          <w:lang w:val="en-US"/>
        </w:rPr>
        <w:t>equality before the law</w:t>
      </w:r>
      <w:r w:rsidR="00BF44DD" w:rsidRPr="00104227">
        <w:rPr>
          <w:lang w:val="en-US"/>
        </w:rPr>
        <w:t xml:space="preserve"> </w:t>
      </w:r>
      <w:r w:rsidR="00E466FA" w:rsidRPr="00104227">
        <w:rPr>
          <w:lang w:val="en-US"/>
        </w:rPr>
        <w:t>recognized in</w:t>
      </w:r>
      <w:r w:rsidR="00BF44DD" w:rsidRPr="00104227">
        <w:rPr>
          <w:lang w:val="en-US"/>
        </w:rPr>
        <w:t xml:space="preserve"> </w:t>
      </w:r>
      <w:r w:rsidR="00BF5241" w:rsidRPr="00104227">
        <w:rPr>
          <w:lang w:val="en-US"/>
        </w:rPr>
        <w:t>Article</w:t>
      </w:r>
      <w:r w:rsidR="00BF44DD" w:rsidRPr="00104227">
        <w:rPr>
          <w:lang w:val="en-US"/>
        </w:rPr>
        <w:t xml:space="preserve"> 24</w:t>
      </w:r>
      <w:r w:rsidR="00BF5241" w:rsidRPr="00104227">
        <w:rPr>
          <w:lang w:val="en-US"/>
        </w:rPr>
        <w:t xml:space="preserve"> of the Convention</w:t>
      </w:r>
      <w:r w:rsidR="00BF44DD" w:rsidRPr="00104227">
        <w:rPr>
          <w:lang w:val="en-US"/>
        </w:rPr>
        <w:t xml:space="preserve">. </w:t>
      </w:r>
    </w:p>
    <w:p w14:paraId="7BA99FBB" w14:textId="77777777" w:rsidR="00AE6C46" w:rsidRPr="00104227" w:rsidRDefault="00AE6C46" w:rsidP="00AE6C46"/>
    <w:p w14:paraId="252A19C2" w14:textId="2EB544DB" w:rsidR="00BF44DD" w:rsidRPr="00104227" w:rsidRDefault="008272FA" w:rsidP="00E4619F">
      <w:pPr>
        <w:pStyle w:val="Ttulo3"/>
        <w:tabs>
          <w:tab w:val="left" w:pos="567"/>
        </w:tabs>
        <w:rPr>
          <w:lang w:val="en-US"/>
        </w:rPr>
      </w:pPr>
      <w:bookmarkStart w:id="352" w:name="_Toc31290609"/>
      <w:r w:rsidRPr="00104227">
        <w:rPr>
          <w:lang w:val="en-US"/>
        </w:rPr>
        <w:t>B.4</w:t>
      </w:r>
      <w:r w:rsidR="00DA71E5" w:rsidRPr="00104227">
        <w:rPr>
          <w:lang w:val="en-US"/>
        </w:rPr>
        <w:t xml:space="preserve"> </w:t>
      </w:r>
      <w:r w:rsidR="007B669E" w:rsidRPr="00104227">
        <w:rPr>
          <w:lang w:val="en-US"/>
        </w:rPr>
        <w:t>General conclusion</w:t>
      </w:r>
      <w:bookmarkEnd w:id="352"/>
    </w:p>
    <w:p w14:paraId="5B2B00A4" w14:textId="77777777" w:rsidR="00BF44DD" w:rsidRPr="00104227" w:rsidRDefault="00BF44DD" w:rsidP="00E4619F">
      <w:pPr>
        <w:tabs>
          <w:tab w:val="left" w:pos="567"/>
        </w:tabs>
      </w:pPr>
    </w:p>
    <w:p w14:paraId="56F43725" w14:textId="5DCE9C55" w:rsidR="009B4276" w:rsidRPr="00104227" w:rsidRDefault="007B669E" w:rsidP="00E4619F">
      <w:pPr>
        <w:pStyle w:val="Numberedparagraphs"/>
        <w:tabs>
          <w:tab w:val="left" w:pos="567"/>
        </w:tabs>
        <w:rPr>
          <w:lang w:val="en-US"/>
        </w:rPr>
      </w:pPr>
      <w:bookmarkStart w:id="353" w:name="_Ref532987583"/>
      <w:r w:rsidRPr="00104227">
        <w:rPr>
          <w:lang w:val="en-US"/>
        </w:rPr>
        <w:t>Based on the above and in light of the acknowledgement made by the Stat</w:t>
      </w:r>
      <w:r w:rsidR="002053D9" w:rsidRPr="00104227">
        <w:rPr>
          <w:lang w:val="en-US"/>
        </w:rPr>
        <w:t>e</w:t>
      </w:r>
      <w:r w:rsidRPr="00104227">
        <w:rPr>
          <w:lang w:val="en-US"/>
        </w:rPr>
        <w:t>, the Court concludes that the State violated the</w:t>
      </w:r>
      <w:r w:rsidR="00BF44DD" w:rsidRPr="00104227">
        <w:rPr>
          <w:lang w:val="en-US"/>
        </w:rPr>
        <w:t xml:space="preserve"> </w:t>
      </w:r>
      <w:r w:rsidRPr="00104227">
        <w:rPr>
          <w:lang w:val="en-US"/>
        </w:rPr>
        <w:t xml:space="preserve">rights to judicial </w:t>
      </w:r>
      <w:r w:rsidR="0094395C" w:rsidRPr="00104227">
        <w:rPr>
          <w:lang w:val="en-US"/>
        </w:rPr>
        <w:t>guarantees</w:t>
      </w:r>
      <w:r w:rsidR="00BF5241" w:rsidRPr="00104227">
        <w:rPr>
          <w:lang w:val="en-US"/>
        </w:rPr>
        <w:t xml:space="preserve"> and </w:t>
      </w:r>
      <w:r w:rsidR="002053D9" w:rsidRPr="00104227">
        <w:rPr>
          <w:lang w:val="en-US"/>
        </w:rPr>
        <w:t>to</w:t>
      </w:r>
      <w:r w:rsidR="00BF44DD" w:rsidRPr="00104227">
        <w:rPr>
          <w:lang w:val="en-US"/>
        </w:rPr>
        <w:t xml:space="preserve"> </w:t>
      </w:r>
      <w:r w:rsidR="00E466FA" w:rsidRPr="00104227">
        <w:rPr>
          <w:lang w:val="en-US"/>
        </w:rPr>
        <w:t>judicial protection</w:t>
      </w:r>
      <w:r w:rsidR="00BF44DD" w:rsidRPr="00104227">
        <w:rPr>
          <w:lang w:val="en-US"/>
        </w:rPr>
        <w:t xml:space="preserve">, </w:t>
      </w:r>
      <w:r w:rsidR="00E466FA" w:rsidRPr="00104227">
        <w:rPr>
          <w:lang w:val="en-US"/>
        </w:rPr>
        <w:t>recognized in</w:t>
      </w:r>
      <w:r w:rsidR="00BF44DD" w:rsidRPr="00104227">
        <w:rPr>
          <w:lang w:val="en-US"/>
        </w:rPr>
        <w:t xml:space="preserve"> </w:t>
      </w:r>
      <w:r w:rsidR="00BF5241" w:rsidRPr="00104227">
        <w:rPr>
          <w:lang w:val="en-US"/>
        </w:rPr>
        <w:t>Articles</w:t>
      </w:r>
      <w:r w:rsidR="00BF44DD" w:rsidRPr="00104227">
        <w:rPr>
          <w:lang w:val="en-US"/>
        </w:rPr>
        <w:t xml:space="preserve"> </w:t>
      </w:r>
      <w:r w:rsidR="0094395C" w:rsidRPr="00104227">
        <w:rPr>
          <w:lang w:val="en-US"/>
        </w:rPr>
        <w:t>8(1)</w:t>
      </w:r>
      <w:r w:rsidR="00BF5241" w:rsidRPr="00104227">
        <w:rPr>
          <w:lang w:val="en-US"/>
        </w:rPr>
        <w:t xml:space="preserve"> and </w:t>
      </w:r>
      <w:r w:rsidR="00BF44DD" w:rsidRPr="00104227">
        <w:rPr>
          <w:lang w:val="en-US"/>
        </w:rPr>
        <w:t>2</w:t>
      </w:r>
      <w:r w:rsidR="0094395C" w:rsidRPr="00104227">
        <w:rPr>
          <w:lang w:val="en-US"/>
        </w:rPr>
        <w:t>5(1)</w:t>
      </w:r>
      <w:r w:rsidR="00BF5241" w:rsidRPr="00104227">
        <w:rPr>
          <w:lang w:val="en-US"/>
        </w:rPr>
        <w:t xml:space="preserve"> of the American Convention on Human Rights</w:t>
      </w:r>
      <w:r w:rsidR="00BF44DD" w:rsidRPr="00104227">
        <w:rPr>
          <w:lang w:val="en-US"/>
        </w:rPr>
        <w:t xml:space="preserve">, </w:t>
      </w:r>
      <w:r w:rsidR="002053D9" w:rsidRPr="00104227">
        <w:rPr>
          <w:lang w:val="en-US"/>
        </w:rPr>
        <w:t xml:space="preserve">in relation to the general obligations contained in </w:t>
      </w:r>
      <w:r w:rsidR="00C2124F" w:rsidRPr="00104227">
        <w:rPr>
          <w:lang w:val="en-US"/>
        </w:rPr>
        <w:t>Articles 1(1)</w:t>
      </w:r>
      <w:r w:rsidR="00BF5241" w:rsidRPr="00104227">
        <w:rPr>
          <w:lang w:val="en-US"/>
        </w:rPr>
        <w:t xml:space="preserve"> and </w:t>
      </w:r>
      <w:r w:rsidR="00BF44DD" w:rsidRPr="00104227">
        <w:rPr>
          <w:lang w:val="en-US"/>
        </w:rPr>
        <w:t xml:space="preserve">2 </w:t>
      </w:r>
      <w:r w:rsidR="002053D9" w:rsidRPr="00104227">
        <w:rPr>
          <w:lang w:val="en-US"/>
        </w:rPr>
        <w:t>of this instrument</w:t>
      </w:r>
      <w:r w:rsidR="00BF44DD" w:rsidRPr="00104227">
        <w:rPr>
          <w:lang w:val="en-US"/>
        </w:rPr>
        <w:t>,</w:t>
      </w:r>
      <w:r w:rsidR="00BF5241" w:rsidRPr="00104227">
        <w:rPr>
          <w:lang w:val="en-US"/>
        </w:rPr>
        <w:t xml:space="preserve"> and</w:t>
      </w:r>
      <w:r w:rsidR="00BF44DD" w:rsidRPr="00104227">
        <w:rPr>
          <w:lang w:val="en-US"/>
        </w:rPr>
        <w:t xml:space="preserve"> </w:t>
      </w:r>
      <w:r w:rsidR="00BF5241" w:rsidRPr="00104227">
        <w:rPr>
          <w:lang w:val="en-US"/>
        </w:rPr>
        <w:t>Article</w:t>
      </w:r>
      <w:r w:rsidR="00BF44DD" w:rsidRPr="00104227">
        <w:rPr>
          <w:lang w:val="en-US"/>
        </w:rPr>
        <w:t xml:space="preserve"> 7</w:t>
      </w:r>
      <w:r w:rsidR="00BF5241" w:rsidRPr="00104227">
        <w:rPr>
          <w:lang w:val="en-US"/>
        </w:rPr>
        <w:t xml:space="preserve"> of the Convention</w:t>
      </w:r>
      <w:r w:rsidR="00BF44DD" w:rsidRPr="00104227">
        <w:rPr>
          <w:lang w:val="en-US"/>
        </w:rPr>
        <w:t xml:space="preserve"> </w:t>
      </w:r>
      <w:r w:rsidR="0094395C" w:rsidRPr="00104227">
        <w:rPr>
          <w:lang w:val="en-US"/>
        </w:rPr>
        <w:t>of Belém</w:t>
      </w:r>
      <w:r w:rsidR="000B289C" w:rsidRPr="00104227">
        <w:rPr>
          <w:lang w:val="en-US"/>
        </w:rPr>
        <w:t xml:space="preserve"> do Pará</w:t>
      </w:r>
      <w:r w:rsidR="00BF44DD" w:rsidRPr="00104227">
        <w:rPr>
          <w:lang w:val="en-US"/>
        </w:rPr>
        <w:t xml:space="preserve">, </w:t>
      </w:r>
      <w:r w:rsidR="002053D9" w:rsidRPr="00104227">
        <w:rPr>
          <w:lang w:val="en-US"/>
        </w:rPr>
        <w:t>as well as</w:t>
      </w:r>
      <w:r w:rsidR="009C2D88" w:rsidRPr="00104227">
        <w:rPr>
          <w:lang w:val="en-US"/>
        </w:rPr>
        <w:t xml:space="preserve"> </w:t>
      </w:r>
      <w:r w:rsidR="00BF5241" w:rsidRPr="00104227">
        <w:rPr>
          <w:lang w:val="en-US"/>
        </w:rPr>
        <w:t>Articles</w:t>
      </w:r>
      <w:r w:rsidR="009C2D88" w:rsidRPr="00104227">
        <w:rPr>
          <w:lang w:val="en-US"/>
        </w:rPr>
        <w:t xml:space="preserve"> 1, 6</w:t>
      </w:r>
      <w:r w:rsidR="00BF5241" w:rsidRPr="00104227">
        <w:rPr>
          <w:lang w:val="en-US"/>
        </w:rPr>
        <w:t xml:space="preserve"> and </w:t>
      </w:r>
      <w:r w:rsidR="009C2D88" w:rsidRPr="00104227">
        <w:rPr>
          <w:lang w:val="en-US"/>
        </w:rPr>
        <w:t>8</w:t>
      </w:r>
      <w:r w:rsidR="00BF5241" w:rsidRPr="00104227">
        <w:rPr>
          <w:lang w:val="en-US"/>
        </w:rPr>
        <w:t xml:space="preserve"> of the </w:t>
      </w:r>
      <w:r w:rsidR="007E2382" w:rsidRPr="00104227">
        <w:rPr>
          <w:lang w:val="en-US"/>
        </w:rPr>
        <w:t>Inter-American Convention against Torture</w:t>
      </w:r>
      <w:r w:rsidR="009C2D88" w:rsidRPr="00104227">
        <w:rPr>
          <w:lang w:val="en-US"/>
        </w:rPr>
        <w:t>,</w:t>
      </w:r>
      <w:r w:rsidR="00BF5241" w:rsidRPr="00104227">
        <w:rPr>
          <w:lang w:val="en-US"/>
        </w:rPr>
        <w:t xml:space="preserve"> and </w:t>
      </w:r>
      <w:r w:rsidR="002053D9" w:rsidRPr="00104227">
        <w:rPr>
          <w:lang w:val="en-US"/>
        </w:rPr>
        <w:t>recalls that</w:t>
      </w:r>
      <w:r w:rsidR="000615AE" w:rsidRPr="00104227">
        <w:rPr>
          <w:lang w:val="en-US"/>
        </w:rPr>
        <w:t xml:space="preserve"> </w:t>
      </w:r>
      <w:r w:rsidR="00AC3BFC" w:rsidRPr="00104227">
        <w:rPr>
          <w:lang w:val="en-US"/>
        </w:rPr>
        <w:t>the State</w:t>
      </w:r>
      <w:r w:rsidR="000615AE" w:rsidRPr="00104227">
        <w:rPr>
          <w:lang w:val="en-US"/>
        </w:rPr>
        <w:t xml:space="preserve"> </w:t>
      </w:r>
      <w:r w:rsidR="002053D9" w:rsidRPr="00104227">
        <w:rPr>
          <w:lang w:val="en-US"/>
        </w:rPr>
        <w:t>acknowledged the</w:t>
      </w:r>
      <w:r w:rsidR="000615AE" w:rsidRPr="00104227">
        <w:rPr>
          <w:lang w:val="en-US"/>
        </w:rPr>
        <w:t xml:space="preserve"> </w:t>
      </w:r>
      <w:r w:rsidR="002053D9" w:rsidRPr="00104227">
        <w:rPr>
          <w:lang w:val="en-US"/>
        </w:rPr>
        <w:t>v</w:t>
      </w:r>
      <w:r w:rsidR="00E466FA" w:rsidRPr="00104227">
        <w:rPr>
          <w:lang w:val="en-US"/>
        </w:rPr>
        <w:t>iolation</w:t>
      </w:r>
      <w:r w:rsidR="005E29A3" w:rsidRPr="00104227">
        <w:rPr>
          <w:lang w:val="en-US"/>
        </w:rPr>
        <w:t xml:space="preserve"> of </w:t>
      </w:r>
      <w:r w:rsidR="00BF5241" w:rsidRPr="00104227">
        <w:rPr>
          <w:lang w:val="en-US"/>
        </w:rPr>
        <w:t>Article</w:t>
      </w:r>
      <w:r w:rsidR="000615AE" w:rsidRPr="00104227">
        <w:rPr>
          <w:lang w:val="en-US"/>
        </w:rPr>
        <w:t xml:space="preserve"> 24</w:t>
      </w:r>
      <w:r w:rsidR="00BF5241" w:rsidRPr="00104227">
        <w:rPr>
          <w:lang w:val="en-US"/>
        </w:rPr>
        <w:t xml:space="preserve"> of the Convention</w:t>
      </w:r>
      <w:r w:rsidR="000615AE" w:rsidRPr="00104227">
        <w:rPr>
          <w:lang w:val="en-US"/>
        </w:rPr>
        <w:t xml:space="preserve">, </w:t>
      </w:r>
      <w:r w:rsidR="00C2124F" w:rsidRPr="00104227">
        <w:rPr>
          <w:lang w:val="en-US"/>
        </w:rPr>
        <w:t>to the detriment of</w:t>
      </w:r>
      <w:r w:rsidR="00BF44DD" w:rsidRPr="00104227">
        <w:rPr>
          <w:lang w:val="en-US"/>
        </w:rPr>
        <w:t xml:space="preserve"> </w:t>
      </w:r>
      <w:bookmarkStart w:id="354" w:name="_Hlk528947321"/>
      <w:r w:rsidR="006D5D6D" w:rsidRPr="00104227">
        <w:rPr>
          <w:lang w:val="en-US"/>
        </w:rPr>
        <w:t xml:space="preserve">Yolanda Muñoz Diosdada, Norma Aidé Jiménez Osorio, María Patricia Romero Hernández, Mariana Selvas Gómez, Georgina Edith </w:t>
      </w:r>
      <w:r w:rsidR="00DA23B8" w:rsidRPr="00104227">
        <w:rPr>
          <w:lang w:val="en-US"/>
        </w:rPr>
        <w:t>Rosales</w:t>
      </w:r>
      <w:r w:rsidR="006D5D6D" w:rsidRPr="00104227">
        <w:rPr>
          <w:lang w:val="en-US"/>
        </w:rPr>
        <w:t xml:space="preserve"> Gutiérrez, Ana María Velasco Rodríguez, Suhelen Gabriela Cuevas Jaramillo, Bárbara Italia Méndez Moreno, María Cristina Sánchez Hernández, </w:t>
      </w:r>
      <w:r w:rsidR="0047539E" w:rsidRPr="00104227">
        <w:rPr>
          <w:lang w:val="en-US"/>
        </w:rPr>
        <w:t>Angélica Patricia Torres</w:t>
      </w:r>
      <w:r w:rsidR="006D5D6D" w:rsidRPr="00104227">
        <w:rPr>
          <w:lang w:val="en-US"/>
        </w:rPr>
        <w:t xml:space="preserve"> Linares</w:t>
      </w:r>
      <w:r w:rsidR="00BF5241" w:rsidRPr="00104227">
        <w:rPr>
          <w:lang w:val="en-US"/>
        </w:rPr>
        <w:t xml:space="preserve"> and </w:t>
      </w:r>
      <w:r w:rsidR="006D5D6D" w:rsidRPr="00104227">
        <w:rPr>
          <w:lang w:val="en-US"/>
        </w:rPr>
        <w:t>Claudia Hernández Martínez</w:t>
      </w:r>
      <w:r w:rsidR="00BF44DD" w:rsidRPr="00104227">
        <w:rPr>
          <w:lang w:val="en-US"/>
        </w:rPr>
        <w:t>.</w:t>
      </w:r>
      <w:bookmarkEnd w:id="353"/>
      <w:r w:rsidR="00BF44DD" w:rsidRPr="00104227">
        <w:rPr>
          <w:lang w:val="en-US"/>
        </w:rPr>
        <w:t xml:space="preserve"> </w:t>
      </w:r>
      <w:bookmarkEnd w:id="354"/>
    </w:p>
    <w:p w14:paraId="4D6A15D9" w14:textId="77777777" w:rsidR="009B4276" w:rsidRPr="00104227" w:rsidRDefault="009B4276" w:rsidP="00E4619F">
      <w:pPr>
        <w:tabs>
          <w:tab w:val="left" w:pos="567"/>
        </w:tabs>
      </w:pPr>
    </w:p>
    <w:p w14:paraId="23BF369E" w14:textId="56F3434F" w:rsidR="00FF5F16" w:rsidRPr="00104227" w:rsidRDefault="00FF5F16" w:rsidP="00E4619F">
      <w:pPr>
        <w:pStyle w:val="Ttulo1"/>
        <w:tabs>
          <w:tab w:val="left" w:pos="567"/>
        </w:tabs>
        <w:rPr>
          <w:spacing w:val="-4"/>
          <w:szCs w:val="20"/>
        </w:rPr>
      </w:pPr>
      <w:bookmarkStart w:id="355" w:name="_Toc31290610"/>
      <w:r w:rsidRPr="00104227">
        <w:rPr>
          <w:spacing w:val="-4"/>
          <w:szCs w:val="20"/>
        </w:rPr>
        <w:t>IX-</w:t>
      </w:r>
      <w:bookmarkEnd w:id="328"/>
      <w:r w:rsidR="00724A68" w:rsidRPr="00104227">
        <w:rPr>
          <w:spacing w:val="-4"/>
          <w:szCs w:val="20"/>
        </w:rPr>
        <w:t>4</w:t>
      </w:r>
      <w:bookmarkEnd w:id="355"/>
    </w:p>
    <w:p w14:paraId="2A8B7E3B" w14:textId="39F33098" w:rsidR="00FB073A" w:rsidRPr="00104227" w:rsidRDefault="00457E8A" w:rsidP="00E4619F">
      <w:pPr>
        <w:pStyle w:val="Ttulo1"/>
        <w:tabs>
          <w:tab w:val="left" w:pos="567"/>
        </w:tabs>
        <w:rPr>
          <w:spacing w:val="-4"/>
          <w:szCs w:val="20"/>
          <w:lang w:eastAsia="es-ES"/>
        </w:rPr>
      </w:pPr>
      <w:bookmarkStart w:id="356" w:name="_Toc501802170"/>
      <w:bookmarkStart w:id="357" w:name="_Toc502023066"/>
      <w:bookmarkStart w:id="358" w:name="_Toc502891610"/>
      <w:bookmarkStart w:id="359" w:name="_Toc503594901"/>
      <w:bookmarkStart w:id="360" w:name="_Toc504656633"/>
      <w:bookmarkStart w:id="361" w:name="_Toc504661261"/>
      <w:bookmarkStart w:id="362" w:name="_Toc514063460"/>
      <w:bookmarkStart w:id="363" w:name="_Toc527464935"/>
      <w:bookmarkStart w:id="364" w:name="_Toc527465127"/>
      <w:bookmarkStart w:id="365" w:name="_Toc528937263"/>
      <w:bookmarkStart w:id="366" w:name="_Toc529790154"/>
      <w:bookmarkStart w:id="367" w:name="_Toc531162270"/>
      <w:bookmarkStart w:id="368" w:name="_Toc531172566"/>
      <w:bookmarkStart w:id="369" w:name="_Toc31290611"/>
      <w:r w:rsidRPr="00104227">
        <w:rPr>
          <w:spacing w:val="-4"/>
          <w:szCs w:val="20"/>
        </w:rPr>
        <w:t>RIGHT TO PERSONAL</w:t>
      </w:r>
      <w:r w:rsidR="0094395C" w:rsidRPr="00104227">
        <w:rPr>
          <w:spacing w:val="-4"/>
          <w:szCs w:val="20"/>
        </w:rPr>
        <w:t xml:space="preserve"> INTEGRITY</w:t>
      </w:r>
      <w:bookmarkEnd w:id="356"/>
      <w:bookmarkEnd w:id="357"/>
      <w:bookmarkEnd w:id="358"/>
      <w:bookmarkEnd w:id="359"/>
      <w:bookmarkEnd w:id="360"/>
      <w:bookmarkEnd w:id="361"/>
      <w:r w:rsidR="00FF5F16" w:rsidRPr="00104227">
        <w:rPr>
          <w:rStyle w:val="Refdenotaalpie"/>
          <w:spacing w:val="-4"/>
          <w:sz w:val="20"/>
          <w:szCs w:val="20"/>
        </w:rPr>
        <w:footnoteReference w:id="430"/>
      </w:r>
      <w:r w:rsidR="007F1912" w:rsidRPr="00104227">
        <w:rPr>
          <w:spacing w:val="-4"/>
          <w:szCs w:val="20"/>
        </w:rPr>
        <w:t xml:space="preserve"> </w:t>
      </w:r>
      <w:r w:rsidRPr="00104227">
        <w:rPr>
          <w:spacing w:val="-4"/>
          <w:szCs w:val="20"/>
        </w:rPr>
        <w:t>OF THE NEXT</w:t>
      </w:r>
      <w:r w:rsidR="0094395C" w:rsidRPr="00104227">
        <w:rPr>
          <w:spacing w:val="-4"/>
          <w:szCs w:val="20"/>
        </w:rPr>
        <w:t xml:space="preserve"> OF KIN</w:t>
      </w:r>
      <w:r w:rsidR="00FF5F16" w:rsidRPr="00104227">
        <w:rPr>
          <w:spacing w:val="-4"/>
          <w:szCs w:val="20"/>
        </w:rPr>
        <w:t xml:space="preserve">, </w:t>
      </w:r>
      <w:r w:rsidR="00F32779" w:rsidRPr="00104227">
        <w:rPr>
          <w:spacing w:val="-4"/>
          <w:szCs w:val="20"/>
          <w:lang w:eastAsia="es-ES"/>
        </w:rPr>
        <w:t>IN RELATION TO THE OBLIGATION TO RESPECT AND TO ENSURE THESE RIGHTS</w:t>
      </w:r>
      <w:bookmarkEnd w:id="362"/>
      <w:bookmarkEnd w:id="363"/>
      <w:bookmarkEnd w:id="364"/>
      <w:bookmarkEnd w:id="365"/>
      <w:bookmarkEnd w:id="366"/>
      <w:bookmarkEnd w:id="367"/>
      <w:bookmarkEnd w:id="368"/>
      <w:bookmarkEnd w:id="369"/>
      <w:r w:rsidR="00FF5F16" w:rsidRPr="00104227">
        <w:rPr>
          <w:spacing w:val="-4"/>
          <w:szCs w:val="20"/>
          <w:lang w:eastAsia="es-ES"/>
        </w:rPr>
        <w:t xml:space="preserve"> </w:t>
      </w:r>
    </w:p>
    <w:p w14:paraId="050BEB9F" w14:textId="77777777" w:rsidR="001366E6" w:rsidRPr="00104227" w:rsidRDefault="001366E6" w:rsidP="00E4619F">
      <w:pPr>
        <w:tabs>
          <w:tab w:val="left" w:pos="567"/>
        </w:tabs>
        <w:rPr>
          <w:lang w:eastAsia="es-ES"/>
        </w:rPr>
      </w:pPr>
    </w:p>
    <w:p w14:paraId="146A64E8" w14:textId="546D2347" w:rsidR="00FF5F16" w:rsidRPr="00104227" w:rsidRDefault="00736460" w:rsidP="00E4619F">
      <w:pPr>
        <w:pStyle w:val="Ttulo2"/>
        <w:numPr>
          <w:ilvl w:val="0"/>
          <w:numId w:val="67"/>
        </w:numPr>
        <w:ind w:left="990" w:hanging="270"/>
        <w:rPr>
          <w:szCs w:val="20"/>
          <w:lang w:val="en-US"/>
        </w:rPr>
      </w:pPr>
      <w:bookmarkStart w:id="370" w:name="_Toc501802171"/>
      <w:bookmarkStart w:id="371" w:name="_Toc502023067"/>
      <w:bookmarkStart w:id="372" w:name="_Toc502885951"/>
      <w:bookmarkStart w:id="373" w:name="_Toc502891611"/>
      <w:bookmarkStart w:id="374" w:name="_Toc514063461"/>
      <w:bookmarkStart w:id="375" w:name="_Toc527464936"/>
      <w:bookmarkStart w:id="376" w:name="_Toc31290612"/>
      <w:r w:rsidRPr="00104227">
        <w:rPr>
          <w:lang w:val="en-US"/>
        </w:rPr>
        <w:t>Arguments of the parties</w:t>
      </w:r>
      <w:r w:rsidR="00BF5241" w:rsidRPr="00104227">
        <w:rPr>
          <w:szCs w:val="20"/>
          <w:lang w:val="en-US"/>
        </w:rPr>
        <w:t xml:space="preserve"> and of the Commission</w:t>
      </w:r>
      <w:bookmarkEnd w:id="370"/>
      <w:bookmarkEnd w:id="371"/>
      <w:bookmarkEnd w:id="372"/>
      <w:bookmarkEnd w:id="373"/>
      <w:bookmarkEnd w:id="374"/>
      <w:bookmarkEnd w:id="375"/>
      <w:bookmarkEnd w:id="376"/>
    </w:p>
    <w:p w14:paraId="58F224AE" w14:textId="77777777" w:rsidR="00FF5F16" w:rsidRPr="00104227" w:rsidRDefault="00FF5F16" w:rsidP="00E4619F">
      <w:pPr>
        <w:tabs>
          <w:tab w:val="left" w:pos="567"/>
        </w:tabs>
        <w:rPr>
          <w:lang w:eastAsia="es-MX"/>
        </w:rPr>
      </w:pPr>
    </w:p>
    <w:p w14:paraId="48FDAE3D" w14:textId="57C5745B" w:rsidR="00431934" w:rsidRPr="00104227" w:rsidRDefault="00BF5241" w:rsidP="00481A68">
      <w:pPr>
        <w:pStyle w:val="Numberedparagraphs"/>
        <w:tabs>
          <w:tab w:val="left" w:pos="567"/>
        </w:tabs>
        <w:rPr>
          <w:lang w:val="en-US"/>
        </w:rPr>
      </w:pPr>
      <w:r w:rsidRPr="00104227">
        <w:rPr>
          <w:lang w:val="en-US"/>
        </w:rPr>
        <w:t xml:space="preserve">The </w:t>
      </w:r>
      <w:r w:rsidRPr="00104227">
        <w:rPr>
          <w:b/>
          <w:bCs/>
          <w:i/>
          <w:iCs/>
          <w:lang w:val="en-US"/>
        </w:rPr>
        <w:t>Commission</w:t>
      </w:r>
      <w:r w:rsidR="00431934" w:rsidRPr="00104227">
        <w:rPr>
          <w:b/>
          <w:i/>
          <w:lang w:val="en-US"/>
        </w:rPr>
        <w:t xml:space="preserve"> </w:t>
      </w:r>
      <w:r w:rsidR="00431934" w:rsidRPr="00104227">
        <w:rPr>
          <w:lang w:val="en-US"/>
        </w:rPr>
        <w:t>a</w:t>
      </w:r>
      <w:r w:rsidR="00457E8A" w:rsidRPr="00104227">
        <w:rPr>
          <w:lang w:val="en-US"/>
        </w:rPr>
        <w:t xml:space="preserve">lleged that the </w:t>
      </w:r>
      <w:r w:rsidR="00EB711C" w:rsidRPr="00104227">
        <w:rPr>
          <w:lang w:val="en-US"/>
        </w:rPr>
        <w:t>egregious nature</w:t>
      </w:r>
      <w:r w:rsidR="00457E8A" w:rsidRPr="00104227">
        <w:rPr>
          <w:lang w:val="en-US"/>
        </w:rPr>
        <w:t xml:space="preserve"> of the facts that oc</w:t>
      </w:r>
      <w:r w:rsidR="00EB711C" w:rsidRPr="00104227">
        <w:rPr>
          <w:lang w:val="en-US"/>
        </w:rPr>
        <w:t>c</w:t>
      </w:r>
      <w:r w:rsidR="00457E8A" w:rsidRPr="00104227">
        <w:rPr>
          <w:lang w:val="en-US"/>
        </w:rPr>
        <w:t xml:space="preserve">urred and the situation of impunity due to the absence of a “prompt judicial response,” had violated the </w:t>
      </w:r>
      <w:r w:rsidR="0094395C" w:rsidRPr="00104227">
        <w:rPr>
          <w:lang w:val="en-US"/>
        </w:rPr>
        <w:t>personal integrity</w:t>
      </w:r>
      <w:r w:rsidR="007F1912" w:rsidRPr="00104227">
        <w:rPr>
          <w:lang w:val="en-US"/>
        </w:rPr>
        <w:t xml:space="preserve"> of the </w:t>
      </w:r>
      <w:r w:rsidR="00457E8A" w:rsidRPr="00104227">
        <w:rPr>
          <w:lang w:val="en-US"/>
        </w:rPr>
        <w:t xml:space="preserve">victims’ </w:t>
      </w:r>
      <w:r w:rsidR="0094395C" w:rsidRPr="00104227">
        <w:rPr>
          <w:lang w:val="en-US"/>
        </w:rPr>
        <w:t>next of kin</w:t>
      </w:r>
      <w:r w:rsidR="00D53BAB" w:rsidRPr="00104227">
        <w:rPr>
          <w:lang w:val="en-US"/>
        </w:rPr>
        <w:t>.</w:t>
      </w:r>
      <w:r w:rsidR="00AC2142" w:rsidRPr="00104227">
        <w:rPr>
          <w:lang w:val="en-US"/>
        </w:rPr>
        <w:t xml:space="preserve"> </w:t>
      </w:r>
      <w:r w:rsidR="002826A6" w:rsidRPr="00104227">
        <w:rPr>
          <w:lang w:val="en-US"/>
        </w:rPr>
        <w:t xml:space="preserve">The </w:t>
      </w:r>
      <w:r w:rsidR="002826A6" w:rsidRPr="00104227">
        <w:rPr>
          <w:b/>
          <w:bCs/>
          <w:i/>
          <w:iCs/>
          <w:lang w:val="en-US"/>
        </w:rPr>
        <w:t>representatives</w:t>
      </w:r>
      <w:r w:rsidR="00457E8A" w:rsidRPr="00104227">
        <w:rPr>
          <w:lang w:val="en-US"/>
        </w:rPr>
        <w:t xml:space="preserve"> agreed with </w:t>
      </w:r>
      <w:r w:rsidRPr="00104227">
        <w:rPr>
          <w:lang w:val="en-US"/>
        </w:rPr>
        <w:t>the Commission</w:t>
      </w:r>
      <w:r w:rsidR="00457E8A" w:rsidRPr="00104227">
        <w:rPr>
          <w:lang w:val="en-US"/>
        </w:rPr>
        <w:t xml:space="preserve">’s allegation concerning </w:t>
      </w:r>
      <w:r w:rsidR="0060075A" w:rsidRPr="00104227">
        <w:rPr>
          <w:lang w:val="en-US"/>
        </w:rPr>
        <w:t>the violation</w:t>
      </w:r>
      <w:r w:rsidR="00431934" w:rsidRPr="00104227">
        <w:rPr>
          <w:lang w:val="en-US"/>
        </w:rPr>
        <w:t xml:space="preserve"> </w:t>
      </w:r>
      <w:r w:rsidR="0060075A" w:rsidRPr="00104227">
        <w:rPr>
          <w:lang w:val="en-US"/>
        </w:rPr>
        <w:t>of Article</w:t>
      </w:r>
      <w:r w:rsidR="00431934" w:rsidRPr="00104227">
        <w:rPr>
          <w:lang w:val="en-US"/>
        </w:rPr>
        <w:t xml:space="preserve"> </w:t>
      </w:r>
      <w:r w:rsidR="0094395C" w:rsidRPr="00104227">
        <w:rPr>
          <w:lang w:val="en-US"/>
        </w:rPr>
        <w:t>5(1)</w:t>
      </w:r>
      <w:r w:rsidRPr="00104227">
        <w:rPr>
          <w:lang w:val="en-US"/>
        </w:rPr>
        <w:t xml:space="preserve"> of the Convention</w:t>
      </w:r>
      <w:r w:rsidR="00431934" w:rsidRPr="00104227">
        <w:rPr>
          <w:lang w:val="en-US"/>
        </w:rPr>
        <w:t xml:space="preserve"> </w:t>
      </w:r>
      <w:r w:rsidR="00C2124F" w:rsidRPr="00104227">
        <w:rPr>
          <w:lang w:val="en-US"/>
        </w:rPr>
        <w:t>to the detriment of</w:t>
      </w:r>
      <w:r w:rsidR="00431934" w:rsidRPr="00104227">
        <w:rPr>
          <w:lang w:val="en-US"/>
        </w:rPr>
        <w:t xml:space="preserve"> </w:t>
      </w:r>
      <w:r w:rsidR="00457E8A" w:rsidRPr="00104227">
        <w:rPr>
          <w:lang w:val="en-US"/>
        </w:rPr>
        <w:t>the famil</w:t>
      </w:r>
      <w:r w:rsidR="00EB711C" w:rsidRPr="00104227">
        <w:rPr>
          <w:lang w:val="en-US"/>
        </w:rPr>
        <w:t>y members</w:t>
      </w:r>
      <w:r w:rsidR="00457E8A" w:rsidRPr="00104227">
        <w:rPr>
          <w:lang w:val="en-US"/>
        </w:rPr>
        <w:t xml:space="preserve"> of the eleven</w:t>
      </w:r>
      <w:r w:rsidR="00431934" w:rsidRPr="00104227">
        <w:rPr>
          <w:lang w:val="en-US"/>
        </w:rPr>
        <w:t xml:space="preserve"> </w:t>
      </w:r>
      <w:r w:rsidR="00953711" w:rsidRPr="00104227">
        <w:rPr>
          <w:lang w:val="en-US"/>
        </w:rPr>
        <w:t>presumed victims</w:t>
      </w:r>
      <w:r w:rsidR="00431934" w:rsidRPr="00104227">
        <w:rPr>
          <w:lang w:val="en-US"/>
        </w:rPr>
        <w:t xml:space="preserve">, </w:t>
      </w:r>
      <w:r w:rsidR="00457E8A" w:rsidRPr="00104227">
        <w:rPr>
          <w:lang w:val="en-US"/>
        </w:rPr>
        <w:t>and described the specific effects on the members of each family unit. In</w:t>
      </w:r>
      <w:r w:rsidR="00431934" w:rsidRPr="00104227">
        <w:rPr>
          <w:lang w:val="en-US"/>
        </w:rPr>
        <w:t xml:space="preserve"> general,</w:t>
      </w:r>
      <w:r w:rsidR="00457E8A" w:rsidRPr="00104227">
        <w:rPr>
          <w:lang w:val="en-US"/>
        </w:rPr>
        <w:t xml:space="preserve"> they determined that several aspects of the life projects of the family groups were affected. Many of the members were obliged to abandon their studies</w:t>
      </w:r>
      <w:r w:rsidR="00EB711C" w:rsidRPr="00104227">
        <w:rPr>
          <w:lang w:val="en-US"/>
        </w:rPr>
        <w:t xml:space="preserve"> or</w:t>
      </w:r>
      <w:r w:rsidR="00457E8A" w:rsidRPr="00104227">
        <w:rPr>
          <w:lang w:val="en-US"/>
        </w:rPr>
        <w:t xml:space="preserve"> their jobs, to sell some of their possession to cover the expenses entailed by the judicial proceedings, and to make a significant economic effort in order to travel to where the victims were detained</w:t>
      </w:r>
      <w:r w:rsidR="00EB711C" w:rsidRPr="00104227">
        <w:rPr>
          <w:lang w:val="en-US"/>
        </w:rPr>
        <w:t xml:space="preserve"> in order</w:t>
      </w:r>
      <w:r w:rsidR="00457E8A" w:rsidRPr="00104227">
        <w:rPr>
          <w:lang w:val="en-US"/>
        </w:rPr>
        <w:t xml:space="preserve"> to visit them or to provide them with basic items for subsistence inside the prison. In their final written arguments, the representatives reiterated </w:t>
      </w:r>
      <w:r w:rsidR="00481A68" w:rsidRPr="00104227">
        <w:rPr>
          <w:lang w:val="en-US"/>
        </w:rPr>
        <w:t>the arguments they had presented at previous stages and added “further details of the effe</w:t>
      </w:r>
      <w:r w:rsidR="00EB711C" w:rsidRPr="00104227">
        <w:rPr>
          <w:lang w:val="en-US"/>
        </w:rPr>
        <w:t>c</w:t>
      </w:r>
      <w:r w:rsidR="00481A68" w:rsidRPr="00104227">
        <w:rPr>
          <w:lang w:val="en-US"/>
        </w:rPr>
        <w:t xml:space="preserve">ts that the facts of this case had had on the victims’ next of kin, based on the new evidence produced.” </w:t>
      </w:r>
      <w:r w:rsidR="00AC3BFC" w:rsidRPr="00104227">
        <w:rPr>
          <w:lang w:val="en-US"/>
        </w:rPr>
        <w:t xml:space="preserve">The </w:t>
      </w:r>
      <w:r w:rsidR="00AC3BFC" w:rsidRPr="00104227">
        <w:rPr>
          <w:b/>
          <w:bCs/>
          <w:i/>
          <w:iCs/>
          <w:lang w:val="en-US"/>
        </w:rPr>
        <w:t>State</w:t>
      </w:r>
      <w:r w:rsidR="00431934" w:rsidRPr="00104227">
        <w:rPr>
          <w:lang w:val="en-US"/>
        </w:rPr>
        <w:t xml:space="preserve"> </w:t>
      </w:r>
      <w:r w:rsidR="00481A68" w:rsidRPr="00104227">
        <w:rPr>
          <w:lang w:val="en-US"/>
        </w:rPr>
        <w:t xml:space="preserve">acknowledged its international </w:t>
      </w:r>
      <w:r w:rsidR="00F27D61" w:rsidRPr="00104227">
        <w:rPr>
          <w:lang w:val="en-US"/>
        </w:rPr>
        <w:t>responsibility</w:t>
      </w:r>
      <w:r w:rsidR="00481A68" w:rsidRPr="00104227">
        <w:rPr>
          <w:lang w:val="en-US"/>
        </w:rPr>
        <w:t xml:space="preserve"> for the </w:t>
      </w:r>
      <w:r w:rsidR="00431934" w:rsidRPr="00104227">
        <w:rPr>
          <w:lang w:val="en-US"/>
        </w:rPr>
        <w:t>“</w:t>
      </w:r>
      <w:r w:rsidR="00481A68" w:rsidRPr="00104227">
        <w:rPr>
          <w:lang w:val="en-US"/>
        </w:rPr>
        <w:t>v</w:t>
      </w:r>
      <w:r w:rsidR="00E466FA" w:rsidRPr="00104227">
        <w:rPr>
          <w:lang w:val="en-US"/>
        </w:rPr>
        <w:t>iolation of the right to</w:t>
      </w:r>
      <w:r w:rsidR="00431934" w:rsidRPr="00104227">
        <w:rPr>
          <w:lang w:val="en-US"/>
        </w:rPr>
        <w:t xml:space="preserve"> </w:t>
      </w:r>
      <w:r w:rsidR="0094395C" w:rsidRPr="00104227">
        <w:rPr>
          <w:lang w:val="en-US"/>
        </w:rPr>
        <w:t>personal integrity</w:t>
      </w:r>
      <w:r w:rsidR="00431934" w:rsidRPr="00104227">
        <w:rPr>
          <w:lang w:val="en-US"/>
        </w:rPr>
        <w:t xml:space="preserve">, </w:t>
      </w:r>
      <w:r w:rsidR="00E466FA" w:rsidRPr="00104227">
        <w:rPr>
          <w:lang w:val="en-US"/>
        </w:rPr>
        <w:t>recognized in</w:t>
      </w:r>
      <w:r w:rsidR="00431934" w:rsidRPr="00104227">
        <w:rPr>
          <w:lang w:val="en-US"/>
        </w:rPr>
        <w:t xml:space="preserve"> </w:t>
      </w:r>
      <w:r w:rsidRPr="00104227">
        <w:rPr>
          <w:lang w:val="en-US"/>
        </w:rPr>
        <w:t>Article</w:t>
      </w:r>
      <w:r w:rsidR="00431934" w:rsidRPr="00104227">
        <w:rPr>
          <w:lang w:val="en-US"/>
        </w:rPr>
        <w:t xml:space="preserve"> </w:t>
      </w:r>
      <w:r w:rsidR="0094395C" w:rsidRPr="00104227">
        <w:rPr>
          <w:lang w:val="en-US"/>
        </w:rPr>
        <w:t>5(1)</w:t>
      </w:r>
      <w:r w:rsidR="00431934" w:rsidRPr="00104227">
        <w:rPr>
          <w:lang w:val="en-US"/>
        </w:rPr>
        <w:t xml:space="preserve"> </w:t>
      </w:r>
      <w:r w:rsidR="0020071D" w:rsidRPr="00104227">
        <w:rPr>
          <w:lang w:val="en-US"/>
        </w:rPr>
        <w:t>in relation to</w:t>
      </w:r>
      <w:r w:rsidR="00431934" w:rsidRPr="00104227">
        <w:rPr>
          <w:lang w:val="en-US"/>
        </w:rPr>
        <w:t xml:space="preserve"> </w:t>
      </w:r>
      <w:r w:rsidR="00481A68" w:rsidRPr="00104227">
        <w:rPr>
          <w:lang w:val="en-US"/>
        </w:rPr>
        <w:t xml:space="preserve">Article </w:t>
      </w:r>
      <w:r w:rsidR="00431934" w:rsidRPr="00104227">
        <w:rPr>
          <w:lang w:val="en-US"/>
        </w:rPr>
        <w:t>1</w:t>
      </w:r>
      <w:r w:rsidR="00481A68" w:rsidRPr="00104227">
        <w:rPr>
          <w:lang w:val="en-US"/>
        </w:rPr>
        <w:t>(</w:t>
      </w:r>
      <w:r w:rsidR="00431934" w:rsidRPr="00104227">
        <w:rPr>
          <w:lang w:val="en-US"/>
        </w:rPr>
        <w:t>1</w:t>
      </w:r>
      <w:r w:rsidR="00481A68" w:rsidRPr="00104227">
        <w:rPr>
          <w:lang w:val="en-US"/>
        </w:rPr>
        <w:t xml:space="preserve">) of the American Convention, </w:t>
      </w:r>
      <w:r w:rsidR="00C2124F" w:rsidRPr="00104227">
        <w:rPr>
          <w:lang w:val="en-US"/>
        </w:rPr>
        <w:t>to the detriment of</w:t>
      </w:r>
      <w:r w:rsidR="00431934" w:rsidRPr="00104227">
        <w:rPr>
          <w:lang w:val="en-US"/>
        </w:rPr>
        <w:t xml:space="preserve"> </w:t>
      </w:r>
      <w:r w:rsidR="0094395C" w:rsidRPr="00104227">
        <w:rPr>
          <w:lang w:val="en-US"/>
        </w:rPr>
        <w:t xml:space="preserve">the </w:t>
      </w:r>
      <w:r w:rsidR="00481A68" w:rsidRPr="00104227">
        <w:rPr>
          <w:lang w:val="en-US"/>
        </w:rPr>
        <w:t xml:space="preserve">victims’ </w:t>
      </w:r>
      <w:r w:rsidR="0094395C" w:rsidRPr="00104227">
        <w:rPr>
          <w:lang w:val="en-US"/>
        </w:rPr>
        <w:t>next of kin</w:t>
      </w:r>
      <w:r w:rsidR="00431934" w:rsidRPr="00104227">
        <w:rPr>
          <w:lang w:val="en-US"/>
        </w:rPr>
        <w:t xml:space="preserve"> </w:t>
      </w:r>
      <w:r w:rsidR="00481A68" w:rsidRPr="00104227">
        <w:rPr>
          <w:lang w:val="en-US"/>
        </w:rPr>
        <w:t>as a result of what the victims had suffered.”</w:t>
      </w:r>
    </w:p>
    <w:p w14:paraId="4E79AAD5" w14:textId="77777777" w:rsidR="00431934" w:rsidRPr="00104227" w:rsidRDefault="00431934" w:rsidP="00E4619F">
      <w:pPr>
        <w:tabs>
          <w:tab w:val="left" w:pos="567"/>
        </w:tabs>
        <w:rPr>
          <w:lang w:eastAsia="es-MX"/>
        </w:rPr>
      </w:pPr>
    </w:p>
    <w:p w14:paraId="20D7AB97" w14:textId="042132E3" w:rsidR="00FF5F16" w:rsidRPr="00104227" w:rsidRDefault="006E13F0" w:rsidP="00E4619F">
      <w:pPr>
        <w:pStyle w:val="Ttulo2"/>
        <w:ind w:left="990" w:hanging="270"/>
        <w:rPr>
          <w:szCs w:val="20"/>
          <w:lang w:val="en-US"/>
        </w:rPr>
      </w:pPr>
      <w:bookmarkStart w:id="377" w:name="_Toc501802172"/>
      <w:bookmarkStart w:id="378" w:name="_Toc502023068"/>
      <w:bookmarkStart w:id="379" w:name="_Toc502885952"/>
      <w:bookmarkStart w:id="380" w:name="_Toc502891612"/>
      <w:bookmarkStart w:id="381" w:name="_Toc514063462"/>
      <w:bookmarkStart w:id="382" w:name="_Toc527464937"/>
      <w:bookmarkStart w:id="383" w:name="_Toc31290613"/>
      <w:r w:rsidRPr="00104227">
        <w:rPr>
          <w:szCs w:val="20"/>
          <w:lang w:val="en-US"/>
        </w:rPr>
        <w:t>Considerations</w:t>
      </w:r>
      <w:r w:rsidR="00BF5241" w:rsidRPr="00104227">
        <w:rPr>
          <w:szCs w:val="20"/>
          <w:lang w:val="en-US"/>
        </w:rPr>
        <w:t xml:space="preserve"> of the Court</w:t>
      </w:r>
      <w:bookmarkEnd w:id="377"/>
      <w:bookmarkEnd w:id="378"/>
      <w:bookmarkEnd w:id="379"/>
      <w:bookmarkEnd w:id="380"/>
      <w:bookmarkEnd w:id="381"/>
      <w:bookmarkEnd w:id="382"/>
      <w:bookmarkEnd w:id="383"/>
    </w:p>
    <w:p w14:paraId="6314157F" w14:textId="77777777" w:rsidR="00DD57D5" w:rsidRPr="00104227" w:rsidRDefault="00DD57D5" w:rsidP="00E4619F">
      <w:pPr>
        <w:tabs>
          <w:tab w:val="left" w:pos="567"/>
        </w:tabs>
        <w:rPr>
          <w:lang w:eastAsia="es-MX"/>
        </w:rPr>
      </w:pPr>
    </w:p>
    <w:p w14:paraId="48908178" w14:textId="6CC91ECE" w:rsidR="00705F8A" w:rsidRPr="00104227" w:rsidRDefault="00BF5241" w:rsidP="00481A68">
      <w:pPr>
        <w:pStyle w:val="Numberedparagraphs"/>
        <w:tabs>
          <w:tab w:val="left" w:pos="567"/>
        </w:tabs>
        <w:rPr>
          <w:lang w:val="en-US"/>
        </w:rPr>
      </w:pPr>
      <w:bookmarkStart w:id="384" w:name="_Ref532984850"/>
      <w:r w:rsidRPr="00104227">
        <w:rPr>
          <w:lang w:val="en-US"/>
        </w:rPr>
        <w:t>The Court</w:t>
      </w:r>
      <w:r w:rsidR="00DD57D5" w:rsidRPr="00104227">
        <w:rPr>
          <w:lang w:val="en-US"/>
        </w:rPr>
        <w:t xml:space="preserve"> ha</w:t>
      </w:r>
      <w:r w:rsidR="00481A68" w:rsidRPr="00104227">
        <w:rPr>
          <w:lang w:val="en-US"/>
        </w:rPr>
        <w:t>s indicated on numerous occasions that</w:t>
      </w:r>
      <w:r w:rsidR="00DD57D5" w:rsidRPr="00104227">
        <w:rPr>
          <w:lang w:val="en-US"/>
        </w:rPr>
        <w:t xml:space="preserve"> </w:t>
      </w:r>
      <w:r w:rsidR="0094395C" w:rsidRPr="00104227">
        <w:rPr>
          <w:lang w:val="en-US"/>
        </w:rPr>
        <w:t>the next of kin</w:t>
      </w:r>
      <w:r w:rsidR="00DD57D5" w:rsidRPr="00104227">
        <w:rPr>
          <w:lang w:val="en-US"/>
        </w:rPr>
        <w:t xml:space="preserve"> </w:t>
      </w:r>
      <w:r w:rsidR="00481A68" w:rsidRPr="00104227">
        <w:rPr>
          <w:lang w:val="en-US"/>
        </w:rPr>
        <w:t>of the victims of human rights violations may also, in turn, be victims.</w:t>
      </w:r>
      <w:r w:rsidR="00DD57D5" w:rsidRPr="00104227">
        <w:rPr>
          <w:rStyle w:val="Refdenotaalpie"/>
          <w:spacing w:val="-2"/>
          <w:szCs w:val="20"/>
          <w:lang w:val="en-US"/>
        </w:rPr>
        <w:footnoteReference w:id="431"/>
      </w:r>
      <w:r w:rsidR="00481A68" w:rsidRPr="00104227">
        <w:rPr>
          <w:lang w:val="en-US"/>
        </w:rPr>
        <w:t xml:space="preserve"> In this regard, the Court has indicated that it is </w:t>
      </w:r>
      <w:r w:rsidR="00481A68" w:rsidRPr="00104227">
        <w:rPr>
          <w:lang w:val="en-US"/>
        </w:rPr>
        <w:lastRenderedPageBreak/>
        <w:t xml:space="preserve">possible to declare </w:t>
      </w:r>
      <w:r w:rsidR="0060075A" w:rsidRPr="00104227">
        <w:rPr>
          <w:lang w:val="en-US"/>
        </w:rPr>
        <w:t xml:space="preserve">the violation of the </w:t>
      </w:r>
      <w:r w:rsidR="00CA43B0" w:rsidRPr="00104227">
        <w:rPr>
          <w:lang w:val="en-US"/>
        </w:rPr>
        <w:t>right to</w:t>
      </w:r>
      <w:r w:rsidR="00481A68" w:rsidRPr="00104227">
        <w:rPr>
          <w:lang w:val="en-US"/>
        </w:rPr>
        <w:t xml:space="preserve"> mental and moral integrity of</w:t>
      </w:r>
      <w:r w:rsidR="00705F8A" w:rsidRPr="00104227">
        <w:rPr>
          <w:lang w:val="en-US"/>
        </w:rPr>
        <w:t xml:space="preserve"> </w:t>
      </w:r>
      <w:r w:rsidR="00EB711C" w:rsidRPr="00104227">
        <w:rPr>
          <w:lang w:val="en-US"/>
        </w:rPr>
        <w:t xml:space="preserve">the </w:t>
      </w:r>
      <w:r w:rsidR="00A7120C" w:rsidRPr="00104227">
        <w:rPr>
          <w:lang w:val="en-US"/>
        </w:rPr>
        <w:t>next of kin of</w:t>
      </w:r>
      <w:r w:rsidR="00705F8A" w:rsidRPr="00104227">
        <w:rPr>
          <w:lang w:val="en-US"/>
        </w:rPr>
        <w:t xml:space="preserve"> v</w:t>
      </w:r>
      <w:r w:rsidR="00481A68" w:rsidRPr="00104227">
        <w:rPr>
          <w:lang w:val="en-US"/>
        </w:rPr>
        <w:t xml:space="preserve">ictims of certain </w:t>
      </w:r>
      <w:r w:rsidR="00F12946" w:rsidRPr="00104227">
        <w:rPr>
          <w:lang w:val="en-US"/>
        </w:rPr>
        <w:t>human rights violations</w:t>
      </w:r>
      <w:r w:rsidR="00705F8A" w:rsidRPr="00104227">
        <w:rPr>
          <w:lang w:val="en-US"/>
        </w:rPr>
        <w:t xml:space="preserve"> </w:t>
      </w:r>
      <w:r w:rsidR="00481A68" w:rsidRPr="00104227">
        <w:rPr>
          <w:lang w:val="en-US"/>
        </w:rPr>
        <w:t xml:space="preserve">in application of a </w:t>
      </w:r>
      <w:r w:rsidR="00705F8A" w:rsidRPr="00104227">
        <w:rPr>
          <w:i/>
          <w:lang w:val="en-US"/>
        </w:rPr>
        <w:t xml:space="preserve">iuris tantum </w:t>
      </w:r>
      <w:r w:rsidR="00481A68" w:rsidRPr="00104227">
        <w:rPr>
          <w:iCs/>
          <w:lang w:val="en-US"/>
        </w:rPr>
        <w:t>presumption</w:t>
      </w:r>
      <w:r w:rsidR="00481A68" w:rsidRPr="00104227">
        <w:rPr>
          <w:i/>
          <w:lang w:val="en-US"/>
        </w:rPr>
        <w:t xml:space="preserve"> </w:t>
      </w:r>
      <w:r w:rsidR="00481A68" w:rsidRPr="00104227">
        <w:rPr>
          <w:lang w:val="en-US"/>
        </w:rPr>
        <w:t>in the case of</w:t>
      </w:r>
      <w:r w:rsidR="00705F8A" w:rsidRPr="00104227">
        <w:rPr>
          <w:lang w:val="en-US"/>
        </w:rPr>
        <w:t xml:space="preserve"> </w:t>
      </w:r>
      <w:r w:rsidR="00A7120C" w:rsidRPr="00104227">
        <w:rPr>
          <w:lang w:val="en-US"/>
        </w:rPr>
        <w:t>mother</w:t>
      </w:r>
      <w:r w:rsidR="00705F8A" w:rsidRPr="00104227">
        <w:rPr>
          <w:lang w:val="en-US"/>
        </w:rPr>
        <w:t>s</w:t>
      </w:r>
      <w:r w:rsidRPr="00104227">
        <w:rPr>
          <w:lang w:val="en-US"/>
        </w:rPr>
        <w:t xml:space="preserve"> and </w:t>
      </w:r>
      <w:r w:rsidR="00A7120C" w:rsidRPr="00104227">
        <w:rPr>
          <w:lang w:val="en-US"/>
        </w:rPr>
        <w:t>father</w:t>
      </w:r>
      <w:r w:rsidR="00705F8A" w:rsidRPr="00104227">
        <w:rPr>
          <w:lang w:val="en-US"/>
        </w:rPr>
        <w:t xml:space="preserve">s, </w:t>
      </w:r>
      <w:r w:rsidR="00A7120C" w:rsidRPr="00104227">
        <w:rPr>
          <w:lang w:val="en-US"/>
        </w:rPr>
        <w:t>daughter</w:t>
      </w:r>
      <w:r w:rsidR="00705F8A" w:rsidRPr="00104227">
        <w:rPr>
          <w:lang w:val="en-US"/>
        </w:rPr>
        <w:t xml:space="preserve">s </w:t>
      </w:r>
      <w:r w:rsidR="00481A68" w:rsidRPr="00104227">
        <w:rPr>
          <w:lang w:val="en-US"/>
        </w:rPr>
        <w:t xml:space="preserve">and sons, </w:t>
      </w:r>
      <w:r w:rsidR="00EB711C" w:rsidRPr="00104227">
        <w:rPr>
          <w:lang w:val="en-US"/>
        </w:rPr>
        <w:t xml:space="preserve">and </w:t>
      </w:r>
      <w:r w:rsidR="00481A68" w:rsidRPr="00104227">
        <w:rPr>
          <w:lang w:val="en-US"/>
        </w:rPr>
        <w:t>husbands</w:t>
      </w:r>
      <w:r w:rsidR="00EB711C" w:rsidRPr="00104227">
        <w:rPr>
          <w:lang w:val="en-US"/>
        </w:rPr>
        <w:t>,</w:t>
      </w:r>
      <w:r w:rsidR="00481A68" w:rsidRPr="00104227">
        <w:rPr>
          <w:lang w:val="en-US"/>
        </w:rPr>
        <w:t xml:space="preserve"> wives and permanent companions, as well as </w:t>
      </w:r>
      <w:r w:rsidR="00A7120C" w:rsidRPr="00104227">
        <w:rPr>
          <w:lang w:val="en-US"/>
        </w:rPr>
        <w:t>brother</w:t>
      </w:r>
      <w:r w:rsidR="00DF1846" w:rsidRPr="00104227">
        <w:rPr>
          <w:lang w:val="en-US"/>
        </w:rPr>
        <w:t>s</w:t>
      </w:r>
      <w:r w:rsidRPr="00104227">
        <w:rPr>
          <w:lang w:val="en-US"/>
        </w:rPr>
        <w:t xml:space="preserve"> and </w:t>
      </w:r>
      <w:r w:rsidR="00A7120C" w:rsidRPr="00104227">
        <w:rPr>
          <w:lang w:val="en-US"/>
        </w:rPr>
        <w:t>sister</w:t>
      </w:r>
      <w:r w:rsidR="00DF1846" w:rsidRPr="00104227">
        <w:rPr>
          <w:lang w:val="en-US"/>
        </w:rPr>
        <w:t>s</w:t>
      </w:r>
      <w:r w:rsidR="00481A68" w:rsidRPr="00104227">
        <w:rPr>
          <w:lang w:val="en-US"/>
        </w:rPr>
        <w:t>,</w:t>
      </w:r>
      <w:r w:rsidR="005A53C2" w:rsidRPr="00104227">
        <w:rPr>
          <w:rStyle w:val="Refdenotaalpie"/>
          <w:rFonts w:eastAsia="Calibri"/>
          <w:spacing w:val="-2"/>
          <w:szCs w:val="20"/>
          <w:lang w:val="en-US"/>
        </w:rPr>
        <w:footnoteReference w:id="432"/>
      </w:r>
      <w:r w:rsidR="00481A68" w:rsidRPr="00104227">
        <w:rPr>
          <w:lang w:val="en-US"/>
        </w:rPr>
        <w:t xml:space="preserve"> provided this </w:t>
      </w:r>
      <w:r w:rsidR="00EB711C" w:rsidRPr="00104227">
        <w:rPr>
          <w:lang w:val="en-US"/>
        </w:rPr>
        <w:t>accords</w:t>
      </w:r>
      <w:r w:rsidR="00481A68" w:rsidRPr="00104227">
        <w:rPr>
          <w:lang w:val="en-US"/>
        </w:rPr>
        <w:t xml:space="preserve"> with the particular circums</w:t>
      </w:r>
      <w:r w:rsidR="00EB711C" w:rsidRPr="00104227">
        <w:rPr>
          <w:lang w:val="en-US"/>
        </w:rPr>
        <w:t>t</w:t>
      </w:r>
      <w:r w:rsidR="00481A68" w:rsidRPr="00104227">
        <w:rPr>
          <w:lang w:val="en-US"/>
        </w:rPr>
        <w:t>ances of the case. Regarding the direct</w:t>
      </w:r>
      <w:r w:rsidR="0094395C" w:rsidRPr="00104227">
        <w:rPr>
          <w:lang w:val="en-US"/>
        </w:rPr>
        <w:t xml:space="preserve"> next of kin</w:t>
      </w:r>
      <w:r w:rsidR="00481A68" w:rsidRPr="00104227">
        <w:rPr>
          <w:lang w:val="en-US"/>
        </w:rPr>
        <w:t>, it is for the State to disprove this presumption.</w:t>
      </w:r>
      <w:r w:rsidR="00705F8A" w:rsidRPr="00104227">
        <w:rPr>
          <w:rStyle w:val="Refdenotaalpie"/>
          <w:lang w:val="en-US"/>
        </w:rPr>
        <w:footnoteReference w:id="433"/>
      </w:r>
      <w:r w:rsidR="00481A68" w:rsidRPr="00104227">
        <w:rPr>
          <w:lang w:val="en-US"/>
        </w:rPr>
        <w:t xml:space="preserve"> On this point, the Court has understood that the right to mental and moral integrity of some next of kin has been violated owing to the additional suffering they have undergone as a result of the particular circumstances of the violations perpetrated against their loved ones and owing to the subsequent actions of the State authorities in relation to those violations.</w:t>
      </w:r>
      <w:r w:rsidR="00705F8A" w:rsidRPr="00104227">
        <w:rPr>
          <w:rStyle w:val="Refdenotaalpie"/>
          <w:lang w:val="en-US"/>
        </w:rPr>
        <w:footnoteReference w:id="434"/>
      </w:r>
      <w:bookmarkEnd w:id="384"/>
      <w:r w:rsidR="00705F8A" w:rsidRPr="00104227">
        <w:rPr>
          <w:lang w:val="en-US"/>
        </w:rPr>
        <w:t xml:space="preserve"> </w:t>
      </w:r>
    </w:p>
    <w:p w14:paraId="674A9118" w14:textId="68894F60" w:rsidR="00DD57D5" w:rsidRPr="00104227" w:rsidRDefault="00DD57D5" w:rsidP="00E4619F">
      <w:pPr>
        <w:tabs>
          <w:tab w:val="left" w:pos="567"/>
        </w:tabs>
        <w:rPr>
          <w:lang w:eastAsia="es-MX"/>
        </w:rPr>
      </w:pPr>
    </w:p>
    <w:p w14:paraId="4B82BB98" w14:textId="04405C81" w:rsidR="00DD57D5" w:rsidRPr="00104227" w:rsidRDefault="00481A68" w:rsidP="00E4619F">
      <w:pPr>
        <w:pStyle w:val="Numberedparagraphs"/>
        <w:tabs>
          <w:tab w:val="left" w:pos="567"/>
        </w:tabs>
        <w:rPr>
          <w:lang w:val="en-US"/>
        </w:rPr>
      </w:pPr>
      <w:bookmarkStart w:id="385" w:name="_Ref396293104"/>
      <w:r w:rsidRPr="00104227">
        <w:rPr>
          <w:lang w:val="en-US"/>
        </w:rPr>
        <w:t xml:space="preserve">Such suffering gives rise to the presumption of a violation of the mental and moral integrity </w:t>
      </w:r>
      <w:r w:rsidR="007F1912" w:rsidRPr="00104227">
        <w:rPr>
          <w:lang w:val="en-US"/>
        </w:rPr>
        <w:t xml:space="preserve">of the </w:t>
      </w:r>
      <w:r w:rsidR="0094395C" w:rsidRPr="00104227">
        <w:rPr>
          <w:lang w:val="en-US"/>
        </w:rPr>
        <w:t>next of kin</w:t>
      </w:r>
      <w:r w:rsidR="00DD57D5" w:rsidRPr="00104227">
        <w:rPr>
          <w:lang w:val="en-US"/>
        </w:rPr>
        <w:t xml:space="preserve"> </w:t>
      </w:r>
      <w:r w:rsidRPr="00104227">
        <w:rPr>
          <w:lang w:val="en-US"/>
        </w:rPr>
        <w:t>in cases of forced disappearances,</w:t>
      </w:r>
      <w:r w:rsidR="00DD57D5" w:rsidRPr="00104227">
        <w:rPr>
          <w:rStyle w:val="Refdenotaalpie"/>
          <w:rFonts w:eastAsia="Calibri"/>
          <w:spacing w:val="-2"/>
          <w:szCs w:val="20"/>
          <w:lang w:val="en-US"/>
        </w:rPr>
        <w:footnoteReference w:id="435"/>
      </w:r>
      <w:r w:rsidRPr="00104227">
        <w:rPr>
          <w:lang w:val="en-US"/>
        </w:rPr>
        <w:t xml:space="preserve"> and </w:t>
      </w:r>
      <w:r w:rsidR="00221EED" w:rsidRPr="00104227">
        <w:rPr>
          <w:lang w:val="en-US"/>
        </w:rPr>
        <w:t xml:space="preserve">also in the case of other egregious </w:t>
      </w:r>
      <w:r w:rsidR="00DD57D5" w:rsidRPr="00104227">
        <w:rPr>
          <w:lang w:val="en-US"/>
        </w:rPr>
        <w:t xml:space="preserve"> </w:t>
      </w:r>
      <w:r w:rsidR="00F12946" w:rsidRPr="00104227">
        <w:rPr>
          <w:lang w:val="en-US"/>
        </w:rPr>
        <w:t>human rights violations</w:t>
      </w:r>
      <w:r w:rsidR="00DD57D5" w:rsidRPr="00104227">
        <w:rPr>
          <w:lang w:val="en-US"/>
        </w:rPr>
        <w:t xml:space="preserve">, </w:t>
      </w:r>
      <w:r w:rsidR="00221EED" w:rsidRPr="00104227">
        <w:rPr>
          <w:lang w:val="en-US"/>
        </w:rPr>
        <w:t>such as extrajudicial executions,</w:t>
      </w:r>
      <w:r w:rsidR="00DD57D5" w:rsidRPr="00104227">
        <w:rPr>
          <w:rStyle w:val="Refdenotaalpie"/>
          <w:rFonts w:eastAsia="Calibri"/>
          <w:spacing w:val="-2"/>
          <w:szCs w:val="20"/>
          <w:lang w:val="en-US"/>
        </w:rPr>
        <w:footnoteReference w:id="436"/>
      </w:r>
      <w:r w:rsidR="005A53C2" w:rsidRPr="00104227">
        <w:rPr>
          <w:lang w:val="en-US"/>
        </w:rPr>
        <w:t xml:space="preserve"> </w:t>
      </w:r>
      <w:r w:rsidR="00D25554" w:rsidRPr="00104227">
        <w:rPr>
          <w:lang w:val="en-US"/>
        </w:rPr>
        <w:t>sexual violence</w:t>
      </w:r>
      <w:r w:rsidR="00BF5241" w:rsidRPr="00104227">
        <w:rPr>
          <w:lang w:val="en-US"/>
        </w:rPr>
        <w:t xml:space="preserve"> and </w:t>
      </w:r>
      <w:r w:rsidR="00BC5201" w:rsidRPr="00104227">
        <w:rPr>
          <w:lang w:val="en-US"/>
        </w:rPr>
        <w:t>torture</w:t>
      </w:r>
      <w:r w:rsidR="00221EED" w:rsidRPr="00104227">
        <w:rPr>
          <w:lang w:val="en-US"/>
        </w:rPr>
        <w:t>.</w:t>
      </w:r>
      <w:r w:rsidR="00F03CA2" w:rsidRPr="00104227">
        <w:rPr>
          <w:rStyle w:val="Refdenotaalpie"/>
          <w:lang w:val="en-US"/>
        </w:rPr>
        <w:footnoteReference w:id="437"/>
      </w:r>
      <w:r w:rsidR="00DD57D5" w:rsidRPr="00104227">
        <w:rPr>
          <w:lang w:val="en-US"/>
        </w:rPr>
        <w:t xml:space="preserve"> </w:t>
      </w:r>
      <w:r w:rsidR="00221EED" w:rsidRPr="00104227">
        <w:rPr>
          <w:lang w:val="en-US"/>
        </w:rPr>
        <w:t>Thus, taking into account the State’s acknowledgement of responsibility, the Court considers that</w:t>
      </w:r>
      <w:r w:rsidR="00DD57D5" w:rsidRPr="00104227">
        <w:rPr>
          <w:lang w:val="en-US"/>
        </w:rPr>
        <w:t xml:space="preserve"> </w:t>
      </w:r>
      <w:r w:rsidR="0060075A" w:rsidRPr="00104227">
        <w:rPr>
          <w:lang w:val="en-US"/>
        </w:rPr>
        <w:t xml:space="preserve">the violation of the </w:t>
      </w:r>
      <w:r w:rsidR="00CA43B0" w:rsidRPr="00104227">
        <w:rPr>
          <w:lang w:val="en-US"/>
        </w:rPr>
        <w:t>right to</w:t>
      </w:r>
      <w:r w:rsidR="00DD57D5" w:rsidRPr="00104227">
        <w:rPr>
          <w:lang w:val="en-US"/>
        </w:rPr>
        <w:t xml:space="preserve"> </w:t>
      </w:r>
      <w:r w:rsidR="0094395C" w:rsidRPr="00104227">
        <w:rPr>
          <w:lang w:val="en-US"/>
        </w:rPr>
        <w:t>personal integrity</w:t>
      </w:r>
      <w:r w:rsidR="007F1912" w:rsidRPr="00104227">
        <w:rPr>
          <w:lang w:val="en-US"/>
        </w:rPr>
        <w:t xml:space="preserve"> of the </w:t>
      </w:r>
      <w:r w:rsidR="00221EED" w:rsidRPr="00104227">
        <w:rPr>
          <w:lang w:val="en-US"/>
        </w:rPr>
        <w:t xml:space="preserve">direct </w:t>
      </w:r>
      <w:r w:rsidR="0094395C" w:rsidRPr="00104227">
        <w:rPr>
          <w:lang w:val="en-US"/>
        </w:rPr>
        <w:t>next of kin</w:t>
      </w:r>
      <w:r w:rsidR="00DD57D5" w:rsidRPr="00104227">
        <w:rPr>
          <w:lang w:val="en-US"/>
        </w:rPr>
        <w:t xml:space="preserve"> </w:t>
      </w:r>
      <w:r w:rsidR="00F12946" w:rsidRPr="00104227">
        <w:rPr>
          <w:lang w:val="en-US"/>
        </w:rPr>
        <w:t>of the eleven women</w:t>
      </w:r>
      <w:r w:rsidR="005978BA" w:rsidRPr="00104227">
        <w:rPr>
          <w:lang w:val="en-US"/>
        </w:rPr>
        <w:t xml:space="preserve"> v</w:t>
      </w:r>
      <w:r w:rsidR="00221EED" w:rsidRPr="00104227">
        <w:rPr>
          <w:lang w:val="en-US"/>
        </w:rPr>
        <w:t>ictims of</w:t>
      </w:r>
      <w:r w:rsidR="005978BA" w:rsidRPr="00104227">
        <w:rPr>
          <w:lang w:val="en-US"/>
        </w:rPr>
        <w:t xml:space="preserve"> </w:t>
      </w:r>
      <w:r w:rsidR="00D25554" w:rsidRPr="00104227">
        <w:rPr>
          <w:lang w:val="en-US"/>
        </w:rPr>
        <w:t>sexual violence</w:t>
      </w:r>
      <w:r w:rsidR="00BF5241" w:rsidRPr="00104227">
        <w:rPr>
          <w:lang w:val="en-US"/>
        </w:rPr>
        <w:t xml:space="preserve"> and </w:t>
      </w:r>
      <w:r w:rsidR="00BC5201" w:rsidRPr="00104227">
        <w:rPr>
          <w:lang w:val="en-US"/>
        </w:rPr>
        <w:t>torture</w:t>
      </w:r>
      <w:r w:rsidR="005978BA" w:rsidRPr="00104227">
        <w:rPr>
          <w:lang w:val="en-US"/>
        </w:rPr>
        <w:t xml:space="preserve"> </w:t>
      </w:r>
      <w:r w:rsidR="00816E4E" w:rsidRPr="00104227">
        <w:rPr>
          <w:lang w:val="en-US"/>
        </w:rPr>
        <w:t>in this case</w:t>
      </w:r>
      <w:bookmarkEnd w:id="385"/>
      <w:r w:rsidR="00221EED" w:rsidRPr="00104227">
        <w:rPr>
          <w:lang w:val="en-US"/>
        </w:rPr>
        <w:t xml:space="preserve"> may be presumed</w:t>
      </w:r>
      <w:r w:rsidR="005978BA" w:rsidRPr="00104227">
        <w:rPr>
          <w:lang w:val="en-US"/>
        </w:rPr>
        <w:t xml:space="preserve">. </w:t>
      </w:r>
      <w:r w:rsidR="00684C3C" w:rsidRPr="00104227">
        <w:rPr>
          <w:lang w:val="en-US"/>
        </w:rPr>
        <w:t xml:space="preserve">The presumed violation of this right </w:t>
      </w:r>
      <w:r w:rsidR="00C2124F" w:rsidRPr="00104227">
        <w:rPr>
          <w:lang w:val="en-US"/>
        </w:rPr>
        <w:t>to the detriment of</w:t>
      </w:r>
      <w:r w:rsidR="00684C3C" w:rsidRPr="00104227">
        <w:rPr>
          <w:lang w:val="en-US"/>
        </w:rPr>
        <w:t xml:space="preserve"> indirect next of kin will be examined below</w:t>
      </w:r>
      <w:r w:rsidR="00BA0AD7" w:rsidRPr="00104227">
        <w:rPr>
          <w:lang w:val="en-US"/>
        </w:rPr>
        <w:t xml:space="preserve"> </w:t>
      </w:r>
      <w:r w:rsidR="002F152C" w:rsidRPr="00104227">
        <w:rPr>
          <w:lang w:val="en-US"/>
        </w:rPr>
        <w:t>(</w:t>
      </w:r>
      <w:r w:rsidR="00BF5241" w:rsidRPr="00104227">
        <w:rPr>
          <w:lang w:val="en-US"/>
        </w:rPr>
        <w:t>paras.</w:t>
      </w:r>
      <w:r w:rsidR="00BA0AD7" w:rsidRPr="00104227">
        <w:rPr>
          <w:lang w:val="en-US"/>
        </w:rPr>
        <w:t xml:space="preserve"> </w:t>
      </w:r>
      <w:r w:rsidR="002F152C" w:rsidRPr="00104227">
        <w:rPr>
          <w:lang w:val="en-US"/>
        </w:rPr>
        <w:fldChar w:fldCharType="begin"/>
      </w:r>
      <w:r w:rsidR="002F152C" w:rsidRPr="00104227">
        <w:rPr>
          <w:lang w:val="en-US"/>
        </w:rPr>
        <w:instrText xml:space="preserve"> REF _Ref532979973 \r \h </w:instrText>
      </w:r>
      <w:r w:rsidR="00284EAE" w:rsidRPr="00104227">
        <w:rPr>
          <w:lang w:val="en-US"/>
        </w:rPr>
        <w:instrText xml:space="preserve"> \* MERGEFORMAT </w:instrText>
      </w:r>
      <w:r w:rsidR="002F152C" w:rsidRPr="00104227">
        <w:rPr>
          <w:lang w:val="en-US"/>
        </w:rPr>
      </w:r>
      <w:r w:rsidR="002F152C" w:rsidRPr="00104227">
        <w:rPr>
          <w:lang w:val="en-US"/>
        </w:rPr>
        <w:fldChar w:fldCharType="separate"/>
      </w:r>
      <w:r w:rsidR="004276BD">
        <w:rPr>
          <w:lang w:val="en-US"/>
        </w:rPr>
        <w:t>323</w:t>
      </w:r>
      <w:r w:rsidR="002F152C" w:rsidRPr="00104227">
        <w:rPr>
          <w:lang w:val="en-US"/>
        </w:rPr>
        <w:fldChar w:fldCharType="end"/>
      </w:r>
      <w:r w:rsidR="00BF5241" w:rsidRPr="00104227">
        <w:rPr>
          <w:lang w:val="en-US"/>
        </w:rPr>
        <w:t xml:space="preserve"> and </w:t>
      </w:r>
      <w:r w:rsidR="002F152C" w:rsidRPr="00104227">
        <w:rPr>
          <w:lang w:val="en-US"/>
        </w:rPr>
        <w:fldChar w:fldCharType="begin"/>
      </w:r>
      <w:r w:rsidR="002F152C" w:rsidRPr="00104227">
        <w:rPr>
          <w:lang w:val="en-US"/>
        </w:rPr>
        <w:instrText xml:space="preserve"> REF _Ref532979975 \r \h </w:instrText>
      </w:r>
      <w:r w:rsidR="00284EAE" w:rsidRPr="00104227">
        <w:rPr>
          <w:lang w:val="en-US"/>
        </w:rPr>
        <w:instrText xml:space="preserve"> \* MERGEFORMAT </w:instrText>
      </w:r>
      <w:r w:rsidR="002F152C" w:rsidRPr="00104227">
        <w:rPr>
          <w:lang w:val="en-US"/>
        </w:rPr>
      </w:r>
      <w:r w:rsidR="002F152C" w:rsidRPr="00104227">
        <w:rPr>
          <w:lang w:val="en-US"/>
        </w:rPr>
        <w:fldChar w:fldCharType="separate"/>
      </w:r>
      <w:r w:rsidR="004276BD">
        <w:rPr>
          <w:lang w:val="en-US"/>
        </w:rPr>
        <w:t>324</w:t>
      </w:r>
      <w:r w:rsidR="002F152C" w:rsidRPr="00104227">
        <w:rPr>
          <w:lang w:val="en-US"/>
        </w:rPr>
        <w:fldChar w:fldCharType="end"/>
      </w:r>
      <w:r w:rsidR="00BA0AD7" w:rsidRPr="00104227">
        <w:rPr>
          <w:lang w:val="en-US"/>
        </w:rPr>
        <w:t>).</w:t>
      </w:r>
    </w:p>
    <w:p w14:paraId="055D0724" w14:textId="79853562" w:rsidR="00DD57D5" w:rsidRPr="00104227" w:rsidRDefault="00DD57D5" w:rsidP="00E4619F">
      <w:pPr>
        <w:tabs>
          <w:tab w:val="left" w:pos="567"/>
        </w:tabs>
        <w:rPr>
          <w:lang w:eastAsia="es-MX"/>
        </w:rPr>
      </w:pPr>
    </w:p>
    <w:p w14:paraId="3581EEF3" w14:textId="028DBCD7" w:rsidR="00F03CA2" w:rsidRPr="00104227" w:rsidRDefault="00221EED" w:rsidP="00E4619F">
      <w:pPr>
        <w:pStyle w:val="Numberedparagraphs"/>
        <w:tabs>
          <w:tab w:val="left" w:pos="567"/>
        </w:tabs>
        <w:rPr>
          <w:lang w:val="en-US"/>
        </w:rPr>
      </w:pPr>
      <w:r w:rsidRPr="00104227">
        <w:rPr>
          <w:lang w:val="en-US"/>
        </w:rPr>
        <w:t>In this case, the State acknowledged its international responsibility for the v</w:t>
      </w:r>
      <w:r w:rsidR="00E466FA" w:rsidRPr="00104227">
        <w:rPr>
          <w:lang w:val="en-US"/>
        </w:rPr>
        <w:t>iolation of the right to</w:t>
      </w:r>
      <w:r w:rsidR="00F03CA2" w:rsidRPr="00104227">
        <w:rPr>
          <w:lang w:val="en-US"/>
        </w:rPr>
        <w:t xml:space="preserve"> </w:t>
      </w:r>
      <w:r w:rsidR="0094395C" w:rsidRPr="00104227">
        <w:rPr>
          <w:lang w:val="en-US"/>
        </w:rPr>
        <w:t>personal integrity</w:t>
      </w:r>
      <w:r w:rsidR="00F03CA2" w:rsidRPr="00104227">
        <w:rPr>
          <w:lang w:val="en-US"/>
        </w:rPr>
        <w:t xml:space="preserve"> </w:t>
      </w:r>
      <w:r w:rsidRPr="00104227">
        <w:rPr>
          <w:lang w:val="en-US"/>
        </w:rPr>
        <w:t>of all</w:t>
      </w:r>
      <w:r w:rsidR="00F03CA2" w:rsidRPr="00104227">
        <w:rPr>
          <w:lang w:val="en-US"/>
        </w:rPr>
        <w:t xml:space="preserve"> </w:t>
      </w:r>
      <w:r w:rsidR="0094395C" w:rsidRPr="00104227">
        <w:rPr>
          <w:lang w:val="en-US"/>
        </w:rPr>
        <w:t>the next of kin</w:t>
      </w:r>
      <w:r w:rsidR="00F03CA2" w:rsidRPr="00104227">
        <w:rPr>
          <w:lang w:val="en-US"/>
        </w:rPr>
        <w:t xml:space="preserve"> </w:t>
      </w:r>
      <w:r w:rsidR="00F12946" w:rsidRPr="00104227">
        <w:rPr>
          <w:lang w:val="en-US"/>
        </w:rPr>
        <w:t>of the eleven women</w:t>
      </w:r>
      <w:r w:rsidR="00F03CA2" w:rsidRPr="00104227">
        <w:rPr>
          <w:lang w:val="en-US"/>
        </w:rPr>
        <w:t xml:space="preserve"> </w:t>
      </w:r>
      <w:r w:rsidRPr="00104227">
        <w:rPr>
          <w:lang w:val="en-US"/>
        </w:rPr>
        <w:t>victims of</w:t>
      </w:r>
      <w:r w:rsidR="00F03CA2" w:rsidRPr="00104227">
        <w:rPr>
          <w:lang w:val="en-US"/>
        </w:rPr>
        <w:t xml:space="preserve"> </w:t>
      </w:r>
      <w:r w:rsidR="00BC5201" w:rsidRPr="00104227">
        <w:rPr>
          <w:lang w:val="en-US"/>
        </w:rPr>
        <w:t>torture</w:t>
      </w:r>
      <w:r w:rsidR="00BF5241" w:rsidRPr="00104227">
        <w:rPr>
          <w:lang w:val="en-US"/>
        </w:rPr>
        <w:t xml:space="preserve"> and </w:t>
      </w:r>
      <w:r w:rsidRPr="00104227">
        <w:rPr>
          <w:lang w:val="en-US"/>
        </w:rPr>
        <w:t>unlawful and arbitrary detention</w:t>
      </w:r>
      <w:r w:rsidR="00F03CA2" w:rsidRPr="00104227">
        <w:rPr>
          <w:lang w:val="en-US"/>
        </w:rPr>
        <w:t xml:space="preserve"> </w:t>
      </w:r>
      <w:r w:rsidR="00816E4E" w:rsidRPr="00104227">
        <w:rPr>
          <w:lang w:val="en-US"/>
        </w:rPr>
        <w:t>in this case</w:t>
      </w:r>
      <w:r w:rsidR="00F03CA2" w:rsidRPr="00104227">
        <w:rPr>
          <w:lang w:val="en-US"/>
        </w:rPr>
        <w:t xml:space="preserve">, </w:t>
      </w:r>
      <w:r w:rsidRPr="00104227">
        <w:rPr>
          <w:lang w:val="en-US"/>
        </w:rPr>
        <w:t>among other violations</w:t>
      </w:r>
      <w:r w:rsidR="00F03CA2" w:rsidRPr="00104227">
        <w:rPr>
          <w:lang w:val="en-US"/>
        </w:rPr>
        <w:t xml:space="preserve">. </w:t>
      </w:r>
    </w:p>
    <w:p w14:paraId="065DF621" w14:textId="77777777" w:rsidR="00F03CA2" w:rsidRPr="00104227" w:rsidRDefault="00F03CA2" w:rsidP="00E4619F">
      <w:pPr>
        <w:tabs>
          <w:tab w:val="left" w:pos="567"/>
        </w:tabs>
        <w:rPr>
          <w:lang w:eastAsia="es-MX"/>
        </w:rPr>
      </w:pPr>
    </w:p>
    <w:p w14:paraId="429EBA8C" w14:textId="64200EDC" w:rsidR="00221EED" w:rsidRPr="00104227" w:rsidRDefault="00221EED" w:rsidP="00221EED">
      <w:pPr>
        <w:pStyle w:val="Numberedparagraphs"/>
        <w:tabs>
          <w:tab w:val="left" w:pos="567"/>
        </w:tabs>
        <w:rPr>
          <w:lang w:val="en-US"/>
        </w:rPr>
      </w:pPr>
      <w:bookmarkStart w:id="386" w:name="_Ref532979973"/>
      <w:r w:rsidRPr="00104227">
        <w:rPr>
          <w:lang w:val="en-US"/>
        </w:rPr>
        <w:t>Notwithstanding the said acknowledgment and the presumption ap</w:t>
      </w:r>
      <w:r w:rsidR="00B65052" w:rsidRPr="00104227">
        <w:rPr>
          <w:lang w:val="en-US"/>
        </w:rPr>
        <w:t>p</w:t>
      </w:r>
      <w:r w:rsidRPr="00104227">
        <w:rPr>
          <w:lang w:val="en-US"/>
        </w:rPr>
        <w:t xml:space="preserve">licable </w:t>
      </w:r>
      <w:r w:rsidR="00816E4E" w:rsidRPr="00104227">
        <w:rPr>
          <w:lang w:val="en-US"/>
        </w:rPr>
        <w:t>in this case</w:t>
      </w:r>
      <w:r w:rsidR="00661F87" w:rsidRPr="00104227">
        <w:rPr>
          <w:lang w:val="en-US"/>
        </w:rPr>
        <w:t xml:space="preserve">, </w:t>
      </w:r>
      <w:r w:rsidR="00BF5241" w:rsidRPr="00104227">
        <w:rPr>
          <w:lang w:val="en-US"/>
        </w:rPr>
        <w:t>the Court</w:t>
      </w:r>
      <w:r w:rsidR="005978BA" w:rsidRPr="00104227">
        <w:rPr>
          <w:lang w:val="en-US"/>
        </w:rPr>
        <w:t xml:space="preserve"> not</w:t>
      </w:r>
      <w:r w:rsidRPr="00104227">
        <w:rPr>
          <w:lang w:val="en-US"/>
        </w:rPr>
        <w:t xml:space="preserve">es that, based on the information and evidence provided to the case file, the personal integrity of </w:t>
      </w:r>
      <w:r w:rsidR="0094395C" w:rsidRPr="00104227">
        <w:rPr>
          <w:lang w:val="en-US"/>
        </w:rPr>
        <w:t>the next of kin</w:t>
      </w:r>
      <w:r w:rsidR="004A4434" w:rsidRPr="00104227">
        <w:rPr>
          <w:lang w:val="en-US"/>
        </w:rPr>
        <w:t xml:space="preserve"> </w:t>
      </w:r>
      <w:r w:rsidR="00B65052" w:rsidRPr="00104227">
        <w:rPr>
          <w:lang w:val="en-US"/>
        </w:rPr>
        <w:t>identified</w:t>
      </w:r>
      <w:r w:rsidRPr="00104227">
        <w:rPr>
          <w:lang w:val="en-US"/>
        </w:rPr>
        <w:t xml:space="preserve"> by </w:t>
      </w:r>
      <w:r w:rsidR="00BF5241" w:rsidRPr="00104227">
        <w:rPr>
          <w:lang w:val="en-US"/>
        </w:rPr>
        <w:t xml:space="preserve">the Commission and </w:t>
      </w:r>
      <w:r w:rsidR="002826A6" w:rsidRPr="00104227">
        <w:rPr>
          <w:lang w:val="en-US"/>
        </w:rPr>
        <w:t>the representatives</w:t>
      </w:r>
      <w:r w:rsidR="00661F87" w:rsidRPr="00104227">
        <w:rPr>
          <w:lang w:val="en-US"/>
        </w:rPr>
        <w:t xml:space="preserve"> </w:t>
      </w:r>
      <w:r w:rsidRPr="00104227">
        <w:rPr>
          <w:lang w:val="en-US"/>
        </w:rPr>
        <w:t>was affected by one or several of the following circumstances:</w:t>
      </w:r>
      <w:r w:rsidR="004A4434" w:rsidRPr="00104227">
        <w:rPr>
          <w:vertAlign w:val="superscript"/>
          <w:lang w:val="en-US"/>
        </w:rPr>
        <w:footnoteReference w:id="438"/>
      </w:r>
      <w:r w:rsidR="004A4434" w:rsidRPr="00104227">
        <w:rPr>
          <w:lang w:val="en-US"/>
        </w:rPr>
        <w:t xml:space="preserve"> (i) </w:t>
      </w:r>
      <w:r w:rsidRPr="00104227">
        <w:rPr>
          <w:lang w:val="en-US"/>
        </w:rPr>
        <w:t>lack of information regarding the detention of the</w:t>
      </w:r>
      <w:r w:rsidR="00B65052" w:rsidRPr="00104227">
        <w:rPr>
          <w:lang w:val="en-US"/>
        </w:rPr>
        <w:t>ir</w:t>
      </w:r>
      <w:r w:rsidRPr="00104227">
        <w:rPr>
          <w:lang w:val="en-US"/>
        </w:rPr>
        <w:t xml:space="preserve"> family member</w:t>
      </w:r>
      <w:r w:rsidR="00B65052" w:rsidRPr="00104227">
        <w:rPr>
          <w:lang w:val="en-US"/>
        </w:rPr>
        <w:t>s</w:t>
      </w:r>
      <w:r w:rsidRPr="00104227">
        <w:rPr>
          <w:lang w:val="en-US"/>
        </w:rPr>
        <w:t>, which led to feelings of anguish and uncertainty; (ii) involvement in different actions to seek justice or information to achieve, on the one hand, the release of their family members and, on the other, the punishment of those responsible for the sexual tortu</w:t>
      </w:r>
      <w:r w:rsidR="00B65052" w:rsidRPr="00104227">
        <w:rPr>
          <w:lang w:val="en-US"/>
        </w:rPr>
        <w:t>r</w:t>
      </w:r>
      <w:r w:rsidRPr="00104227">
        <w:rPr>
          <w:lang w:val="en-US"/>
        </w:rPr>
        <w:t xml:space="preserve">e; </w:t>
      </w:r>
      <w:r w:rsidRPr="00104227">
        <w:rPr>
          <w:lang w:val="en-US"/>
        </w:rPr>
        <w:lastRenderedPageBreak/>
        <w:t xml:space="preserve">(iii) the duration of the imprisonment and </w:t>
      </w:r>
      <w:r w:rsidR="00B65052" w:rsidRPr="00104227">
        <w:rPr>
          <w:lang w:val="en-US"/>
        </w:rPr>
        <w:t xml:space="preserve">the </w:t>
      </w:r>
      <w:r w:rsidRPr="00104227">
        <w:rPr>
          <w:lang w:val="en-US"/>
        </w:rPr>
        <w:t xml:space="preserve">knowledge of the sexual torture have had personal, physical and emotional effects, </w:t>
      </w:r>
      <w:r w:rsidR="00B65052" w:rsidRPr="00104227">
        <w:rPr>
          <w:lang w:val="en-US"/>
        </w:rPr>
        <w:t>which have affected</w:t>
      </w:r>
      <w:r w:rsidRPr="00104227">
        <w:rPr>
          <w:lang w:val="en-US"/>
        </w:rPr>
        <w:t xml:space="preserve"> their life projects; (iv) the difficulties to visit their family members in prison due to humiliating treatment during security inspections; (v) the facts have affected their social relationships and have led to ruptures in the family dynamic, as well as changes in the assignation of roles within the family; (vii) the acts committed have stigmatized them and caused them to feel shame</w:t>
      </w:r>
      <w:r w:rsidR="00B65052" w:rsidRPr="00104227">
        <w:rPr>
          <w:lang w:val="en-US"/>
        </w:rPr>
        <w:t xml:space="preserve"> vis-à-vis</w:t>
      </w:r>
      <w:r w:rsidRPr="00104227">
        <w:rPr>
          <w:lang w:val="en-US"/>
        </w:rPr>
        <w:t xml:space="preserve"> society; (viii) the events have led to feelings of fear, insecurity and vulnerabilit</w:t>
      </w:r>
      <w:r w:rsidRPr="00104227">
        <w:rPr>
          <w:color w:val="auto"/>
          <w:lang w:val="en-US"/>
        </w:rPr>
        <w:t xml:space="preserve">y </w:t>
      </w:r>
      <w:hyperlink r:id="rId8" w:history="1">
        <w:r w:rsidR="006B22B7" w:rsidRPr="00104227">
          <w:rPr>
            <w:rStyle w:val="Hipervnculo"/>
            <w:color w:val="auto"/>
            <w:u w:val="none"/>
            <w:lang w:val="en-US"/>
          </w:rPr>
          <w:t>in</w:t>
        </w:r>
      </w:hyperlink>
      <w:r w:rsidR="006B22B7" w:rsidRPr="00104227">
        <w:rPr>
          <w:rStyle w:val="tagtrans"/>
          <w:color w:val="auto"/>
          <w:lang w:val="en-US"/>
        </w:rPr>
        <w:t xml:space="preserve"> relation to</w:t>
      </w:r>
      <w:r w:rsidRPr="00104227">
        <w:rPr>
          <w:rStyle w:val="tagtrans"/>
          <w:color w:val="auto"/>
          <w:lang w:val="en-US"/>
        </w:rPr>
        <w:t xml:space="preserve"> the repression exercised by the State, and (ix) the effects they have experienced have been increased because the facts remain unpunished.</w:t>
      </w:r>
    </w:p>
    <w:bookmarkEnd w:id="386"/>
    <w:p w14:paraId="445ACE9E" w14:textId="77777777" w:rsidR="00F03CA2" w:rsidRPr="00104227" w:rsidRDefault="00F03CA2" w:rsidP="00E4619F">
      <w:pPr>
        <w:tabs>
          <w:tab w:val="left" w:pos="567"/>
        </w:tabs>
        <w:rPr>
          <w:lang w:eastAsia="es-MX"/>
        </w:rPr>
      </w:pPr>
    </w:p>
    <w:p w14:paraId="2336A231" w14:textId="01824323" w:rsidR="00F03CA2" w:rsidRPr="00104227" w:rsidRDefault="00221EED" w:rsidP="00E4619F">
      <w:pPr>
        <w:pStyle w:val="Numberedparagraphs"/>
        <w:tabs>
          <w:tab w:val="left" w:pos="567"/>
        </w:tabs>
        <w:rPr>
          <w:lang w:val="en-US"/>
        </w:rPr>
      </w:pPr>
      <w:bookmarkStart w:id="387" w:name="_Ref532979975"/>
      <w:r w:rsidRPr="00104227">
        <w:rPr>
          <w:lang w:val="en-US"/>
        </w:rPr>
        <w:t xml:space="preserve">Consequently, the Court considers that, as a direct result of the deprivation of liberty and the sexual torture </w:t>
      </w:r>
      <w:r w:rsidR="00F12946" w:rsidRPr="00104227">
        <w:rPr>
          <w:lang w:val="en-US"/>
        </w:rPr>
        <w:t>of the eleven women</w:t>
      </w:r>
      <w:r w:rsidR="00F03CA2" w:rsidRPr="00104227">
        <w:rPr>
          <w:lang w:val="en-US"/>
        </w:rPr>
        <w:t xml:space="preserve">, </w:t>
      </w:r>
      <w:r w:rsidR="0094395C" w:rsidRPr="00104227">
        <w:rPr>
          <w:lang w:val="en-US"/>
        </w:rPr>
        <w:t>the next of kin</w:t>
      </w:r>
      <w:r w:rsidR="00F03CA2" w:rsidRPr="00104227">
        <w:rPr>
          <w:lang w:val="en-US"/>
        </w:rPr>
        <w:t xml:space="preserve"> </w:t>
      </w:r>
      <w:r w:rsidRPr="00104227">
        <w:rPr>
          <w:lang w:val="en-US"/>
        </w:rPr>
        <w:t xml:space="preserve">named below have undergone profound suffering and anguish to the detriment of their mental and moral integrity. Accordingly, the Court concludes that </w:t>
      </w:r>
      <w:r w:rsidR="00AC3BFC" w:rsidRPr="00104227">
        <w:rPr>
          <w:lang w:val="en-US"/>
        </w:rPr>
        <w:t>the State</w:t>
      </w:r>
      <w:r w:rsidR="005978BA" w:rsidRPr="00104227">
        <w:rPr>
          <w:lang w:val="en-US"/>
        </w:rPr>
        <w:t xml:space="preserve"> viol</w:t>
      </w:r>
      <w:r w:rsidRPr="00104227">
        <w:rPr>
          <w:lang w:val="en-US"/>
        </w:rPr>
        <w:t>ated</w:t>
      </w:r>
      <w:r w:rsidR="005978BA" w:rsidRPr="00104227">
        <w:rPr>
          <w:lang w:val="en-US"/>
        </w:rPr>
        <w:t xml:space="preserve"> </w:t>
      </w:r>
      <w:r w:rsidR="00CA43B0" w:rsidRPr="00104227">
        <w:rPr>
          <w:lang w:val="en-US"/>
        </w:rPr>
        <w:t>the right to</w:t>
      </w:r>
      <w:r w:rsidR="005978BA" w:rsidRPr="00104227">
        <w:rPr>
          <w:lang w:val="en-US"/>
        </w:rPr>
        <w:t xml:space="preserve"> </w:t>
      </w:r>
      <w:r w:rsidR="0094395C" w:rsidRPr="00104227">
        <w:rPr>
          <w:lang w:val="en-US"/>
        </w:rPr>
        <w:t>personal integrity</w:t>
      </w:r>
      <w:r w:rsidR="005978BA" w:rsidRPr="00104227">
        <w:rPr>
          <w:lang w:val="en-US"/>
        </w:rPr>
        <w:t xml:space="preserve"> </w:t>
      </w:r>
      <w:r w:rsidRPr="00104227">
        <w:rPr>
          <w:lang w:val="en-US"/>
        </w:rPr>
        <w:t>established in</w:t>
      </w:r>
      <w:r w:rsidR="005978BA" w:rsidRPr="00104227">
        <w:rPr>
          <w:lang w:val="en-US"/>
        </w:rPr>
        <w:t xml:space="preserve"> </w:t>
      </w:r>
      <w:r w:rsidR="00BF5241" w:rsidRPr="00104227">
        <w:rPr>
          <w:lang w:val="en-US"/>
        </w:rPr>
        <w:t>Article</w:t>
      </w:r>
      <w:r w:rsidR="005978BA" w:rsidRPr="00104227">
        <w:rPr>
          <w:lang w:val="en-US"/>
        </w:rPr>
        <w:t xml:space="preserve"> </w:t>
      </w:r>
      <w:r w:rsidR="0094395C" w:rsidRPr="00104227">
        <w:rPr>
          <w:lang w:val="en-US"/>
        </w:rPr>
        <w:t>5(1)</w:t>
      </w:r>
      <w:r w:rsidR="00BF5241" w:rsidRPr="00104227">
        <w:rPr>
          <w:lang w:val="en-US"/>
        </w:rPr>
        <w:t xml:space="preserve"> of the American Convention</w:t>
      </w:r>
      <w:r w:rsidR="005978BA" w:rsidRPr="00104227">
        <w:rPr>
          <w:lang w:val="en-US"/>
        </w:rPr>
        <w:t xml:space="preserve">, </w:t>
      </w:r>
      <w:r w:rsidR="00C2124F" w:rsidRPr="00104227">
        <w:rPr>
          <w:lang w:val="en-US"/>
        </w:rPr>
        <w:t>in relation to Article 1(1)</w:t>
      </w:r>
      <w:r w:rsidR="005978BA" w:rsidRPr="00104227">
        <w:rPr>
          <w:lang w:val="en-US"/>
        </w:rPr>
        <w:t xml:space="preserve"> </w:t>
      </w:r>
      <w:r w:rsidR="00C2124F" w:rsidRPr="00104227">
        <w:rPr>
          <w:lang w:val="en-US"/>
        </w:rPr>
        <w:t>of this instrument</w:t>
      </w:r>
      <w:r w:rsidR="005978BA" w:rsidRPr="00104227">
        <w:rPr>
          <w:lang w:val="en-US"/>
        </w:rPr>
        <w:t xml:space="preserve">, </w:t>
      </w:r>
      <w:r w:rsidR="00C2124F" w:rsidRPr="00104227">
        <w:rPr>
          <w:lang w:val="en-US"/>
        </w:rPr>
        <w:t>to the detriment of</w:t>
      </w:r>
      <w:r w:rsidRPr="00104227">
        <w:rPr>
          <w:lang w:val="en-US"/>
        </w:rPr>
        <w:t xml:space="preserve"> the following next of kin:</w:t>
      </w:r>
      <w:bookmarkEnd w:id="387"/>
    </w:p>
    <w:p w14:paraId="724BF86E" w14:textId="2E76EB89" w:rsidR="00D53BAB" w:rsidRPr="00104227" w:rsidRDefault="004A4434" w:rsidP="00E4619F">
      <w:pPr>
        <w:pStyle w:val="PrrafodeSentencia"/>
        <w:numPr>
          <w:ilvl w:val="0"/>
          <w:numId w:val="0"/>
        </w:numPr>
        <w:rPr>
          <w:lang w:val="en-US"/>
        </w:rPr>
      </w:pPr>
      <w:r w:rsidRPr="00104227">
        <w:rPr>
          <w:lang w:val="en-US"/>
        </w:rPr>
        <w:t xml:space="preserve"> </w:t>
      </w:r>
    </w:p>
    <w:tbl>
      <w:tblPr>
        <w:tblStyle w:val="Tablaconcuadrcula"/>
        <w:tblW w:w="863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95"/>
        <w:gridCol w:w="5940"/>
      </w:tblGrid>
      <w:tr w:rsidR="008E0E29" w:rsidRPr="00104227" w14:paraId="6847D0A1" w14:textId="77777777" w:rsidTr="001366E6">
        <w:trPr>
          <w:jc w:val="center"/>
        </w:trPr>
        <w:tc>
          <w:tcPr>
            <w:tcW w:w="2695" w:type="dxa"/>
            <w:vAlign w:val="center"/>
            <w:hideMark/>
          </w:tcPr>
          <w:p w14:paraId="7816C02D" w14:textId="65C0FF53" w:rsidR="008E0E29" w:rsidRPr="00104227" w:rsidRDefault="00A7120C" w:rsidP="00E4619F">
            <w:pPr>
              <w:tabs>
                <w:tab w:val="left" w:pos="567"/>
              </w:tabs>
              <w:spacing w:before="60" w:after="60"/>
              <w:jc w:val="left"/>
              <w:rPr>
                <w:rFonts w:cs="Times New Roman"/>
                <w:b/>
                <w:sz w:val="18"/>
                <w:szCs w:val="18"/>
              </w:rPr>
            </w:pPr>
            <w:r w:rsidRPr="00104227">
              <w:rPr>
                <w:rFonts w:cs="Times New Roman"/>
                <w:b/>
                <w:sz w:val="18"/>
                <w:szCs w:val="18"/>
              </w:rPr>
              <w:t>Next of kin of</w:t>
            </w:r>
            <w:r w:rsidR="008E0E29" w:rsidRPr="00104227">
              <w:rPr>
                <w:rFonts w:cs="Times New Roman"/>
                <w:b/>
                <w:sz w:val="18"/>
                <w:szCs w:val="18"/>
              </w:rPr>
              <w:t xml:space="preserve"> Yolanda Muñoz Diosdada</w:t>
            </w:r>
          </w:p>
        </w:tc>
        <w:tc>
          <w:tcPr>
            <w:tcW w:w="5940" w:type="dxa"/>
            <w:vAlign w:val="center"/>
            <w:hideMark/>
          </w:tcPr>
          <w:p w14:paraId="1BD775B6" w14:textId="1827D4E6" w:rsidR="008E0E29" w:rsidRPr="0080773E" w:rsidRDefault="008E0E29" w:rsidP="00E4619F">
            <w:pPr>
              <w:pStyle w:val="Prrafodelista"/>
              <w:numPr>
                <w:ilvl w:val="0"/>
                <w:numId w:val="72"/>
              </w:numPr>
              <w:tabs>
                <w:tab w:val="left" w:pos="567"/>
              </w:tabs>
              <w:spacing w:before="60" w:after="60"/>
              <w:jc w:val="left"/>
              <w:rPr>
                <w:rFonts w:cs="Times New Roman"/>
                <w:sz w:val="18"/>
                <w:szCs w:val="18"/>
                <w:lang w:val="es-CR"/>
              </w:rPr>
            </w:pPr>
            <w:r w:rsidRPr="0080773E">
              <w:rPr>
                <w:rFonts w:cs="Times New Roman"/>
                <w:sz w:val="18"/>
                <w:szCs w:val="18"/>
                <w:lang w:val="es-CR"/>
              </w:rPr>
              <w:t>Cesar Adrian Pomposo Muñoz (</w:t>
            </w:r>
            <w:r w:rsidR="00A7120C" w:rsidRPr="0080773E">
              <w:rPr>
                <w:rFonts w:cs="Times New Roman"/>
                <w:sz w:val="18"/>
                <w:szCs w:val="18"/>
                <w:lang w:val="es-CR"/>
              </w:rPr>
              <w:t>son)</w:t>
            </w:r>
          </w:p>
          <w:p w14:paraId="33CB93C5" w14:textId="05DD9D46" w:rsidR="008E0E29" w:rsidRPr="00104227" w:rsidRDefault="008E0E29" w:rsidP="00E4619F">
            <w:pPr>
              <w:pStyle w:val="Prrafodelista"/>
              <w:numPr>
                <w:ilvl w:val="0"/>
                <w:numId w:val="72"/>
              </w:numPr>
              <w:tabs>
                <w:tab w:val="left" w:pos="567"/>
              </w:tabs>
              <w:spacing w:before="60" w:after="60"/>
              <w:jc w:val="left"/>
              <w:rPr>
                <w:rFonts w:cs="Times New Roman"/>
                <w:sz w:val="18"/>
                <w:szCs w:val="18"/>
              </w:rPr>
            </w:pPr>
            <w:r w:rsidRPr="00104227">
              <w:rPr>
                <w:rFonts w:cs="Times New Roman"/>
                <w:sz w:val="18"/>
                <w:szCs w:val="18"/>
              </w:rPr>
              <w:t>Eduardo Pomposo Muñoz (</w:t>
            </w:r>
            <w:r w:rsidR="00A7120C" w:rsidRPr="00104227">
              <w:rPr>
                <w:rFonts w:cs="Times New Roman"/>
                <w:sz w:val="18"/>
                <w:szCs w:val="18"/>
              </w:rPr>
              <w:t>son)</w:t>
            </w:r>
          </w:p>
          <w:p w14:paraId="23F0BF70" w14:textId="3D019DD6" w:rsidR="008E0E29" w:rsidRPr="0080773E" w:rsidRDefault="008E0E29" w:rsidP="00E4619F">
            <w:pPr>
              <w:pStyle w:val="Prrafodelista"/>
              <w:numPr>
                <w:ilvl w:val="0"/>
                <w:numId w:val="72"/>
              </w:numPr>
              <w:tabs>
                <w:tab w:val="left" w:pos="567"/>
              </w:tabs>
              <w:spacing w:before="60" w:after="60"/>
              <w:jc w:val="left"/>
              <w:rPr>
                <w:rFonts w:cs="Times New Roman"/>
                <w:sz w:val="18"/>
                <w:szCs w:val="18"/>
                <w:lang w:val="es-CR"/>
              </w:rPr>
            </w:pPr>
            <w:r w:rsidRPr="0080773E">
              <w:rPr>
                <w:rFonts w:cs="Times New Roman"/>
                <w:sz w:val="18"/>
                <w:szCs w:val="18"/>
                <w:lang w:val="es-CR"/>
              </w:rPr>
              <w:t>José Guadalupe Pomposo Muñoz (</w:t>
            </w:r>
            <w:r w:rsidR="00A7120C" w:rsidRPr="0080773E">
              <w:rPr>
                <w:rFonts w:cs="Times New Roman"/>
                <w:sz w:val="18"/>
                <w:szCs w:val="18"/>
                <w:lang w:val="es-CR"/>
              </w:rPr>
              <w:t>son)</w:t>
            </w:r>
          </w:p>
          <w:p w14:paraId="65ED017A" w14:textId="5DA0DF87" w:rsidR="008E0E29" w:rsidRPr="00104227" w:rsidRDefault="008E0E29" w:rsidP="00E4619F">
            <w:pPr>
              <w:pStyle w:val="Prrafodelista"/>
              <w:numPr>
                <w:ilvl w:val="0"/>
                <w:numId w:val="72"/>
              </w:numPr>
              <w:tabs>
                <w:tab w:val="left" w:pos="567"/>
              </w:tabs>
              <w:spacing w:before="60" w:after="60"/>
              <w:jc w:val="left"/>
              <w:rPr>
                <w:rFonts w:cs="Times New Roman"/>
                <w:sz w:val="18"/>
                <w:szCs w:val="18"/>
              </w:rPr>
            </w:pPr>
            <w:r w:rsidRPr="00104227">
              <w:rPr>
                <w:rFonts w:cs="Times New Roman"/>
                <w:sz w:val="18"/>
                <w:szCs w:val="18"/>
              </w:rPr>
              <w:t>Gregorio Pomposo Muñoz (</w:t>
            </w:r>
            <w:r w:rsidR="00A7120C" w:rsidRPr="00104227">
              <w:rPr>
                <w:rFonts w:cs="Times New Roman"/>
                <w:sz w:val="18"/>
                <w:szCs w:val="18"/>
              </w:rPr>
              <w:t>son)</w:t>
            </w:r>
          </w:p>
          <w:p w14:paraId="505EA4B3" w14:textId="53624E91" w:rsidR="008E0E29" w:rsidRPr="00104227" w:rsidRDefault="008E0E29" w:rsidP="00E4619F">
            <w:pPr>
              <w:pStyle w:val="Prrafodelista"/>
              <w:numPr>
                <w:ilvl w:val="0"/>
                <w:numId w:val="72"/>
              </w:numPr>
              <w:tabs>
                <w:tab w:val="left" w:pos="567"/>
              </w:tabs>
              <w:spacing w:before="60" w:after="60"/>
              <w:jc w:val="left"/>
              <w:rPr>
                <w:rFonts w:cs="Times New Roman"/>
                <w:sz w:val="18"/>
                <w:szCs w:val="18"/>
              </w:rPr>
            </w:pPr>
            <w:r w:rsidRPr="00104227">
              <w:rPr>
                <w:rFonts w:cs="Times New Roman"/>
                <w:sz w:val="18"/>
                <w:szCs w:val="18"/>
              </w:rPr>
              <w:t>Jennifer Pomposo Muñoz (</w:t>
            </w:r>
            <w:r w:rsidR="00A7120C" w:rsidRPr="00104227">
              <w:rPr>
                <w:rFonts w:cs="Times New Roman"/>
                <w:sz w:val="18"/>
                <w:szCs w:val="18"/>
              </w:rPr>
              <w:t>daughter</w:t>
            </w:r>
            <w:r w:rsidRPr="00104227">
              <w:rPr>
                <w:rFonts w:cs="Times New Roman"/>
                <w:sz w:val="18"/>
                <w:szCs w:val="18"/>
              </w:rPr>
              <w:t>)</w:t>
            </w:r>
          </w:p>
          <w:p w14:paraId="59E138C6" w14:textId="703DC8E7" w:rsidR="008E0E29" w:rsidRPr="00104227" w:rsidRDefault="008E0E29" w:rsidP="00E4619F">
            <w:pPr>
              <w:pStyle w:val="Prrafodelista"/>
              <w:numPr>
                <w:ilvl w:val="0"/>
                <w:numId w:val="72"/>
              </w:numPr>
              <w:tabs>
                <w:tab w:val="left" w:pos="567"/>
              </w:tabs>
              <w:spacing w:before="60" w:after="60"/>
              <w:jc w:val="left"/>
              <w:rPr>
                <w:rFonts w:cs="Times New Roman"/>
                <w:sz w:val="18"/>
                <w:szCs w:val="18"/>
              </w:rPr>
            </w:pPr>
            <w:r w:rsidRPr="00104227">
              <w:rPr>
                <w:rFonts w:cs="Times New Roman"/>
                <w:sz w:val="18"/>
                <w:szCs w:val="18"/>
              </w:rPr>
              <w:t>Emma Muñoz Diosdada (</w:t>
            </w:r>
            <w:r w:rsidR="00A7120C" w:rsidRPr="00104227">
              <w:rPr>
                <w:rFonts w:cs="Times New Roman"/>
                <w:sz w:val="18"/>
                <w:szCs w:val="18"/>
              </w:rPr>
              <w:t>sister</w:t>
            </w:r>
            <w:r w:rsidRPr="00104227">
              <w:rPr>
                <w:rFonts w:cs="Times New Roman"/>
                <w:sz w:val="18"/>
                <w:szCs w:val="18"/>
              </w:rPr>
              <w:t>)</w:t>
            </w:r>
          </w:p>
          <w:p w14:paraId="304BE44A" w14:textId="00F370E9" w:rsidR="008E0E29" w:rsidRPr="00104227" w:rsidRDefault="008E0E29" w:rsidP="00E4619F">
            <w:pPr>
              <w:pStyle w:val="Prrafodelista"/>
              <w:numPr>
                <w:ilvl w:val="0"/>
                <w:numId w:val="72"/>
              </w:numPr>
              <w:tabs>
                <w:tab w:val="left" w:pos="567"/>
              </w:tabs>
              <w:spacing w:before="60" w:after="60"/>
              <w:jc w:val="left"/>
              <w:rPr>
                <w:rFonts w:cs="Times New Roman"/>
                <w:sz w:val="18"/>
                <w:szCs w:val="18"/>
              </w:rPr>
            </w:pPr>
            <w:r w:rsidRPr="00104227">
              <w:rPr>
                <w:rFonts w:cs="Times New Roman"/>
                <w:sz w:val="18"/>
                <w:szCs w:val="18"/>
              </w:rPr>
              <w:t>Gloria Muñoz Diosdada (</w:t>
            </w:r>
            <w:r w:rsidR="00A7120C" w:rsidRPr="00104227">
              <w:rPr>
                <w:rFonts w:cs="Times New Roman"/>
                <w:sz w:val="18"/>
                <w:szCs w:val="18"/>
              </w:rPr>
              <w:t>sister</w:t>
            </w:r>
            <w:r w:rsidRPr="00104227">
              <w:rPr>
                <w:rFonts w:cs="Times New Roman"/>
                <w:sz w:val="18"/>
                <w:szCs w:val="18"/>
              </w:rPr>
              <w:t>)</w:t>
            </w:r>
          </w:p>
          <w:p w14:paraId="6A81B4FC" w14:textId="28E4715C" w:rsidR="008E0E29" w:rsidRPr="00104227" w:rsidRDefault="008E0E29" w:rsidP="00E4619F">
            <w:pPr>
              <w:pStyle w:val="Prrafodelista"/>
              <w:numPr>
                <w:ilvl w:val="0"/>
                <w:numId w:val="72"/>
              </w:numPr>
              <w:tabs>
                <w:tab w:val="left" w:pos="567"/>
              </w:tabs>
              <w:spacing w:before="60" w:after="60"/>
              <w:jc w:val="left"/>
              <w:rPr>
                <w:rFonts w:cs="Times New Roman"/>
                <w:sz w:val="18"/>
                <w:szCs w:val="18"/>
              </w:rPr>
            </w:pPr>
            <w:r w:rsidRPr="00104227">
              <w:rPr>
                <w:rFonts w:cs="Times New Roman"/>
                <w:sz w:val="18"/>
                <w:szCs w:val="18"/>
              </w:rPr>
              <w:t>Jesús Muñoz Diosdada (</w:t>
            </w:r>
            <w:r w:rsidR="00A7120C" w:rsidRPr="00104227">
              <w:rPr>
                <w:rFonts w:cs="Times New Roman"/>
                <w:sz w:val="18"/>
                <w:szCs w:val="18"/>
              </w:rPr>
              <w:t>brother</w:t>
            </w:r>
            <w:r w:rsidRPr="00104227">
              <w:rPr>
                <w:rFonts w:cs="Times New Roman"/>
                <w:sz w:val="18"/>
                <w:szCs w:val="18"/>
              </w:rPr>
              <w:t>)</w:t>
            </w:r>
          </w:p>
          <w:p w14:paraId="0D091A0A" w14:textId="15F26972" w:rsidR="008E0E29" w:rsidRPr="00104227" w:rsidRDefault="008E0E29" w:rsidP="00E4619F">
            <w:pPr>
              <w:pStyle w:val="Prrafodelista"/>
              <w:numPr>
                <w:ilvl w:val="0"/>
                <w:numId w:val="72"/>
              </w:numPr>
              <w:tabs>
                <w:tab w:val="left" w:pos="567"/>
              </w:tabs>
              <w:spacing w:before="60" w:after="60"/>
              <w:jc w:val="left"/>
              <w:rPr>
                <w:rFonts w:cs="Times New Roman"/>
                <w:sz w:val="18"/>
                <w:szCs w:val="18"/>
              </w:rPr>
            </w:pPr>
            <w:r w:rsidRPr="00104227">
              <w:rPr>
                <w:rFonts w:cs="Times New Roman"/>
                <w:sz w:val="18"/>
                <w:szCs w:val="18"/>
              </w:rPr>
              <w:t>Juana Muñoz Diosdada (</w:t>
            </w:r>
            <w:r w:rsidR="00A7120C" w:rsidRPr="00104227">
              <w:rPr>
                <w:rFonts w:cs="Times New Roman"/>
                <w:sz w:val="18"/>
                <w:szCs w:val="18"/>
              </w:rPr>
              <w:t>sister</w:t>
            </w:r>
            <w:r w:rsidRPr="00104227">
              <w:rPr>
                <w:rFonts w:cs="Times New Roman"/>
                <w:sz w:val="18"/>
                <w:szCs w:val="18"/>
              </w:rPr>
              <w:t>)</w:t>
            </w:r>
          </w:p>
          <w:p w14:paraId="3138BA17" w14:textId="758F9C3F" w:rsidR="008E0E29" w:rsidRPr="00104227" w:rsidRDefault="008E0E29" w:rsidP="00E4619F">
            <w:pPr>
              <w:pStyle w:val="Prrafodelista"/>
              <w:numPr>
                <w:ilvl w:val="0"/>
                <w:numId w:val="72"/>
              </w:numPr>
              <w:tabs>
                <w:tab w:val="left" w:pos="567"/>
              </w:tabs>
              <w:spacing w:before="60" w:after="60"/>
              <w:jc w:val="left"/>
              <w:rPr>
                <w:rFonts w:cs="Times New Roman"/>
                <w:sz w:val="18"/>
                <w:szCs w:val="18"/>
              </w:rPr>
            </w:pPr>
            <w:r w:rsidRPr="00104227">
              <w:rPr>
                <w:rFonts w:cs="Times New Roman"/>
                <w:sz w:val="18"/>
                <w:szCs w:val="18"/>
              </w:rPr>
              <w:t>Fernando Muñoz Diosdada (</w:t>
            </w:r>
            <w:r w:rsidR="00A7120C" w:rsidRPr="00104227">
              <w:rPr>
                <w:rFonts w:cs="Times New Roman"/>
                <w:sz w:val="18"/>
                <w:szCs w:val="18"/>
              </w:rPr>
              <w:t>brother</w:t>
            </w:r>
            <w:r w:rsidRPr="00104227">
              <w:rPr>
                <w:rFonts w:cs="Times New Roman"/>
                <w:sz w:val="18"/>
                <w:szCs w:val="18"/>
              </w:rPr>
              <w:t>)</w:t>
            </w:r>
          </w:p>
        </w:tc>
      </w:tr>
      <w:tr w:rsidR="00D53BAB" w:rsidRPr="0080773E" w14:paraId="7B0E2721" w14:textId="77777777" w:rsidTr="00437D4E">
        <w:trPr>
          <w:jc w:val="center"/>
        </w:trPr>
        <w:tc>
          <w:tcPr>
            <w:tcW w:w="2695" w:type="dxa"/>
            <w:vAlign w:val="center"/>
            <w:hideMark/>
          </w:tcPr>
          <w:p w14:paraId="67868566" w14:textId="58B57EE8" w:rsidR="00D53BAB" w:rsidRPr="00104227" w:rsidRDefault="00A7120C" w:rsidP="00E4619F">
            <w:pPr>
              <w:tabs>
                <w:tab w:val="left" w:pos="567"/>
              </w:tabs>
              <w:spacing w:before="60" w:after="60"/>
              <w:jc w:val="left"/>
              <w:rPr>
                <w:rFonts w:cs="Times New Roman"/>
                <w:b/>
                <w:sz w:val="18"/>
                <w:szCs w:val="18"/>
              </w:rPr>
            </w:pPr>
            <w:r w:rsidRPr="00104227">
              <w:rPr>
                <w:rFonts w:cs="Times New Roman"/>
                <w:b/>
                <w:sz w:val="18"/>
                <w:szCs w:val="18"/>
              </w:rPr>
              <w:t>Next of kin of</w:t>
            </w:r>
            <w:r w:rsidR="00D53BAB" w:rsidRPr="00104227">
              <w:rPr>
                <w:rFonts w:cs="Times New Roman"/>
                <w:b/>
                <w:sz w:val="18"/>
                <w:szCs w:val="18"/>
              </w:rPr>
              <w:t xml:space="preserve"> Norma Aidé Jiménez Osorio</w:t>
            </w:r>
          </w:p>
        </w:tc>
        <w:tc>
          <w:tcPr>
            <w:tcW w:w="5940" w:type="dxa"/>
            <w:vAlign w:val="center"/>
            <w:hideMark/>
          </w:tcPr>
          <w:p w14:paraId="2EB89A8F" w14:textId="211DD886" w:rsidR="00D53BAB" w:rsidRPr="0080773E" w:rsidRDefault="00D53BAB" w:rsidP="00E4619F">
            <w:pPr>
              <w:pStyle w:val="Prrafodelista"/>
              <w:numPr>
                <w:ilvl w:val="0"/>
                <w:numId w:val="70"/>
              </w:numPr>
              <w:tabs>
                <w:tab w:val="left" w:pos="567"/>
              </w:tabs>
              <w:spacing w:before="60" w:after="60"/>
              <w:jc w:val="left"/>
              <w:rPr>
                <w:rFonts w:cs="Times New Roman"/>
                <w:sz w:val="18"/>
                <w:szCs w:val="18"/>
                <w:lang w:val="es-CR"/>
              </w:rPr>
            </w:pPr>
            <w:r w:rsidRPr="0080773E">
              <w:rPr>
                <w:rFonts w:cs="Times New Roman"/>
                <w:sz w:val="18"/>
                <w:szCs w:val="18"/>
                <w:lang w:val="es-CR"/>
              </w:rPr>
              <w:t>María Félix Osorio Lira (</w:t>
            </w:r>
            <w:r w:rsidR="00A7120C" w:rsidRPr="0080773E">
              <w:rPr>
                <w:rFonts w:cs="Times New Roman"/>
                <w:sz w:val="18"/>
                <w:szCs w:val="18"/>
                <w:lang w:val="es-CR"/>
              </w:rPr>
              <w:t>mother</w:t>
            </w:r>
            <w:r w:rsidRPr="0080773E">
              <w:rPr>
                <w:rFonts w:cs="Times New Roman"/>
                <w:sz w:val="18"/>
                <w:szCs w:val="18"/>
                <w:lang w:val="es-CR"/>
              </w:rPr>
              <w:t>)</w:t>
            </w:r>
          </w:p>
        </w:tc>
      </w:tr>
      <w:tr w:rsidR="008E0E29" w:rsidRPr="00104227" w14:paraId="73403D1D" w14:textId="77777777" w:rsidTr="001366E6">
        <w:trPr>
          <w:jc w:val="center"/>
        </w:trPr>
        <w:tc>
          <w:tcPr>
            <w:tcW w:w="2695" w:type="dxa"/>
            <w:vAlign w:val="center"/>
            <w:hideMark/>
          </w:tcPr>
          <w:p w14:paraId="110926C8" w14:textId="34887D3A" w:rsidR="008E0E29" w:rsidRPr="00104227" w:rsidRDefault="00A7120C" w:rsidP="00E4619F">
            <w:pPr>
              <w:tabs>
                <w:tab w:val="left" w:pos="567"/>
              </w:tabs>
              <w:spacing w:before="60" w:after="60"/>
              <w:jc w:val="left"/>
              <w:rPr>
                <w:rFonts w:cs="Times New Roman"/>
                <w:b/>
                <w:sz w:val="18"/>
                <w:szCs w:val="18"/>
              </w:rPr>
            </w:pPr>
            <w:r w:rsidRPr="00104227">
              <w:rPr>
                <w:rFonts w:cs="Times New Roman"/>
                <w:b/>
                <w:sz w:val="18"/>
                <w:szCs w:val="18"/>
              </w:rPr>
              <w:t>Next of kin of</w:t>
            </w:r>
            <w:r w:rsidR="008E0E29" w:rsidRPr="00104227">
              <w:rPr>
                <w:rFonts w:cs="Times New Roman"/>
                <w:b/>
                <w:sz w:val="18"/>
                <w:szCs w:val="18"/>
              </w:rPr>
              <w:t xml:space="preserve"> María Patricia Romero Hernández</w:t>
            </w:r>
          </w:p>
        </w:tc>
        <w:tc>
          <w:tcPr>
            <w:tcW w:w="5940" w:type="dxa"/>
            <w:vAlign w:val="center"/>
            <w:hideMark/>
          </w:tcPr>
          <w:p w14:paraId="27217650" w14:textId="059A844F" w:rsidR="008E0E29" w:rsidRPr="00104227" w:rsidRDefault="008E0E29" w:rsidP="00E4619F">
            <w:pPr>
              <w:pStyle w:val="Prrafodelista"/>
              <w:numPr>
                <w:ilvl w:val="0"/>
                <w:numId w:val="78"/>
              </w:numPr>
              <w:tabs>
                <w:tab w:val="left" w:pos="567"/>
              </w:tabs>
              <w:spacing w:before="60" w:after="60"/>
              <w:jc w:val="left"/>
              <w:rPr>
                <w:rFonts w:cs="Times New Roman"/>
                <w:sz w:val="18"/>
                <w:szCs w:val="18"/>
              </w:rPr>
            </w:pPr>
            <w:r w:rsidRPr="00104227">
              <w:rPr>
                <w:rFonts w:cs="Times New Roman"/>
                <w:sz w:val="18"/>
                <w:szCs w:val="18"/>
              </w:rPr>
              <w:t>Hilda Hernández Ramírez (</w:t>
            </w:r>
            <w:r w:rsidR="00A7120C" w:rsidRPr="00104227">
              <w:rPr>
                <w:rFonts w:cs="Times New Roman"/>
                <w:sz w:val="18"/>
                <w:szCs w:val="18"/>
              </w:rPr>
              <w:t>mother</w:t>
            </w:r>
            <w:r w:rsidRPr="00104227">
              <w:rPr>
                <w:rFonts w:cs="Times New Roman"/>
                <w:sz w:val="18"/>
                <w:szCs w:val="18"/>
              </w:rPr>
              <w:t>)</w:t>
            </w:r>
          </w:p>
          <w:p w14:paraId="49C4A29E" w14:textId="12408834" w:rsidR="008E0E29" w:rsidRPr="00104227" w:rsidRDefault="008E0E29" w:rsidP="00E4619F">
            <w:pPr>
              <w:pStyle w:val="Prrafodelista"/>
              <w:numPr>
                <w:ilvl w:val="0"/>
                <w:numId w:val="78"/>
              </w:numPr>
              <w:tabs>
                <w:tab w:val="left" w:pos="567"/>
              </w:tabs>
              <w:spacing w:before="60" w:after="60"/>
              <w:jc w:val="left"/>
              <w:rPr>
                <w:rFonts w:cs="Times New Roman"/>
                <w:sz w:val="18"/>
                <w:szCs w:val="18"/>
              </w:rPr>
            </w:pPr>
            <w:r w:rsidRPr="00104227">
              <w:rPr>
                <w:rFonts w:cs="Times New Roman"/>
                <w:sz w:val="18"/>
                <w:szCs w:val="18"/>
              </w:rPr>
              <w:t>Raúl Romero Macías (</w:t>
            </w:r>
            <w:r w:rsidR="00A7120C" w:rsidRPr="00104227">
              <w:rPr>
                <w:rFonts w:cs="Times New Roman"/>
                <w:sz w:val="18"/>
                <w:szCs w:val="18"/>
              </w:rPr>
              <w:t>father</w:t>
            </w:r>
            <w:r w:rsidRPr="00104227">
              <w:rPr>
                <w:rFonts w:cs="Times New Roman"/>
                <w:sz w:val="18"/>
                <w:szCs w:val="18"/>
              </w:rPr>
              <w:t>)</w:t>
            </w:r>
          </w:p>
          <w:p w14:paraId="179F7326" w14:textId="0850DF74" w:rsidR="008E0E29" w:rsidRPr="0080773E" w:rsidRDefault="008E0E29" w:rsidP="00E4619F">
            <w:pPr>
              <w:pStyle w:val="Prrafodelista"/>
              <w:numPr>
                <w:ilvl w:val="0"/>
                <w:numId w:val="78"/>
              </w:numPr>
              <w:tabs>
                <w:tab w:val="left" w:pos="567"/>
              </w:tabs>
              <w:spacing w:before="60" w:after="60"/>
              <w:jc w:val="left"/>
              <w:rPr>
                <w:rFonts w:cs="Times New Roman"/>
                <w:sz w:val="18"/>
                <w:szCs w:val="18"/>
                <w:lang w:val="es-CR"/>
              </w:rPr>
            </w:pPr>
            <w:r w:rsidRPr="0080773E">
              <w:rPr>
                <w:rFonts w:cs="Times New Roman"/>
                <w:sz w:val="18"/>
                <w:szCs w:val="18"/>
                <w:lang w:val="es-CR"/>
              </w:rPr>
              <w:t>Arturo A</w:t>
            </w:r>
            <w:r w:rsidR="00104014" w:rsidRPr="0080773E">
              <w:rPr>
                <w:rFonts w:cs="Times New Roman"/>
                <w:sz w:val="18"/>
                <w:szCs w:val="18"/>
                <w:lang w:val="es-CR"/>
              </w:rPr>
              <w:t>dalí</w:t>
            </w:r>
            <w:r w:rsidRPr="0080773E">
              <w:rPr>
                <w:rFonts w:cs="Times New Roman"/>
                <w:sz w:val="18"/>
                <w:szCs w:val="18"/>
                <w:lang w:val="es-CR"/>
              </w:rPr>
              <w:t xml:space="preserve"> Sánchez Romero (</w:t>
            </w:r>
            <w:r w:rsidR="00A7120C" w:rsidRPr="0080773E">
              <w:rPr>
                <w:rFonts w:cs="Times New Roman"/>
                <w:sz w:val="18"/>
                <w:szCs w:val="18"/>
                <w:lang w:val="es-CR"/>
              </w:rPr>
              <w:t>son)</w:t>
            </w:r>
          </w:p>
          <w:p w14:paraId="5B1133EC" w14:textId="5733F2B3" w:rsidR="008E0E29" w:rsidRPr="00104227" w:rsidRDefault="008E0E29" w:rsidP="00E4619F">
            <w:pPr>
              <w:pStyle w:val="Prrafodelista"/>
              <w:numPr>
                <w:ilvl w:val="0"/>
                <w:numId w:val="78"/>
              </w:numPr>
              <w:tabs>
                <w:tab w:val="left" w:pos="567"/>
              </w:tabs>
              <w:spacing w:before="60" w:after="60"/>
              <w:jc w:val="left"/>
              <w:rPr>
                <w:rFonts w:cs="Times New Roman"/>
                <w:sz w:val="18"/>
                <w:szCs w:val="18"/>
              </w:rPr>
            </w:pPr>
            <w:r w:rsidRPr="00104227">
              <w:rPr>
                <w:rFonts w:cs="Times New Roman"/>
                <w:sz w:val="18"/>
                <w:szCs w:val="18"/>
              </w:rPr>
              <w:t>Ariadna Sánchez Romero (</w:t>
            </w:r>
            <w:r w:rsidR="00A7120C" w:rsidRPr="00104227">
              <w:rPr>
                <w:rFonts w:cs="Times New Roman"/>
                <w:sz w:val="18"/>
                <w:szCs w:val="18"/>
              </w:rPr>
              <w:t>daughter</w:t>
            </w:r>
            <w:r w:rsidRPr="00104227">
              <w:rPr>
                <w:rFonts w:cs="Times New Roman"/>
                <w:sz w:val="18"/>
                <w:szCs w:val="18"/>
              </w:rPr>
              <w:t>)</w:t>
            </w:r>
          </w:p>
          <w:p w14:paraId="3E01CAA3" w14:textId="7F3E2946" w:rsidR="008E0E29" w:rsidRPr="0080773E" w:rsidRDefault="008E0E29" w:rsidP="00E4619F">
            <w:pPr>
              <w:pStyle w:val="Prrafodelista"/>
              <w:numPr>
                <w:ilvl w:val="0"/>
                <w:numId w:val="78"/>
              </w:numPr>
              <w:tabs>
                <w:tab w:val="left" w:pos="567"/>
              </w:tabs>
              <w:spacing w:before="60" w:after="60"/>
              <w:jc w:val="left"/>
              <w:rPr>
                <w:rFonts w:cs="Times New Roman"/>
                <w:sz w:val="18"/>
                <w:szCs w:val="18"/>
                <w:lang w:val="es-CR"/>
              </w:rPr>
            </w:pPr>
            <w:r w:rsidRPr="0080773E">
              <w:rPr>
                <w:rFonts w:cs="Times New Roman"/>
                <w:sz w:val="18"/>
                <w:szCs w:val="18"/>
                <w:lang w:val="es-CR"/>
              </w:rPr>
              <w:t>As</w:t>
            </w:r>
            <w:r w:rsidR="00733EB2" w:rsidRPr="0080773E">
              <w:rPr>
                <w:rFonts w:cs="Times New Roman"/>
                <w:sz w:val="18"/>
                <w:szCs w:val="18"/>
                <w:lang w:val="es-CR"/>
              </w:rPr>
              <w:t>c</w:t>
            </w:r>
            <w:r w:rsidRPr="0080773E">
              <w:rPr>
                <w:rFonts w:cs="Times New Roman"/>
                <w:sz w:val="18"/>
                <w:szCs w:val="18"/>
                <w:lang w:val="es-CR"/>
              </w:rPr>
              <w:t>ención Raúl Romero Hernández (</w:t>
            </w:r>
            <w:r w:rsidR="00A7120C" w:rsidRPr="0080773E">
              <w:rPr>
                <w:rFonts w:cs="Times New Roman"/>
                <w:sz w:val="18"/>
                <w:szCs w:val="18"/>
                <w:lang w:val="es-CR"/>
              </w:rPr>
              <w:t>brother</w:t>
            </w:r>
            <w:r w:rsidRPr="0080773E">
              <w:rPr>
                <w:rFonts w:cs="Times New Roman"/>
                <w:sz w:val="18"/>
                <w:szCs w:val="18"/>
                <w:lang w:val="es-CR"/>
              </w:rPr>
              <w:t>)</w:t>
            </w:r>
          </w:p>
          <w:p w14:paraId="65C7AA40" w14:textId="6CC4ABD4" w:rsidR="008E0E29" w:rsidRPr="00104227" w:rsidRDefault="008E0E29" w:rsidP="00E4619F">
            <w:pPr>
              <w:pStyle w:val="Prrafodelista"/>
              <w:numPr>
                <w:ilvl w:val="0"/>
                <w:numId w:val="78"/>
              </w:numPr>
              <w:tabs>
                <w:tab w:val="left" w:pos="567"/>
              </w:tabs>
              <w:spacing w:before="60" w:after="60"/>
              <w:jc w:val="left"/>
              <w:rPr>
                <w:rFonts w:cs="Times New Roman"/>
                <w:sz w:val="18"/>
                <w:szCs w:val="18"/>
              </w:rPr>
            </w:pPr>
            <w:r w:rsidRPr="00104227">
              <w:rPr>
                <w:rFonts w:cs="Times New Roman"/>
                <w:sz w:val="18"/>
                <w:szCs w:val="18"/>
              </w:rPr>
              <w:t>Leticia Romero Hernández (</w:t>
            </w:r>
            <w:r w:rsidR="00A7120C" w:rsidRPr="00104227">
              <w:rPr>
                <w:rFonts w:cs="Times New Roman"/>
                <w:sz w:val="18"/>
                <w:szCs w:val="18"/>
              </w:rPr>
              <w:t>sister</w:t>
            </w:r>
            <w:r w:rsidRPr="00104227">
              <w:rPr>
                <w:rFonts w:cs="Times New Roman"/>
                <w:sz w:val="18"/>
                <w:szCs w:val="18"/>
              </w:rPr>
              <w:t>)</w:t>
            </w:r>
          </w:p>
          <w:p w14:paraId="37DB4DB0" w14:textId="1E632FEB" w:rsidR="008E0E29" w:rsidRPr="00104227" w:rsidRDefault="008E0E29" w:rsidP="00E4619F">
            <w:pPr>
              <w:pStyle w:val="Prrafodelista"/>
              <w:numPr>
                <w:ilvl w:val="0"/>
                <w:numId w:val="78"/>
              </w:numPr>
              <w:tabs>
                <w:tab w:val="left" w:pos="567"/>
              </w:tabs>
              <w:spacing w:before="60" w:after="60"/>
              <w:jc w:val="left"/>
              <w:rPr>
                <w:rFonts w:cs="Times New Roman"/>
                <w:sz w:val="18"/>
                <w:szCs w:val="18"/>
              </w:rPr>
            </w:pPr>
            <w:r w:rsidRPr="00104227">
              <w:rPr>
                <w:rFonts w:cs="Times New Roman"/>
                <w:sz w:val="18"/>
                <w:szCs w:val="18"/>
              </w:rPr>
              <w:t>Rubén Constantino Díaz (</w:t>
            </w:r>
            <w:r w:rsidR="00A7120C" w:rsidRPr="00104227">
              <w:rPr>
                <w:rFonts w:cs="Times New Roman"/>
                <w:sz w:val="18"/>
                <w:szCs w:val="18"/>
              </w:rPr>
              <w:t>husband)</w:t>
            </w:r>
          </w:p>
        </w:tc>
      </w:tr>
      <w:tr w:rsidR="008E0E29" w:rsidRPr="00104227" w14:paraId="7C7A082B" w14:textId="77777777" w:rsidTr="001366E6">
        <w:trPr>
          <w:jc w:val="center"/>
        </w:trPr>
        <w:tc>
          <w:tcPr>
            <w:tcW w:w="2695" w:type="dxa"/>
            <w:vAlign w:val="center"/>
            <w:hideMark/>
          </w:tcPr>
          <w:p w14:paraId="6F608995" w14:textId="68A79DB2" w:rsidR="008E0E29" w:rsidRPr="00104227" w:rsidRDefault="00A7120C" w:rsidP="00E4619F">
            <w:pPr>
              <w:tabs>
                <w:tab w:val="left" w:pos="567"/>
              </w:tabs>
              <w:spacing w:before="60" w:after="60"/>
              <w:jc w:val="left"/>
              <w:rPr>
                <w:rFonts w:cs="Times New Roman"/>
                <w:b/>
                <w:sz w:val="18"/>
                <w:szCs w:val="18"/>
              </w:rPr>
            </w:pPr>
            <w:r w:rsidRPr="00104227">
              <w:rPr>
                <w:rFonts w:cs="Times New Roman"/>
                <w:b/>
                <w:sz w:val="18"/>
                <w:szCs w:val="18"/>
              </w:rPr>
              <w:t>Next of kin of</w:t>
            </w:r>
            <w:r w:rsidR="008E0E29" w:rsidRPr="00104227">
              <w:rPr>
                <w:rFonts w:cs="Times New Roman"/>
                <w:b/>
                <w:sz w:val="18"/>
                <w:szCs w:val="18"/>
              </w:rPr>
              <w:t xml:space="preserve"> Mariana Selvas Gómez</w:t>
            </w:r>
          </w:p>
        </w:tc>
        <w:tc>
          <w:tcPr>
            <w:tcW w:w="5940" w:type="dxa"/>
            <w:vAlign w:val="center"/>
            <w:hideMark/>
          </w:tcPr>
          <w:p w14:paraId="658B1A3A" w14:textId="6DE60F39" w:rsidR="008E0E29" w:rsidRPr="00104227" w:rsidRDefault="008E0E29" w:rsidP="00E4619F">
            <w:pPr>
              <w:pStyle w:val="Prrafodelista"/>
              <w:numPr>
                <w:ilvl w:val="0"/>
                <w:numId w:val="79"/>
              </w:numPr>
              <w:tabs>
                <w:tab w:val="left" w:pos="567"/>
              </w:tabs>
              <w:spacing w:before="60" w:after="60"/>
              <w:jc w:val="left"/>
              <w:rPr>
                <w:rFonts w:cs="Times New Roman"/>
                <w:sz w:val="18"/>
                <w:szCs w:val="18"/>
              </w:rPr>
            </w:pPr>
            <w:r w:rsidRPr="00104227">
              <w:rPr>
                <w:rFonts w:cs="Times New Roman"/>
                <w:sz w:val="18"/>
                <w:szCs w:val="18"/>
              </w:rPr>
              <w:t>Guillermo Selvas Pineda (</w:t>
            </w:r>
            <w:r w:rsidR="00A7120C" w:rsidRPr="00104227">
              <w:rPr>
                <w:rFonts w:cs="Times New Roman"/>
                <w:sz w:val="18"/>
                <w:szCs w:val="18"/>
              </w:rPr>
              <w:t>father</w:t>
            </w:r>
            <w:r w:rsidRPr="00104227">
              <w:rPr>
                <w:rFonts w:cs="Times New Roman"/>
                <w:sz w:val="18"/>
                <w:szCs w:val="18"/>
              </w:rPr>
              <w:t>)</w:t>
            </w:r>
          </w:p>
          <w:p w14:paraId="247A2213" w14:textId="0DDA8F0A" w:rsidR="008E0E29" w:rsidRPr="00104227" w:rsidRDefault="008E0E29" w:rsidP="00E4619F">
            <w:pPr>
              <w:pStyle w:val="Prrafodelista"/>
              <w:numPr>
                <w:ilvl w:val="0"/>
                <w:numId w:val="79"/>
              </w:numPr>
              <w:tabs>
                <w:tab w:val="left" w:pos="567"/>
              </w:tabs>
              <w:spacing w:before="60" w:after="60"/>
              <w:jc w:val="left"/>
              <w:rPr>
                <w:rFonts w:cs="Times New Roman"/>
                <w:sz w:val="18"/>
                <w:szCs w:val="18"/>
              </w:rPr>
            </w:pPr>
            <w:r w:rsidRPr="00104227">
              <w:rPr>
                <w:rFonts w:cs="Times New Roman"/>
                <w:sz w:val="18"/>
                <w:szCs w:val="18"/>
              </w:rPr>
              <w:t>Rosalba Gómez Rivera (</w:t>
            </w:r>
            <w:r w:rsidR="00A7120C" w:rsidRPr="00104227">
              <w:rPr>
                <w:rFonts w:cs="Times New Roman"/>
                <w:sz w:val="18"/>
                <w:szCs w:val="18"/>
              </w:rPr>
              <w:t>mother</w:t>
            </w:r>
            <w:r w:rsidRPr="00104227">
              <w:rPr>
                <w:rFonts w:cs="Times New Roman"/>
                <w:sz w:val="18"/>
                <w:szCs w:val="18"/>
              </w:rPr>
              <w:t>)</w:t>
            </w:r>
          </w:p>
        </w:tc>
      </w:tr>
      <w:tr w:rsidR="008E0E29" w:rsidRPr="00104227" w14:paraId="73E97ED6" w14:textId="77777777" w:rsidTr="001366E6">
        <w:trPr>
          <w:jc w:val="center"/>
        </w:trPr>
        <w:tc>
          <w:tcPr>
            <w:tcW w:w="2695" w:type="dxa"/>
            <w:vAlign w:val="center"/>
            <w:hideMark/>
          </w:tcPr>
          <w:p w14:paraId="63732307" w14:textId="6918DD87" w:rsidR="008E0E29" w:rsidRPr="00104227" w:rsidRDefault="00A7120C" w:rsidP="00E4619F">
            <w:pPr>
              <w:tabs>
                <w:tab w:val="left" w:pos="567"/>
              </w:tabs>
              <w:spacing w:before="60" w:after="60"/>
              <w:jc w:val="left"/>
              <w:rPr>
                <w:rFonts w:cs="Times New Roman"/>
                <w:b/>
                <w:sz w:val="18"/>
                <w:szCs w:val="18"/>
              </w:rPr>
            </w:pPr>
            <w:r w:rsidRPr="00104227">
              <w:rPr>
                <w:rFonts w:cs="Times New Roman"/>
                <w:b/>
                <w:sz w:val="18"/>
                <w:szCs w:val="18"/>
              </w:rPr>
              <w:t>Next of kin of</w:t>
            </w:r>
            <w:r w:rsidR="008E0E29" w:rsidRPr="00104227">
              <w:rPr>
                <w:rFonts w:cs="Times New Roman"/>
                <w:b/>
                <w:sz w:val="18"/>
                <w:szCs w:val="18"/>
              </w:rPr>
              <w:t xml:space="preserve"> Georgina Edith Rosales Gutiérrez</w:t>
            </w:r>
          </w:p>
        </w:tc>
        <w:tc>
          <w:tcPr>
            <w:tcW w:w="5940" w:type="dxa"/>
            <w:vAlign w:val="center"/>
            <w:hideMark/>
          </w:tcPr>
          <w:p w14:paraId="5313A85C" w14:textId="3EE56E0A" w:rsidR="008E0E29" w:rsidRPr="00104227" w:rsidRDefault="008E0E29" w:rsidP="00E4619F">
            <w:pPr>
              <w:pStyle w:val="Prrafodelista"/>
              <w:numPr>
                <w:ilvl w:val="0"/>
                <w:numId w:val="76"/>
              </w:numPr>
              <w:tabs>
                <w:tab w:val="left" w:pos="567"/>
              </w:tabs>
              <w:spacing w:before="60" w:after="60"/>
              <w:jc w:val="left"/>
              <w:rPr>
                <w:rFonts w:cs="Times New Roman"/>
                <w:sz w:val="18"/>
                <w:szCs w:val="18"/>
              </w:rPr>
            </w:pPr>
            <w:r w:rsidRPr="00104227">
              <w:rPr>
                <w:rFonts w:cs="Times New Roman"/>
                <w:sz w:val="18"/>
                <w:szCs w:val="18"/>
              </w:rPr>
              <w:t>Adail Adriana Porcayo Rosales (</w:t>
            </w:r>
            <w:r w:rsidR="00A7120C" w:rsidRPr="00104227">
              <w:rPr>
                <w:rFonts w:cs="Times New Roman"/>
                <w:sz w:val="18"/>
                <w:szCs w:val="18"/>
              </w:rPr>
              <w:t>daughter</w:t>
            </w:r>
            <w:r w:rsidRPr="00104227">
              <w:rPr>
                <w:rFonts w:cs="Times New Roman"/>
                <w:sz w:val="18"/>
                <w:szCs w:val="18"/>
              </w:rPr>
              <w:t>)</w:t>
            </w:r>
          </w:p>
          <w:p w14:paraId="342EA74A" w14:textId="680419B2" w:rsidR="008E0E29" w:rsidRPr="0080773E" w:rsidRDefault="00104014" w:rsidP="00E4619F">
            <w:pPr>
              <w:pStyle w:val="Prrafodelista"/>
              <w:numPr>
                <w:ilvl w:val="0"/>
                <w:numId w:val="76"/>
              </w:numPr>
              <w:tabs>
                <w:tab w:val="left" w:pos="567"/>
              </w:tabs>
              <w:spacing w:before="60" w:after="60"/>
              <w:jc w:val="left"/>
              <w:rPr>
                <w:rFonts w:cs="Times New Roman"/>
                <w:sz w:val="18"/>
                <w:szCs w:val="18"/>
                <w:lang w:val="es-CR"/>
              </w:rPr>
            </w:pPr>
            <w:r w:rsidRPr="0080773E">
              <w:rPr>
                <w:rFonts w:cs="Times New Roman"/>
                <w:sz w:val="18"/>
                <w:szCs w:val="18"/>
                <w:lang w:val="es-CR"/>
              </w:rPr>
              <w:t xml:space="preserve">Ameyatzin </w:t>
            </w:r>
            <w:r w:rsidR="008E0E29" w:rsidRPr="0080773E">
              <w:rPr>
                <w:rFonts w:cs="Times New Roman"/>
                <w:sz w:val="18"/>
                <w:szCs w:val="18"/>
                <w:lang w:val="es-CR"/>
              </w:rPr>
              <w:t>María de Jesús Antunez Rosales (</w:t>
            </w:r>
            <w:r w:rsidR="00A7120C" w:rsidRPr="0080773E">
              <w:rPr>
                <w:rFonts w:cs="Times New Roman"/>
                <w:sz w:val="18"/>
                <w:szCs w:val="18"/>
                <w:lang w:val="es-CR"/>
              </w:rPr>
              <w:t>daughter</w:t>
            </w:r>
            <w:r w:rsidR="008E0E29" w:rsidRPr="0080773E">
              <w:rPr>
                <w:rFonts w:cs="Times New Roman"/>
                <w:sz w:val="18"/>
                <w:szCs w:val="18"/>
                <w:lang w:val="es-CR"/>
              </w:rPr>
              <w:t>)</w:t>
            </w:r>
          </w:p>
          <w:p w14:paraId="7CD4A1DD" w14:textId="48733157" w:rsidR="008E0E29" w:rsidRPr="0080773E" w:rsidRDefault="008E0E29" w:rsidP="00E4619F">
            <w:pPr>
              <w:pStyle w:val="Prrafodelista"/>
              <w:numPr>
                <w:ilvl w:val="0"/>
                <w:numId w:val="76"/>
              </w:numPr>
              <w:tabs>
                <w:tab w:val="left" w:pos="567"/>
              </w:tabs>
              <w:spacing w:before="60" w:after="60"/>
              <w:jc w:val="left"/>
              <w:rPr>
                <w:rFonts w:cs="Times New Roman"/>
                <w:sz w:val="18"/>
                <w:szCs w:val="18"/>
                <w:lang w:val="es-CR"/>
              </w:rPr>
            </w:pPr>
            <w:r w:rsidRPr="0080773E">
              <w:rPr>
                <w:rFonts w:cs="Times New Roman"/>
                <w:sz w:val="18"/>
                <w:szCs w:val="18"/>
                <w:lang w:val="es-CR"/>
              </w:rPr>
              <w:t>Irasema Patricia Rosales Gutiérrez (</w:t>
            </w:r>
            <w:r w:rsidR="00A7120C" w:rsidRPr="0080773E">
              <w:rPr>
                <w:rFonts w:cs="Times New Roman"/>
                <w:sz w:val="18"/>
                <w:szCs w:val="18"/>
                <w:lang w:val="es-CR"/>
              </w:rPr>
              <w:t>sister</w:t>
            </w:r>
            <w:r w:rsidRPr="0080773E">
              <w:rPr>
                <w:rFonts w:cs="Times New Roman"/>
                <w:sz w:val="18"/>
                <w:szCs w:val="18"/>
                <w:lang w:val="es-CR"/>
              </w:rPr>
              <w:t>)</w:t>
            </w:r>
          </w:p>
          <w:p w14:paraId="04528F47" w14:textId="47D8B6F5" w:rsidR="008E0E29" w:rsidRPr="00104227" w:rsidRDefault="00A33DA5" w:rsidP="00E4619F">
            <w:pPr>
              <w:pStyle w:val="Prrafodelista"/>
              <w:numPr>
                <w:ilvl w:val="0"/>
                <w:numId w:val="76"/>
              </w:numPr>
              <w:tabs>
                <w:tab w:val="left" w:pos="567"/>
              </w:tabs>
              <w:spacing w:before="60" w:after="60"/>
              <w:jc w:val="left"/>
              <w:rPr>
                <w:rFonts w:cs="Times New Roman"/>
                <w:sz w:val="18"/>
                <w:szCs w:val="18"/>
              </w:rPr>
            </w:pPr>
            <w:r w:rsidRPr="00104227">
              <w:rPr>
                <w:sz w:val="18"/>
                <w:szCs w:val="18"/>
              </w:rPr>
              <w:t>Bertha Rosales Gutié</w:t>
            </w:r>
            <w:r w:rsidR="008E0E29" w:rsidRPr="00104227">
              <w:rPr>
                <w:sz w:val="18"/>
                <w:szCs w:val="18"/>
              </w:rPr>
              <w:t>rrez (</w:t>
            </w:r>
            <w:r w:rsidR="00A7120C" w:rsidRPr="00104227">
              <w:rPr>
                <w:sz w:val="18"/>
                <w:szCs w:val="18"/>
              </w:rPr>
              <w:t>sister</w:t>
            </w:r>
            <w:r w:rsidR="008E0E29" w:rsidRPr="00104227">
              <w:rPr>
                <w:sz w:val="18"/>
                <w:szCs w:val="18"/>
              </w:rPr>
              <w:t>)</w:t>
            </w:r>
          </w:p>
          <w:p w14:paraId="6E4F5129" w14:textId="790CC56D" w:rsidR="008E0E29" w:rsidRPr="00104227" w:rsidRDefault="008E0E29" w:rsidP="00E4619F">
            <w:pPr>
              <w:pStyle w:val="Prrafodelista"/>
              <w:numPr>
                <w:ilvl w:val="0"/>
                <w:numId w:val="76"/>
              </w:numPr>
              <w:tabs>
                <w:tab w:val="left" w:pos="567"/>
              </w:tabs>
              <w:spacing w:before="60" w:after="60"/>
              <w:jc w:val="left"/>
              <w:rPr>
                <w:rFonts w:cs="Times New Roman"/>
                <w:sz w:val="18"/>
                <w:szCs w:val="18"/>
              </w:rPr>
            </w:pPr>
            <w:r w:rsidRPr="00104227">
              <w:rPr>
                <w:rFonts w:cs="Times New Roman"/>
                <w:sz w:val="18"/>
                <w:szCs w:val="18"/>
              </w:rPr>
              <w:t>So</w:t>
            </w:r>
            <w:r w:rsidR="00A33DA5" w:rsidRPr="00104227">
              <w:rPr>
                <w:rFonts w:cs="Times New Roman"/>
                <w:sz w:val="18"/>
                <w:szCs w:val="18"/>
              </w:rPr>
              <w:t>corro Gutiérrez Almaraz (</w:t>
            </w:r>
            <w:r w:rsidR="00A7120C" w:rsidRPr="00104227">
              <w:rPr>
                <w:rFonts w:cs="Times New Roman"/>
                <w:sz w:val="18"/>
                <w:szCs w:val="18"/>
              </w:rPr>
              <w:t>mother</w:t>
            </w:r>
            <w:r w:rsidR="00A33DA5" w:rsidRPr="00104227">
              <w:rPr>
                <w:rFonts w:cs="Times New Roman"/>
                <w:sz w:val="18"/>
                <w:szCs w:val="18"/>
              </w:rPr>
              <w:t>)</w:t>
            </w:r>
          </w:p>
        </w:tc>
      </w:tr>
      <w:tr w:rsidR="008E0E29" w:rsidRPr="0080773E" w14:paraId="1E1F6086" w14:textId="77777777" w:rsidTr="001366E6">
        <w:trPr>
          <w:jc w:val="center"/>
        </w:trPr>
        <w:tc>
          <w:tcPr>
            <w:tcW w:w="2695" w:type="dxa"/>
            <w:vAlign w:val="center"/>
            <w:hideMark/>
          </w:tcPr>
          <w:p w14:paraId="1895D4C4" w14:textId="22AE3AAB" w:rsidR="008E0E29" w:rsidRPr="00104227" w:rsidRDefault="00A7120C" w:rsidP="00E4619F">
            <w:pPr>
              <w:tabs>
                <w:tab w:val="left" w:pos="567"/>
              </w:tabs>
              <w:spacing w:before="60" w:after="60"/>
              <w:jc w:val="left"/>
              <w:rPr>
                <w:rFonts w:cs="Times New Roman"/>
                <w:b/>
                <w:sz w:val="18"/>
                <w:szCs w:val="18"/>
              </w:rPr>
            </w:pPr>
            <w:r w:rsidRPr="00104227">
              <w:rPr>
                <w:rFonts w:cs="Times New Roman"/>
                <w:b/>
                <w:sz w:val="18"/>
                <w:szCs w:val="18"/>
              </w:rPr>
              <w:t>Next of kin of</w:t>
            </w:r>
            <w:r w:rsidR="008E0E29" w:rsidRPr="00104227">
              <w:rPr>
                <w:rFonts w:cs="Times New Roman"/>
                <w:b/>
                <w:sz w:val="18"/>
                <w:szCs w:val="18"/>
              </w:rPr>
              <w:t xml:space="preserve"> Ana María Velasco Rodríguez</w:t>
            </w:r>
          </w:p>
        </w:tc>
        <w:tc>
          <w:tcPr>
            <w:tcW w:w="5940" w:type="dxa"/>
            <w:vAlign w:val="center"/>
            <w:hideMark/>
          </w:tcPr>
          <w:p w14:paraId="47103420" w14:textId="0849C2F9" w:rsidR="008E0E29" w:rsidRPr="00104227" w:rsidRDefault="008E0E29" w:rsidP="00E4619F">
            <w:pPr>
              <w:pStyle w:val="Prrafodelista"/>
              <w:numPr>
                <w:ilvl w:val="0"/>
                <w:numId w:val="74"/>
              </w:numPr>
              <w:tabs>
                <w:tab w:val="left" w:pos="567"/>
              </w:tabs>
              <w:spacing w:before="60" w:after="60"/>
              <w:jc w:val="left"/>
              <w:rPr>
                <w:rFonts w:cs="Times New Roman"/>
                <w:sz w:val="18"/>
                <w:szCs w:val="18"/>
              </w:rPr>
            </w:pPr>
            <w:r w:rsidRPr="00104227">
              <w:rPr>
                <w:rFonts w:cs="Times New Roman"/>
                <w:sz w:val="18"/>
                <w:szCs w:val="18"/>
              </w:rPr>
              <w:t>Gustavo Hernández Velasco (</w:t>
            </w:r>
            <w:r w:rsidR="00A7120C" w:rsidRPr="00104227">
              <w:rPr>
                <w:rFonts w:cs="Times New Roman"/>
                <w:sz w:val="18"/>
                <w:szCs w:val="18"/>
              </w:rPr>
              <w:t>son)</w:t>
            </w:r>
          </w:p>
          <w:p w14:paraId="53AC900F" w14:textId="1C335409" w:rsidR="008E0E29" w:rsidRPr="0080773E" w:rsidRDefault="008E0E29" w:rsidP="00E4619F">
            <w:pPr>
              <w:pStyle w:val="Prrafodelista"/>
              <w:numPr>
                <w:ilvl w:val="0"/>
                <w:numId w:val="74"/>
              </w:numPr>
              <w:tabs>
                <w:tab w:val="left" w:pos="567"/>
              </w:tabs>
              <w:spacing w:before="60" w:after="60"/>
              <w:jc w:val="left"/>
              <w:rPr>
                <w:rFonts w:cs="Times New Roman"/>
                <w:sz w:val="18"/>
                <w:szCs w:val="18"/>
                <w:lang w:val="es-CR"/>
              </w:rPr>
            </w:pPr>
            <w:r w:rsidRPr="0080773E">
              <w:rPr>
                <w:rFonts w:cs="Times New Roman"/>
                <w:sz w:val="18"/>
                <w:szCs w:val="18"/>
                <w:lang w:val="es-CR"/>
              </w:rPr>
              <w:t>Arturo Alberto Hernández Velasco (</w:t>
            </w:r>
            <w:r w:rsidR="00A7120C" w:rsidRPr="0080773E">
              <w:rPr>
                <w:rFonts w:cs="Times New Roman"/>
                <w:sz w:val="18"/>
                <w:szCs w:val="18"/>
                <w:lang w:val="es-CR"/>
              </w:rPr>
              <w:t>son)</w:t>
            </w:r>
          </w:p>
        </w:tc>
      </w:tr>
      <w:tr w:rsidR="008E0E29" w:rsidRPr="0080773E" w14:paraId="659088E0" w14:textId="77777777" w:rsidTr="001366E6">
        <w:trPr>
          <w:jc w:val="center"/>
        </w:trPr>
        <w:tc>
          <w:tcPr>
            <w:tcW w:w="2695" w:type="dxa"/>
            <w:vAlign w:val="center"/>
            <w:hideMark/>
          </w:tcPr>
          <w:p w14:paraId="446D6561" w14:textId="4EC7F929" w:rsidR="008E0E29" w:rsidRPr="00104227" w:rsidRDefault="00A7120C" w:rsidP="00E4619F">
            <w:pPr>
              <w:tabs>
                <w:tab w:val="left" w:pos="567"/>
              </w:tabs>
              <w:spacing w:before="60" w:after="60"/>
              <w:jc w:val="left"/>
              <w:rPr>
                <w:rFonts w:cs="Times New Roman"/>
                <w:b/>
                <w:sz w:val="18"/>
                <w:szCs w:val="18"/>
              </w:rPr>
            </w:pPr>
            <w:r w:rsidRPr="00104227">
              <w:rPr>
                <w:rFonts w:cs="Times New Roman"/>
                <w:b/>
                <w:sz w:val="18"/>
                <w:szCs w:val="18"/>
              </w:rPr>
              <w:lastRenderedPageBreak/>
              <w:t>Next of kin of</w:t>
            </w:r>
            <w:r w:rsidR="008E0E29" w:rsidRPr="00104227">
              <w:rPr>
                <w:rFonts w:cs="Times New Roman"/>
                <w:b/>
                <w:sz w:val="18"/>
                <w:szCs w:val="18"/>
              </w:rPr>
              <w:t xml:space="preserve"> Suhelen Gabriela Cuevas Jaramillo</w:t>
            </w:r>
          </w:p>
        </w:tc>
        <w:tc>
          <w:tcPr>
            <w:tcW w:w="5940" w:type="dxa"/>
            <w:vAlign w:val="center"/>
            <w:hideMark/>
          </w:tcPr>
          <w:p w14:paraId="33D70B89" w14:textId="410BEDB0" w:rsidR="008E0E29" w:rsidRPr="0080773E" w:rsidRDefault="008E0E29" w:rsidP="00E4619F">
            <w:pPr>
              <w:pStyle w:val="Prrafodelista"/>
              <w:numPr>
                <w:ilvl w:val="0"/>
                <w:numId w:val="75"/>
              </w:numPr>
              <w:tabs>
                <w:tab w:val="left" w:pos="567"/>
              </w:tabs>
              <w:spacing w:before="60" w:after="60"/>
              <w:jc w:val="left"/>
              <w:rPr>
                <w:rFonts w:cs="Times New Roman"/>
                <w:sz w:val="18"/>
                <w:szCs w:val="18"/>
                <w:lang w:val="es-CR"/>
              </w:rPr>
            </w:pPr>
            <w:r w:rsidRPr="0080773E">
              <w:rPr>
                <w:rFonts w:cs="Times New Roman"/>
                <w:sz w:val="18"/>
                <w:szCs w:val="18"/>
                <w:lang w:val="es-CR"/>
              </w:rPr>
              <w:t xml:space="preserve">Laura Elena </w:t>
            </w:r>
            <w:r w:rsidR="00104014" w:rsidRPr="0080773E">
              <w:rPr>
                <w:rFonts w:cs="Times New Roman"/>
                <w:sz w:val="18"/>
                <w:szCs w:val="18"/>
                <w:lang w:val="es-CR"/>
              </w:rPr>
              <w:t xml:space="preserve">Jaramillo </w:t>
            </w:r>
            <w:r w:rsidRPr="0080773E">
              <w:rPr>
                <w:rFonts w:cs="Times New Roman"/>
                <w:sz w:val="18"/>
                <w:szCs w:val="18"/>
                <w:lang w:val="es-CR"/>
              </w:rPr>
              <w:t>Calvo (</w:t>
            </w:r>
            <w:r w:rsidR="00A7120C" w:rsidRPr="0080773E">
              <w:rPr>
                <w:rFonts w:cs="Times New Roman"/>
                <w:sz w:val="18"/>
                <w:szCs w:val="18"/>
                <w:lang w:val="es-CR"/>
              </w:rPr>
              <w:t>mother</w:t>
            </w:r>
            <w:r w:rsidRPr="0080773E">
              <w:rPr>
                <w:rFonts w:cs="Times New Roman"/>
                <w:sz w:val="18"/>
                <w:szCs w:val="18"/>
                <w:lang w:val="es-CR"/>
              </w:rPr>
              <w:t>)</w:t>
            </w:r>
          </w:p>
          <w:p w14:paraId="5BE263AE" w14:textId="756225C6" w:rsidR="008E0E29" w:rsidRPr="00104227" w:rsidRDefault="008E0E29" w:rsidP="00E4619F">
            <w:pPr>
              <w:pStyle w:val="Prrafodelista"/>
              <w:numPr>
                <w:ilvl w:val="0"/>
                <w:numId w:val="75"/>
              </w:numPr>
              <w:tabs>
                <w:tab w:val="left" w:pos="567"/>
              </w:tabs>
              <w:spacing w:before="60" w:after="60"/>
              <w:jc w:val="left"/>
              <w:rPr>
                <w:rFonts w:cs="Times New Roman"/>
                <w:sz w:val="18"/>
                <w:szCs w:val="18"/>
              </w:rPr>
            </w:pPr>
            <w:r w:rsidRPr="00104227">
              <w:rPr>
                <w:rFonts w:cs="Times New Roman"/>
                <w:sz w:val="18"/>
                <w:szCs w:val="18"/>
              </w:rPr>
              <w:t>Arturo Cuevas Ledesma (</w:t>
            </w:r>
            <w:r w:rsidR="00A7120C" w:rsidRPr="00104227">
              <w:rPr>
                <w:rFonts w:cs="Times New Roman"/>
                <w:sz w:val="18"/>
                <w:szCs w:val="18"/>
              </w:rPr>
              <w:t>father</w:t>
            </w:r>
            <w:r w:rsidRPr="00104227">
              <w:rPr>
                <w:rFonts w:cs="Times New Roman"/>
                <w:sz w:val="18"/>
                <w:szCs w:val="18"/>
              </w:rPr>
              <w:t>)</w:t>
            </w:r>
          </w:p>
          <w:p w14:paraId="1716ED0B" w14:textId="5193DB14" w:rsidR="008E0E29" w:rsidRPr="0080773E" w:rsidRDefault="008E0E29" w:rsidP="00E4619F">
            <w:pPr>
              <w:pStyle w:val="Prrafodelista"/>
              <w:numPr>
                <w:ilvl w:val="0"/>
                <w:numId w:val="75"/>
              </w:numPr>
              <w:tabs>
                <w:tab w:val="left" w:pos="567"/>
              </w:tabs>
              <w:spacing w:before="60" w:after="60"/>
              <w:jc w:val="left"/>
              <w:rPr>
                <w:rFonts w:cs="Times New Roman"/>
                <w:sz w:val="18"/>
                <w:szCs w:val="18"/>
                <w:lang w:val="es-CR"/>
              </w:rPr>
            </w:pPr>
            <w:r w:rsidRPr="0080773E">
              <w:rPr>
                <w:rFonts w:cs="Times New Roman"/>
                <w:sz w:val="18"/>
                <w:szCs w:val="18"/>
                <w:lang w:val="es-CR"/>
              </w:rPr>
              <w:t>Carlos Enrique Cuevas Jaramillo (</w:t>
            </w:r>
            <w:r w:rsidR="00A7120C" w:rsidRPr="0080773E">
              <w:rPr>
                <w:rFonts w:cs="Times New Roman"/>
                <w:sz w:val="18"/>
                <w:szCs w:val="18"/>
                <w:lang w:val="es-CR"/>
              </w:rPr>
              <w:t>brother</w:t>
            </w:r>
            <w:r w:rsidRPr="0080773E">
              <w:rPr>
                <w:rFonts w:cs="Times New Roman"/>
                <w:sz w:val="18"/>
                <w:szCs w:val="18"/>
                <w:lang w:val="es-CR"/>
              </w:rPr>
              <w:t>)</w:t>
            </w:r>
          </w:p>
        </w:tc>
      </w:tr>
      <w:tr w:rsidR="008E0E29" w:rsidRPr="0080773E" w14:paraId="21CC5575" w14:textId="77777777" w:rsidTr="001366E6">
        <w:trPr>
          <w:jc w:val="center"/>
        </w:trPr>
        <w:tc>
          <w:tcPr>
            <w:tcW w:w="2695" w:type="dxa"/>
            <w:vAlign w:val="center"/>
            <w:hideMark/>
          </w:tcPr>
          <w:p w14:paraId="76A9BFA8" w14:textId="08E835F8" w:rsidR="008E0E29" w:rsidRPr="00104227" w:rsidRDefault="00A7120C" w:rsidP="00E4619F">
            <w:pPr>
              <w:tabs>
                <w:tab w:val="left" w:pos="567"/>
              </w:tabs>
              <w:spacing w:before="60" w:after="60"/>
              <w:jc w:val="left"/>
              <w:rPr>
                <w:rFonts w:cs="Times New Roman"/>
                <w:b/>
                <w:sz w:val="18"/>
                <w:szCs w:val="18"/>
              </w:rPr>
            </w:pPr>
            <w:r w:rsidRPr="00104227">
              <w:rPr>
                <w:rFonts w:cs="Times New Roman"/>
                <w:b/>
                <w:sz w:val="18"/>
                <w:szCs w:val="18"/>
              </w:rPr>
              <w:t>Next of kin of</w:t>
            </w:r>
            <w:r w:rsidR="008E0E29" w:rsidRPr="00104227">
              <w:rPr>
                <w:rFonts w:cs="Times New Roman"/>
                <w:b/>
                <w:sz w:val="18"/>
                <w:szCs w:val="18"/>
              </w:rPr>
              <w:t xml:space="preserve"> Barbara Italia Méndez Moreno</w:t>
            </w:r>
          </w:p>
        </w:tc>
        <w:tc>
          <w:tcPr>
            <w:tcW w:w="5940" w:type="dxa"/>
            <w:vAlign w:val="center"/>
            <w:hideMark/>
          </w:tcPr>
          <w:p w14:paraId="692A9613" w14:textId="0A851136" w:rsidR="008E0E29" w:rsidRPr="0080773E" w:rsidRDefault="008E0E29" w:rsidP="00E4619F">
            <w:pPr>
              <w:pStyle w:val="Prrafodelista"/>
              <w:numPr>
                <w:ilvl w:val="0"/>
                <w:numId w:val="73"/>
              </w:numPr>
              <w:tabs>
                <w:tab w:val="left" w:pos="567"/>
              </w:tabs>
              <w:spacing w:before="60" w:after="60"/>
              <w:jc w:val="left"/>
              <w:rPr>
                <w:rFonts w:cs="Times New Roman"/>
                <w:sz w:val="18"/>
                <w:szCs w:val="18"/>
                <w:lang w:val="es-CR"/>
              </w:rPr>
            </w:pPr>
            <w:r w:rsidRPr="0080773E">
              <w:rPr>
                <w:rFonts w:cs="Times New Roman"/>
                <w:sz w:val="18"/>
                <w:szCs w:val="18"/>
                <w:lang w:val="es-CR"/>
              </w:rPr>
              <w:t>Ivan Artión Torres Urbina (</w:t>
            </w:r>
            <w:r w:rsidR="00F27D61" w:rsidRPr="0080773E">
              <w:rPr>
                <w:rFonts w:cs="Times New Roman"/>
                <w:sz w:val="18"/>
                <w:szCs w:val="18"/>
                <w:lang w:val="es-CR"/>
              </w:rPr>
              <w:t>permanent</w:t>
            </w:r>
            <w:r w:rsidR="00A7120C" w:rsidRPr="0080773E">
              <w:rPr>
                <w:rFonts w:cs="Times New Roman"/>
                <w:sz w:val="18"/>
                <w:szCs w:val="18"/>
                <w:lang w:val="es-CR"/>
              </w:rPr>
              <w:t xml:space="preserve"> companion</w:t>
            </w:r>
            <w:r w:rsidRPr="0080773E">
              <w:rPr>
                <w:rFonts w:cs="Times New Roman"/>
                <w:sz w:val="18"/>
                <w:szCs w:val="18"/>
                <w:lang w:val="es-CR"/>
              </w:rPr>
              <w:t>)</w:t>
            </w:r>
          </w:p>
        </w:tc>
      </w:tr>
      <w:tr w:rsidR="008E0E29" w:rsidRPr="00104227" w14:paraId="6D3A019E" w14:textId="77777777" w:rsidTr="001366E6">
        <w:trPr>
          <w:jc w:val="center"/>
        </w:trPr>
        <w:tc>
          <w:tcPr>
            <w:tcW w:w="2695" w:type="dxa"/>
            <w:vAlign w:val="center"/>
            <w:hideMark/>
          </w:tcPr>
          <w:p w14:paraId="6630A7B6" w14:textId="5E88B5CB" w:rsidR="008E0E29" w:rsidRPr="00104227" w:rsidRDefault="00A7120C" w:rsidP="00E4619F">
            <w:pPr>
              <w:tabs>
                <w:tab w:val="left" w:pos="567"/>
              </w:tabs>
              <w:spacing w:before="60" w:after="60"/>
              <w:jc w:val="left"/>
              <w:rPr>
                <w:rFonts w:cs="Times New Roman"/>
                <w:b/>
                <w:sz w:val="18"/>
                <w:szCs w:val="18"/>
              </w:rPr>
            </w:pPr>
            <w:r w:rsidRPr="00104227">
              <w:rPr>
                <w:rFonts w:cs="Times New Roman"/>
                <w:b/>
                <w:sz w:val="18"/>
                <w:szCs w:val="18"/>
              </w:rPr>
              <w:t>Next of kin of</w:t>
            </w:r>
            <w:r w:rsidR="008E0E29" w:rsidRPr="00104227">
              <w:rPr>
                <w:rFonts w:cs="Times New Roman"/>
                <w:b/>
                <w:sz w:val="18"/>
                <w:szCs w:val="18"/>
              </w:rPr>
              <w:t xml:space="preserve"> María Cristina Sánchez Hernández</w:t>
            </w:r>
          </w:p>
        </w:tc>
        <w:tc>
          <w:tcPr>
            <w:tcW w:w="5940" w:type="dxa"/>
            <w:vAlign w:val="center"/>
            <w:hideMark/>
          </w:tcPr>
          <w:p w14:paraId="739ECC14" w14:textId="3076BC3F" w:rsidR="008E0E29" w:rsidRPr="00104227" w:rsidRDefault="008E0E29" w:rsidP="00E4619F">
            <w:pPr>
              <w:pStyle w:val="Prrafodelista"/>
              <w:numPr>
                <w:ilvl w:val="0"/>
                <w:numId w:val="77"/>
              </w:numPr>
              <w:tabs>
                <w:tab w:val="left" w:pos="567"/>
              </w:tabs>
              <w:spacing w:before="60" w:after="60"/>
              <w:jc w:val="left"/>
              <w:rPr>
                <w:rFonts w:cs="Times New Roman"/>
                <w:sz w:val="18"/>
                <w:szCs w:val="18"/>
              </w:rPr>
            </w:pPr>
            <w:r w:rsidRPr="00104227">
              <w:rPr>
                <w:rFonts w:cs="Times New Roman"/>
                <w:sz w:val="18"/>
                <w:szCs w:val="18"/>
              </w:rPr>
              <w:t>Lucía Bautista Sánchez (</w:t>
            </w:r>
            <w:r w:rsidR="00A7120C" w:rsidRPr="00104227">
              <w:rPr>
                <w:rFonts w:cs="Times New Roman"/>
                <w:sz w:val="18"/>
                <w:szCs w:val="18"/>
              </w:rPr>
              <w:t>daughter</w:t>
            </w:r>
            <w:r w:rsidRPr="00104227">
              <w:rPr>
                <w:rFonts w:cs="Times New Roman"/>
                <w:sz w:val="18"/>
                <w:szCs w:val="18"/>
              </w:rPr>
              <w:t>)</w:t>
            </w:r>
          </w:p>
          <w:p w14:paraId="2E0808BD" w14:textId="3ACFBBE3" w:rsidR="008E0E29" w:rsidRPr="0080773E" w:rsidRDefault="008E0E29" w:rsidP="00E4619F">
            <w:pPr>
              <w:pStyle w:val="Prrafodelista"/>
              <w:numPr>
                <w:ilvl w:val="0"/>
                <w:numId w:val="77"/>
              </w:numPr>
              <w:tabs>
                <w:tab w:val="left" w:pos="567"/>
              </w:tabs>
              <w:spacing w:before="60" w:after="60"/>
              <w:jc w:val="left"/>
              <w:rPr>
                <w:rFonts w:cs="Times New Roman"/>
                <w:sz w:val="18"/>
                <w:szCs w:val="18"/>
                <w:lang w:val="es-CR"/>
              </w:rPr>
            </w:pPr>
            <w:r w:rsidRPr="0080773E">
              <w:rPr>
                <w:rFonts w:cs="Times New Roman"/>
                <w:sz w:val="18"/>
                <w:szCs w:val="18"/>
                <w:lang w:val="es-CR"/>
              </w:rPr>
              <w:t>Pedro Jesús Bautista Sánchez (</w:t>
            </w:r>
            <w:r w:rsidR="00A7120C" w:rsidRPr="0080773E">
              <w:rPr>
                <w:rFonts w:cs="Times New Roman"/>
                <w:sz w:val="18"/>
                <w:szCs w:val="18"/>
                <w:lang w:val="es-CR"/>
              </w:rPr>
              <w:t>son)</w:t>
            </w:r>
          </w:p>
          <w:p w14:paraId="0543FCAD" w14:textId="7D7B8F2E" w:rsidR="008E0E29" w:rsidRPr="0080773E" w:rsidRDefault="008E0E29" w:rsidP="00E4619F">
            <w:pPr>
              <w:pStyle w:val="Prrafodelista"/>
              <w:numPr>
                <w:ilvl w:val="0"/>
                <w:numId w:val="77"/>
              </w:numPr>
              <w:tabs>
                <w:tab w:val="left" w:pos="567"/>
              </w:tabs>
              <w:spacing w:before="60" w:after="60"/>
              <w:jc w:val="left"/>
              <w:rPr>
                <w:rFonts w:cs="Times New Roman"/>
                <w:sz w:val="18"/>
                <w:szCs w:val="18"/>
                <w:lang w:val="es-CR"/>
              </w:rPr>
            </w:pPr>
            <w:r w:rsidRPr="0080773E">
              <w:rPr>
                <w:rFonts w:cs="Times New Roman"/>
                <w:sz w:val="18"/>
                <w:szCs w:val="18"/>
                <w:lang w:val="es-CR"/>
              </w:rPr>
              <w:t>Hugo Alfredo Cadena Sánchez (</w:t>
            </w:r>
            <w:r w:rsidR="00A7120C" w:rsidRPr="0080773E">
              <w:rPr>
                <w:rFonts w:cs="Times New Roman"/>
                <w:sz w:val="18"/>
                <w:szCs w:val="18"/>
                <w:lang w:val="es-CR"/>
              </w:rPr>
              <w:t>son)</w:t>
            </w:r>
            <w:r w:rsidRPr="0080773E">
              <w:rPr>
                <w:rFonts w:cs="Times New Roman"/>
                <w:sz w:val="18"/>
                <w:szCs w:val="18"/>
                <w:lang w:val="es-CR"/>
              </w:rPr>
              <w:t xml:space="preserve"> </w:t>
            </w:r>
          </w:p>
          <w:p w14:paraId="1C412D4D" w14:textId="36C2917D" w:rsidR="008E0E29" w:rsidRPr="00104227" w:rsidRDefault="008E0E29" w:rsidP="00E4619F">
            <w:pPr>
              <w:pStyle w:val="Prrafodelista"/>
              <w:numPr>
                <w:ilvl w:val="0"/>
                <w:numId w:val="77"/>
              </w:numPr>
              <w:tabs>
                <w:tab w:val="left" w:pos="567"/>
              </w:tabs>
              <w:spacing w:before="60" w:after="60"/>
              <w:jc w:val="left"/>
              <w:rPr>
                <w:rFonts w:cs="Times New Roman"/>
                <w:sz w:val="18"/>
                <w:szCs w:val="18"/>
              </w:rPr>
            </w:pPr>
            <w:r w:rsidRPr="00104227">
              <w:rPr>
                <w:rFonts w:cs="Times New Roman"/>
                <w:sz w:val="18"/>
                <w:szCs w:val="18"/>
              </w:rPr>
              <w:t>Karen Leticia Cadena Sánchez (</w:t>
            </w:r>
            <w:r w:rsidR="00A7120C" w:rsidRPr="00104227">
              <w:rPr>
                <w:rFonts w:cs="Times New Roman"/>
                <w:sz w:val="18"/>
                <w:szCs w:val="18"/>
              </w:rPr>
              <w:t>daughter</w:t>
            </w:r>
            <w:r w:rsidRPr="00104227">
              <w:rPr>
                <w:rFonts w:cs="Times New Roman"/>
                <w:sz w:val="18"/>
                <w:szCs w:val="18"/>
              </w:rPr>
              <w:t>)</w:t>
            </w:r>
          </w:p>
          <w:p w14:paraId="0B739C25" w14:textId="0CD40552" w:rsidR="008E0E29" w:rsidRPr="00104227" w:rsidRDefault="008E0E29" w:rsidP="00E4619F">
            <w:pPr>
              <w:pStyle w:val="Prrafodelista"/>
              <w:numPr>
                <w:ilvl w:val="0"/>
                <w:numId w:val="77"/>
              </w:numPr>
              <w:tabs>
                <w:tab w:val="left" w:pos="567"/>
              </w:tabs>
              <w:spacing w:before="60" w:after="60"/>
              <w:jc w:val="left"/>
              <w:rPr>
                <w:rFonts w:cs="Times New Roman"/>
                <w:sz w:val="18"/>
                <w:szCs w:val="18"/>
              </w:rPr>
            </w:pPr>
            <w:r w:rsidRPr="00104227">
              <w:rPr>
                <w:rFonts w:cs="Times New Roman"/>
                <w:sz w:val="18"/>
                <w:szCs w:val="18"/>
              </w:rPr>
              <w:t>José Alfredo Cadena Hernández (</w:t>
            </w:r>
            <w:r w:rsidR="00A7120C" w:rsidRPr="00104227">
              <w:rPr>
                <w:rFonts w:cs="Times New Roman"/>
                <w:sz w:val="18"/>
                <w:szCs w:val="18"/>
              </w:rPr>
              <w:t>common law husband</w:t>
            </w:r>
            <w:r w:rsidRPr="00104227">
              <w:rPr>
                <w:rFonts w:cs="Times New Roman"/>
                <w:sz w:val="18"/>
                <w:szCs w:val="18"/>
              </w:rPr>
              <w:t>)</w:t>
            </w:r>
          </w:p>
        </w:tc>
      </w:tr>
      <w:tr w:rsidR="00D53BAB" w:rsidRPr="00104227" w14:paraId="5B175207" w14:textId="77777777" w:rsidTr="00437D4E">
        <w:trPr>
          <w:jc w:val="center"/>
        </w:trPr>
        <w:tc>
          <w:tcPr>
            <w:tcW w:w="2695" w:type="dxa"/>
            <w:vAlign w:val="center"/>
            <w:hideMark/>
          </w:tcPr>
          <w:p w14:paraId="69000C41" w14:textId="17F97B34" w:rsidR="00D53BAB" w:rsidRPr="00104227" w:rsidRDefault="00A7120C" w:rsidP="00E4619F">
            <w:pPr>
              <w:tabs>
                <w:tab w:val="left" w:pos="567"/>
              </w:tabs>
              <w:spacing w:before="60" w:after="60"/>
              <w:jc w:val="left"/>
              <w:rPr>
                <w:rFonts w:cs="Times New Roman"/>
                <w:b/>
                <w:sz w:val="18"/>
                <w:szCs w:val="18"/>
              </w:rPr>
            </w:pPr>
            <w:r w:rsidRPr="00104227">
              <w:rPr>
                <w:rFonts w:cs="Times New Roman"/>
                <w:b/>
                <w:sz w:val="18"/>
                <w:szCs w:val="18"/>
              </w:rPr>
              <w:t>Next of kin of</w:t>
            </w:r>
            <w:r w:rsidR="00D53BAB" w:rsidRPr="00104227">
              <w:rPr>
                <w:rFonts w:cs="Times New Roman"/>
                <w:b/>
                <w:sz w:val="18"/>
                <w:szCs w:val="18"/>
              </w:rPr>
              <w:t xml:space="preserve"> </w:t>
            </w:r>
            <w:r w:rsidR="0047539E" w:rsidRPr="00104227">
              <w:rPr>
                <w:rFonts w:cs="Times New Roman"/>
                <w:b/>
                <w:sz w:val="18"/>
                <w:szCs w:val="18"/>
              </w:rPr>
              <w:t>Angélica Patricia Torres</w:t>
            </w:r>
            <w:r w:rsidR="00D53BAB" w:rsidRPr="00104227">
              <w:rPr>
                <w:rFonts w:cs="Times New Roman"/>
                <w:b/>
                <w:sz w:val="18"/>
                <w:szCs w:val="18"/>
              </w:rPr>
              <w:t xml:space="preserve"> Linares</w:t>
            </w:r>
          </w:p>
        </w:tc>
        <w:tc>
          <w:tcPr>
            <w:tcW w:w="5940" w:type="dxa"/>
            <w:vAlign w:val="center"/>
            <w:hideMark/>
          </w:tcPr>
          <w:p w14:paraId="41E30FC7" w14:textId="09329669" w:rsidR="00D53BAB" w:rsidRPr="00104227" w:rsidRDefault="00104014" w:rsidP="00E4619F">
            <w:pPr>
              <w:pStyle w:val="Prrafodelista"/>
              <w:numPr>
                <w:ilvl w:val="0"/>
                <w:numId w:val="69"/>
              </w:numPr>
              <w:tabs>
                <w:tab w:val="left" w:pos="567"/>
              </w:tabs>
              <w:spacing w:before="60" w:after="60"/>
              <w:jc w:val="left"/>
              <w:rPr>
                <w:rFonts w:cs="Times New Roman"/>
                <w:sz w:val="18"/>
                <w:szCs w:val="18"/>
              </w:rPr>
            </w:pPr>
            <w:r w:rsidRPr="00104227">
              <w:rPr>
                <w:rFonts w:cs="Times New Roman"/>
                <w:sz w:val="18"/>
                <w:szCs w:val="18"/>
              </w:rPr>
              <w:t>Genaro Torres Lagar</w:t>
            </w:r>
            <w:r w:rsidR="00D53BAB" w:rsidRPr="00104227">
              <w:rPr>
                <w:rFonts w:cs="Times New Roman"/>
                <w:sz w:val="18"/>
                <w:szCs w:val="18"/>
              </w:rPr>
              <w:t xml:space="preserve"> (</w:t>
            </w:r>
            <w:r w:rsidR="00A7120C" w:rsidRPr="00104227">
              <w:rPr>
                <w:rFonts w:cs="Times New Roman"/>
                <w:sz w:val="18"/>
                <w:szCs w:val="18"/>
              </w:rPr>
              <w:t>father</w:t>
            </w:r>
            <w:r w:rsidR="00D53BAB" w:rsidRPr="00104227">
              <w:rPr>
                <w:rFonts w:cs="Times New Roman"/>
                <w:sz w:val="18"/>
                <w:szCs w:val="18"/>
              </w:rPr>
              <w:t>)</w:t>
            </w:r>
          </w:p>
          <w:p w14:paraId="3EE109ED" w14:textId="7E3C2DB4" w:rsidR="00D53BAB" w:rsidRPr="00104227" w:rsidRDefault="00104014" w:rsidP="00E4619F">
            <w:pPr>
              <w:pStyle w:val="Prrafodelista"/>
              <w:numPr>
                <w:ilvl w:val="0"/>
                <w:numId w:val="69"/>
              </w:numPr>
              <w:tabs>
                <w:tab w:val="left" w:pos="567"/>
              </w:tabs>
              <w:spacing w:before="60" w:after="60"/>
              <w:jc w:val="left"/>
              <w:rPr>
                <w:rFonts w:cs="Times New Roman"/>
                <w:sz w:val="18"/>
                <w:szCs w:val="18"/>
              </w:rPr>
            </w:pPr>
            <w:r w:rsidRPr="00104227">
              <w:rPr>
                <w:rFonts w:cs="Times New Roman"/>
                <w:sz w:val="18"/>
                <w:szCs w:val="18"/>
              </w:rPr>
              <w:t>Concepción Linares Olivos</w:t>
            </w:r>
            <w:r w:rsidR="00D53BAB" w:rsidRPr="00104227">
              <w:rPr>
                <w:rFonts w:cs="Times New Roman"/>
                <w:sz w:val="18"/>
                <w:szCs w:val="18"/>
              </w:rPr>
              <w:t xml:space="preserve"> (</w:t>
            </w:r>
            <w:r w:rsidR="00A7120C" w:rsidRPr="00104227">
              <w:rPr>
                <w:rFonts w:cs="Times New Roman"/>
                <w:sz w:val="18"/>
                <w:szCs w:val="18"/>
              </w:rPr>
              <w:t>mother</w:t>
            </w:r>
            <w:r w:rsidR="00D53BAB" w:rsidRPr="00104227">
              <w:rPr>
                <w:rFonts w:cs="Times New Roman"/>
                <w:sz w:val="18"/>
                <w:szCs w:val="18"/>
              </w:rPr>
              <w:t>)</w:t>
            </w:r>
          </w:p>
          <w:p w14:paraId="5A46B19F" w14:textId="66BA2F5D" w:rsidR="00D53BAB" w:rsidRPr="00104227" w:rsidRDefault="00D53BAB" w:rsidP="00E4619F">
            <w:pPr>
              <w:pStyle w:val="Prrafodelista"/>
              <w:numPr>
                <w:ilvl w:val="0"/>
                <w:numId w:val="69"/>
              </w:numPr>
              <w:tabs>
                <w:tab w:val="left" w:pos="567"/>
              </w:tabs>
              <w:spacing w:before="60" w:after="60"/>
              <w:jc w:val="left"/>
              <w:rPr>
                <w:rFonts w:cs="Times New Roman"/>
                <w:sz w:val="18"/>
                <w:szCs w:val="18"/>
              </w:rPr>
            </w:pPr>
            <w:r w:rsidRPr="00104227">
              <w:rPr>
                <w:rFonts w:cs="Times New Roman"/>
                <w:sz w:val="18"/>
                <w:szCs w:val="18"/>
              </w:rPr>
              <w:t>Miguel Ángel Torres Linares (</w:t>
            </w:r>
            <w:r w:rsidR="00A7120C" w:rsidRPr="00104227">
              <w:rPr>
                <w:rFonts w:cs="Times New Roman"/>
                <w:sz w:val="18"/>
                <w:szCs w:val="18"/>
              </w:rPr>
              <w:t>brother</w:t>
            </w:r>
            <w:r w:rsidRPr="00104227">
              <w:rPr>
                <w:rFonts w:cs="Times New Roman"/>
                <w:sz w:val="18"/>
                <w:szCs w:val="18"/>
              </w:rPr>
              <w:t>)</w:t>
            </w:r>
          </w:p>
          <w:p w14:paraId="65190982" w14:textId="08640E08" w:rsidR="00D53BAB" w:rsidRPr="0080773E" w:rsidRDefault="00D53BAB" w:rsidP="00E4619F">
            <w:pPr>
              <w:pStyle w:val="Prrafodelista"/>
              <w:numPr>
                <w:ilvl w:val="0"/>
                <w:numId w:val="69"/>
              </w:numPr>
              <w:tabs>
                <w:tab w:val="left" w:pos="567"/>
              </w:tabs>
              <w:spacing w:before="60" w:after="60"/>
              <w:jc w:val="left"/>
              <w:rPr>
                <w:rFonts w:cs="Times New Roman"/>
                <w:sz w:val="18"/>
                <w:szCs w:val="18"/>
                <w:lang w:val="es-CR"/>
              </w:rPr>
            </w:pPr>
            <w:r w:rsidRPr="0080773E">
              <w:rPr>
                <w:rFonts w:cs="Times New Roman"/>
                <w:sz w:val="18"/>
                <w:szCs w:val="18"/>
                <w:lang w:val="es-CR"/>
              </w:rPr>
              <w:t>Laura Isela Torres Linares (</w:t>
            </w:r>
            <w:r w:rsidR="00A7120C" w:rsidRPr="0080773E">
              <w:rPr>
                <w:rFonts w:cs="Times New Roman"/>
                <w:sz w:val="18"/>
                <w:szCs w:val="18"/>
                <w:lang w:val="es-CR"/>
              </w:rPr>
              <w:t>sister</w:t>
            </w:r>
            <w:r w:rsidRPr="0080773E">
              <w:rPr>
                <w:rFonts w:cs="Times New Roman"/>
                <w:sz w:val="18"/>
                <w:szCs w:val="18"/>
                <w:lang w:val="es-CR"/>
              </w:rPr>
              <w:t>)</w:t>
            </w:r>
          </w:p>
          <w:p w14:paraId="0C8EBDE3" w14:textId="1F26EECE" w:rsidR="00D53BAB" w:rsidRPr="00104227" w:rsidRDefault="00D53BAB" w:rsidP="00E4619F">
            <w:pPr>
              <w:pStyle w:val="Prrafodelista"/>
              <w:numPr>
                <w:ilvl w:val="0"/>
                <w:numId w:val="69"/>
              </w:numPr>
              <w:tabs>
                <w:tab w:val="left" w:pos="567"/>
              </w:tabs>
              <w:spacing w:before="60" w:after="60"/>
              <w:jc w:val="left"/>
              <w:rPr>
                <w:rFonts w:cs="Times New Roman"/>
                <w:sz w:val="18"/>
                <w:szCs w:val="18"/>
              </w:rPr>
            </w:pPr>
            <w:r w:rsidRPr="00104227">
              <w:rPr>
                <w:rFonts w:cs="Times New Roman"/>
                <w:sz w:val="18"/>
                <w:szCs w:val="18"/>
              </w:rPr>
              <w:t>Jorge Torres Linares (</w:t>
            </w:r>
            <w:r w:rsidR="00A7120C" w:rsidRPr="00104227">
              <w:rPr>
                <w:rFonts w:cs="Times New Roman"/>
                <w:sz w:val="18"/>
                <w:szCs w:val="18"/>
              </w:rPr>
              <w:t>brother</w:t>
            </w:r>
            <w:r w:rsidRPr="00104227">
              <w:rPr>
                <w:rFonts w:cs="Times New Roman"/>
                <w:sz w:val="18"/>
                <w:szCs w:val="18"/>
              </w:rPr>
              <w:t>)</w:t>
            </w:r>
          </w:p>
        </w:tc>
      </w:tr>
      <w:tr w:rsidR="00D53BAB" w:rsidRPr="00104227" w14:paraId="3DC56D3F" w14:textId="77777777" w:rsidTr="00437D4E">
        <w:trPr>
          <w:jc w:val="center"/>
        </w:trPr>
        <w:tc>
          <w:tcPr>
            <w:tcW w:w="2695" w:type="dxa"/>
            <w:vAlign w:val="center"/>
            <w:hideMark/>
          </w:tcPr>
          <w:p w14:paraId="28B2C8F6" w14:textId="7BC91BD7" w:rsidR="00D53BAB" w:rsidRPr="00104227" w:rsidRDefault="00F27D61" w:rsidP="00E4619F">
            <w:pPr>
              <w:tabs>
                <w:tab w:val="left" w:pos="567"/>
              </w:tabs>
              <w:spacing w:before="60" w:after="60"/>
              <w:jc w:val="left"/>
              <w:rPr>
                <w:rFonts w:cs="Times New Roman"/>
                <w:b/>
                <w:sz w:val="18"/>
                <w:szCs w:val="18"/>
              </w:rPr>
            </w:pPr>
            <w:r w:rsidRPr="00104227">
              <w:rPr>
                <w:rFonts w:cs="Times New Roman"/>
                <w:b/>
                <w:sz w:val="18"/>
                <w:szCs w:val="18"/>
              </w:rPr>
              <w:t>Next of kin of</w:t>
            </w:r>
            <w:r w:rsidR="00D53BAB" w:rsidRPr="00104227">
              <w:rPr>
                <w:rFonts w:cs="Times New Roman"/>
                <w:b/>
                <w:sz w:val="18"/>
                <w:szCs w:val="18"/>
              </w:rPr>
              <w:t xml:space="preserve"> Claudia Hernández Martínez</w:t>
            </w:r>
          </w:p>
        </w:tc>
        <w:tc>
          <w:tcPr>
            <w:tcW w:w="5940" w:type="dxa"/>
            <w:vAlign w:val="center"/>
            <w:hideMark/>
          </w:tcPr>
          <w:p w14:paraId="6DD446DA" w14:textId="289F5BFA" w:rsidR="00D53BAB" w:rsidRPr="00104227" w:rsidRDefault="00D53BAB" w:rsidP="00E4619F">
            <w:pPr>
              <w:pStyle w:val="Prrafodelista"/>
              <w:numPr>
                <w:ilvl w:val="0"/>
                <w:numId w:val="71"/>
              </w:numPr>
              <w:tabs>
                <w:tab w:val="left" w:pos="567"/>
              </w:tabs>
              <w:spacing w:before="60" w:after="60"/>
              <w:jc w:val="left"/>
              <w:rPr>
                <w:rFonts w:cs="Times New Roman"/>
                <w:sz w:val="18"/>
                <w:szCs w:val="18"/>
              </w:rPr>
            </w:pPr>
            <w:r w:rsidRPr="00104227">
              <w:rPr>
                <w:rFonts w:cs="Times New Roman"/>
                <w:sz w:val="18"/>
                <w:szCs w:val="18"/>
              </w:rPr>
              <w:t>Juan Hernández Rivera (</w:t>
            </w:r>
            <w:r w:rsidR="00A7120C" w:rsidRPr="00104227">
              <w:rPr>
                <w:rFonts w:cs="Times New Roman"/>
                <w:sz w:val="18"/>
                <w:szCs w:val="18"/>
              </w:rPr>
              <w:t>father</w:t>
            </w:r>
            <w:r w:rsidRPr="00104227">
              <w:rPr>
                <w:rFonts w:cs="Times New Roman"/>
                <w:sz w:val="18"/>
                <w:szCs w:val="18"/>
              </w:rPr>
              <w:t>)</w:t>
            </w:r>
          </w:p>
          <w:p w14:paraId="03AF0FF6" w14:textId="03C9FD83" w:rsidR="00D53BAB" w:rsidRPr="0080773E" w:rsidRDefault="00D53BAB" w:rsidP="00E4619F">
            <w:pPr>
              <w:pStyle w:val="Prrafodelista"/>
              <w:numPr>
                <w:ilvl w:val="0"/>
                <w:numId w:val="71"/>
              </w:numPr>
              <w:tabs>
                <w:tab w:val="left" w:pos="567"/>
              </w:tabs>
              <w:spacing w:before="60" w:after="60"/>
              <w:jc w:val="left"/>
              <w:rPr>
                <w:rFonts w:cs="Times New Roman"/>
                <w:sz w:val="18"/>
                <w:szCs w:val="18"/>
                <w:lang w:val="es-CR"/>
              </w:rPr>
            </w:pPr>
            <w:r w:rsidRPr="0080773E">
              <w:rPr>
                <w:rFonts w:cs="Times New Roman"/>
                <w:sz w:val="18"/>
                <w:szCs w:val="18"/>
                <w:lang w:val="es-CR"/>
              </w:rPr>
              <w:t>María Victoria Martínez Flores (</w:t>
            </w:r>
            <w:r w:rsidR="00A7120C" w:rsidRPr="0080773E">
              <w:rPr>
                <w:rFonts w:cs="Times New Roman"/>
                <w:sz w:val="18"/>
                <w:szCs w:val="18"/>
                <w:lang w:val="es-CR"/>
              </w:rPr>
              <w:t>mother</w:t>
            </w:r>
            <w:r w:rsidRPr="0080773E">
              <w:rPr>
                <w:rFonts w:cs="Times New Roman"/>
                <w:sz w:val="18"/>
                <w:szCs w:val="18"/>
                <w:lang w:val="es-CR"/>
              </w:rPr>
              <w:t>)</w:t>
            </w:r>
          </w:p>
          <w:p w14:paraId="6E040018" w14:textId="694D4973" w:rsidR="00D53BAB" w:rsidRPr="00104227" w:rsidRDefault="00D53BAB" w:rsidP="00E4619F">
            <w:pPr>
              <w:pStyle w:val="Prrafodelista"/>
              <w:numPr>
                <w:ilvl w:val="0"/>
                <w:numId w:val="71"/>
              </w:numPr>
              <w:tabs>
                <w:tab w:val="left" w:pos="567"/>
              </w:tabs>
              <w:spacing w:before="60" w:after="60"/>
              <w:jc w:val="left"/>
              <w:rPr>
                <w:rFonts w:cs="Times New Roman"/>
                <w:sz w:val="18"/>
                <w:szCs w:val="18"/>
              </w:rPr>
            </w:pPr>
            <w:r w:rsidRPr="00104227">
              <w:rPr>
                <w:rFonts w:cs="Times New Roman"/>
                <w:sz w:val="18"/>
                <w:szCs w:val="18"/>
              </w:rPr>
              <w:t>An</w:t>
            </w:r>
            <w:r w:rsidR="00104014" w:rsidRPr="00104227">
              <w:rPr>
                <w:rFonts w:cs="Times New Roman"/>
                <w:sz w:val="18"/>
                <w:szCs w:val="18"/>
              </w:rPr>
              <w:t>a</w:t>
            </w:r>
            <w:r w:rsidRPr="00104227">
              <w:rPr>
                <w:rFonts w:cs="Times New Roman"/>
                <w:sz w:val="18"/>
                <w:szCs w:val="18"/>
              </w:rPr>
              <w:t>talia Hernández Martínez (</w:t>
            </w:r>
            <w:r w:rsidR="00A7120C" w:rsidRPr="00104227">
              <w:rPr>
                <w:rFonts w:cs="Times New Roman"/>
                <w:sz w:val="18"/>
                <w:szCs w:val="18"/>
              </w:rPr>
              <w:t>sister</w:t>
            </w:r>
            <w:r w:rsidRPr="00104227">
              <w:rPr>
                <w:rFonts w:cs="Times New Roman"/>
                <w:sz w:val="18"/>
                <w:szCs w:val="18"/>
              </w:rPr>
              <w:t>)</w:t>
            </w:r>
          </w:p>
          <w:p w14:paraId="2A848D9C" w14:textId="21198D26" w:rsidR="00D53BAB" w:rsidRPr="00104227" w:rsidRDefault="00D53BAB" w:rsidP="00E4619F">
            <w:pPr>
              <w:pStyle w:val="Prrafodelista"/>
              <w:numPr>
                <w:ilvl w:val="0"/>
                <w:numId w:val="71"/>
              </w:numPr>
              <w:tabs>
                <w:tab w:val="left" w:pos="567"/>
              </w:tabs>
              <w:spacing w:before="60" w:after="60"/>
              <w:jc w:val="left"/>
              <w:rPr>
                <w:rFonts w:cs="Times New Roman"/>
                <w:sz w:val="18"/>
                <w:szCs w:val="18"/>
              </w:rPr>
            </w:pPr>
            <w:r w:rsidRPr="00104227">
              <w:rPr>
                <w:rFonts w:cs="Times New Roman"/>
                <w:sz w:val="18"/>
                <w:szCs w:val="18"/>
              </w:rPr>
              <w:t>Amelia Hernández Martínez (</w:t>
            </w:r>
            <w:r w:rsidR="00A7120C" w:rsidRPr="00104227">
              <w:rPr>
                <w:rFonts w:cs="Times New Roman"/>
                <w:sz w:val="18"/>
                <w:szCs w:val="18"/>
              </w:rPr>
              <w:t>sister</w:t>
            </w:r>
            <w:r w:rsidRPr="00104227">
              <w:rPr>
                <w:rFonts w:cs="Times New Roman"/>
                <w:sz w:val="18"/>
                <w:szCs w:val="18"/>
              </w:rPr>
              <w:t>)</w:t>
            </w:r>
          </w:p>
          <w:p w14:paraId="3A395AEF" w14:textId="38E74216" w:rsidR="00D53BAB" w:rsidRPr="0080773E" w:rsidRDefault="00D53BAB" w:rsidP="00E4619F">
            <w:pPr>
              <w:pStyle w:val="Prrafodelista"/>
              <w:numPr>
                <w:ilvl w:val="0"/>
                <w:numId w:val="71"/>
              </w:numPr>
              <w:tabs>
                <w:tab w:val="left" w:pos="567"/>
              </w:tabs>
              <w:spacing w:before="60" w:after="60"/>
              <w:jc w:val="left"/>
              <w:rPr>
                <w:rFonts w:cs="Times New Roman"/>
                <w:sz w:val="18"/>
                <w:szCs w:val="18"/>
                <w:lang w:val="es-CR"/>
              </w:rPr>
            </w:pPr>
            <w:r w:rsidRPr="0080773E">
              <w:rPr>
                <w:rFonts w:cs="Times New Roman"/>
                <w:sz w:val="18"/>
                <w:szCs w:val="18"/>
                <w:lang w:val="es-CR"/>
              </w:rPr>
              <w:t>Rosa Gloria Hernández Martínez (</w:t>
            </w:r>
            <w:r w:rsidR="00A7120C" w:rsidRPr="0080773E">
              <w:rPr>
                <w:rFonts w:cs="Times New Roman"/>
                <w:sz w:val="18"/>
                <w:szCs w:val="18"/>
                <w:lang w:val="es-CR"/>
              </w:rPr>
              <w:t>sister</w:t>
            </w:r>
            <w:r w:rsidRPr="0080773E">
              <w:rPr>
                <w:rFonts w:cs="Times New Roman"/>
                <w:sz w:val="18"/>
                <w:szCs w:val="18"/>
                <w:lang w:val="es-CR"/>
              </w:rPr>
              <w:t>)</w:t>
            </w:r>
          </w:p>
          <w:p w14:paraId="03FF4075" w14:textId="3680DB01" w:rsidR="00D53BAB" w:rsidRPr="00104227" w:rsidRDefault="00D53BAB" w:rsidP="00E4619F">
            <w:pPr>
              <w:pStyle w:val="Prrafodelista"/>
              <w:numPr>
                <w:ilvl w:val="0"/>
                <w:numId w:val="71"/>
              </w:numPr>
              <w:tabs>
                <w:tab w:val="left" w:pos="567"/>
              </w:tabs>
              <w:spacing w:before="60" w:after="60"/>
              <w:jc w:val="left"/>
              <w:rPr>
                <w:rFonts w:cs="Times New Roman"/>
                <w:sz w:val="18"/>
                <w:szCs w:val="18"/>
              </w:rPr>
            </w:pPr>
            <w:r w:rsidRPr="00104227">
              <w:rPr>
                <w:rFonts w:cs="Times New Roman"/>
                <w:sz w:val="18"/>
                <w:szCs w:val="18"/>
              </w:rPr>
              <w:t>Artemio Hernández Martínez (</w:t>
            </w:r>
            <w:r w:rsidR="00A7120C" w:rsidRPr="00104227">
              <w:rPr>
                <w:rFonts w:cs="Times New Roman"/>
                <w:sz w:val="18"/>
                <w:szCs w:val="18"/>
              </w:rPr>
              <w:t>brother</w:t>
            </w:r>
            <w:r w:rsidRPr="00104227">
              <w:rPr>
                <w:rFonts w:cs="Times New Roman"/>
                <w:sz w:val="18"/>
                <w:szCs w:val="18"/>
              </w:rPr>
              <w:t>)</w:t>
            </w:r>
          </w:p>
          <w:p w14:paraId="69C7B182" w14:textId="7C49AABC" w:rsidR="00F25A04" w:rsidRPr="00104227" w:rsidRDefault="00F25A04" w:rsidP="00E4619F">
            <w:pPr>
              <w:pStyle w:val="Prrafodelista"/>
              <w:numPr>
                <w:ilvl w:val="0"/>
                <w:numId w:val="71"/>
              </w:numPr>
              <w:tabs>
                <w:tab w:val="left" w:pos="567"/>
              </w:tabs>
              <w:spacing w:before="60" w:after="60"/>
              <w:jc w:val="left"/>
              <w:rPr>
                <w:rFonts w:cs="Times New Roman"/>
                <w:sz w:val="18"/>
                <w:szCs w:val="18"/>
              </w:rPr>
            </w:pPr>
            <w:r w:rsidRPr="00104227">
              <w:rPr>
                <w:rFonts w:cs="Times New Roman"/>
                <w:sz w:val="18"/>
                <w:szCs w:val="18"/>
              </w:rPr>
              <w:t>Aarón Jiménez Hernández (</w:t>
            </w:r>
            <w:r w:rsidR="00A7120C" w:rsidRPr="00104227">
              <w:rPr>
                <w:rFonts w:cs="Times New Roman"/>
                <w:sz w:val="18"/>
                <w:szCs w:val="18"/>
              </w:rPr>
              <w:t>nephew</w:t>
            </w:r>
            <w:r w:rsidRPr="00104227">
              <w:rPr>
                <w:rFonts w:cs="Times New Roman"/>
                <w:sz w:val="18"/>
                <w:szCs w:val="18"/>
              </w:rPr>
              <w:t>)</w:t>
            </w:r>
          </w:p>
          <w:p w14:paraId="3F898074" w14:textId="6559E635" w:rsidR="00F25A04" w:rsidRPr="00104227" w:rsidRDefault="00F25A04" w:rsidP="00E4619F">
            <w:pPr>
              <w:pStyle w:val="Prrafodelista"/>
              <w:numPr>
                <w:ilvl w:val="0"/>
                <w:numId w:val="71"/>
              </w:numPr>
              <w:tabs>
                <w:tab w:val="left" w:pos="567"/>
              </w:tabs>
              <w:spacing w:before="60" w:after="60"/>
              <w:jc w:val="left"/>
              <w:rPr>
                <w:rFonts w:cs="Times New Roman"/>
                <w:sz w:val="18"/>
                <w:szCs w:val="18"/>
              </w:rPr>
            </w:pPr>
            <w:r w:rsidRPr="00104227">
              <w:rPr>
                <w:rFonts w:cs="Times New Roman"/>
                <w:sz w:val="18"/>
                <w:szCs w:val="18"/>
              </w:rPr>
              <w:t>Agustín Jiménez Hernández (</w:t>
            </w:r>
            <w:r w:rsidR="00A7120C" w:rsidRPr="00104227">
              <w:rPr>
                <w:rFonts w:cs="Times New Roman"/>
                <w:sz w:val="18"/>
                <w:szCs w:val="18"/>
              </w:rPr>
              <w:t>nephew</w:t>
            </w:r>
            <w:r w:rsidRPr="00104227">
              <w:rPr>
                <w:rFonts w:cs="Times New Roman"/>
                <w:sz w:val="18"/>
                <w:szCs w:val="18"/>
              </w:rPr>
              <w:t>)</w:t>
            </w:r>
          </w:p>
          <w:p w14:paraId="063FA775" w14:textId="4B7CC086" w:rsidR="00F25A04" w:rsidRPr="0080773E" w:rsidRDefault="00F25A04" w:rsidP="00E4619F">
            <w:pPr>
              <w:pStyle w:val="Prrafodelista"/>
              <w:numPr>
                <w:ilvl w:val="0"/>
                <w:numId w:val="71"/>
              </w:numPr>
              <w:tabs>
                <w:tab w:val="left" w:pos="567"/>
              </w:tabs>
              <w:spacing w:before="60" w:after="60"/>
              <w:jc w:val="left"/>
              <w:rPr>
                <w:rFonts w:cs="Times New Roman"/>
                <w:sz w:val="18"/>
                <w:szCs w:val="18"/>
                <w:lang w:val="es-CR"/>
              </w:rPr>
            </w:pPr>
            <w:r w:rsidRPr="0080773E">
              <w:rPr>
                <w:rFonts w:cs="Times New Roman"/>
                <w:sz w:val="18"/>
                <w:szCs w:val="18"/>
                <w:lang w:val="es-CR"/>
              </w:rPr>
              <w:t>Karina Guadalupe Nonato Hernández (</w:t>
            </w:r>
            <w:r w:rsidR="00A7120C" w:rsidRPr="0080773E">
              <w:rPr>
                <w:rFonts w:cs="Times New Roman"/>
                <w:sz w:val="18"/>
                <w:szCs w:val="18"/>
                <w:lang w:val="es-CR"/>
              </w:rPr>
              <w:t>niece</w:t>
            </w:r>
            <w:r w:rsidRPr="0080773E">
              <w:rPr>
                <w:rFonts w:cs="Times New Roman"/>
                <w:sz w:val="18"/>
                <w:szCs w:val="18"/>
                <w:lang w:val="es-CR"/>
              </w:rPr>
              <w:t>)</w:t>
            </w:r>
          </w:p>
          <w:p w14:paraId="7864600B" w14:textId="19062723" w:rsidR="00F25A04" w:rsidRPr="00104227" w:rsidRDefault="00104014" w:rsidP="00E4619F">
            <w:pPr>
              <w:pStyle w:val="Prrafodelista"/>
              <w:numPr>
                <w:ilvl w:val="0"/>
                <w:numId w:val="71"/>
              </w:numPr>
              <w:tabs>
                <w:tab w:val="left" w:pos="567"/>
              </w:tabs>
              <w:spacing w:before="60" w:after="60"/>
              <w:jc w:val="left"/>
              <w:rPr>
                <w:rFonts w:cs="Times New Roman"/>
                <w:sz w:val="18"/>
                <w:szCs w:val="18"/>
              </w:rPr>
            </w:pPr>
            <w:r w:rsidRPr="00104227">
              <w:rPr>
                <w:rFonts w:cs="Times New Roman"/>
                <w:sz w:val="18"/>
                <w:szCs w:val="18"/>
              </w:rPr>
              <w:t>Israel Non</w:t>
            </w:r>
            <w:r w:rsidR="00F25A04" w:rsidRPr="00104227">
              <w:rPr>
                <w:rFonts w:cs="Times New Roman"/>
                <w:sz w:val="18"/>
                <w:szCs w:val="18"/>
              </w:rPr>
              <w:t>ato Hernández (</w:t>
            </w:r>
            <w:r w:rsidR="00A7120C" w:rsidRPr="00104227">
              <w:rPr>
                <w:rFonts w:cs="Times New Roman"/>
                <w:sz w:val="18"/>
                <w:szCs w:val="18"/>
              </w:rPr>
              <w:t>nephew</w:t>
            </w:r>
            <w:r w:rsidR="00F25A04" w:rsidRPr="00104227">
              <w:rPr>
                <w:rFonts w:cs="Times New Roman"/>
                <w:sz w:val="18"/>
                <w:szCs w:val="18"/>
              </w:rPr>
              <w:t>)</w:t>
            </w:r>
          </w:p>
        </w:tc>
      </w:tr>
    </w:tbl>
    <w:p w14:paraId="2E81BCA6" w14:textId="77777777" w:rsidR="00786D28" w:rsidRPr="00104227" w:rsidRDefault="00786D28" w:rsidP="00E4619F">
      <w:pPr>
        <w:tabs>
          <w:tab w:val="left" w:pos="567"/>
        </w:tabs>
        <w:rPr>
          <w:lang w:eastAsia="es-MX"/>
        </w:rPr>
      </w:pPr>
    </w:p>
    <w:p w14:paraId="5599BC0A" w14:textId="77777777" w:rsidR="00AF0DDA" w:rsidRPr="00104227" w:rsidRDefault="00AF0DDA" w:rsidP="00E4619F">
      <w:pPr>
        <w:pStyle w:val="Ttulo1"/>
        <w:tabs>
          <w:tab w:val="left" w:pos="567"/>
        </w:tabs>
        <w:rPr>
          <w:b w:val="0"/>
          <w:spacing w:val="-4"/>
        </w:rPr>
      </w:pPr>
      <w:bookmarkStart w:id="388" w:name="_Toc31290614"/>
      <w:bookmarkStart w:id="389" w:name="_Toc499146733"/>
      <w:bookmarkStart w:id="390" w:name="_Toc502885953"/>
      <w:bookmarkStart w:id="391" w:name="_Toc511735333"/>
      <w:bookmarkStart w:id="392" w:name="_Toc512447213"/>
      <w:bookmarkStart w:id="393" w:name="_Toc513225711"/>
      <w:bookmarkStart w:id="394" w:name="_Toc514063463"/>
      <w:bookmarkStart w:id="395" w:name="_Toc527464938"/>
      <w:r w:rsidRPr="00104227">
        <w:rPr>
          <w:spacing w:val="-4"/>
        </w:rPr>
        <w:t>X</w:t>
      </w:r>
      <w:bookmarkEnd w:id="388"/>
    </w:p>
    <w:p w14:paraId="05CF9EF5" w14:textId="48201FEE" w:rsidR="00AF0DDA" w:rsidRPr="00104227" w:rsidRDefault="005E5DCC" w:rsidP="00E4619F">
      <w:pPr>
        <w:pStyle w:val="Ttulo1"/>
        <w:tabs>
          <w:tab w:val="left" w:pos="567"/>
        </w:tabs>
        <w:rPr>
          <w:b w:val="0"/>
          <w:spacing w:val="-4"/>
        </w:rPr>
      </w:pPr>
      <w:bookmarkStart w:id="396" w:name="_Toc31290615"/>
      <w:r w:rsidRPr="00104227">
        <w:rPr>
          <w:spacing w:val="-4"/>
        </w:rPr>
        <w:t>REPARATIONS</w:t>
      </w:r>
      <w:bookmarkEnd w:id="396"/>
    </w:p>
    <w:p w14:paraId="0911CFE2" w14:textId="42A29FE4" w:rsidR="00AF0DDA" w:rsidRPr="00104227" w:rsidRDefault="00AF0DDA" w:rsidP="00E4619F">
      <w:pPr>
        <w:tabs>
          <w:tab w:val="left" w:pos="567"/>
        </w:tabs>
        <w:jc w:val="center"/>
        <w:rPr>
          <w:b/>
        </w:rPr>
      </w:pPr>
      <w:r w:rsidRPr="00104227">
        <w:rPr>
          <w:b/>
        </w:rPr>
        <w:t>(</w:t>
      </w:r>
      <w:r w:rsidR="006B22B7" w:rsidRPr="00104227">
        <w:rPr>
          <w:b/>
        </w:rPr>
        <w:t>Application</w:t>
      </w:r>
      <w:r w:rsidRPr="00104227">
        <w:rPr>
          <w:b/>
        </w:rPr>
        <w:t xml:space="preserve"> </w:t>
      </w:r>
      <w:r w:rsidR="0060075A" w:rsidRPr="00104227">
        <w:rPr>
          <w:b/>
        </w:rPr>
        <w:t>of Article</w:t>
      </w:r>
      <w:r w:rsidRPr="00104227">
        <w:rPr>
          <w:b/>
        </w:rPr>
        <w:t xml:space="preserve"> </w:t>
      </w:r>
      <w:r w:rsidR="00BF5241" w:rsidRPr="00104227">
        <w:rPr>
          <w:b/>
        </w:rPr>
        <w:t>63(1) of the American Convention</w:t>
      </w:r>
      <w:r w:rsidRPr="00104227">
        <w:rPr>
          <w:b/>
        </w:rPr>
        <w:t>)</w:t>
      </w:r>
    </w:p>
    <w:p w14:paraId="008E98F2" w14:textId="77777777" w:rsidR="00D57225" w:rsidRPr="00104227" w:rsidRDefault="00D57225" w:rsidP="00E4619F">
      <w:pPr>
        <w:tabs>
          <w:tab w:val="left" w:pos="567"/>
        </w:tabs>
        <w:rPr>
          <w:spacing w:val="-4"/>
        </w:rPr>
      </w:pPr>
    </w:p>
    <w:p w14:paraId="798E3502" w14:textId="36B768FC" w:rsidR="00D57225" w:rsidRPr="00104227" w:rsidRDefault="00B84944" w:rsidP="00E4619F">
      <w:pPr>
        <w:pStyle w:val="Numberedparagraphs"/>
        <w:tabs>
          <w:tab w:val="left" w:pos="567"/>
        </w:tabs>
        <w:rPr>
          <w:lang w:val="en-US"/>
        </w:rPr>
      </w:pPr>
      <w:r w:rsidRPr="00104227">
        <w:rPr>
          <w:lang w:val="en-US"/>
        </w:rPr>
        <w:t>Based on</w:t>
      </w:r>
      <w:r w:rsidR="00D57225" w:rsidRPr="00104227">
        <w:rPr>
          <w:lang w:val="en-US"/>
        </w:rPr>
        <w:t xml:space="preserve"> </w:t>
      </w:r>
      <w:r w:rsidRPr="00104227">
        <w:rPr>
          <w:lang w:val="en-US"/>
        </w:rPr>
        <w:t xml:space="preserve">the provisions of </w:t>
      </w:r>
      <w:r w:rsidR="00BF5241" w:rsidRPr="00104227">
        <w:rPr>
          <w:lang w:val="en-US"/>
        </w:rPr>
        <w:t>Article</w:t>
      </w:r>
      <w:r w:rsidR="00D57225" w:rsidRPr="00104227">
        <w:rPr>
          <w:lang w:val="en-US"/>
        </w:rPr>
        <w:t xml:space="preserve"> </w:t>
      </w:r>
      <w:r w:rsidR="00BF5241" w:rsidRPr="00104227">
        <w:rPr>
          <w:lang w:val="en-US"/>
        </w:rPr>
        <w:t>63(1) of the American Convention</w:t>
      </w:r>
      <w:r w:rsidR="00B65052" w:rsidRPr="00104227">
        <w:rPr>
          <w:lang w:val="en-US"/>
        </w:rPr>
        <w:t>,</w:t>
      </w:r>
      <w:r w:rsidR="00D57225" w:rsidRPr="00104227">
        <w:rPr>
          <w:rStyle w:val="Refdenotaalpie"/>
          <w:szCs w:val="20"/>
          <w:lang w:val="en-US"/>
        </w:rPr>
        <w:footnoteReference w:id="439"/>
      </w:r>
      <w:r w:rsidR="00D57225" w:rsidRPr="00104227">
        <w:rPr>
          <w:lang w:val="en-US"/>
        </w:rPr>
        <w:t xml:space="preserve"> </w:t>
      </w:r>
      <w:r w:rsidR="00BF5241" w:rsidRPr="00104227">
        <w:rPr>
          <w:lang w:val="en-US"/>
        </w:rPr>
        <w:t>the Court</w:t>
      </w:r>
      <w:r w:rsidR="00D57225" w:rsidRPr="00104227">
        <w:rPr>
          <w:lang w:val="en-US"/>
        </w:rPr>
        <w:t xml:space="preserve"> ha</w:t>
      </w:r>
      <w:r w:rsidRPr="00104227">
        <w:rPr>
          <w:lang w:val="en-US"/>
        </w:rPr>
        <w:t>s indicated that any violation of an international obligation that has produced harm entails the obligation to repair this adequately, and that this provision reflects a customary rule that constitutes one of the fundamental principles of contemporary international law on State responsibility.</w:t>
      </w:r>
    </w:p>
    <w:p w14:paraId="5F94774D" w14:textId="77777777" w:rsidR="00D57225" w:rsidRPr="00104227" w:rsidRDefault="00D57225" w:rsidP="00E4619F">
      <w:pPr>
        <w:tabs>
          <w:tab w:val="left" w:pos="567"/>
        </w:tabs>
        <w:rPr>
          <w:szCs w:val="20"/>
        </w:rPr>
      </w:pPr>
    </w:p>
    <w:p w14:paraId="5DB1A7A7" w14:textId="05180452" w:rsidR="00D57225" w:rsidRPr="00104227" w:rsidRDefault="00B84944" w:rsidP="00E4619F">
      <w:pPr>
        <w:pStyle w:val="Numberedparagraphs"/>
        <w:tabs>
          <w:tab w:val="left" w:pos="567"/>
        </w:tabs>
        <w:rPr>
          <w:lang w:val="en-US"/>
        </w:rPr>
      </w:pPr>
      <w:r w:rsidRPr="00104227">
        <w:rPr>
          <w:lang w:val="en-US"/>
        </w:rPr>
        <w:t>Reparation of the harm caused by the violation of an international oblig</w:t>
      </w:r>
      <w:r w:rsidR="00B65052" w:rsidRPr="00104227">
        <w:rPr>
          <w:lang w:val="en-US"/>
        </w:rPr>
        <w:t>a</w:t>
      </w:r>
      <w:r w:rsidRPr="00104227">
        <w:rPr>
          <w:lang w:val="en-US"/>
        </w:rPr>
        <w:t xml:space="preserve">tion requires, provided this is possible, full restitution </w:t>
      </w:r>
      <w:r w:rsidR="00D57225" w:rsidRPr="00104227">
        <w:rPr>
          <w:lang w:val="en-US"/>
        </w:rPr>
        <w:t>(</w:t>
      </w:r>
      <w:r w:rsidR="00D57225" w:rsidRPr="00104227">
        <w:rPr>
          <w:i/>
          <w:lang w:val="en-US"/>
        </w:rPr>
        <w:t>restitutio in integrum</w:t>
      </w:r>
      <w:r w:rsidR="00D57225" w:rsidRPr="00104227">
        <w:rPr>
          <w:lang w:val="en-US"/>
        </w:rPr>
        <w:t xml:space="preserve">), </w:t>
      </w:r>
      <w:r w:rsidRPr="00104227">
        <w:rPr>
          <w:lang w:val="en-US"/>
        </w:rPr>
        <w:t>which consists in the re-</w:t>
      </w:r>
      <w:r w:rsidRPr="00104227">
        <w:rPr>
          <w:lang w:val="en-US"/>
        </w:rPr>
        <w:lastRenderedPageBreak/>
        <w:t>establishment of the previous situation.</w:t>
      </w:r>
      <w:r w:rsidR="00D57225" w:rsidRPr="00104227">
        <w:rPr>
          <w:rStyle w:val="Refdenotaalpie"/>
          <w:szCs w:val="20"/>
          <w:lang w:val="en-US"/>
        </w:rPr>
        <w:footnoteReference w:id="440"/>
      </w:r>
      <w:r w:rsidRPr="00104227">
        <w:rPr>
          <w:lang w:val="en-US"/>
        </w:rPr>
        <w:t xml:space="preserve"> If this is not feasible, as in most cases of human rights violations, this Court will determine measures to guarantee the rights that have been violated and to redress the consequences of the violations.</w:t>
      </w:r>
      <w:r w:rsidR="00D57225" w:rsidRPr="00104227">
        <w:rPr>
          <w:rStyle w:val="Refdenotaalpie"/>
          <w:szCs w:val="20"/>
          <w:lang w:val="en-US"/>
        </w:rPr>
        <w:footnoteReference w:id="441"/>
      </w:r>
      <w:r w:rsidRPr="00104227">
        <w:rPr>
          <w:lang w:val="en-US"/>
        </w:rPr>
        <w:t xml:space="preserve"> Therefore, the Court has found it necessary to grant different measures of reparation in order to redress the harm comprehensively, so that in addition to pecuniary compensation, measures of restitution, rehabilitation and satisfaction, </w:t>
      </w:r>
      <w:r w:rsidR="00BF5241" w:rsidRPr="00104227">
        <w:rPr>
          <w:lang w:val="en-US"/>
        </w:rPr>
        <w:t xml:space="preserve">and </w:t>
      </w:r>
      <w:r w:rsidR="005E5DCC" w:rsidRPr="00104227">
        <w:rPr>
          <w:lang w:val="en-US"/>
        </w:rPr>
        <w:t>guarantees of non-repetition</w:t>
      </w:r>
      <w:r w:rsidR="00D57225" w:rsidRPr="00104227">
        <w:rPr>
          <w:lang w:val="en-US"/>
        </w:rPr>
        <w:t xml:space="preserve"> </w:t>
      </w:r>
      <w:r w:rsidRPr="00104227">
        <w:rPr>
          <w:lang w:val="en-US"/>
        </w:rPr>
        <w:t xml:space="preserve">have special relevance </w:t>
      </w:r>
      <w:r w:rsidR="00AA375E" w:rsidRPr="00104227">
        <w:rPr>
          <w:lang w:val="en-US"/>
        </w:rPr>
        <w:t>for the harm caused.</w:t>
      </w:r>
      <w:r w:rsidR="00D57225" w:rsidRPr="00104227">
        <w:rPr>
          <w:rStyle w:val="Refdenotaalpie"/>
          <w:szCs w:val="20"/>
          <w:lang w:val="en-US"/>
        </w:rPr>
        <w:footnoteReference w:id="442"/>
      </w:r>
    </w:p>
    <w:p w14:paraId="037993FA" w14:textId="77777777" w:rsidR="00D57225" w:rsidRPr="00104227" w:rsidRDefault="00D57225" w:rsidP="00E4619F">
      <w:pPr>
        <w:tabs>
          <w:tab w:val="left" w:pos="567"/>
        </w:tabs>
        <w:rPr>
          <w:szCs w:val="20"/>
        </w:rPr>
      </w:pPr>
    </w:p>
    <w:p w14:paraId="6A2E9D48" w14:textId="74A5413E" w:rsidR="00D57225" w:rsidRPr="00104227" w:rsidRDefault="00BF5241" w:rsidP="00E4619F">
      <w:pPr>
        <w:pStyle w:val="Numberedparagraphs"/>
        <w:tabs>
          <w:tab w:val="left" w:pos="567"/>
        </w:tabs>
        <w:rPr>
          <w:lang w:val="en-US"/>
        </w:rPr>
      </w:pPr>
      <w:r w:rsidRPr="00104227">
        <w:rPr>
          <w:lang w:val="en-US"/>
        </w:rPr>
        <w:t>This Court</w:t>
      </w:r>
      <w:r w:rsidR="00D57225" w:rsidRPr="00104227">
        <w:rPr>
          <w:lang w:val="en-US"/>
        </w:rPr>
        <w:t xml:space="preserve"> ha</w:t>
      </w:r>
      <w:r w:rsidR="00AA375E" w:rsidRPr="00104227">
        <w:rPr>
          <w:lang w:val="en-US"/>
        </w:rPr>
        <w:t>s established that repar</w:t>
      </w:r>
      <w:r w:rsidR="00B65052" w:rsidRPr="00104227">
        <w:rPr>
          <w:lang w:val="en-US"/>
        </w:rPr>
        <w:t>a</w:t>
      </w:r>
      <w:r w:rsidR="00AA375E" w:rsidRPr="00104227">
        <w:rPr>
          <w:lang w:val="en-US"/>
        </w:rPr>
        <w:t>tions should have a causal nexus with the facts of the case, the violations declared, the harm proved, and the measures requested to redress the respective harm</w:t>
      </w:r>
      <w:r w:rsidR="00D57225" w:rsidRPr="00104227">
        <w:rPr>
          <w:lang w:val="en-US"/>
        </w:rPr>
        <w:t xml:space="preserve">. </w:t>
      </w:r>
      <w:r w:rsidR="00AA375E" w:rsidRPr="00104227">
        <w:rPr>
          <w:lang w:val="en-US"/>
        </w:rPr>
        <w:t>Therefore</w:t>
      </w:r>
      <w:r w:rsidR="00D57225" w:rsidRPr="00104227">
        <w:rPr>
          <w:lang w:val="en-US"/>
        </w:rPr>
        <w:t xml:space="preserve">, </w:t>
      </w:r>
      <w:r w:rsidRPr="00104227">
        <w:rPr>
          <w:lang w:val="en-US"/>
        </w:rPr>
        <w:t>the Court</w:t>
      </w:r>
      <w:r w:rsidR="00D57225" w:rsidRPr="00104227">
        <w:rPr>
          <w:lang w:val="en-US"/>
        </w:rPr>
        <w:t xml:space="preserve"> </w:t>
      </w:r>
      <w:r w:rsidR="00AA375E" w:rsidRPr="00104227">
        <w:rPr>
          <w:lang w:val="en-US"/>
        </w:rPr>
        <w:t>must observe th</w:t>
      </w:r>
      <w:r w:rsidR="00B65052" w:rsidRPr="00104227">
        <w:rPr>
          <w:lang w:val="en-US"/>
        </w:rPr>
        <w:t>e</w:t>
      </w:r>
      <w:r w:rsidR="00AA375E" w:rsidRPr="00104227">
        <w:rPr>
          <w:lang w:val="en-US"/>
        </w:rPr>
        <w:t xml:space="preserve"> concurrence</w:t>
      </w:r>
      <w:r w:rsidR="00B65052" w:rsidRPr="00104227">
        <w:rPr>
          <w:lang w:val="en-US"/>
        </w:rPr>
        <w:t xml:space="preserve"> of these factors</w:t>
      </w:r>
      <w:r w:rsidR="00AA375E" w:rsidRPr="00104227">
        <w:rPr>
          <w:lang w:val="en-US"/>
        </w:rPr>
        <w:t xml:space="preserve"> to rule duly and pursuant to the law.</w:t>
      </w:r>
      <w:r w:rsidR="00D57225" w:rsidRPr="00104227">
        <w:rPr>
          <w:rStyle w:val="Refdenotaalpie"/>
          <w:szCs w:val="20"/>
          <w:lang w:val="en-US"/>
        </w:rPr>
        <w:footnoteReference w:id="443"/>
      </w:r>
    </w:p>
    <w:p w14:paraId="1954CD97" w14:textId="77777777" w:rsidR="00D57225" w:rsidRPr="00104227" w:rsidRDefault="00D57225" w:rsidP="00E4619F">
      <w:pPr>
        <w:tabs>
          <w:tab w:val="left" w:pos="567"/>
        </w:tabs>
        <w:rPr>
          <w:szCs w:val="20"/>
        </w:rPr>
      </w:pPr>
    </w:p>
    <w:p w14:paraId="655FEC0D" w14:textId="5A9C4BBA" w:rsidR="00D57225" w:rsidRPr="00104227" w:rsidRDefault="00AA375E" w:rsidP="00E4619F">
      <w:pPr>
        <w:pStyle w:val="Numberedparagraphs"/>
        <w:tabs>
          <w:tab w:val="left" w:pos="567"/>
        </w:tabs>
        <w:rPr>
          <w:lang w:val="en-US"/>
        </w:rPr>
      </w:pPr>
      <w:r w:rsidRPr="00104227">
        <w:rPr>
          <w:lang w:val="en-US"/>
        </w:rPr>
        <w:t xml:space="preserve">Based on the violations declared in the preceding chapter, the Court will proceed to analyze the claims presented by </w:t>
      </w:r>
      <w:r w:rsidR="00BF5241" w:rsidRPr="00104227">
        <w:rPr>
          <w:lang w:val="en-US"/>
        </w:rPr>
        <w:t xml:space="preserve">the Commission and </w:t>
      </w:r>
      <w:r w:rsidR="002826A6" w:rsidRPr="00104227">
        <w:rPr>
          <w:lang w:val="en-US"/>
        </w:rPr>
        <w:t>the representatives</w:t>
      </w:r>
      <w:r w:rsidR="00D57225" w:rsidRPr="00104227">
        <w:rPr>
          <w:lang w:val="en-US"/>
        </w:rPr>
        <w:t>, as</w:t>
      </w:r>
      <w:r w:rsidRPr="00104227">
        <w:rPr>
          <w:lang w:val="en-US"/>
        </w:rPr>
        <w:t xml:space="preserve"> well as the arguments </w:t>
      </w:r>
      <w:r w:rsidR="002826A6" w:rsidRPr="00104227">
        <w:rPr>
          <w:lang w:val="en-US"/>
        </w:rPr>
        <w:t xml:space="preserve">of the </w:t>
      </w:r>
      <w:r w:rsidR="00AC3BFC" w:rsidRPr="00104227">
        <w:rPr>
          <w:lang w:val="en-US"/>
        </w:rPr>
        <w:t>State</w:t>
      </w:r>
      <w:r w:rsidR="00D57225" w:rsidRPr="00104227">
        <w:rPr>
          <w:lang w:val="en-US"/>
        </w:rPr>
        <w:t xml:space="preserve">, </w:t>
      </w:r>
      <w:r w:rsidRPr="00104227">
        <w:rPr>
          <w:lang w:val="en-US"/>
        </w:rPr>
        <w:t>in light of the criteria established in its case law concerning the nature and scope of the obligation to make reparation, in order to establish measures addressed at re</w:t>
      </w:r>
      <w:r w:rsidR="00B65052" w:rsidRPr="00104227">
        <w:rPr>
          <w:lang w:val="en-US"/>
        </w:rPr>
        <w:t>dressing</w:t>
      </w:r>
      <w:r w:rsidRPr="00104227">
        <w:rPr>
          <w:lang w:val="en-US"/>
        </w:rPr>
        <w:t xml:space="preserve"> the harm caused to the victims.</w:t>
      </w:r>
      <w:r w:rsidR="00D57225" w:rsidRPr="00104227">
        <w:rPr>
          <w:rStyle w:val="Refdenotaalpie"/>
          <w:szCs w:val="20"/>
          <w:lang w:val="en-US"/>
        </w:rPr>
        <w:footnoteReference w:id="444"/>
      </w:r>
    </w:p>
    <w:p w14:paraId="2BEF9287" w14:textId="77777777" w:rsidR="00D57225" w:rsidRPr="00104227" w:rsidRDefault="00D57225" w:rsidP="00E4619F">
      <w:pPr>
        <w:tabs>
          <w:tab w:val="left" w:pos="567"/>
        </w:tabs>
        <w:rPr>
          <w:szCs w:val="20"/>
        </w:rPr>
      </w:pPr>
    </w:p>
    <w:p w14:paraId="20D51CC9" w14:textId="1711EA58" w:rsidR="00D57225" w:rsidRPr="00104227" w:rsidRDefault="00AA375E" w:rsidP="00E4619F">
      <w:pPr>
        <w:pStyle w:val="Numberedparagraphs"/>
        <w:tabs>
          <w:tab w:val="left" w:pos="567"/>
        </w:tabs>
        <w:rPr>
          <w:lang w:val="en-US"/>
        </w:rPr>
      </w:pPr>
      <w:r w:rsidRPr="00104227">
        <w:rPr>
          <w:lang w:val="en-US"/>
        </w:rPr>
        <w:t xml:space="preserve">International case law and, in particular, that of the Court has established repeatedly that the judgment constitutes, </w:t>
      </w:r>
      <w:r w:rsidRPr="00104227">
        <w:rPr>
          <w:i/>
          <w:iCs/>
          <w:lang w:val="en-US"/>
        </w:rPr>
        <w:t>per se</w:t>
      </w:r>
      <w:r w:rsidRPr="00104227">
        <w:rPr>
          <w:lang w:val="en-US"/>
        </w:rPr>
        <w:t>, a form of reparation.</w:t>
      </w:r>
      <w:r w:rsidR="00D57225" w:rsidRPr="00104227">
        <w:rPr>
          <w:rStyle w:val="Refdenotaalpie"/>
          <w:szCs w:val="20"/>
          <w:lang w:val="en-US"/>
        </w:rPr>
        <w:footnoteReference w:id="445"/>
      </w:r>
      <w:r w:rsidRPr="00104227">
        <w:rPr>
          <w:lang w:val="en-US"/>
        </w:rPr>
        <w:t xml:space="preserve"> However, considering the circumstances of this case and the suffering that the violations committed caused the victims, the Court finds it pertinent to establish other measures</w:t>
      </w:r>
      <w:r w:rsidR="00D57225" w:rsidRPr="00104227">
        <w:rPr>
          <w:lang w:val="en-US"/>
        </w:rPr>
        <w:t>.</w:t>
      </w:r>
    </w:p>
    <w:p w14:paraId="2ABE1965" w14:textId="77777777" w:rsidR="00D57225" w:rsidRPr="00104227" w:rsidRDefault="00D57225" w:rsidP="00E4619F">
      <w:pPr>
        <w:tabs>
          <w:tab w:val="left" w:pos="567"/>
        </w:tabs>
        <w:rPr>
          <w:spacing w:val="-4"/>
          <w:szCs w:val="20"/>
          <w:lang w:eastAsia="es-MX"/>
        </w:rPr>
      </w:pPr>
    </w:p>
    <w:p w14:paraId="59E11161" w14:textId="403EBF42" w:rsidR="00D57225" w:rsidRPr="00104227" w:rsidRDefault="005E5DCC" w:rsidP="00E4619F">
      <w:pPr>
        <w:pStyle w:val="Ttulo2"/>
        <w:numPr>
          <w:ilvl w:val="0"/>
          <w:numId w:val="98"/>
        </w:numPr>
        <w:ind w:left="990" w:hanging="450"/>
        <w:rPr>
          <w:szCs w:val="20"/>
          <w:lang w:val="en-US"/>
        </w:rPr>
      </w:pPr>
      <w:bookmarkStart w:id="397" w:name="_Toc31290616"/>
      <w:r w:rsidRPr="00104227">
        <w:rPr>
          <w:szCs w:val="20"/>
          <w:lang w:val="en-US"/>
        </w:rPr>
        <w:t>Injured party</w:t>
      </w:r>
      <w:bookmarkEnd w:id="397"/>
    </w:p>
    <w:p w14:paraId="2A64A057" w14:textId="77777777" w:rsidR="00D57225" w:rsidRPr="00104227" w:rsidRDefault="00D57225" w:rsidP="00E4619F">
      <w:pPr>
        <w:tabs>
          <w:tab w:val="left" w:pos="567"/>
        </w:tabs>
        <w:rPr>
          <w:spacing w:val="-4"/>
          <w:szCs w:val="20"/>
          <w:lang w:eastAsia="es-MX"/>
        </w:rPr>
      </w:pPr>
    </w:p>
    <w:p w14:paraId="7167E4DF" w14:textId="34360CBA" w:rsidR="00D57225" w:rsidRPr="00104227" w:rsidRDefault="00BF5241" w:rsidP="00E4619F">
      <w:pPr>
        <w:pStyle w:val="Numberedparagraphs"/>
        <w:tabs>
          <w:tab w:val="left" w:pos="567"/>
        </w:tabs>
        <w:rPr>
          <w:lang w:val="en-US"/>
        </w:rPr>
      </w:pPr>
      <w:r w:rsidRPr="00104227">
        <w:rPr>
          <w:lang w:val="en-US"/>
        </w:rPr>
        <w:t>This Court</w:t>
      </w:r>
      <w:r w:rsidR="00D57225" w:rsidRPr="00104227">
        <w:rPr>
          <w:lang w:val="en-US"/>
        </w:rPr>
        <w:t xml:space="preserve"> reitera</w:t>
      </w:r>
      <w:r w:rsidR="00AA375E" w:rsidRPr="00104227">
        <w:rPr>
          <w:lang w:val="en-US"/>
        </w:rPr>
        <w:t>tes that, pursuant to</w:t>
      </w:r>
      <w:r w:rsidR="0060075A" w:rsidRPr="00104227">
        <w:rPr>
          <w:lang w:val="en-US"/>
        </w:rPr>
        <w:t xml:space="preserve"> Article</w:t>
      </w:r>
      <w:r w:rsidR="00D57225" w:rsidRPr="00104227">
        <w:rPr>
          <w:lang w:val="en-US"/>
        </w:rPr>
        <w:t xml:space="preserve"> </w:t>
      </w:r>
      <w:r w:rsidRPr="00104227">
        <w:rPr>
          <w:lang w:val="en-US"/>
        </w:rPr>
        <w:t>63(1) of the Convention</w:t>
      </w:r>
      <w:r w:rsidR="00D57225" w:rsidRPr="00104227">
        <w:rPr>
          <w:lang w:val="en-US"/>
        </w:rPr>
        <w:t xml:space="preserve">, </w:t>
      </w:r>
      <w:r w:rsidR="00AA375E" w:rsidRPr="00104227">
        <w:rPr>
          <w:lang w:val="en-US"/>
        </w:rPr>
        <w:t>the injured party is considered to be a person who has been declared a victim of the violation of any</w:t>
      </w:r>
      <w:r w:rsidR="00B65052" w:rsidRPr="00104227">
        <w:rPr>
          <w:lang w:val="en-US"/>
        </w:rPr>
        <w:t xml:space="preserve"> of the</w:t>
      </w:r>
      <w:r w:rsidR="00AA375E" w:rsidRPr="00104227">
        <w:rPr>
          <w:lang w:val="en-US"/>
        </w:rPr>
        <w:t xml:space="preserve"> rights recognized therein. Therefore, the Court considers </w:t>
      </w:r>
      <w:r w:rsidR="00F3010F" w:rsidRPr="00104227">
        <w:rPr>
          <w:lang w:val="en-US"/>
        </w:rPr>
        <w:t>that</w:t>
      </w:r>
      <w:r w:rsidR="00D57225" w:rsidRPr="00104227">
        <w:rPr>
          <w:lang w:val="en-US"/>
        </w:rPr>
        <w:t xml:space="preserve"> Yolanda Muñoz Diosdada, Norma Aidé Jiménez Osorio, María Patricia Romero Hernández, Mariana Selvas Gómez, Georgina Edith </w:t>
      </w:r>
      <w:r w:rsidR="00DA23B8" w:rsidRPr="00104227">
        <w:rPr>
          <w:lang w:val="en-US"/>
        </w:rPr>
        <w:t>Rosales</w:t>
      </w:r>
      <w:r w:rsidR="00D57225" w:rsidRPr="00104227">
        <w:rPr>
          <w:lang w:val="en-US"/>
        </w:rPr>
        <w:t xml:space="preserve"> Gutiérrez, Ana María Velasco Rodríguez, Suhelen Gabriela Cuevas Jaramillo, Bárbara Italia Méndez Moreno, María Cristina Sánchez Hernández, </w:t>
      </w:r>
      <w:r w:rsidR="0047539E" w:rsidRPr="00104227">
        <w:rPr>
          <w:lang w:val="en-US"/>
        </w:rPr>
        <w:t>Angélica Patricia Torres</w:t>
      </w:r>
      <w:r w:rsidR="00D57225" w:rsidRPr="00104227">
        <w:rPr>
          <w:lang w:val="en-US"/>
        </w:rPr>
        <w:t xml:space="preserve"> Linares</w:t>
      </w:r>
      <w:r w:rsidRPr="00104227">
        <w:rPr>
          <w:lang w:val="en-US"/>
        </w:rPr>
        <w:t xml:space="preserve"> and </w:t>
      </w:r>
      <w:r w:rsidR="00D57225" w:rsidRPr="00104227">
        <w:rPr>
          <w:lang w:val="en-US"/>
        </w:rPr>
        <w:t>Claudia Hernández Martínez</w:t>
      </w:r>
      <w:r w:rsidRPr="00104227">
        <w:rPr>
          <w:lang w:val="en-US"/>
        </w:rPr>
        <w:t xml:space="preserve"> and</w:t>
      </w:r>
      <w:r w:rsidR="00F3010F" w:rsidRPr="00104227">
        <w:rPr>
          <w:lang w:val="en-US"/>
        </w:rPr>
        <w:t xml:space="preserve"> their relatives identified in </w:t>
      </w:r>
      <w:r w:rsidR="00DF5F3C" w:rsidRPr="00104227">
        <w:rPr>
          <w:lang w:val="en-US"/>
        </w:rPr>
        <w:t>paragraph</w:t>
      </w:r>
      <w:r w:rsidR="00C726C5" w:rsidRPr="00104227">
        <w:rPr>
          <w:lang w:val="en-US"/>
        </w:rPr>
        <w:t xml:space="preserve"> </w:t>
      </w:r>
      <w:r w:rsidR="00A23EE6" w:rsidRPr="00104227">
        <w:rPr>
          <w:lang w:val="en-US"/>
        </w:rPr>
        <w:fldChar w:fldCharType="begin"/>
      </w:r>
      <w:r w:rsidR="00A23EE6" w:rsidRPr="00104227">
        <w:rPr>
          <w:lang w:val="en-US"/>
        </w:rPr>
        <w:instrText xml:space="preserve"> REF _Ref532979975 \r \h </w:instrText>
      </w:r>
      <w:r w:rsidR="00284EAE" w:rsidRPr="00104227">
        <w:rPr>
          <w:lang w:val="en-US"/>
        </w:rPr>
        <w:instrText xml:space="preserve"> \* MERGEFORMAT </w:instrText>
      </w:r>
      <w:r w:rsidR="00A23EE6" w:rsidRPr="00104227">
        <w:rPr>
          <w:lang w:val="en-US"/>
        </w:rPr>
      </w:r>
      <w:r w:rsidR="00A23EE6" w:rsidRPr="00104227">
        <w:rPr>
          <w:lang w:val="en-US"/>
        </w:rPr>
        <w:fldChar w:fldCharType="separate"/>
      </w:r>
      <w:r w:rsidR="004276BD">
        <w:rPr>
          <w:lang w:val="en-US"/>
        </w:rPr>
        <w:t>324</w:t>
      </w:r>
      <w:r w:rsidR="00A23EE6" w:rsidRPr="00104227">
        <w:rPr>
          <w:lang w:val="en-US"/>
        </w:rPr>
        <w:fldChar w:fldCharType="end"/>
      </w:r>
      <w:r w:rsidR="00D57225" w:rsidRPr="00104227">
        <w:rPr>
          <w:lang w:val="en-US"/>
        </w:rPr>
        <w:t xml:space="preserve"> </w:t>
      </w:r>
      <w:r w:rsidR="005E29A3" w:rsidRPr="00104227">
        <w:rPr>
          <w:lang w:val="en-US"/>
        </w:rPr>
        <w:t>of this judgment</w:t>
      </w:r>
      <w:r w:rsidR="00D57225" w:rsidRPr="00104227">
        <w:rPr>
          <w:lang w:val="en-US"/>
        </w:rPr>
        <w:t>,</w:t>
      </w:r>
      <w:r w:rsidR="00F3010F" w:rsidRPr="00104227">
        <w:rPr>
          <w:lang w:val="en-US"/>
        </w:rPr>
        <w:t xml:space="preserve"> are the </w:t>
      </w:r>
      <w:r w:rsidR="00F3010F" w:rsidRPr="00104227">
        <w:rPr>
          <w:lang w:val="en-US"/>
        </w:rPr>
        <w:lastRenderedPageBreak/>
        <w:t>“injured party” and, in their capacity as victims of the vi</w:t>
      </w:r>
      <w:r w:rsidR="00B65052" w:rsidRPr="00104227">
        <w:rPr>
          <w:lang w:val="en-US"/>
        </w:rPr>
        <w:t>olations</w:t>
      </w:r>
      <w:r w:rsidR="00F3010F" w:rsidRPr="00104227">
        <w:rPr>
          <w:lang w:val="en-US"/>
        </w:rPr>
        <w:t xml:space="preserve"> declared in </w:t>
      </w:r>
      <w:r w:rsidR="00F27D61" w:rsidRPr="00104227">
        <w:rPr>
          <w:lang w:val="en-US"/>
        </w:rPr>
        <w:t>Chapter</w:t>
      </w:r>
      <w:r w:rsidR="00F3010F" w:rsidRPr="00104227">
        <w:rPr>
          <w:lang w:val="en-US"/>
        </w:rPr>
        <w:t xml:space="preserve"> IX, they </w:t>
      </w:r>
      <w:r w:rsidR="00B65052" w:rsidRPr="00104227">
        <w:rPr>
          <w:lang w:val="en-US"/>
        </w:rPr>
        <w:t>w</w:t>
      </w:r>
      <w:r w:rsidR="00F3010F" w:rsidRPr="00104227">
        <w:rPr>
          <w:lang w:val="en-US"/>
        </w:rPr>
        <w:t>ill be the beneficiaries of the reparations ordered by the Court below</w:t>
      </w:r>
      <w:r w:rsidR="00D57225" w:rsidRPr="00104227">
        <w:rPr>
          <w:lang w:val="en-US"/>
        </w:rPr>
        <w:t xml:space="preserve">. </w:t>
      </w:r>
    </w:p>
    <w:p w14:paraId="39C432DA" w14:textId="77777777" w:rsidR="00D57225" w:rsidRPr="00104227" w:rsidRDefault="00D57225" w:rsidP="00E4619F">
      <w:pPr>
        <w:tabs>
          <w:tab w:val="left" w:pos="567"/>
        </w:tabs>
        <w:rPr>
          <w:spacing w:val="-4"/>
          <w:szCs w:val="20"/>
          <w:lang w:eastAsia="es-MX"/>
        </w:rPr>
      </w:pPr>
    </w:p>
    <w:p w14:paraId="36DFA7FE" w14:textId="595160FA" w:rsidR="00D57225" w:rsidRPr="00104227" w:rsidRDefault="005E5DCC" w:rsidP="00E4619F">
      <w:pPr>
        <w:pStyle w:val="Ttulo2"/>
        <w:ind w:left="1440"/>
        <w:rPr>
          <w:lang w:val="en-US"/>
        </w:rPr>
      </w:pPr>
      <w:bookmarkStart w:id="398" w:name="_Toc31290617"/>
      <w:r w:rsidRPr="00104227">
        <w:rPr>
          <w:lang w:val="en-US"/>
        </w:rPr>
        <w:t>Preliminary considerations concerning reparations</w:t>
      </w:r>
      <w:bookmarkEnd w:id="398"/>
      <w:r w:rsidR="00D57225" w:rsidRPr="00104227">
        <w:rPr>
          <w:lang w:val="en-US"/>
        </w:rPr>
        <w:t xml:space="preserve"> </w:t>
      </w:r>
    </w:p>
    <w:p w14:paraId="3D3C8A19" w14:textId="77777777" w:rsidR="00D57225" w:rsidRPr="00104227" w:rsidRDefault="00D57225" w:rsidP="00E4619F">
      <w:pPr>
        <w:tabs>
          <w:tab w:val="left" w:pos="567"/>
        </w:tabs>
        <w:rPr>
          <w:szCs w:val="20"/>
          <w:lang w:eastAsia="es-MX"/>
        </w:rPr>
      </w:pPr>
    </w:p>
    <w:p w14:paraId="568ABE38" w14:textId="3D1B9020" w:rsidR="00D57225" w:rsidRPr="00104227" w:rsidRDefault="00D57225" w:rsidP="00E4619F">
      <w:pPr>
        <w:pStyle w:val="Ttulo3"/>
        <w:tabs>
          <w:tab w:val="left" w:pos="567"/>
        </w:tabs>
        <w:rPr>
          <w:lang w:val="en-US"/>
        </w:rPr>
      </w:pPr>
      <w:bookmarkStart w:id="399" w:name="_Toc31290618"/>
      <w:r w:rsidRPr="00104227">
        <w:rPr>
          <w:lang w:val="en-US"/>
        </w:rPr>
        <w:t xml:space="preserve">B.1 </w:t>
      </w:r>
      <w:r w:rsidR="00736460" w:rsidRPr="00104227">
        <w:rPr>
          <w:lang w:val="en-US"/>
        </w:rPr>
        <w:t>Arguments of the parties</w:t>
      </w:r>
      <w:r w:rsidR="00BF5241" w:rsidRPr="00104227">
        <w:rPr>
          <w:lang w:val="en-US"/>
        </w:rPr>
        <w:t xml:space="preserve"> and of the Commission</w:t>
      </w:r>
      <w:bookmarkEnd w:id="399"/>
      <w:r w:rsidRPr="00104227">
        <w:rPr>
          <w:lang w:val="en-US"/>
        </w:rPr>
        <w:t xml:space="preserve"> </w:t>
      </w:r>
    </w:p>
    <w:p w14:paraId="23B03BB8" w14:textId="77777777" w:rsidR="00D57225" w:rsidRPr="00104227" w:rsidRDefault="00D57225" w:rsidP="00E4619F">
      <w:pPr>
        <w:tabs>
          <w:tab w:val="left" w:pos="567"/>
        </w:tabs>
        <w:rPr>
          <w:szCs w:val="20"/>
          <w:lang w:eastAsia="es-MX"/>
        </w:rPr>
      </w:pPr>
    </w:p>
    <w:p w14:paraId="3AEFBF5C" w14:textId="3E6FE5B2" w:rsidR="00D57225" w:rsidRPr="00104227" w:rsidRDefault="00AC3BFC" w:rsidP="00E4619F">
      <w:pPr>
        <w:pStyle w:val="Numberedparagraphs"/>
        <w:tabs>
          <w:tab w:val="left" w:pos="567"/>
        </w:tabs>
        <w:rPr>
          <w:b/>
          <w:lang w:val="en-US"/>
        </w:rPr>
      </w:pPr>
      <w:r w:rsidRPr="00104227">
        <w:rPr>
          <w:lang w:val="en-US"/>
        </w:rPr>
        <w:t xml:space="preserve">The </w:t>
      </w:r>
      <w:r w:rsidRPr="00104227">
        <w:rPr>
          <w:b/>
          <w:bCs/>
          <w:i/>
          <w:iCs/>
          <w:lang w:val="en-US"/>
        </w:rPr>
        <w:t>State</w:t>
      </w:r>
      <w:r w:rsidR="00D57225" w:rsidRPr="00104227">
        <w:rPr>
          <w:lang w:val="en-US"/>
        </w:rPr>
        <w:t xml:space="preserve"> </w:t>
      </w:r>
      <w:r w:rsidR="005427A0" w:rsidRPr="00104227">
        <w:rPr>
          <w:lang w:val="en-US"/>
        </w:rPr>
        <w:t>asked</w:t>
      </w:r>
      <w:r w:rsidR="00D57225" w:rsidRPr="00104227">
        <w:rPr>
          <w:lang w:val="en-US"/>
        </w:rPr>
        <w:t xml:space="preserve"> </w:t>
      </w:r>
      <w:r w:rsidR="00BF5241" w:rsidRPr="00104227">
        <w:rPr>
          <w:lang w:val="en-US"/>
        </w:rPr>
        <w:t>the Court</w:t>
      </w:r>
      <w:r w:rsidR="00D57225" w:rsidRPr="00104227">
        <w:rPr>
          <w:lang w:val="en-US"/>
        </w:rPr>
        <w:t xml:space="preserve"> </w:t>
      </w:r>
      <w:r w:rsidR="005427A0" w:rsidRPr="00104227">
        <w:rPr>
          <w:lang w:val="en-US"/>
        </w:rPr>
        <w:t xml:space="preserve">to evaluate, based on </w:t>
      </w:r>
      <w:r w:rsidR="001E2CED" w:rsidRPr="00104227">
        <w:rPr>
          <w:lang w:val="en-US"/>
        </w:rPr>
        <w:t>the principle of complementarity</w:t>
      </w:r>
      <w:r w:rsidR="00D57225" w:rsidRPr="00104227">
        <w:rPr>
          <w:lang w:val="en-US"/>
        </w:rPr>
        <w:t>,</w:t>
      </w:r>
      <w:r w:rsidR="005427A0" w:rsidRPr="00104227">
        <w:rPr>
          <w:lang w:val="en-US"/>
        </w:rPr>
        <w:t xml:space="preserve"> the actions that the State had</w:t>
      </w:r>
      <w:r w:rsidR="00A247CE" w:rsidRPr="00104227">
        <w:rPr>
          <w:lang w:val="en-US"/>
        </w:rPr>
        <w:t xml:space="preserve"> already</w:t>
      </w:r>
      <w:r w:rsidR="005427A0" w:rsidRPr="00104227">
        <w:rPr>
          <w:lang w:val="en-US"/>
        </w:rPr>
        <w:t xml:space="preserve"> implemented as a result of its acknowledgement of responsibility and adoption</w:t>
      </w:r>
      <w:r w:rsidR="00D57225" w:rsidRPr="00104227">
        <w:rPr>
          <w:lang w:val="en-US"/>
        </w:rPr>
        <w:t xml:space="preserve"> </w:t>
      </w:r>
      <w:r w:rsidR="00F12946" w:rsidRPr="00104227">
        <w:rPr>
          <w:lang w:val="en-US"/>
        </w:rPr>
        <w:t>of</w:t>
      </w:r>
      <w:r w:rsidR="005427A0" w:rsidRPr="00104227">
        <w:rPr>
          <w:lang w:val="en-US"/>
        </w:rPr>
        <w:t xml:space="preserve"> the Inter-American</w:t>
      </w:r>
      <w:r w:rsidR="00BF5241" w:rsidRPr="00104227">
        <w:rPr>
          <w:lang w:val="en-US"/>
        </w:rPr>
        <w:t xml:space="preserve"> Commission</w:t>
      </w:r>
      <w:r w:rsidR="00A247CE" w:rsidRPr="00104227">
        <w:rPr>
          <w:lang w:val="en-US"/>
        </w:rPr>
        <w:t>’s Merits Report</w:t>
      </w:r>
      <w:r w:rsidR="00D57225" w:rsidRPr="00104227">
        <w:rPr>
          <w:lang w:val="en-US"/>
        </w:rPr>
        <w:t>, “</w:t>
      </w:r>
      <w:r w:rsidR="005427A0" w:rsidRPr="00104227">
        <w:rPr>
          <w:lang w:val="en-US"/>
        </w:rPr>
        <w:t xml:space="preserve">in order to limit its ruling on new reparations in this case, particularly in light of the requests for reparation made by the </w:t>
      </w:r>
      <w:r w:rsidR="00F27D61" w:rsidRPr="00104227">
        <w:rPr>
          <w:lang w:val="en-US"/>
        </w:rPr>
        <w:t>representative</w:t>
      </w:r>
      <w:r w:rsidR="005427A0" w:rsidRPr="00104227">
        <w:rPr>
          <w:lang w:val="en-US"/>
        </w:rPr>
        <w:t xml:space="preserve"> in the motions and pleadings brief.”</w:t>
      </w:r>
    </w:p>
    <w:p w14:paraId="1A8D0B22" w14:textId="77777777" w:rsidR="00D57225" w:rsidRPr="00104227" w:rsidRDefault="00D57225" w:rsidP="00E4619F">
      <w:pPr>
        <w:tabs>
          <w:tab w:val="left" w:pos="567"/>
        </w:tabs>
        <w:rPr>
          <w:szCs w:val="20"/>
          <w:lang w:eastAsia="es-MX"/>
        </w:rPr>
      </w:pPr>
    </w:p>
    <w:p w14:paraId="3F88167F" w14:textId="5805DFD2" w:rsidR="005427A0" w:rsidRPr="00104227" w:rsidRDefault="002826A6" w:rsidP="00E4619F">
      <w:pPr>
        <w:pStyle w:val="Numberedparagraphs"/>
        <w:tabs>
          <w:tab w:val="left" w:pos="567"/>
        </w:tabs>
        <w:rPr>
          <w:rFonts w:eastAsia="ArialMT" w:cs="ArialMT"/>
          <w:b/>
          <w:lang w:val="en-US"/>
        </w:rPr>
      </w:pPr>
      <w:r w:rsidRPr="00104227">
        <w:rPr>
          <w:lang w:val="en-US"/>
        </w:rPr>
        <w:t xml:space="preserve">The </w:t>
      </w:r>
      <w:r w:rsidRPr="00104227">
        <w:rPr>
          <w:b/>
          <w:bCs/>
          <w:i/>
          <w:iCs/>
          <w:lang w:val="en-US"/>
        </w:rPr>
        <w:t>representatives</w:t>
      </w:r>
      <w:r w:rsidR="00D57225" w:rsidRPr="00104227">
        <w:rPr>
          <w:b/>
          <w:bCs/>
          <w:i/>
          <w:iCs/>
          <w:lang w:val="en-US"/>
        </w:rPr>
        <w:t xml:space="preserve"> </w:t>
      </w:r>
      <w:r w:rsidR="005427A0" w:rsidRPr="00104227">
        <w:rPr>
          <w:lang w:val="en-US"/>
        </w:rPr>
        <w:t xml:space="preserve">indicated that the State's acknowledgement of responsibility had not been reflected in the adoption of measures of reparation in favor of the victims. They alleged that it was </w:t>
      </w:r>
      <w:r w:rsidR="00A247CE" w:rsidRPr="00104227">
        <w:rPr>
          <w:lang w:val="en-US"/>
        </w:rPr>
        <w:t>paradoxical</w:t>
      </w:r>
      <w:r w:rsidR="005427A0" w:rsidRPr="00104227">
        <w:rPr>
          <w:lang w:val="en-US"/>
        </w:rPr>
        <w:t xml:space="preserve"> that Mexico would ask that that no measure of reparation of any type be ordered, with the exception of the publication of the judgment. They also indicated that most of the measures to which Mexico referred were not specifically addressed at combating the sexual torture of women by State agents. The also indicated that th</w:t>
      </w:r>
      <w:r w:rsidR="00A247CE" w:rsidRPr="00104227">
        <w:rPr>
          <w:lang w:val="en-US"/>
        </w:rPr>
        <w:t>e</w:t>
      </w:r>
      <w:r w:rsidR="005427A0" w:rsidRPr="00104227">
        <w:rPr>
          <w:lang w:val="en-US"/>
        </w:rPr>
        <w:t xml:space="preserve"> State had provided almost no information on the positive impact of the measures</w:t>
      </w:r>
      <w:r w:rsidR="00A247CE" w:rsidRPr="00104227">
        <w:rPr>
          <w:lang w:val="en-US"/>
        </w:rPr>
        <w:t xml:space="preserve"> and, therefore, </w:t>
      </w:r>
      <w:r w:rsidR="005427A0" w:rsidRPr="00104227">
        <w:rPr>
          <w:lang w:val="en-US"/>
        </w:rPr>
        <w:t xml:space="preserve">they could not be considered measures of non-repetition. </w:t>
      </w:r>
    </w:p>
    <w:p w14:paraId="470BD15F" w14:textId="77777777" w:rsidR="00D57225" w:rsidRPr="00104227" w:rsidRDefault="00D57225" w:rsidP="00E4619F">
      <w:pPr>
        <w:tabs>
          <w:tab w:val="left" w:pos="567"/>
        </w:tabs>
        <w:rPr>
          <w:lang w:eastAsia="es-MX"/>
        </w:rPr>
      </w:pPr>
    </w:p>
    <w:p w14:paraId="2B6C1017" w14:textId="082D0AFD" w:rsidR="00D57225" w:rsidRPr="00104227" w:rsidRDefault="00D57225" w:rsidP="00E4619F">
      <w:pPr>
        <w:pStyle w:val="Ttulo3"/>
        <w:tabs>
          <w:tab w:val="left" w:pos="567"/>
        </w:tabs>
        <w:rPr>
          <w:lang w:val="en-US" w:eastAsia="es-MX"/>
        </w:rPr>
      </w:pPr>
      <w:bookmarkStart w:id="400" w:name="_Toc31290619"/>
      <w:r w:rsidRPr="00104227">
        <w:rPr>
          <w:lang w:val="en-US" w:eastAsia="es-MX"/>
        </w:rPr>
        <w:t xml:space="preserve">B.2 </w:t>
      </w:r>
      <w:r w:rsidR="006E13F0" w:rsidRPr="00104227">
        <w:rPr>
          <w:lang w:val="en-US" w:eastAsia="es-MX"/>
        </w:rPr>
        <w:t>Considerations</w:t>
      </w:r>
      <w:r w:rsidR="00BF5241" w:rsidRPr="00104227">
        <w:rPr>
          <w:lang w:val="en-US" w:eastAsia="es-MX"/>
        </w:rPr>
        <w:t xml:space="preserve"> of the Court</w:t>
      </w:r>
      <w:bookmarkEnd w:id="400"/>
    </w:p>
    <w:p w14:paraId="6BB20F61" w14:textId="77777777" w:rsidR="00D57225" w:rsidRPr="00104227" w:rsidRDefault="00D57225" w:rsidP="00E4619F">
      <w:pPr>
        <w:tabs>
          <w:tab w:val="left" w:pos="567"/>
        </w:tabs>
        <w:rPr>
          <w:lang w:eastAsia="es-MX"/>
        </w:rPr>
      </w:pPr>
    </w:p>
    <w:p w14:paraId="2904F1F4" w14:textId="5BF265D7" w:rsidR="00D57225" w:rsidRPr="00104227" w:rsidRDefault="005427A0" w:rsidP="002037FD">
      <w:pPr>
        <w:pStyle w:val="Numberedparagraphs"/>
        <w:tabs>
          <w:tab w:val="left" w:pos="567"/>
        </w:tabs>
        <w:rPr>
          <w:lang w:val="en-US"/>
        </w:rPr>
      </w:pPr>
      <w:r w:rsidRPr="00104227">
        <w:rPr>
          <w:lang w:val="en-US"/>
        </w:rPr>
        <w:t xml:space="preserve">In this case, the Court notes that, in the context of the procedure before </w:t>
      </w:r>
      <w:r w:rsidR="00BF5241" w:rsidRPr="00104227">
        <w:rPr>
          <w:lang w:val="en-US"/>
        </w:rPr>
        <w:t>the Inter-American Commission</w:t>
      </w:r>
      <w:r w:rsidR="00D57225" w:rsidRPr="00104227">
        <w:rPr>
          <w:lang w:val="en-US"/>
        </w:rPr>
        <w:t xml:space="preserve">, </w:t>
      </w:r>
      <w:r w:rsidR="00AC3BFC" w:rsidRPr="00104227">
        <w:rPr>
          <w:lang w:val="en-US"/>
        </w:rPr>
        <w:t>the State</w:t>
      </w:r>
      <w:r w:rsidR="00D57225" w:rsidRPr="00104227">
        <w:rPr>
          <w:lang w:val="en-US"/>
        </w:rPr>
        <w:t xml:space="preserve"> prop</w:t>
      </w:r>
      <w:r w:rsidRPr="00104227">
        <w:rPr>
          <w:lang w:val="en-US"/>
        </w:rPr>
        <w:t xml:space="preserve">osed a comprehensive reparation plan that </w:t>
      </w:r>
      <w:r w:rsidR="00A247CE" w:rsidRPr="00104227">
        <w:rPr>
          <w:lang w:val="en-US"/>
        </w:rPr>
        <w:t>offered</w:t>
      </w:r>
      <w:r w:rsidRPr="00104227">
        <w:rPr>
          <w:lang w:val="en-US"/>
        </w:rPr>
        <w:t xml:space="preserve"> the victims procedures aimed at the elimination of their criminal records, payment of compensation, educational scholarships, health services, housing and investigation of the facts, among other measures.</w:t>
      </w:r>
      <w:r w:rsidR="00D57225" w:rsidRPr="00104227">
        <w:rPr>
          <w:rStyle w:val="Refdenotaalpie"/>
          <w:lang w:val="en-US"/>
        </w:rPr>
        <w:footnoteReference w:id="446"/>
      </w:r>
      <w:r w:rsidRPr="00104227">
        <w:rPr>
          <w:lang w:val="en-US"/>
        </w:rPr>
        <w:t xml:space="preserve"> Nevertheless, as the State itself has noted,</w:t>
      </w:r>
      <w:r w:rsidR="00D57225" w:rsidRPr="00104227">
        <w:rPr>
          <w:lang w:val="en-US"/>
        </w:rPr>
        <w:t xml:space="preserve"> </w:t>
      </w:r>
      <w:r w:rsidR="002037FD" w:rsidRPr="00104227">
        <w:rPr>
          <w:lang w:val="en-US"/>
        </w:rPr>
        <w:t>in many cases these measures have not been implemented, either because the victims have not given their consent or for other reasons. In this regard, the Court has established that, for it to be ina</w:t>
      </w:r>
      <w:r w:rsidR="00A247CE" w:rsidRPr="00104227">
        <w:rPr>
          <w:lang w:val="en-US"/>
        </w:rPr>
        <w:t>ppropriate</w:t>
      </w:r>
      <w:r w:rsidR="002037FD" w:rsidRPr="00104227">
        <w:rPr>
          <w:lang w:val="en-US"/>
        </w:rPr>
        <w:t xml:space="preserve"> to order additional reparations to those already granted in the domestic sphere, it is not sufficient that the State indicate that </w:t>
      </w:r>
      <w:r w:rsidR="00A247CE" w:rsidRPr="00104227">
        <w:rPr>
          <w:lang w:val="en-US"/>
        </w:rPr>
        <w:t>reparations</w:t>
      </w:r>
      <w:r w:rsidR="002037FD" w:rsidRPr="00104227">
        <w:rPr>
          <w:lang w:val="en-US"/>
        </w:rPr>
        <w:t xml:space="preserve"> have been or can be granted through internal mechanisms. In addition, the measures must have been executed in</w:t>
      </w:r>
      <w:r w:rsidR="00A247CE" w:rsidRPr="00104227">
        <w:rPr>
          <w:lang w:val="en-US"/>
        </w:rPr>
        <w:t xml:space="preserve"> such</w:t>
      </w:r>
      <w:r w:rsidR="002037FD" w:rsidRPr="00104227">
        <w:rPr>
          <w:lang w:val="en-US"/>
        </w:rPr>
        <w:t xml:space="preserve"> a way that the Court can evaluate whether they have effectively redressed the consequences of the action or situation that constituted the violation of human rights in the specific case, or </w:t>
      </w:r>
      <w:r w:rsidR="00A247CE" w:rsidRPr="00104227">
        <w:rPr>
          <w:lang w:val="en-US"/>
        </w:rPr>
        <w:t>the Court must be provided with</w:t>
      </w:r>
      <w:r w:rsidR="002037FD" w:rsidRPr="00104227">
        <w:rPr>
          <w:lang w:val="en-US"/>
        </w:rPr>
        <w:t xml:space="preserve"> sufficient information to determine whether those repar</w:t>
      </w:r>
      <w:r w:rsidR="00A247CE" w:rsidRPr="00104227">
        <w:rPr>
          <w:lang w:val="en-US"/>
        </w:rPr>
        <w:t>a</w:t>
      </w:r>
      <w:r w:rsidR="002037FD" w:rsidRPr="00104227">
        <w:rPr>
          <w:lang w:val="en-US"/>
        </w:rPr>
        <w:t>tions are adequate and whether guarantees exist that the internal reparation mechanisms are sufficient.</w:t>
      </w:r>
      <w:r w:rsidR="00D57225" w:rsidRPr="00104227">
        <w:rPr>
          <w:rStyle w:val="Refdenotaalpie"/>
          <w:szCs w:val="20"/>
          <w:lang w:val="en-US"/>
        </w:rPr>
        <w:footnoteReference w:id="447"/>
      </w:r>
      <w:r w:rsidR="002037FD" w:rsidRPr="00104227">
        <w:rPr>
          <w:lang w:val="en-US"/>
        </w:rPr>
        <w:t xml:space="preserve"> These requirements ha</w:t>
      </w:r>
      <w:r w:rsidR="00A247CE" w:rsidRPr="00104227">
        <w:rPr>
          <w:lang w:val="en-US"/>
        </w:rPr>
        <w:t>v</w:t>
      </w:r>
      <w:r w:rsidR="002037FD" w:rsidRPr="00104227">
        <w:rPr>
          <w:lang w:val="en-US"/>
        </w:rPr>
        <w:t xml:space="preserve">e not been met </w:t>
      </w:r>
      <w:r w:rsidR="00816E4E" w:rsidRPr="00104227">
        <w:rPr>
          <w:spacing w:val="-2"/>
          <w:lang w:val="en-US"/>
        </w:rPr>
        <w:t>in this case</w:t>
      </w:r>
      <w:r w:rsidR="00D57225" w:rsidRPr="00104227">
        <w:rPr>
          <w:spacing w:val="-2"/>
          <w:lang w:val="en-US"/>
        </w:rPr>
        <w:t>.</w:t>
      </w:r>
    </w:p>
    <w:p w14:paraId="3DC2DEE7" w14:textId="77777777" w:rsidR="00D57225" w:rsidRPr="00104227" w:rsidRDefault="00D57225" w:rsidP="00E4619F">
      <w:pPr>
        <w:tabs>
          <w:tab w:val="left" w:pos="567"/>
        </w:tabs>
        <w:rPr>
          <w:lang w:eastAsia="es-MX"/>
        </w:rPr>
      </w:pPr>
    </w:p>
    <w:p w14:paraId="062BFF50" w14:textId="53588802" w:rsidR="00D57225" w:rsidRPr="00104227" w:rsidRDefault="002037FD" w:rsidP="00E4619F">
      <w:pPr>
        <w:pStyle w:val="Numberedparagraphs"/>
        <w:tabs>
          <w:tab w:val="left" w:pos="567"/>
        </w:tabs>
        <w:rPr>
          <w:lang w:val="en-US"/>
        </w:rPr>
      </w:pPr>
      <w:r w:rsidRPr="00104227">
        <w:rPr>
          <w:lang w:val="en-US"/>
        </w:rPr>
        <w:lastRenderedPageBreak/>
        <w:t>Nevertheless, as it has in other cases,</w:t>
      </w:r>
      <w:r w:rsidR="00D57225" w:rsidRPr="00104227">
        <w:rPr>
          <w:rStyle w:val="Refdenotaalpie"/>
          <w:lang w:val="en-US"/>
        </w:rPr>
        <w:footnoteReference w:id="448"/>
      </w:r>
      <w:r w:rsidR="00D57225" w:rsidRPr="00104227">
        <w:rPr>
          <w:lang w:val="en-US"/>
        </w:rPr>
        <w:t xml:space="preserve"> </w:t>
      </w:r>
      <w:r w:rsidR="00BF5241" w:rsidRPr="00104227">
        <w:rPr>
          <w:lang w:val="en-US"/>
        </w:rPr>
        <w:t>the Court</w:t>
      </w:r>
      <w:r w:rsidR="00D57225" w:rsidRPr="00104227">
        <w:rPr>
          <w:lang w:val="en-US"/>
        </w:rPr>
        <w:t xml:space="preserve"> </w:t>
      </w:r>
      <w:r w:rsidRPr="00104227">
        <w:rPr>
          <w:lang w:val="en-US"/>
        </w:rPr>
        <w:t>will take into account the actions undertaken by</w:t>
      </w:r>
      <w:r w:rsidR="00D57225" w:rsidRPr="00104227">
        <w:rPr>
          <w:lang w:val="en-US"/>
        </w:rPr>
        <w:t xml:space="preserve"> </w:t>
      </w:r>
      <w:r w:rsidR="00AC3BFC" w:rsidRPr="00104227">
        <w:rPr>
          <w:lang w:val="en-US"/>
        </w:rPr>
        <w:t>the Mexican State</w:t>
      </w:r>
      <w:r w:rsidR="00D57225" w:rsidRPr="00104227">
        <w:rPr>
          <w:lang w:val="en-US"/>
        </w:rPr>
        <w:t xml:space="preserve"> as</w:t>
      </w:r>
      <w:r w:rsidRPr="00104227">
        <w:rPr>
          <w:lang w:val="en-US"/>
        </w:rPr>
        <w:t xml:space="preserve"> well as the measures available at the domestic level when ordering the required reparations and will include the considerations it deems pertinent on each specific measure of reparation</w:t>
      </w:r>
      <w:r w:rsidR="00D57225" w:rsidRPr="00104227">
        <w:rPr>
          <w:lang w:val="en-US"/>
        </w:rPr>
        <w:t xml:space="preserve">. </w:t>
      </w:r>
    </w:p>
    <w:p w14:paraId="60EE6691" w14:textId="49ECABCB" w:rsidR="00D57225" w:rsidRPr="00104227" w:rsidRDefault="005E5DCC" w:rsidP="00E4619F">
      <w:pPr>
        <w:pStyle w:val="Ttulo2"/>
        <w:ind w:left="1440"/>
        <w:rPr>
          <w:szCs w:val="20"/>
          <w:lang w:val="en-US"/>
        </w:rPr>
      </w:pPr>
      <w:bookmarkStart w:id="401" w:name="_Toc31290620"/>
      <w:r w:rsidRPr="00104227">
        <w:rPr>
          <w:szCs w:val="20"/>
          <w:lang w:val="en-US"/>
        </w:rPr>
        <w:t>Obligation to investigate</w:t>
      </w:r>
      <w:bookmarkEnd w:id="401"/>
    </w:p>
    <w:p w14:paraId="34E1C5F5" w14:textId="77777777" w:rsidR="00D57225" w:rsidRPr="00104227" w:rsidRDefault="00D57225" w:rsidP="00E4619F">
      <w:pPr>
        <w:pStyle w:val="PrrafodeSentencia"/>
        <w:numPr>
          <w:ilvl w:val="0"/>
          <w:numId w:val="0"/>
        </w:numPr>
        <w:ind w:left="360"/>
        <w:rPr>
          <w:szCs w:val="20"/>
          <w:lang w:val="en-US"/>
        </w:rPr>
      </w:pPr>
    </w:p>
    <w:p w14:paraId="54741674" w14:textId="50452A8A" w:rsidR="00D57225" w:rsidRPr="00104227" w:rsidRDefault="00BF5241" w:rsidP="00E4619F">
      <w:pPr>
        <w:pStyle w:val="Numberedparagraphs"/>
        <w:tabs>
          <w:tab w:val="left" w:pos="567"/>
        </w:tabs>
        <w:rPr>
          <w:b/>
          <w:bCs/>
          <w:lang w:val="en-US"/>
        </w:rPr>
      </w:pPr>
      <w:r w:rsidRPr="00104227">
        <w:rPr>
          <w:lang w:val="en-US"/>
        </w:rPr>
        <w:t xml:space="preserve">The </w:t>
      </w:r>
      <w:r w:rsidRPr="00104227">
        <w:rPr>
          <w:b/>
          <w:bCs/>
          <w:i/>
          <w:iCs/>
          <w:lang w:val="en-US"/>
        </w:rPr>
        <w:t>Commission</w:t>
      </w:r>
      <w:r w:rsidR="00D57225" w:rsidRPr="00104227">
        <w:rPr>
          <w:b/>
          <w:i/>
          <w:lang w:val="en-US"/>
        </w:rPr>
        <w:t xml:space="preserve"> </w:t>
      </w:r>
      <w:r w:rsidR="002037FD" w:rsidRPr="00104227">
        <w:rPr>
          <w:lang w:val="en-US"/>
        </w:rPr>
        <w:t>asked that</w:t>
      </w:r>
      <w:r w:rsidR="00D57225" w:rsidRPr="00104227">
        <w:rPr>
          <w:lang w:val="en-US"/>
        </w:rPr>
        <w:t xml:space="preserve"> </w:t>
      </w:r>
      <w:r w:rsidR="00AC3BFC" w:rsidRPr="00104227">
        <w:rPr>
          <w:lang w:val="en-US"/>
        </w:rPr>
        <w:t>the State</w:t>
      </w:r>
      <w:r w:rsidR="00D57225" w:rsidRPr="00104227">
        <w:rPr>
          <w:lang w:val="en-US"/>
        </w:rPr>
        <w:t xml:space="preserve"> “[c]ontin</w:t>
      </w:r>
      <w:r w:rsidR="002037FD" w:rsidRPr="00104227">
        <w:rPr>
          <w:lang w:val="en-US"/>
        </w:rPr>
        <w:t>ue</w:t>
      </w:r>
      <w:r w:rsidR="00E954EE" w:rsidRPr="00104227">
        <w:rPr>
          <w:lang w:val="en-US"/>
        </w:rPr>
        <w:t xml:space="preserve"> the</w:t>
      </w:r>
      <w:r w:rsidR="002037FD" w:rsidRPr="00104227">
        <w:rPr>
          <w:lang w:val="en-US"/>
        </w:rPr>
        <w:t xml:space="preserve"> investigati</w:t>
      </w:r>
      <w:r w:rsidR="00E954EE" w:rsidRPr="00104227">
        <w:rPr>
          <w:lang w:val="en-US"/>
        </w:rPr>
        <w:t>ons</w:t>
      </w:r>
      <w:r w:rsidR="002037FD" w:rsidRPr="00104227">
        <w:rPr>
          <w:lang w:val="en-US"/>
        </w:rPr>
        <w:t>, with due diligence and within a r</w:t>
      </w:r>
      <w:r w:rsidR="005E5DCC" w:rsidRPr="00104227">
        <w:rPr>
          <w:lang w:val="en-US"/>
        </w:rPr>
        <w:t>easonable time</w:t>
      </w:r>
      <w:r w:rsidR="00D57225" w:rsidRPr="00104227">
        <w:rPr>
          <w:lang w:val="en-US"/>
        </w:rPr>
        <w:t xml:space="preserve">, </w:t>
      </w:r>
      <w:r w:rsidR="002037FD" w:rsidRPr="00104227">
        <w:rPr>
          <w:lang w:val="en-US"/>
        </w:rPr>
        <w:t>in order to clarify fully the act</w:t>
      </w:r>
      <w:r w:rsidR="00E954EE" w:rsidRPr="00104227">
        <w:rPr>
          <w:lang w:val="en-US"/>
        </w:rPr>
        <w:t>s</w:t>
      </w:r>
      <w:r w:rsidR="002037FD" w:rsidRPr="00104227">
        <w:rPr>
          <w:lang w:val="en-US"/>
        </w:rPr>
        <w:t xml:space="preserve"> that violated </w:t>
      </w:r>
      <w:r w:rsidRPr="00104227">
        <w:rPr>
          <w:lang w:val="en-US"/>
        </w:rPr>
        <w:t xml:space="preserve">the American Convention and </w:t>
      </w:r>
      <w:r w:rsidR="00D57225" w:rsidRPr="00104227">
        <w:rPr>
          <w:lang w:val="en-US"/>
        </w:rPr>
        <w:t>ot</w:t>
      </w:r>
      <w:r w:rsidR="002037FD" w:rsidRPr="00104227">
        <w:rPr>
          <w:lang w:val="en-US"/>
        </w:rPr>
        <w:t>her inter-American instrument</w:t>
      </w:r>
      <w:r w:rsidR="00E954EE" w:rsidRPr="00104227">
        <w:rPr>
          <w:lang w:val="en-US"/>
        </w:rPr>
        <w:t>s</w:t>
      </w:r>
      <w:r w:rsidR="002037FD" w:rsidRPr="00104227">
        <w:rPr>
          <w:lang w:val="en-US"/>
        </w:rPr>
        <w:t xml:space="preserve">, and to identify and punish the different </w:t>
      </w:r>
      <w:r w:rsidR="00E954EE" w:rsidRPr="00104227">
        <w:rPr>
          <w:lang w:val="en-US"/>
        </w:rPr>
        <w:t>levels</w:t>
      </w:r>
      <w:r w:rsidR="002037FD" w:rsidRPr="00104227">
        <w:rPr>
          <w:lang w:val="en-US"/>
        </w:rPr>
        <w:t xml:space="preserve"> of responsibility, […] including those derived from the chain of command, from the </w:t>
      </w:r>
      <w:r w:rsidR="00E954EE" w:rsidRPr="00104227">
        <w:rPr>
          <w:lang w:val="en-US"/>
        </w:rPr>
        <w:t>diverse</w:t>
      </w:r>
      <w:r w:rsidR="002037FD" w:rsidRPr="00104227">
        <w:rPr>
          <w:lang w:val="en-US"/>
        </w:rPr>
        <w:t xml:space="preserve"> forms of participation of the </w:t>
      </w:r>
      <w:r w:rsidR="00E954EE" w:rsidRPr="00104227">
        <w:rPr>
          <w:lang w:val="en-US"/>
        </w:rPr>
        <w:t>various</w:t>
      </w:r>
      <w:r w:rsidR="002037FD" w:rsidRPr="00104227">
        <w:rPr>
          <w:lang w:val="en-US"/>
        </w:rPr>
        <w:t xml:space="preserve"> </w:t>
      </w:r>
      <w:r w:rsidR="00B665DF" w:rsidRPr="00104227">
        <w:rPr>
          <w:lang w:val="en-US"/>
        </w:rPr>
        <w:t>law enforcement agencies</w:t>
      </w:r>
      <w:r w:rsidR="002037FD" w:rsidRPr="00104227">
        <w:rPr>
          <w:lang w:val="en-US"/>
        </w:rPr>
        <w:t xml:space="preserve"> </w:t>
      </w:r>
      <w:r w:rsidR="00E954EE" w:rsidRPr="00104227">
        <w:rPr>
          <w:lang w:val="en-US"/>
        </w:rPr>
        <w:t>at</w:t>
      </w:r>
      <w:r w:rsidR="002037FD" w:rsidRPr="00104227">
        <w:rPr>
          <w:lang w:val="en-US"/>
        </w:rPr>
        <w:t xml:space="preserve"> both the state and the federal level, as well as possible acts of concealment or omission.” Similarly, it s</w:t>
      </w:r>
      <w:r w:rsidR="00E954EE" w:rsidRPr="00104227">
        <w:rPr>
          <w:lang w:val="en-US"/>
        </w:rPr>
        <w:t>tipulated</w:t>
      </w:r>
      <w:r w:rsidR="002037FD" w:rsidRPr="00104227">
        <w:rPr>
          <w:lang w:val="en-US"/>
        </w:rPr>
        <w:t xml:space="preserve"> that the </w:t>
      </w:r>
      <w:r w:rsidR="003F10B2" w:rsidRPr="00104227">
        <w:rPr>
          <w:lang w:val="en-US"/>
        </w:rPr>
        <w:t xml:space="preserve">State </w:t>
      </w:r>
      <w:r w:rsidR="002037FD" w:rsidRPr="00104227">
        <w:rPr>
          <w:lang w:val="en-US"/>
        </w:rPr>
        <w:t xml:space="preserve">“should avoid any form of re-victimization” and ensure that the legal </w:t>
      </w:r>
      <w:r w:rsidR="00E954EE" w:rsidRPr="00104227">
        <w:rPr>
          <w:lang w:val="en-US"/>
        </w:rPr>
        <w:t>definition</w:t>
      </w:r>
      <w:r w:rsidR="006C0DE0" w:rsidRPr="00104227">
        <w:rPr>
          <w:lang w:val="en-US"/>
        </w:rPr>
        <w:t xml:space="preserve"> of the facts is in </w:t>
      </w:r>
      <w:r w:rsidR="00E954EE" w:rsidRPr="00104227">
        <w:rPr>
          <w:lang w:val="en-US"/>
        </w:rPr>
        <w:t>keeping</w:t>
      </w:r>
      <w:r w:rsidR="006C0DE0" w:rsidRPr="00104227">
        <w:rPr>
          <w:lang w:val="en-US"/>
        </w:rPr>
        <w:t xml:space="preserve"> with inter-American standards.</w:t>
      </w:r>
      <w:r w:rsidR="002037FD" w:rsidRPr="00104227">
        <w:rPr>
          <w:lang w:val="en-US"/>
        </w:rPr>
        <w:t xml:space="preserve"> </w:t>
      </w:r>
    </w:p>
    <w:p w14:paraId="048E40CD" w14:textId="77777777" w:rsidR="00D57225" w:rsidRPr="00104227" w:rsidRDefault="00D57225" w:rsidP="00E4619F">
      <w:pPr>
        <w:tabs>
          <w:tab w:val="left" w:pos="567"/>
        </w:tabs>
        <w:rPr>
          <w:szCs w:val="20"/>
          <w:lang w:eastAsia="es-MX"/>
        </w:rPr>
      </w:pPr>
    </w:p>
    <w:p w14:paraId="6058B816" w14:textId="04B581DE" w:rsidR="00D57225" w:rsidRPr="00104227" w:rsidRDefault="002826A6" w:rsidP="006C0DE0">
      <w:pPr>
        <w:pStyle w:val="Numberedparagraphs"/>
        <w:tabs>
          <w:tab w:val="left" w:pos="567"/>
        </w:tabs>
        <w:rPr>
          <w:rFonts w:eastAsia="ArialMT" w:cs="ArialMT"/>
          <w:b/>
          <w:lang w:val="en-US"/>
        </w:rPr>
      </w:pPr>
      <w:r w:rsidRPr="00104227">
        <w:rPr>
          <w:lang w:val="en-US"/>
        </w:rPr>
        <w:t xml:space="preserve">The </w:t>
      </w:r>
      <w:r w:rsidRPr="00104227">
        <w:rPr>
          <w:b/>
          <w:bCs/>
          <w:i/>
          <w:iCs/>
          <w:lang w:val="en-US"/>
        </w:rPr>
        <w:t>representatives</w:t>
      </w:r>
      <w:r w:rsidR="00D57225" w:rsidRPr="00104227">
        <w:rPr>
          <w:b/>
          <w:i/>
          <w:lang w:val="en-US"/>
        </w:rPr>
        <w:t xml:space="preserve"> </w:t>
      </w:r>
      <w:r w:rsidR="006C0DE0" w:rsidRPr="00104227">
        <w:rPr>
          <w:lang w:val="en-US"/>
        </w:rPr>
        <w:t xml:space="preserve">asked the Court to require the </w:t>
      </w:r>
      <w:r w:rsidR="003F10B2" w:rsidRPr="00104227">
        <w:rPr>
          <w:lang w:val="en-US"/>
        </w:rPr>
        <w:t xml:space="preserve">State </w:t>
      </w:r>
      <w:r w:rsidR="006C0DE0" w:rsidRPr="00104227">
        <w:rPr>
          <w:lang w:val="en-US"/>
        </w:rPr>
        <w:t>to investigate, “seriously and impartially, all the human rights violations perpetrated against</w:t>
      </w:r>
      <w:r w:rsidR="00D57225" w:rsidRPr="00104227">
        <w:rPr>
          <w:lang w:val="en-US"/>
        </w:rPr>
        <w:t xml:space="preserve"> </w:t>
      </w:r>
      <w:r w:rsidR="00F12946" w:rsidRPr="00104227">
        <w:rPr>
          <w:lang w:val="en-US"/>
        </w:rPr>
        <w:t>the eleven women</w:t>
      </w:r>
      <w:r w:rsidR="00D57225" w:rsidRPr="00104227">
        <w:rPr>
          <w:lang w:val="en-US"/>
        </w:rPr>
        <w:t xml:space="preserve">, </w:t>
      </w:r>
      <w:r w:rsidR="006C0DE0" w:rsidRPr="00104227">
        <w:rPr>
          <w:lang w:val="en-US"/>
        </w:rPr>
        <w:t>in order to identify all those responsible and impose the corresponding punishments, taking into consideration</w:t>
      </w:r>
      <w:r w:rsidR="00E954EE" w:rsidRPr="00104227">
        <w:rPr>
          <w:lang w:val="en-US"/>
        </w:rPr>
        <w:t xml:space="preserve"> </w:t>
      </w:r>
      <w:r w:rsidR="006C0DE0" w:rsidRPr="00104227">
        <w:rPr>
          <w:lang w:val="en-US"/>
        </w:rPr>
        <w:t xml:space="preserve">the perpetrators and </w:t>
      </w:r>
      <w:r w:rsidR="00E954EE" w:rsidRPr="00104227">
        <w:rPr>
          <w:lang w:val="en-US"/>
        </w:rPr>
        <w:t xml:space="preserve">the </w:t>
      </w:r>
      <w:r w:rsidR="006C0DE0" w:rsidRPr="00104227">
        <w:rPr>
          <w:lang w:val="en-US"/>
        </w:rPr>
        <w:t>masterminds based on the chain of command of the different public institutions involved</w:t>
      </w:r>
      <w:r w:rsidR="00E954EE" w:rsidRPr="00104227">
        <w:rPr>
          <w:lang w:val="en-US"/>
        </w:rPr>
        <w:t>,</w:t>
      </w:r>
      <w:r w:rsidR="006C0DE0" w:rsidRPr="00104227">
        <w:rPr>
          <w:lang w:val="en-US"/>
        </w:rPr>
        <w:t xml:space="preserve"> and any other form of responsibility.” In this regard, they asked</w:t>
      </w:r>
      <w:r w:rsidR="00E954EE" w:rsidRPr="00104227">
        <w:rPr>
          <w:lang w:val="en-US"/>
        </w:rPr>
        <w:t xml:space="preserve"> that</w:t>
      </w:r>
      <w:r w:rsidR="006C0DE0" w:rsidRPr="00104227">
        <w:rPr>
          <w:lang w:val="en-US"/>
        </w:rPr>
        <w:t>, to ensure the effectiveness of the investigations and criminal proceedings, the State guarantee th</w:t>
      </w:r>
      <w:r w:rsidR="00E954EE" w:rsidRPr="00104227">
        <w:rPr>
          <w:lang w:val="en-US"/>
        </w:rPr>
        <w:t>at the acts of violence would be</w:t>
      </w:r>
      <w:r w:rsidR="006C0DE0" w:rsidRPr="00104227">
        <w:rPr>
          <w:lang w:val="en-US"/>
        </w:rPr>
        <w:t xml:space="preserve"> </w:t>
      </w:r>
      <w:r w:rsidR="00E954EE" w:rsidRPr="00104227">
        <w:rPr>
          <w:lang w:val="en-US"/>
        </w:rPr>
        <w:t>defined</w:t>
      </w:r>
      <w:r w:rsidR="006C0DE0" w:rsidRPr="00104227">
        <w:rPr>
          <w:lang w:val="en-US"/>
        </w:rPr>
        <w:t xml:space="preserve"> as torture, for which </w:t>
      </w:r>
      <w:r w:rsidR="00E954EE" w:rsidRPr="00104227">
        <w:rPr>
          <w:lang w:val="en-US"/>
        </w:rPr>
        <w:t>there could be</w:t>
      </w:r>
      <w:r w:rsidR="006C0DE0" w:rsidRPr="00104227">
        <w:rPr>
          <w:lang w:val="en-US"/>
        </w:rPr>
        <w:t xml:space="preserve"> no ex</w:t>
      </w:r>
      <w:r w:rsidR="00E954EE" w:rsidRPr="00104227">
        <w:rPr>
          <w:lang w:val="en-US"/>
        </w:rPr>
        <w:t>onera</w:t>
      </w:r>
      <w:r w:rsidR="006C0DE0" w:rsidRPr="00104227">
        <w:rPr>
          <w:lang w:val="en-US"/>
        </w:rPr>
        <w:t xml:space="preserve">tion of responsibility. They also asked that the State guarantee the protection and respectful treatment of all those involved in the proceedings, regardless of their capacity, and </w:t>
      </w:r>
      <w:r w:rsidR="009C670D" w:rsidRPr="00104227">
        <w:rPr>
          <w:lang w:val="en-US"/>
        </w:rPr>
        <w:t xml:space="preserve">that it </w:t>
      </w:r>
      <w:r w:rsidR="006C0DE0" w:rsidRPr="00104227">
        <w:rPr>
          <w:lang w:val="en-US"/>
        </w:rPr>
        <w:t xml:space="preserve">grant full access to the case file. </w:t>
      </w:r>
      <w:r w:rsidR="009C670D" w:rsidRPr="00104227">
        <w:rPr>
          <w:lang w:val="en-US"/>
        </w:rPr>
        <w:t>Thus,</w:t>
      </w:r>
      <w:r w:rsidR="006C0DE0" w:rsidRPr="00104227">
        <w:rPr>
          <w:lang w:val="en-US"/>
        </w:rPr>
        <w:t xml:space="preserve"> they asked the Court to require the State “to remove all the obstacles, </w:t>
      </w:r>
      <w:r w:rsidR="006C0DE0" w:rsidRPr="00104227">
        <w:rPr>
          <w:rFonts w:eastAsia="ArialMT" w:cs="Arial-ItalicMT"/>
          <w:i/>
          <w:iCs/>
          <w:lang w:val="en-US"/>
        </w:rPr>
        <w:t xml:space="preserve">de facto </w:t>
      </w:r>
      <w:r w:rsidR="006C0DE0" w:rsidRPr="00104227">
        <w:rPr>
          <w:rFonts w:eastAsia="ArialMT" w:cs="Arial-ItalicMT"/>
          <w:lang w:val="en-US"/>
        </w:rPr>
        <w:t>and</w:t>
      </w:r>
      <w:r w:rsidR="006C0DE0" w:rsidRPr="00104227">
        <w:rPr>
          <w:rFonts w:eastAsia="ArialMT" w:cs="Arial-ItalicMT"/>
          <w:i/>
          <w:iCs/>
          <w:lang w:val="en-US"/>
        </w:rPr>
        <w:t xml:space="preserve"> de jure</w:t>
      </w:r>
      <w:r w:rsidR="006C0DE0" w:rsidRPr="00104227">
        <w:rPr>
          <w:rFonts w:eastAsia="ArialMT" w:cs="ArialMT"/>
          <w:lang w:val="en-US"/>
        </w:rPr>
        <w:t>, that maintain impunity in this case and to investigate, seriously and impartially, all the different forms of responsibility for all the human rights violations perpetrated against the</w:t>
      </w:r>
      <w:r w:rsidR="006C0DE0" w:rsidRPr="00104227">
        <w:rPr>
          <w:rFonts w:eastAsia="ArialMT" w:cs="ArialMT"/>
          <w:b/>
          <w:lang w:val="en-US"/>
        </w:rPr>
        <w:t xml:space="preserve"> </w:t>
      </w:r>
      <w:r w:rsidR="00F12946" w:rsidRPr="00104227">
        <w:rPr>
          <w:rFonts w:eastAsia="ArialMT" w:cs="ArialMT"/>
          <w:lang w:val="en-US"/>
        </w:rPr>
        <w:t>eleven women</w:t>
      </w:r>
      <w:r w:rsidR="006C0DE0" w:rsidRPr="00104227">
        <w:rPr>
          <w:rFonts w:eastAsia="ArialMT" w:cs="ArialMT"/>
          <w:lang w:val="en-US"/>
        </w:rPr>
        <w:t>.</w:t>
      </w:r>
      <w:r w:rsidR="00D57225" w:rsidRPr="00104227">
        <w:rPr>
          <w:rFonts w:eastAsia="ArialMT" w:cs="ArialMT"/>
          <w:lang w:val="en-US"/>
        </w:rPr>
        <w:t xml:space="preserve">” </w:t>
      </w:r>
    </w:p>
    <w:p w14:paraId="469B0600" w14:textId="77777777" w:rsidR="00D57225" w:rsidRPr="00104227" w:rsidRDefault="00D57225" w:rsidP="00E4619F">
      <w:pPr>
        <w:tabs>
          <w:tab w:val="left" w:pos="567"/>
        </w:tabs>
        <w:rPr>
          <w:szCs w:val="20"/>
          <w:lang w:eastAsia="es-MX"/>
        </w:rPr>
      </w:pPr>
    </w:p>
    <w:p w14:paraId="4441F7F4" w14:textId="5A263858" w:rsidR="00D57225" w:rsidRPr="00104227" w:rsidRDefault="00AC3BFC" w:rsidP="00E4619F">
      <w:pPr>
        <w:pStyle w:val="Numberedparagraphs"/>
        <w:tabs>
          <w:tab w:val="left" w:pos="567"/>
        </w:tabs>
        <w:rPr>
          <w:b/>
          <w:lang w:val="en-US"/>
        </w:rPr>
      </w:pPr>
      <w:r w:rsidRPr="00104227">
        <w:rPr>
          <w:lang w:val="en-US"/>
        </w:rPr>
        <w:t xml:space="preserve">The </w:t>
      </w:r>
      <w:r w:rsidRPr="00104227">
        <w:rPr>
          <w:b/>
          <w:bCs/>
          <w:i/>
          <w:iCs/>
          <w:lang w:val="en-US"/>
        </w:rPr>
        <w:t>State</w:t>
      </w:r>
      <w:r w:rsidR="00D57225" w:rsidRPr="00104227">
        <w:rPr>
          <w:b/>
          <w:i/>
          <w:lang w:val="en-US"/>
        </w:rPr>
        <w:t xml:space="preserve"> </w:t>
      </w:r>
      <w:r w:rsidR="00D57225" w:rsidRPr="00104227">
        <w:rPr>
          <w:lang w:val="en-US"/>
        </w:rPr>
        <w:t>a</w:t>
      </w:r>
      <w:r w:rsidR="006C0DE0" w:rsidRPr="00104227">
        <w:rPr>
          <w:lang w:val="en-US"/>
        </w:rPr>
        <w:t xml:space="preserve">rgued that it had “already </w:t>
      </w:r>
      <w:r w:rsidR="009C670D" w:rsidRPr="00104227">
        <w:rPr>
          <w:lang w:val="en-US"/>
        </w:rPr>
        <w:t>arraigned</w:t>
      </w:r>
      <w:r w:rsidR="006C0DE0" w:rsidRPr="00104227">
        <w:rPr>
          <w:lang w:val="en-US"/>
        </w:rPr>
        <w:t xml:space="preserve"> all those persons who were identified as responsible” by </w:t>
      </w:r>
      <w:r w:rsidR="008F27D0" w:rsidRPr="00104227">
        <w:rPr>
          <w:lang w:val="en-US"/>
        </w:rPr>
        <w:t>the SCJN</w:t>
      </w:r>
      <w:r w:rsidR="00D57225" w:rsidRPr="00104227">
        <w:rPr>
          <w:lang w:val="en-US"/>
        </w:rPr>
        <w:t xml:space="preserve">. </w:t>
      </w:r>
      <w:r w:rsidR="006C0DE0" w:rsidRPr="00104227">
        <w:rPr>
          <w:lang w:val="en-US"/>
        </w:rPr>
        <w:t xml:space="preserve">However, it indicated that </w:t>
      </w:r>
      <w:r w:rsidR="00D57225" w:rsidRPr="00104227">
        <w:rPr>
          <w:lang w:val="en-US"/>
        </w:rPr>
        <w:t>“</w:t>
      </w:r>
      <w:r w:rsidR="006C0DE0" w:rsidRPr="00104227">
        <w:rPr>
          <w:lang w:val="en-US"/>
        </w:rPr>
        <w:t>there is no evidence what</w:t>
      </w:r>
      <w:r w:rsidR="009C670D" w:rsidRPr="00104227">
        <w:rPr>
          <w:lang w:val="en-US"/>
        </w:rPr>
        <w:t>so</w:t>
      </w:r>
      <w:r w:rsidR="006C0DE0" w:rsidRPr="00104227">
        <w:rPr>
          <w:lang w:val="en-US"/>
        </w:rPr>
        <w:t>ever that a senior commander o</w:t>
      </w:r>
      <w:r w:rsidR="009C670D" w:rsidRPr="00104227">
        <w:rPr>
          <w:lang w:val="en-US"/>
        </w:rPr>
        <w:t>r</w:t>
      </w:r>
      <w:r w:rsidR="006C0DE0" w:rsidRPr="00104227">
        <w:rPr>
          <w:lang w:val="en-US"/>
        </w:rPr>
        <w:t xml:space="preserve">dered the perpetration of any human rights violation” and that </w:t>
      </w:r>
      <w:r w:rsidR="00F342AA" w:rsidRPr="00104227">
        <w:rPr>
          <w:lang w:val="en-US"/>
        </w:rPr>
        <w:t>neither in the internal investigations nor in the proceedings before the Court had any evidence been presented in this regard. Consequently, it affirmed that it had complied with all the inter-American standards when conducting the investigations and</w:t>
      </w:r>
      <w:r w:rsidR="009C670D" w:rsidRPr="00104227">
        <w:rPr>
          <w:lang w:val="en-US"/>
        </w:rPr>
        <w:t>,</w:t>
      </w:r>
      <w:r w:rsidR="00F342AA" w:rsidRPr="00104227">
        <w:rPr>
          <w:lang w:val="en-US"/>
        </w:rPr>
        <w:t xml:space="preserve"> therefore</w:t>
      </w:r>
      <w:r w:rsidR="009C670D" w:rsidRPr="00104227">
        <w:rPr>
          <w:lang w:val="en-US"/>
        </w:rPr>
        <w:t>,</w:t>
      </w:r>
      <w:r w:rsidR="00F342AA" w:rsidRPr="00104227">
        <w:rPr>
          <w:lang w:val="en-US"/>
        </w:rPr>
        <w:t xml:space="preserve"> considered that the Court should consider this “an appropriate measure of reparation, merely allowing the criminal proceedings instituted by the State to continue until they are fully concluded.”</w:t>
      </w:r>
    </w:p>
    <w:p w14:paraId="1099EFD1" w14:textId="77777777" w:rsidR="00D57225" w:rsidRPr="00104227" w:rsidRDefault="00D57225" w:rsidP="00E4619F">
      <w:pPr>
        <w:tabs>
          <w:tab w:val="left" w:pos="567"/>
        </w:tabs>
        <w:rPr>
          <w:szCs w:val="20"/>
          <w:lang w:eastAsia="es-MX"/>
        </w:rPr>
      </w:pPr>
    </w:p>
    <w:p w14:paraId="65F17728" w14:textId="6E6A738C" w:rsidR="00D57225" w:rsidRPr="00104227" w:rsidRDefault="00BF5241" w:rsidP="00F342AA">
      <w:pPr>
        <w:pStyle w:val="Numberedparagraphs"/>
        <w:tabs>
          <w:tab w:val="left" w:pos="567"/>
        </w:tabs>
        <w:rPr>
          <w:lang w:val="en-US" w:bidi="en-US"/>
        </w:rPr>
      </w:pPr>
      <w:bookmarkStart w:id="402" w:name="_Ref532987940"/>
      <w:r w:rsidRPr="00104227">
        <w:rPr>
          <w:lang w:val="en-US" w:bidi="en-US"/>
        </w:rPr>
        <w:t>The Court</w:t>
      </w:r>
      <w:r w:rsidR="00D57225" w:rsidRPr="00104227">
        <w:rPr>
          <w:lang w:val="en-US" w:bidi="en-US"/>
        </w:rPr>
        <w:t xml:space="preserve"> </w:t>
      </w:r>
      <w:r w:rsidR="00F342AA" w:rsidRPr="00104227">
        <w:rPr>
          <w:lang w:val="en-US" w:bidi="en-US"/>
        </w:rPr>
        <w:t xml:space="preserve">has declared in </w:t>
      </w:r>
      <w:r w:rsidRPr="00104227">
        <w:rPr>
          <w:lang w:val="en-US" w:bidi="en-US"/>
        </w:rPr>
        <w:t>this judgment</w:t>
      </w:r>
      <w:r w:rsidR="00D57225" w:rsidRPr="00104227">
        <w:rPr>
          <w:lang w:val="en-US" w:bidi="en-US"/>
        </w:rPr>
        <w:t xml:space="preserve">, </w:t>
      </w:r>
      <w:r w:rsidR="00D57225" w:rsidRPr="00104227">
        <w:rPr>
          <w:i/>
          <w:lang w:val="en-US" w:bidi="en-US"/>
        </w:rPr>
        <w:t>inter alia</w:t>
      </w:r>
      <w:r w:rsidR="00D57225" w:rsidRPr="00104227">
        <w:rPr>
          <w:lang w:val="en-US" w:bidi="en-US"/>
        </w:rPr>
        <w:t xml:space="preserve">, </w:t>
      </w:r>
      <w:r w:rsidR="00F342AA" w:rsidRPr="00104227">
        <w:rPr>
          <w:lang w:val="en-US" w:bidi="en-US"/>
        </w:rPr>
        <w:t>that</w:t>
      </w:r>
      <w:r w:rsidR="00D57225" w:rsidRPr="00104227">
        <w:rPr>
          <w:lang w:val="en-US" w:bidi="en-US"/>
        </w:rPr>
        <w:t xml:space="preserve"> </w:t>
      </w:r>
      <w:r w:rsidR="00AC3BFC" w:rsidRPr="00104227">
        <w:rPr>
          <w:lang w:val="en-US" w:bidi="en-US"/>
        </w:rPr>
        <w:t>the State</w:t>
      </w:r>
      <w:r w:rsidR="00D57225" w:rsidRPr="00104227">
        <w:rPr>
          <w:lang w:val="en-US" w:bidi="en-US"/>
        </w:rPr>
        <w:t xml:space="preserve"> </w:t>
      </w:r>
      <w:r w:rsidR="00F342AA" w:rsidRPr="00104227">
        <w:rPr>
          <w:lang w:val="en-US" w:bidi="en-US"/>
        </w:rPr>
        <w:t xml:space="preserve">failed to comply with the obligation to investigate the acts of </w:t>
      </w:r>
      <w:r w:rsidR="00BC5201" w:rsidRPr="00104227">
        <w:rPr>
          <w:lang w:val="en-US" w:bidi="en-US"/>
        </w:rPr>
        <w:t>torture</w:t>
      </w:r>
      <w:r w:rsidRPr="00104227">
        <w:rPr>
          <w:lang w:val="en-US" w:bidi="en-US"/>
        </w:rPr>
        <w:t xml:space="preserve"> and </w:t>
      </w:r>
      <w:r w:rsidR="00D25554" w:rsidRPr="00104227">
        <w:rPr>
          <w:lang w:val="en-US" w:bidi="en-US"/>
        </w:rPr>
        <w:t>sexual violence</w:t>
      </w:r>
      <w:r w:rsidR="00D57225" w:rsidRPr="00104227">
        <w:rPr>
          <w:lang w:val="en-US" w:bidi="en-US"/>
        </w:rPr>
        <w:t xml:space="preserve"> suf</w:t>
      </w:r>
      <w:r w:rsidR="00F342AA" w:rsidRPr="00104227">
        <w:rPr>
          <w:lang w:val="en-US" w:bidi="en-US"/>
        </w:rPr>
        <w:t>fered by</w:t>
      </w:r>
      <w:r w:rsidR="00D57225" w:rsidRPr="00104227">
        <w:rPr>
          <w:lang w:val="en-US" w:bidi="en-US"/>
        </w:rPr>
        <w:t xml:space="preserve"> </w:t>
      </w:r>
      <w:r w:rsidR="00F12946" w:rsidRPr="00104227">
        <w:rPr>
          <w:lang w:val="en-US" w:bidi="en-US"/>
        </w:rPr>
        <w:t>the eleven women</w:t>
      </w:r>
      <w:r w:rsidR="00D57225" w:rsidRPr="00104227">
        <w:rPr>
          <w:lang w:val="en-US" w:bidi="en-US"/>
        </w:rPr>
        <w:t xml:space="preserve"> </w:t>
      </w:r>
      <w:r w:rsidR="00844C80" w:rsidRPr="00104227">
        <w:rPr>
          <w:lang w:val="en-US" w:bidi="en-US"/>
        </w:rPr>
        <w:t>victims in this case</w:t>
      </w:r>
      <w:r w:rsidR="00D57225" w:rsidRPr="00104227">
        <w:rPr>
          <w:lang w:val="en-US" w:bidi="en-US"/>
        </w:rPr>
        <w:t xml:space="preserve">. </w:t>
      </w:r>
      <w:r w:rsidR="00F342AA" w:rsidRPr="00104227">
        <w:rPr>
          <w:lang w:val="en-US" w:bidi="en-US"/>
        </w:rPr>
        <w:t>This was due to the unjustified delay of 12 years from the time the facts occurred; the lack of diligence in processing the complaints and gathering evidence; the failure to investigate all the possible perpetrators and to follow logical lines of investigation, and the absence of a gender perspective in the investigations added to</w:t>
      </w:r>
      <w:r w:rsidR="009C670D" w:rsidRPr="00104227">
        <w:rPr>
          <w:lang w:val="en-US" w:bidi="en-US"/>
        </w:rPr>
        <w:t xml:space="preserve"> </w:t>
      </w:r>
      <w:r w:rsidR="00F342AA" w:rsidRPr="00104227">
        <w:rPr>
          <w:lang w:val="en-US" w:bidi="en-US"/>
        </w:rPr>
        <w:t>stereotyped treatment by the authorities in charge of the investigation. Although the Court appreciate</w:t>
      </w:r>
      <w:r w:rsidR="009C670D" w:rsidRPr="00104227">
        <w:rPr>
          <w:lang w:val="en-US" w:bidi="en-US"/>
        </w:rPr>
        <w:t>s</w:t>
      </w:r>
      <w:r w:rsidR="00F342AA" w:rsidRPr="00104227">
        <w:rPr>
          <w:lang w:val="en-US" w:bidi="en-US"/>
        </w:rPr>
        <w:t xml:space="preserve"> the progress made</w:t>
      </w:r>
      <w:r w:rsidR="009C670D" w:rsidRPr="00104227">
        <w:rPr>
          <w:lang w:val="en-US" w:bidi="en-US"/>
        </w:rPr>
        <w:t xml:space="preserve"> by the State</w:t>
      </w:r>
      <w:r w:rsidR="00F342AA" w:rsidRPr="00104227">
        <w:rPr>
          <w:lang w:val="en-US" w:bidi="en-US"/>
        </w:rPr>
        <w:t xml:space="preserve"> to date in order to clarify the facts, in light of the conclusions in this judgment, it establishes that the State shall, within a reasonable time and through officials train</w:t>
      </w:r>
      <w:r w:rsidR="009C670D" w:rsidRPr="00104227">
        <w:rPr>
          <w:lang w:val="en-US" w:bidi="en-US"/>
        </w:rPr>
        <w:t>ed</w:t>
      </w:r>
      <w:r w:rsidR="00F342AA" w:rsidRPr="00104227">
        <w:rPr>
          <w:lang w:val="en-US" w:bidi="en-US"/>
        </w:rPr>
        <w:t xml:space="preserve"> in </w:t>
      </w:r>
      <w:r w:rsidR="009C670D" w:rsidRPr="00104227">
        <w:rPr>
          <w:lang w:val="en-US" w:bidi="en-US"/>
        </w:rPr>
        <w:t xml:space="preserve">providing </w:t>
      </w:r>
      <w:r w:rsidR="009C670D" w:rsidRPr="00104227">
        <w:rPr>
          <w:lang w:val="en-US" w:bidi="en-US"/>
        </w:rPr>
        <w:lastRenderedPageBreak/>
        <w:t xml:space="preserve">assistance to </w:t>
      </w:r>
      <w:r w:rsidR="00F342AA" w:rsidRPr="00104227">
        <w:rPr>
          <w:lang w:val="en-US" w:bidi="en-US"/>
        </w:rPr>
        <w:t xml:space="preserve">victims of </w:t>
      </w:r>
      <w:r w:rsidR="00814266" w:rsidRPr="00104227">
        <w:rPr>
          <w:lang w:val="en-US"/>
        </w:rPr>
        <w:t>discrimination</w:t>
      </w:r>
      <w:r w:rsidRPr="00104227">
        <w:rPr>
          <w:lang w:val="en-US"/>
        </w:rPr>
        <w:t xml:space="preserve"> and </w:t>
      </w:r>
      <w:r w:rsidR="00F342AA" w:rsidRPr="00104227">
        <w:rPr>
          <w:lang w:val="en-US"/>
        </w:rPr>
        <w:t xml:space="preserve">gender-based </w:t>
      </w:r>
      <w:r w:rsidR="00D57225" w:rsidRPr="00104227">
        <w:rPr>
          <w:lang w:val="en-US"/>
        </w:rPr>
        <w:t>violenc</w:t>
      </w:r>
      <w:r w:rsidR="00F342AA" w:rsidRPr="00104227">
        <w:rPr>
          <w:lang w:val="en-US"/>
        </w:rPr>
        <w:t>e, continue or open the wide</w:t>
      </w:r>
      <w:r w:rsidR="009C670D" w:rsidRPr="00104227">
        <w:rPr>
          <w:lang w:val="en-US"/>
        </w:rPr>
        <w:t>-</w:t>
      </w:r>
      <w:r w:rsidR="00F342AA" w:rsidRPr="00104227">
        <w:rPr>
          <w:lang w:val="en-US"/>
        </w:rPr>
        <w:t xml:space="preserve">ranging, systematic and thorough investigations </w:t>
      </w:r>
      <w:r w:rsidR="009C670D" w:rsidRPr="00104227">
        <w:rPr>
          <w:lang w:val="en-US"/>
        </w:rPr>
        <w:t>required</w:t>
      </w:r>
      <w:r w:rsidR="00F342AA" w:rsidRPr="00104227">
        <w:rPr>
          <w:lang w:val="en-US"/>
        </w:rPr>
        <w:t xml:space="preserve"> to determine, prosecute and punish, as appropriate, those responsible for the sexual violence and torture suffered by </w:t>
      </w:r>
      <w:r w:rsidR="00F12946" w:rsidRPr="00104227">
        <w:rPr>
          <w:lang w:val="en-US"/>
        </w:rPr>
        <w:t>the eleven women</w:t>
      </w:r>
      <w:r w:rsidR="00D57225" w:rsidRPr="00104227">
        <w:rPr>
          <w:lang w:val="en-US"/>
        </w:rPr>
        <w:t xml:space="preserve"> </w:t>
      </w:r>
      <w:r w:rsidR="00EF03E5" w:rsidRPr="00104227">
        <w:rPr>
          <w:lang w:val="en-US"/>
        </w:rPr>
        <w:t>victims in this case</w:t>
      </w:r>
      <w:r w:rsidR="00D57225" w:rsidRPr="00104227">
        <w:rPr>
          <w:lang w:val="en-US"/>
        </w:rPr>
        <w:t>.</w:t>
      </w:r>
      <w:r w:rsidR="00D57225" w:rsidRPr="00104227">
        <w:rPr>
          <w:lang w:val="en-US" w:bidi="en-US"/>
        </w:rPr>
        <w:t xml:space="preserve"> </w:t>
      </w:r>
      <w:r w:rsidR="00F342AA" w:rsidRPr="00104227">
        <w:rPr>
          <w:lang w:val="en-US" w:bidi="en-US"/>
        </w:rPr>
        <w:t>In addition, it must investigate po</w:t>
      </w:r>
      <w:r w:rsidR="00990093" w:rsidRPr="00104227">
        <w:rPr>
          <w:lang w:val="en-US" w:bidi="en-US"/>
        </w:rPr>
        <w:t>s</w:t>
      </w:r>
      <w:r w:rsidR="00F342AA" w:rsidRPr="00104227">
        <w:rPr>
          <w:lang w:val="en-US" w:bidi="en-US"/>
        </w:rPr>
        <w:t xml:space="preserve">sible links between those directly responsible and their ranking superiors in the perpetration of the acts of torture, </w:t>
      </w:r>
      <w:r w:rsidR="00D25554" w:rsidRPr="00104227">
        <w:rPr>
          <w:lang w:val="en-US"/>
        </w:rPr>
        <w:t>sexual violence</w:t>
      </w:r>
      <w:r w:rsidRPr="00104227">
        <w:rPr>
          <w:lang w:val="en-US"/>
        </w:rPr>
        <w:t xml:space="preserve"> and </w:t>
      </w:r>
      <w:r w:rsidR="00D25554" w:rsidRPr="00104227">
        <w:rPr>
          <w:lang w:val="en-US"/>
        </w:rPr>
        <w:t>rape</w:t>
      </w:r>
      <w:r w:rsidR="00D57225" w:rsidRPr="00104227">
        <w:rPr>
          <w:lang w:val="en-US"/>
        </w:rPr>
        <w:t>, individualiz</w:t>
      </w:r>
      <w:r w:rsidR="00F342AA" w:rsidRPr="00104227">
        <w:rPr>
          <w:lang w:val="en-US"/>
        </w:rPr>
        <w:t>ing those responsible at all levels of decision, whether</w:t>
      </w:r>
      <w:r w:rsidR="00990093" w:rsidRPr="00104227">
        <w:rPr>
          <w:lang w:val="en-US"/>
        </w:rPr>
        <w:t xml:space="preserve"> municipal, state or</w:t>
      </w:r>
      <w:r w:rsidR="00F342AA" w:rsidRPr="00104227">
        <w:rPr>
          <w:lang w:val="en-US"/>
        </w:rPr>
        <w:t xml:space="preserve"> federal.</w:t>
      </w:r>
      <w:bookmarkEnd w:id="402"/>
      <w:r w:rsidR="00D57225" w:rsidRPr="00104227">
        <w:rPr>
          <w:lang w:val="en-US"/>
        </w:rPr>
        <w:t xml:space="preserve"> </w:t>
      </w:r>
    </w:p>
    <w:p w14:paraId="7B7531A3" w14:textId="77777777" w:rsidR="00D57225" w:rsidRPr="00104227" w:rsidRDefault="00D57225" w:rsidP="00E4619F">
      <w:pPr>
        <w:tabs>
          <w:tab w:val="left" w:pos="567"/>
        </w:tabs>
      </w:pPr>
    </w:p>
    <w:p w14:paraId="59FE40EF" w14:textId="19A5FC70" w:rsidR="00D57225" w:rsidRPr="00104227" w:rsidRDefault="00F342AA" w:rsidP="00E4619F">
      <w:pPr>
        <w:pStyle w:val="Numberedparagraphs"/>
        <w:tabs>
          <w:tab w:val="left" w:pos="567"/>
        </w:tabs>
        <w:rPr>
          <w:lang w:val="en-US"/>
        </w:rPr>
      </w:pPr>
      <w:bookmarkStart w:id="403" w:name="_Ref532987953"/>
      <w:r w:rsidRPr="00104227">
        <w:rPr>
          <w:lang w:val="en-US"/>
        </w:rPr>
        <w:t>This Court also considers that the State shall, within a reasonable time, determine, through its competent public institutions, the po</w:t>
      </w:r>
      <w:r w:rsidR="00442A2D" w:rsidRPr="00104227">
        <w:rPr>
          <w:lang w:val="en-US"/>
        </w:rPr>
        <w:t>s</w:t>
      </w:r>
      <w:r w:rsidRPr="00104227">
        <w:rPr>
          <w:lang w:val="en-US"/>
        </w:rPr>
        <w:t>sible responsibilities of the officials who</w:t>
      </w:r>
      <w:r w:rsidR="00442A2D" w:rsidRPr="00104227">
        <w:rPr>
          <w:lang w:val="en-US"/>
        </w:rPr>
        <w:t>,</w:t>
      </w:r>
      <w:r w:rsidRPr="00104227">
        <w:rPr>
          <w:lang w:val="en-US"/>
        </w:rPr>
        <w:t xml:space="preserve"> through their actions</w:t>
      </w:r>
      <w:r w:rsidR="00442A2D" w:rsidRPr="00104227">
        <w:rPr>
          <w:lang w:val="en-US"/>
        </w:rPr>
        <w:t>, contributed</w:t>
      </w:r>
      <w:r w:rsidRPr="00104227">
        <w:rPr>
          <w:lang w:val="en-US"/>
        </w:rPr>
        <w:t xml:space="preserve"> to the perpetration of acts of re-victimization and institutional violence</w:t>
      </w:r>
      <w:r w:rsidR="00D57225" w:rsidRPr="00104227">
        <w:rPr>
          <w:lang w:val="en-US"/>
        </w:rPr>
        <w:t xml:space="preserve"> </w:t>
      </w:r>
      <w:r w:rsidR="00C2124F" w:rsidRPr="00104227">
        <w:rPr>
          <w:lang w:val="en-US"/>
        </w:rPr>
        <w:t>to the detriment of</w:t>
      </w:r>
      <w:r w:rsidR="00D57225" w:rsidRPr="00104227">
        <w:rPr>
          <w:lang w:val="en-US"/>
        </w:rPr>
        <w:t xml:space="preserve"> </w:t>
      </w:r>
      <w:r w:rsidR="00F12946" w:rsidRPr="00104227">
        <w:rPr>
          <w:lang w:val="en-US"/>
        </w:rPr>
        <w:t>the eleven women</w:t>
      </w:r>
      <w:r w:rsidR="00D57225" w:rsidRPr="00104227">
        <w:rPr>
          <w:lang w:val="en-US"/>
        </w:rPr>
        <w:t xml:space="preserve"> </w:t>
      </w:r>
      <w:r w:rsidRPr="00104227">
        <w:rPr>
          <w:lang w:val="en-US"/>
        </w:rPr>
        <w:t>and, as appropriate, apply the consequences established by domestic</w:t>
      </w:r>
      <w:r w:rsidR="00442A2D" w:rsidRPr="00104227">
        <w:rPr>
          <w:lang w:val="en-US"/>
        </w:rPr>
        <w:t xml:space="preserve"> civil or criminal</w:t>
      </w:r>
      <w:r w:rsidRPr="00104227">
        <w:rPr>
          <w:lang w:val="en-US"/>
        </w:rPr>
        <w:t xml:space="preserve"> law</w:t>
      </w:r>
      <w:r w:rsidR="00442A2D" w:rsidRPr="00104227">
        <w:rPr>
          <w:lang w:val="en-US"/>
        </w:rPr>
        <w:t>.</w:t>
      </w:r>
      <w:r w:rsidR="00D57225" w:rsidRPr="00104227">
        <w:rPr>
          <w:rStyle w:val="Refdenotaalpie"/>
          <w:szCs w:val="20"/>
          <w:lang w:val="en-US"/>
        </w:rPr>
        <w:footnoteReference w:id="449"/>
      </w:r>
      <w:r w:rsidR="00442A2D" w:rsidRPr="00104227">
        <w:rPr>
          <w:lang w:val="en-US"/>
        </w:rPr>
        <w:t xml:space="preserve"> </w:t>
      </w:r>
      <w:r w:rsidRPr="00104227">
        <w:rPr>
          <w:lang w:val="en-US"/>
        </w:rPr>
        <w:t>In keeping with its consistent case law,</w:t>
      </w:r>
      <w:r w:rsidR="00D57225" w:rsidRPr="00104227">
        <w:rPr>
          <w:rStyle w:val="Refdenotaalpie"/>
          <w:szCs w:val="20"/>
          <w:lang w:val="en-US"/>
        </w:rPr>
        <w:footnoteReference w:id="450"/>
      </w:r>
      <w:r w:rsidR="00D57225" w:rsidRPr="00104227">
        <w:rPr>
          <w:lang w:val="en-US"/>
        </w:rPr>
        <w:t xml:space="preserve"> </w:t>
      </w:r>
      <w:r w:rsidR="00BF5241" w:rsidRPr="00104227">
        <w:rPr>
          <w:lang w:val="en-US"/>
        </w:rPr>
        <w:t>the Court</w:t>
      </w:r>
      <w:r w:rsidR="00D57225" w:rsidRPr="00104227">
        <w:rPr>
          <w:lang w:val="en-US"/>
        </w:rPr>
        <w:t xml:space="preserve"> </w:t>
      </w:r>
      <w:r w:rsidRPr="00104227">
        <w:rPr>
          <w:lang w:val="en-US"/>
        </w:rPr>
        <w:t xml:space="preserve">finds that the </w:t>
      </w:r>
      <w:r w:rsidR="003F10B2" w:rsidRPr="00104227">
        <w:rPr>
          <w:lang w:val="en-US"/>
        </w:rPr>
        <w:t xml:space="preserve">State </w:t>
      </w:r>
      <w:r w:rsidRPr="00104227">
        <w:rPr>
          <w:lang w:val="en-US"/>
        </w:rPr>
        <w:t xml:space="preserve">shall ensure the full access and capacity to act of the victims or their next of kin at all </w:t>
      </w:r>
      <w:r w:rsidR="00F27D61" w:rsidRPr="00104227">
        <w:rPr>
          <w:lang w:val="en-US"/>
        </w:rPr>
        <w:t>stages</w:t>
      </w:r>
      <w:r w:rsidRPr="00104227">
        <w:rPr>
          <w:lang w:val="en-US"/>
        </w:rPr>
        <w:t xml:space="preserve"> of the investigation and prosecution of those responsible, pursuant to domestic law and the provisions </w:t>
      </w:r>
      <w:r w:rsidR="00BF5241" w:rsidRPr="00104227">
        <w:rPr>
          <w:lang w:val="en-US"/>
        </w:rPr>
        <w:t>of the American Convention</w:t>
      </w:r>
      <w:r w:rsidR="00D57225" w:rsidRPr="00104227">
        <w:rPr>
          <w:lang w:val="en-US"/>
        </w:rPr>
        <w:t xml:space="preserve">. </w:t>
      </w:r>
      <w:r w:rsidRPr="00104227">
        <w:rPr>
          <w:lang w:val="en-US"/>
        </w:rPr>
        <w:t xml:space="preserve">Likewise, the final judgments in the corresponding proceedings must be published, so that Mexican society may know the facts that are the purpose of this case, as well as those responsible, after consulting the victims </w:t>
      </w:r>
      <w:r w:rsidR="007F4B09" w:rsidRPr="00104227">
        <w:rPr>
          <w:lang w:val="en-US"/>
        </w:rPr>
        <w:t>with regard to those aspects that could affect their intimacy and privacy.</w:t>
      </w:r>
      <w:bookmarkEnd w:id="403"/>
    </w:p>
    <w:p w14:paraId="0A0E014C" w14:textId="77777777" w:rsidR="00D57225" w:rsidRPr="00104227" w:rsidRDefault="00D57225" w:rsidP="00E4619F">
      <w:pPr>
        <w:tabs>
          <w:tab w:val="left" w:pos="567"/>
        </w:tabs>
        <w:rPr>
          <w:szCs w:val="20"/>
          <w:lang w:eastAsia="es-MX"/>
        </w:rPr>
      </w:pPr>
    </w:p>
    <w:p w14:paraId="5654665F" w14:textId="28DC0E06" w:rsidR="00D57225" w:rsidRPr="00104227" w:rsidRDefault="005E5DCC" w:rsidP="00E4619F">
      <w:pPr>
        <w:pStyle w:val="Ttulo2"/>
        <w:ind w:left="1440"/>
        <w:rPr>
          <w:szCs w:val="20"/>
          <w:lang w:val="en-US"/>
        </w:rPr>
      </w:pPr>
      <w:bookmarkStart w:id="404" w:name="_Toc31290621"/>
      <w:r w:rsidRPr="00104227">
        <w:rPr>
          <w:szCs w:val="20"/>
          <w:lang w:val="en-US"/>
        </w:rPr>
        <w:t xml:space="preserve">Measures of </w:t>
      </w:r>
      <w:r w:rsidR="007F4B09" w:rsidRPr="00104227">
        <w:rPr>
          <w:szCs w:val="20"/>
          <w:lang w:val="en-US"/>
        </w:rPr>
        <w:t>rehabilitation and satisfaction,</w:t>
      </w:r>
      <w:r w:rsidR="00BF5241" w:rsidRPr="00104227">
        <w:rPr>
          <w:szCs w:val="20"/>
          <w:lang w:val="en-US"/>
        </w:rPr>
        <w:t xml:space="preserve"> and </w:t>
      </w:r>
      <w:r w:rsidRPr="00104227">
        <w:rPr>
          <w:szCs w:val="20"/>
          <w:lang w:val="en-US"/>
        </w:rPr>
        <w:t>guarantees of non-repetition</w:t>
      </w:r>
      <w:bookmarkEnd w:id="404"/>
      <w:r w:rsidR="00D57225" w:rsidRPr="00104227">
        <w:rPr>
          <w:szCs w:val="20"/>
          <w:lang w:val="en-US"/>
        </w:rPr>
        <w:t xml:space="preserve"> </w:t>
      </w:r>
    </w:p>
    <w:p w14:paraId="7EE83954" w14:textId="77777777" w:rsidR="00D57225" w:rsidRPr="00104227" w:rsidRDefault="00D57225" w:rsidP="00E4619F">
      <w:pPr>
        <w:tabs>
          <w:tab w:val="left" w:pos="567"/>
        </w:tabs>
        <w:rPr>
          <w:szCs w:val="20"/>
          <w:lang w:eastAsia="es-CR"/>
        </w:rPr>
      </w:pPr>
    </w:p>
    <w:p w14:paraId="2DEC3E28" w14:textId="00A8F65F" w:rsidR="00D57225" w:rsidRPr="00104227" w:rsidRDefault="00D57225" w:rsidP="00E4619F">
      <w:pPr>
        <w:pStyle w:val="Ttulo3"/>
        <w:tabs>
          <w:tab w:val="left" w:pos="567"/>
        </w:tabs>
        <w:rPr>
          <w:rStyle w:val="nfasissutil"/>
          <w:b/>
          <w:lang w:val="en-US"/>
        </w:rPr>
      </w:pPr>
      <w:bookmarkStart w:id="405" w:name="_Toc31290622"/>
      <w:r w:rsidRPr="00104227">
        <w:rPr>
          <w:rStyle w:val="nfasissutil"/>
          <w:b/>
          <w:lang w:val="en-US"/>
        </w:rPr>
        <w:t xml:space="preserve">D.1 </w:t>
      </w:r>
      <w:r w:rsidR="005E5DCC" w:rsidRPr="00104227">
        <w:rPr>
          <w:rStyle w:val="nfasissutil"/>
          <w:b/>
          <w:lang w:val="en-US"/>
        </w:rPr>
        <w:t>Measure of rehabilitation</w:t>
      </w:r>
      <w:bookmarkEnd w:id="405"/>
      <w:r w:rsidRPr="00104227">
        <w:rPr>
          <w:rStyle w:val="nfasissutil"/>
          <w:b/>
          <w:lang w:val="en-US"/>
        </w:rPr>
        <w:t xml:space="preserve"> </w:t>
      </w:r>
    </w:p>
    <w:p w14:paraId="5B195AEC" w14:textId="77777777" w:rsidR="00D57225" w:rsidRPr="00104227" w:rsidRDefault="00D57225" w:rsidP="00E4619F">
      <w:pPr>
        <w:tabs>
          <w:tab w:val="left" w:pos="567"/>
        </w:tabs>
        <w:rPr>
          <w:szCs w:val="20"/>
        </w:rPr>
      </w:pPr>
    </w:p>
    <w:p w14:paraId="41099167" w14:textId="4321330A" w:rsidR="008D29ED" w:rsidRPr="00104227" w:rsidRDefault="00BF5241" w:rsidP="00E4619F">
      <w:pPr>
        <w:pStyle w:val="Numberedparagraphs"/>
        <w:tabs>
          <w:tab w:val="left" w:pos="567"/>
        </w:tabs>
        <w:rPr>
          <w:b/>
          <w:lang w:val="en-US"/>
        </w:rPr>
      </w:pPr>
      <w:r w:rsidRPr="00104227">
        <w:rPr>
          <w:lang w:val="en-US"/>
        </w:rPr>
        <w:t xml:space="preserve">The </w:t>
      </w:r>
      <w:r w:rsidRPr="00104227">
        <w:rPr>
          <w:b/>
          <w:bCs/>
          <w:i/>
          <w:iCs/>
          <w:lang w:val="en-US"/>
        </w:rPr>
        <w:t>Commission</w:t>
      </w:r>
      <w:r w:rsidR="00D57225" w:rsidRPr="00104227">
        <w:rPr>
          <w:b/>
          <w:i/>
          <w:lang w:val="en-US"/>
        </w:rPr>
        <w:t xml:space="preserve"> </w:t>
      </w:r>
      <w:r w:rsidR="007F4B09" w:rsidRPr="00104227">
        <w:rPr>
          <w:lang w:val="en-US"/>
        </w:rPr>
        <w:t>asked that</w:t>
      </w:r>
      <w:r w:rsidR="00D57225" w:rsidRPr="00104227">
        <w:rPr>
          <w:lang w:val="en-US"/>
        </w:rPr>
        <w:t xml:space="preserve"> </w:t>
      </w:r>
      <w:r w:rsidR="00AC3BFC" w:rsidRPr="00104227">
        <w:rPr>
          <w:lang w:val="en-US"/>
        </w:rPr>
        <w:t>the State</w:t>
      </w:r>
      <w:r w:rsidR="00D57225" w:rsidRPr="00104227">
        <w:rPr>
          <w:lang w:val="en-US"/>
        </w:rPr>
        <w:t xml:space="preserve"> “[</w:t>
      </w:r>
      <w:r w:rsidR="008D29ED" w:rsidRPr="00104227">
        <w:rPr>
          <w:lang w:val="en-US"/>
        </w:rPr>
        <w:t>p</w:t>
      </w:r>
      <w:r w:rsidR="00D57225" w:rsidRPr="00104227">
        <w:rPr>
          <w:lang w:val="en-US"/>
        </w:rPr>
        <w:t>]r</w:t>
      </w:r>
      <w:r w:rsidR="008D29ED" w:rsidRPr="00104227">
        <w:rPr>
          <w:lang w:val="en-US"/>
        </w:rPr>
        <w:t xml:space="preserve">ovide, free of charge, immediately, and for as long as necessary, medical and </w:t>
      </w:r>
      <w:r w:rsidR="00F27D61" w:rsidRPr="00104227">
        <w:rPr>
          <w:lang w:val="en-US"/>
        </w:rPr>
        <w:t>psychological</w:t>
      </w:r>
      <w:r w:rsidR="008D29ED" w:rsidRPr="00104227">
        <w:rPr>
          <w:lang w:val="en-US"/>
        </w:rPr>
        <w:t xml:space="preserve"> or </w:t>
      </w:r>
      <w:r w:rsidR="00F27D61" w:rsidRPr="00104227">
        <w:rPr>
          <w:lang w:val="en-US"/>
        </w:rPr>
        <w:t>psychiatric</w:t>
      </w:r>
      <w:r w:rsidR="008D29ED" w:rsidRPr="00104227">
        <w:rPr>
          <w:lang w:val="en-US"/>
        </w:rPr>
        <w:t xml:space="preserve"> care, as appropriate, to the</w:t>
      </w:r>
      <w:r w:rsidR="00D57225" w:rsidRPr="00104227">
        <w:rPr>
          <w:lang w:val="en-US"/>
        </w:rPr>
        <w:t xml:space="preserve"> </w:t>
      </w:r>
      <w:r w:rsidR="00844C80" w:rsidRPr="00104227">
        <w:rPr>
          <w:lang w:val="en-US"/>
        </w:rPr>
        <w:t>victims in this case</w:t>
      </w:r>
      <w:r w:rsidR="008D29ED" w:rsidRPr="00104227">
        <w:rPr>
          <w:lang w:val="en-US"/>
        </w:rPr>
        <w:t xml:space="preserve"> who request this and by mutual agreement with them.”</w:t>
      </w:r>
      <w:r w:rsidR="00D57225" w:rsidRPr="00104227">
        <w:rPr>
          <w:lang w:val="en-US"/>
        </w:rPr>
        <w:t xml:space="preserve"> </w:t>
      </w:r>
      <w:r w:rsidR="002826A6" w:rsidRPr="00104227">
        <w:rPr>
          <w:lang w:val="en-US"/>
        </w:rPr>
        <w:t xml:space="preserve">The </w:t>
      </w:r>
      <w:r w:rsidR="002826A6" w:rsidRPr="00104227">
        <w:rPr>
          <w:b/>
          <w:bCs/>
          <w:i/>
          <w:iCs/>
          <w:lang w:val="en-US"/>
        </w:rPr>
        <w:t>representatives</w:t>
      </w:r>
      <w:r w:rsidR="00D57225" w:rsidRPr="00104227">
        <w:rPr>
          <w:b/>
          <w:i/>
          <w:lang w:val="en-US"/>
        </w:rPr>
        <w:t xml:space="preserve"> </w:t>
      </w:r>
      <w:r w:rsidR="008D29ED" w:rsidRPr="00104227">
        <w:rPr>
          <w:lang w:val="en-US"/>
        </w:rPr>
        <w:t xml:space="preserve">asked the Court to require the State to guarantee the victims appropriate medical care provided by “trusted competent professionals […],” from either the public or private sector, as requested by the victims. The representatives also asked that Mexico be required to provide the psychological treatment required by the eleven victims and their next of kin affected by the events. In addition, they asked that the care include the possibility of receiving treatment from professionals in alternative medicine, such as acupuncture and </w:t>
      </w:r>
      <w:r w:rsidR="00F27D61" w:rsidRPr="00104227">
        <w:rPr>
          <w:lang w:val="en-US"/>
        </w:rPr>
        <w:t>chiropractice</w:t>
      </w:r>
      <w:r w:rsidR="008D29ED" w:rsidRPr="00104227">
        <w:rPr>
          <w:lang w:val="en-US"/>
        </w:rPr>
        <w:t xml:space="preserve">. The </w:t>
      </w:r>
      <w:r w:rsidR="008D29ED" w:rsidRPr="00104227">
        <w:rPr>
          <w:b/>
          <w:bCs/>
          <w:i/>
          <w:iCs/>
          <w:lang w:val="en-US"/>
        </w:rPr>
        <w:t>State</w:t>
      </w:r>
      <w:r w:rsidR="008D29ED" w:rsidRPr="00104227">
        <w:rPr>
          <w:lang w:val="en-US"/>
        </w:rPr>
        <w:t xml:space="preserve"> indicated that “[t]he measures of reparation requested by the representatives aimed at the rehabilitation of the victims have been executed and the State should be allowed to continue executing them </w:t>
      </w:r>
      <w:r w:rsidR="00442A2D" w:rsidRPr="00104227">
        <w:rPr>
          <w:lang w:val="en-US"/>
        </w:rPr>
        <w:t>through</w:t>
      </w:r>
      <w:r w:rsidR="008D29ED" w:rsidRPr="00104227">
        <w:rPr>
          <w:lang w:val="en-US"/>
        </w:rPr>
        <w:t xml:space="preserve"> its own mechanisms”; also, </w:t>
      </w:r>
      <w:r w:rsidR="00442A2D" w:rsidRPr="00104227">
        <w:rPr>
          <w:lang w:val="en-US"/>
        </w:rPr>
        <w:t>that such</w:t>
      </w:r>
      <w:r w:rsidR="008D29ED" w:rsidRPr="00104227">
        <w:rPr>
          <w:lang w:val="en-US"/>
        </w:rPr>
        <w:t xml:space="preserve"> measures ha</w:t>
      </w:r>
      <w:r w:rsidR="00442A2D" w:rsidRPr="00104227">
        <w:rPr>
          <w:lang w:val="en-US"/>
        </w:rPr>
        <w:t>d</w:t>
      </w:r>
      <w:r w:rsidR="008D29ED" w:rsidRPr="00104227">
        <w:rPr>
          <w:lang w:val="en-US"/>
        </w:rPr>
        <w:t xml:space="preserve"> been available to the victims since 2013. However, it indicated that, in order to have access to these measures, the victims </w:t>
      </w:r>
      <w:r w:rsidR="00442A2D" w:rsidRPr="00104227">
        <w:rPr>
          <w:lang w:val="en-US"/>
        </w:rPr>
        <w:t>would have</w:t>
      </w:r>
      <w:r w:rsidR="008D29ED" w:rsidRPr="00104227">
        <w:rPr>
          <w:lang w:val="en-US"/>
        </w:rPr>
        <w:t xml:space="preserve"> to exhaust the </w:t>
      </w:r>
      <w:r w:rsidR="00442A2D" w:rsidRPr="00104227">
        <w:rPr>
          <w:lang w:val="en-US"/>
        </w:rPr>
        <w:t>procedures</w:t>
      </w:r>
      <w:r w:rsidR="008D29ED" w:rsidRPr="00104227">
        <w:rPr>
          <w:lang w:val="en-US"/>
        </w:rPr>
        <w:t xml:space="preserve"> established in the domestic sphere.</w:t>
      </w:r>
    </w:p>
    <w:p w14:paraId="0AA5C17F" w14:textId="77777777" w:rsidR="00D57225" w:rsidRPr="00104227" w:rsidRDefault="00D57225" w:rsidP="00E4619F">
      <w:pPr>
        <w:tabs>
          <w:tab w:val="left" w:pos="567"/>
        </w:tabs>
      </w:pPr>
    </w:p>
    <w:p w14:paraId="13FCE235" w14:textId="59C35F47" w:rsidR="00D57225" w:rsidRPr="00104227" w:rsidRDefault="00BF5241" w:rsidP="00E56FEE">
      <w:pPr>
        <w:pStyle w:val="Numberedparagraphs"/>
        <w:tabs>
          <w:tab w:val="left" w:pos="567"/>
        </w:tabs>
        <w:rPr>
          <w:lang w:val="en-US"/>
        </w:rPr>
      </w:pPr>
      <w:bookmarkStart w:id="406" w:name="_Ref532987983"/>
      <w:r w:rsidRPr="00104227">
        <w:rPr>
          <w:lang w:val="en-US"/>
        </w:rPr>
        <w:t>The Court</w:t>
      </w:r>
      <w:r w:rsidR="00D57225" w:rsidRPr="00104227">
        <w:rPr>
          <w:lang w:val="en-US"/>
        </w:rPr>
        <w:t xml:space="preserve"> ha</w:t>
      </w:r>
      <w:r w:rsidR="008D29ED" w:rsidRPr="00104227">
        <w:rPr>
          <w:lang w:val="en-US"/>
        </w:rPr>
        <w:t xml:space="preserve">s verified the </w:t>
      </w:r>
      <w:r w:rsidR="0035466A" w:rsidRPr="00104227">
        <w:rPr>
          <w:lang w:val="en-US"/>
        </w:rPr>
        <w:t xml:space="preserve">severe violations of </w:t>
      </w:r>
      <w:r w:rsidR="0094395C" w:rsidRPr="00104227">
        <w:rPr>
          <w:lang w:val="en-US"/>
        </w:rPr>
        <w:t>personal integrity</w:t>
      </w:r>
      <w:r w:rsidR="00D57225" w:rsidRPr="00104227">
        <w:rPr>
          <w:lang w:val="en-US"/>
        </w:rPr>
        <w:t xml:space="preserve"> </w:t>
      </w:r>
      <w:r w:rsidR="0035466A" w:rsidRPr="00104227">
        <w:rPr>
          <w:lang w:val="en-US"/>
        </w:rPr>
        <w:t>suffered by</w:t>
      </w:r>
      <w:r w:rsidR="00D57225" w:rsidRPr="00104227">
        <w:rPr>
          <w:lang w:val="en-US"/>
        </w:rPr>
        <w:t xml:space="preserve"> </w:t>
      </w:r>
      <w:r w:rsidR="00F12946" w:rsidRPr="00104227">
        <w:rPr>
          <w:lang w:val="en-US"/>
        </w:rPr>
        <w:t>the eleven women</w:t>
      </w:r>
      <w:r w:rsidRPr="00104227">
        <w:rPr>
          <w:lang w:val="en-US"/>
        </w:rPr>
        <w:t xml:space="preserve"> and </w:t>
      </w:r>
      <w:r w:rsidR="0035466A" w:rsidRPr="00104227">
        <w:rPr>
          <w:lang w:val="en-US"/>
        </w:rPr>
        <w:t xml:space="preserve">their family members as a result of the facts of this case </w:t>
      </w:r>
      <w:r w:rsidR="00D57225" w:rsidRPr="00104227">
        <w:rPr>
          <w:lang w:val="en-US"/>
        </w:rPr>
        <w:t>(</w:t>
      </w:r>
      <w:r w:rsidR="00D57225" w:rsidRPr="00104227">
        <w:rPr>
          <w:i/>
          <w:lang w:val="en-US"/>
        </w:rPr>
        <w:t xml:space="preserve">supra </w:t>
      </w:r>
      <w:r w:rsidRPr="00104227">
        <w:rPr>
          <w:lang w:val="en-US"/>
        </w:rPr>
        <w:t>paras.</w:t>
      </w:r>
      <w:r w:rsidR="00D57225" w:rsidRPr="00104227">
        <w:rPr>
          <w:lang w:val="en-US"/>
        </w:rPr>
        <w:t xml:space="preserve"> </w:t>
      </w:r>
      <w:r w:rsidR="00CC3D89" w:rsidRPr="00104227">
        <w:rPr>
          <w:lang w:val="en-US"/>
        </w:rPr>
        <w:fldChar w:fldCharType="begin"/>
      </w:r>
      <w:r w:rsidR="00CC3D89" w:rsidRPr="00104227">
        <w:rPr>
          <w:lang w:val="en-US"/>
        </w:rPr>
        <w:instrText xml:space="preserve"> REF _Ref532984850 \r \h </w:instrText>
      </w:r>
      <w:r w:rsidR="00284EAE" w:rsidRPr="00104227">
        <w:rPr>
          <w:lang w:val="en-US"/>
        </w:rPr>
        <w:instrText xml:space="preserve"> \* MERGEFORMAT </w:instrText>
      </w:r>
      <w:r w:rsidR="00CC3D89" w:rsidRPr="00104227">
        <w:rPr>
          <w:lang w:val="en-US"/>
        </w:rPr>
      </w:r>
      <w:r w:rsidR="00CC3D89" w:rsidRPr="00104227">
        <w:rPr>
          <w:lang w:val="en-US"/>
        </w:rPr>
        <w:fldChar w:fldCharType="separate"/>
      </w:r>
      <w:r w:rsidR="004276BD">
        <w:rPr>
          <w:lang w:val="en-US"/>
        </w:rPr>
        <w:t>320</w:t>
      </w:r>
      <w:r w:rsidR="00CC3D89" w:rsidRPr="00104227">
        <w:rPr>
          <w:lang w:val="en-US"/>
        </w:rPr>
        <w:fldChar w:fldCharType="end"/>
      </w:r>
      <w:r w:rsidR="00CC3D89" w:rsidRPr="00104227">
        <w:rPr>
          <w:lang w:val="en-US"/>
        </w:rPr>
        <w:t xml:space="preserve"> </w:t>
      </w:r>
      <w:r w:rsidR="0035466A" w:rsidRPr="00104227">
        <w:rPr>
          <w:lang w:val="en-US"/>
        </w:rPr>
        <w:t>to</w:t>
      </w:r>
      <w:r w:rsidR="00CC3D89" w:rsidRPr="00104227">
        <w:rPr>
          <w:lang w:val="en-US"/>
        </w:rPr>
        <w:t xml:space="preserve"> </w:t>
      </w:r>
      <w:r w:rsidR="00CC3D89" w:rsidRPr="00104227">
        <w:rPr>
          <w:lang w:val="en-US"/>
        </w:rPr>
        <w:fldChar w:fldCharType="begin"/>
      </w:r>
      <w:r w:rsidR="00CC3D89" w:rsidRPr="00104227">
        <w:rPr>
          <w:lang w:val="en-US"/>
        </w:rPr>
        <w:instrText xml:space="preserve"> REF _Ref532979975 \r \h </w:instrText>
      </w:r>
      <w:r w:rsidR="00284EAE" w:rsidRPr="00104227">
        <w:rPr>
          <w:lang w:val="en-US"/>
        </w:rPr>
        <w:instrText xml:space="preserve"> \* MERGEFORMAT </w:instrText>
      </w:r>
      <w:r w:rsidR="00CC3D89" w:rsidRPr="00104227">
        <w:rPr>
          <w:lang w:val="en-US"/>
        </w:rPr>
      </w:r>
      <w:r w:rsidR="00CC3D89" w:rsidRPr="00104227">
        <w:rPr>
          <w:lang w:val="en-US"/>
        </w:rPr>
        <w:fldChar w:fldCharType="separate"/>
      </w:r>
      <w:r w:rsidR="004276BD">
        <w:rPr>
          <w:lang w:val="en-US"/>
        </w:rPr>
        <w:t>324</w:t>
      </w:r>
      <w:r w:rsidR="00CC3D89" w:rsidRPr="00104227">
        <w:rPr>
          <w:lang w:val="en-US"/>
        </w:rPr>
        <w:fldChar w:fldCharType="end"/>
      </w:r>
      <w:r w:rsidR="00D57225" w:rsidRPr="00104227">
        <w:rPr>
          <w:lang w:val="en-US"/>
        </w:rPr>
        <w:t>).</w:t>
      </w:r>
      <w:r w:rsidR="00C726C5" w:rsidRPr="00104227">
        <w:rPr>
          <w:lang w:val="en-US"/>
        </w:rPr>
        <w:t xml:space="preserve"> </w:t>
      </w:r>
      <w:r w:rsidR="0035466A" w:rsidRPr="00104227">
        <w:rPr>
          <w:lang w:val="en-US"/>
        </w:rPr>
        <w:t xml:space="preserve">Therefore, the Court finds it necessary to establish a measure of reparation that provides adequate care for the physical, psychological or psychiatric problems suffered by the victims as a </w:t>
      </w:r>
      <w:r w:rsidR="0035466A" w:rsidRPr="00104227">
        <w:rPr>
          <w:lang w:val="en-US"/>
        </w:rPr>
        <w:lastRenderedPageBreak/>
        <w:t xml:space="preserve">result of the violations established in this judgment, </w:t>
      </w:r>
      <w:r w:rsidR="00442A2D" w:rsidRPr="00104227">
        <w:rPr>
          <w:lang w:val="en-US"/>
        </w:rPr>
        <w:t>taking</w:t>
      </w:r>
      <w:r w:rsidR="0035466A" w:rsidRPr="00104227">
        <w:rPr>
          <w:lang w:val="en-US"/>
        </w:rPr>
        <w:t xml:space="preserve"> into consideration their gender particularities and case history.</w:t>
      </w:r>
      <w:r w:rsidR="0035466A" w:rsidRPr="00104227">
        <w:rPr>
          <w:rStyle w:val="Refdenotaalpie"/>
          <w:szCs w:val="20"/>
          <w:lang w:val="en-US" w:bidi="en-US"/>
        </w:rPr>
        <w:footnoteReference w:id="451"/>
      </w:r>
      <w:r w:rsidR="0035466A" w:rsidRPr="00104227">
        <w:rPr>
          <w:lang w:val="en-US"/>
        </w:rPr>
        <w:t xml:space="preserve"> Thus, the Court requires the State to provide, free of charge and on a priority basis, medical treatment for </w:t>
      </w:r>
      <w:r w:rsidR="0035466A" w:rsidRPr="00104227">
        <w:rPr>
          <w:lang w:val="en-US" w:bidi="en-US"/>
        </w:rPr>
        <w:t>the eleven women victims in this case, which must include the provision of medication and, if applicable, transportation and other necessary and directly related expenses.</w:t>
      </w:r>
      <w:r w:rsidR="0035466A" w:rsidRPr="00104227">
        <w:rPr>
          <w:rFonts w:cs="Verdana"/>
          <w:sz w:val="16"/>
          <w:szCs w:val="16"/>
          <w:vertAlign w:val="superscript"/>
          <w:lang w:val="en-US"/>
        </w:rPr>
        <w:footnoteReference w:id="452"/>
      </w:r>
      <w:r w:rsidR="0035466A" w:rsidRPr="00104227">
        <w:rPr>
          <w:lang w:val="en-US" w:bidi="en-US"/>
        </w:rPr>
        <w:t xml:space="preserve"> In addition, this must be provided, insofar as possible, in the health centers nearest to their places of residence,</w:t>
      </w:r>
      <w:r w:rsidR="0035466A" w:rsidRPr="00104227">
        <w:rPr>
          <w:rStyle w:val="Refdenotaalpie"/>
          <w:szCs w:val="20"/>
          <w:lang w:val="en-US"/>
        </w:rPr>
        <w:footnoteReference w:id="453"/>
      </w:r>
      <w:r w:rsidR="0035466A" w:rsidRPr="00104227">
        <w:rPr>
          <w:lang w:val="en-US" w:bidi="en-US"/>
        </w:rPr>
        <w:t xml:space="preserve"> for as long as necessary. The Court also requires the State to provide, free of charge and on a priority basis, immediate and appropriate psychological or psychiatric treatment to the victims who request this, including the free supply of any medication they may require, through its specialized health care institutions</w:t>
      </w:r>
      <w:r w:rsidR="00E56FEE" w:rsidRPr="00104227">
        <w:rPr>
          <w:lang w:val="en-US" w:bidi="en-US"/>
        </w:rPr>
        <w:t>. When providing the psychological and/or psychiatric treatment, the particular circumstances and needs of each victim should be considered, as agreed with each of them following an individual evaluation.</w:t>
      </w:r>
      <w:r w:rsidR="00E56FEE" w:rsidRPr="00104227">
        <w:rPr>
          <w:rStyle w:val="Refdenotaalpie"/>
          <w:szCs w:val="20"/>
          <w:lang w:val="en-US"/>
        </w:rPr>
        <w:footnoteReference w:id="454"/>
      </w:r>
      <w:r w:rsidR="00E56FEE" w:rsidRPr="00104227">
        <w:rPr>
          <w:lang w:val="en-US" w:bidi="en-US"/>
        </w:rPr>
        <w:t xml:space="preserve"> The beneficiaries of these measures have six months from notification of this judgment to inform the State of their desire to received psychological and/or psychiatric treatment,</w:t>
      </w:r>
      <w:r w:rsidR="00D57225" w:rsidRPr="00104227">
        <w:rPr>
          <w:rStyle w:val="Refdenotaalpie"/>
          <w:szCs w:val="20"/>
          <w:lang w:val="en-US"/>
        </w:rPr>
        <w:footnoteReference w:id="455"/>
      </w:r>
      <w:r w:rsidR="00E56FEE" w:rsidRPr="00104227">
        <w:rPr>
          <w:lang w:val="en-US" w:bidi="en-US"/>
        </w:rPr>
        <w:t xml:space="preserve"> and the State has three months from reception of the said request, to provide the psychological and/or psychiatric treatment requested</w:t>
      </w:r>
      <w:r w:rsidR="00D57225" w:rsidRPr="00104227">
        <w:rPr>
          <w:lang w:val="en-US"/>
        </w:rPr>
        <w:t>.</w:t>
      </w:r>
      <w:bookmarkEnd w:id="406"/>
      <w:r w:rsidR="00D57225" w:rsidRPr="00104227">
        <w:rPr>
          <w:lang w:val="en-US"/>
        </w:rPr>
        <w:t xml:space="preserve"> </w:t>
      </w:r>
    </w:p>
    <w:p w14:paraId="677EC027" w14:textId="77777777" w:rsidR="00D57225" w:rsidRPr="00104227" w:rsidRDefault="00D57225" w:rsidP="00E4619F">
      <w:pPr>
        <w:tabs>
          <w:tab w:val="left" w:pos="567"/>
        </w:tabs>
        <w:rPr>
          <w:lang w:eastAsia="es-MX"/>
        </w:rPr>
      </w:pPr>
    </w:p>
    <w:p w14:paraId="049E7B27" w14:textId="4A44C967" w:rsidR="00D57225" w:rsidRPr="00104227" w:rsidRDefault="00D57225" w:rsidP="00E4619F">
      <w:pPr>
        <w:pStyle w:val="Ttulo3"/>
        <w:tabs>
          <w:tab w:val="left" w:pos="567"/>
        </w:tabs>
        <w:rPr>
          <w:rStyle w:val="nfasissutil"/>
          <w:b/>
          <w:lang w:val="en-US"/>
        </w:rPr>
      </w:pPr>
      <w:bookmarkStart w:id="407" w:name="_Toc31290623"/>
      <w:r w:rsidRPr="00104227">
        <w:rPr>
          <w:rStyle w:val="nfasissutil"/>
          <w:b/>
          <w:lang w:val="en-US"/>
        </w:rPr>
        <w:t xml:space="preserve">D.2 </w:t>
      </w:r>
      <w:r w:rsidR="005E5DCC" w:rsidRPr="00104227">
        <w:rPr>
          <w:rStyle w:val="nfasissutil"/>
          <w:b/>
          <w:lang w:val="en-US"/>
        </w:rPr>
        <w:t>Measures of satisfaction</w:t>
      </w:r>
      <w:bookmarkEnd w:id="407"/>
    </w:p>
    <w:p w14:paraId="4EE7389F" w14:textId="77777777" w:rsidR="00D57225" w:rsidRPr="00104227" w:rsidRDefault="00D57225" w:rsidP="005F633F">
      <w:pPr>
        <w:rPr>
          <w:rStyle w:val="nfasissutil"/>
          <w:b w:val="0"/>
        </w:rPr>
      </w:pPr>
    </w:p>
    <w:p w14:paraId="21B78846" w14:textId="51F3CD26" w:rsidR="00885693" w:rsidRPr="00104227" w:rsidRDefault="00885693" w:rsidP="00885693">
      <w:pPr>
        <w:pStyle w:val="Ttulo4"/>
        <w:rPr>
          <w:lang w:val="en-US"/>
        </w:rPr>
      </w:pPr>
      <w:r w:rsidRPr="00104227">
        <w:rPr>
          <w:lang w:val="en-US"/>
        </w:rPr>
        <w:t>D.2.a Publica</w:t>
      </w:r>
      <w:r w:rsidR="00E56FEE" w:rsidRPr="00104227">
        <w:rPr>
          <w:lang w:val="en-US"/>
        </w:rPr>
        <w:t xml:space="preserve">tion and dissemination </w:t>
      </w:r>
      <w:r w:rsidR="005E29A3" w:rsidRPr="00104227">
        <w:rPr>
          <w:lang w:val="en-US"/>
        </w:rPr>
        <w:t>of the judgment</w:t>
      </w:r>
    </w:p>
    <w:p w14:paraId="32D4F7E2" w14:textId="77777777" w:rsidR="00885693" w:rsidRPr="00104227" w:rsidRDefault="00885693" w:rsidP="00885693"/>
    <w:p w14:paraId="1D643221" w14:textId="6E17E4AA" w:rsidR="00E56FEE" w:rsidRPr="00104227" w:rsidRDefault="002826A6" w:rsidP="00FC18F3">
      <w:pPr>
        <w:pStyle w:val="Numberedparagraphs"/>
        <w:tabs>
          <w:tab w:val="left" w:pos="567"/>
        </w:tabs>
        <w:rPr>
          <w:rFonts w:eastAsiaTheme="minorHAnsi"/>
          <w:lang w:val="en-US"/>
        </w:rPr>
      </w:pPr>
      <w:r w:rsidRPr="00104227">
        <w:rPr>
          <w:lang w:val="en-US"/>
        </w:rPr>
        <w:t xml:space="preserve">The </w:t>
      </w:r>
      <w:r w:rsidRPr="00104227">
        <w:rPr>
          <w:b/>
          <w:bCs/>
          <w:i/>
          <w:iCs/>
          <w:lang w:val="en-US"/>
        </w:rPr>
        <w:t>representatives</w:t>
      </w:r>
      <w:r w:rsidR="00D57225" w:rsidRPr="00104227">
        <w:rPr>
          <w:b/>
          <w:i/>
          <w:lang w:val="en-US"/>
        </w:rPr>
        <w:t xml:space="preserve"> </w:t>
      </w:r>
      <w:r w:rsidR="00E56FEE" w:rsidRPr="00104227">
        <w:rPr>
          <w:lang w:val="en-US"/>
        </w:rPr>
        <w:t xml:space="preserve">asked the Court to require the </w:t>
      </w:r>
      <w:r w:rsidR="003F10B2" w:rsidRPr="00104227">
        <w:rPr>
          <w:lang w:val="en-US"/>
        </w:rPr>
        <w:t xml:space="preserve">State </w:t>
      </w:r>
      <w:r w:rsidR="00E56FEE" w:rsidRPr="00104227">
        <w:rPr>
          <w:lang w:val="en-US"/>
        </w:rPr>
        <w:t xml:space="preserve">to publish the official summary of the judgment in two of the newspapers with the most widespread circulation in the country, and in the most widely read newspaper in the state of Mexico. In addition, they asked that the complete judgment be published on “the websites of the Office of the Presidency, the PGR, the Governor of the state of Mexico and the PGJEM” for one year, on the opening page of these sites, “evident on opening the website, either the text itself or a direct link to the text”; </w:t>
      </w:r>
      <w:r w:rsidR="008D1FC8" w:rsidRPr="00104227">
        <w:rPr>
          <w:lang w:val="en-US"/>
        </w:rPr>
        <w:t>and</w:t>
      </w:r>
      <w:r w:rsidR="00E56FEE" w:rsidRPr="00104227">
        <w:rPr>
          <w:lang w:val="en-US"/>
        </w:rPr>
        <w:t xml:space="preserve"> then be stored “permanently” in the </w:t>
      </w:r>
      <w:r w:rsidR="00FC18F3" w:rsidRPr="00104227">
        <w:rPr>
          <w:lang w:val="en-US"/>
        </w:rPr>
        <w:t>sectio</w:t>
      </w:r>
      <w:r w:rsidR="00E56FEE" w:rsidRPr="00104227">
        <w:rPr>
          <w:lang w:val="en-US"/>
        </w:rPr>
        <w:t>n on international judgments and/or human rights.</w:t>
      </w:r>
      <w:r w:rsidR="00FC18F3" w:rsidRPr="00104227">
        <w:rPr>
          <w:lang w:val="en-US"/>
        </w:rPr>
        <w:t xml:space="preserve"> Regarding the publication on official websites, the representatives clarified that their objective was that it be published by the most senior levels of the State, in order to achieve the greatest dissemination of the message to internet users.</w:t>
      </w:r>
    </w:p>
    <w:p w14:paraId="7FDCDB70" w14:textId="77777777" w:rsidR="00D57225" w:rsidRPr="00104227" w:rsidRDefault="00D57225" w:rsidP="00E4619F">
      <w:pPr>
        <w:tabs>
          <w:tab w:val="left" w:pos="567"/>
        </w:tabs>
        <w:rPr>
          <w:szCs w:val="20"/>
          <w:lang w:eastAsia="es-MX"/>
        </w:rPr>
      </w:pPr>
    </w:p>
    <w:p w14:paraId="7FC636D4" w14:textId="070A017A" w:rsidR="00FC18F3" w:rsidRPr="00104227" w:rsidRDefault="00AC3BFC" w:rsidP="00E4619F">
      <w:pPr>
        <w:pStyle w:val="Numberedparagraphs"/>
        <w:tabs>
          <w:tab w:val="left" w:pos="567"/>
        </w:tabs>
        <w:rPr>
          <w:b/>
          <w:lang w:val="en-US"/>
        </w:rPr>
      </w:pPr>
      <w:r w:rsidRPr="00104227">
        <w:rPr>
          <w:lang w:val="en-US"/>
        </w:rPr>
        <w:t xml:space="preserve">The </w:t>
      </w:r>
      <w:r w:rsidRPr="00104227">
        <w:rPr>
          <w:b/>
          <w:bCs/>
          <w:i/>
          <w:iCs/>
          <w:lang w:val="en-US"/>
        </w:rPr>
        <w:t>State</w:t>
      </w:r>
      <w:r w:rsidR="00D57225" w:rsidRPr="00104227">
        <w:rPr>
          <w:b/>
          <w:i/>
          <w:lang w:val="en-US"/>
        </w:rPr>
        <w:t xml:space="preserve"> </w:t>
      </w:r>
      <w:r w:rsidR="00FC18F3" w:rsidRPr="00104227">
        <w:rPr>
          <w:lang w:val="en-US"/>
        </w:rPr>
        <w:t>asked that, if the Court decided to grant this measures, it be allowed to publish the judgment on the web</w:t>
      </w:r>
      <w:r w:rsidR="008D1FC8" w:rsidRPr="00104227">
        <w:rPr>
          <w:lang w:val="en-US"/>
        </w:rPr>
        <w:t>site</w:t>
      </w:r>
      <w:r w:rsidR="00FC18F3" w:rsidRPr="00104227">
        <w:rPr>
          <w:lang w:val="en-US"/>
        </w:rPr>
        <w:t xml:space="preserve"> of the Ministry of Foreign Affairs and not on that of the Presidency of </w:t>
      </w:r>
      <w:r w:rsidR="00FC18F3" w:rsidRPr="00104227">
        <w:rPr>
          <w:lang w:val="en-US"/>
        </w:rPr>
        <w:lastRenderedPageBreak/>
        <w:t xml:space="preserve">the Republic, because the former is the entity that functions as a link between human rights bodies and the Federal Government. Thus, the Ministry of Foreign Affairs “would – by means of a press release – publish the relevant parts of the judgment, which would be distributed </w:t>
      </w:r>
      <w:r w:rsidR="008D1FC8" w:rsidRPr="00104227">
        <w:rPr>
          <w:lang w:val="en-US"/>
        </w:rPr>
        <w:t>on</w:t>
      </w:r>
      <w:r w:rsidR="00FC18F3" w:rsidRPr="00104227">
        <w:rPr>
          <w:lang w:val="en-US"/>
        </w:rPr>
        <w:t xml:space="preserve"> official websites, including the social networks.” It also proposed that the publication be made, once, in the </w:t>
      </w:r>
      <w:r w:rsidR="00FC18F3" w:rsidRPr="00104227">
        <w:rPr>
          <w:i/>
          <w:iCs/>
          <w:lang w:val="en-US"/>
        </w:rPr>
        <w:t>Semanario Judicial de la Federación</w:t>
      </w:r>
      <w:r w:rsidR="00FC18F3" w:rsidRPr="00104227">
        <w:rPr>
          <w:lang w:val="en-US"/>
        </w:rPr>
        <w:t xml:space="preserve"> and the Federation’s Official Gazette.</w:t>
      </w:r>
    </w:p>
    <w:p w14:paraId="38968E44" w14:textId="77777777" w:rsidR="00D57225" w:rsidRPr="00104227" w:rsidRDefault="00D57225" w:rsidP="00E4619F">
      <w:pPr>
        <w:tabs>
          <w:tab w:val="left" w:pos="567"/>
        </w:tabs>
        <w:rPr>
          <w:szCs w:val="20"/>
          <w:lang w:eastAsia="es-MX"/>
        </w:rPr>
      </w:pPr>
    </w:p>
    <w:p w14:paraId="02DC8AE4" w14:textId="36211309" w:rsidR="00D57225" w:rsidRPr="00104227" w:rsidRDefault="00BF5241" w:rsidP="00E4619F">
      <w:pPr>
        <w:pStyle w:val="Numberedparagraphs"/>
        <w:tabs>
          <w:tab w:val="left" w:pos="567"/>
        </w:tabs>
        <w:rPr>
          <w:lang w:val="en-US"/>
        </w:rPr>
      </w:pPr>
      <w:bookmarkStart w:id="408" w:name="_Ref532988021"/>
      <w:r w:rsidRPr="00104227">
        <w:rPr>
          <w:lang w:val="en-US"/>
        </w:rPr>
        <w:t>The Court</w:t>
      </w:r>
      <w:r w:rsidR="00D57225" w:rsidRPr="00104227">
        <w:rPr>
          <w:lang w:val="en-US"/>
        </w:rPr>
        <w:t xml:space="preserve"> </w:t>
      </w:r>
      <w:r w:rsidR="00FC18F3" w:rsidRPr="00104227">
        <w:rPr>
          <w:lang w:val="en-US"/>
        </w:rPr>
        <w:t>finds it pertinent to require, as it has in other cases,</w:t>
      </w:r>
      <w:r w:rsidR="00D57225" w:rsidRPr="00104227">
        <w:rPr>
          <w:vertAlign w:val="superscript"/>
          <w:lang w:val="en-US"/>
        </w:rPr>
        <w:footnoteReference w:id="456"/>
      </w:r>
      <w:r w:rsidR="00FC18F3" w:rsidRPr="00104227">
        <w:rPr>
          <w:lang w:val="en-US"/>
        </w:rPr>
        <w:t xml:space="preserve"> that</w:t>
      </w:r>
      <w:r w:rsidR="00D57225" w:rsidRPr="00104227">
        <w:rPr>
          <w:lang w:val="en-US"/>
        </w:rPr>
        <w:t xml:space="preserve"> </w:t>
      </w:r>
      <w:r w:rsidR="00AC3BFC" w:rsidRPr="00104227">
        <w:rPr>
          <w:lang w:val="en-US"/>
        </w:rPr>
        <w:t>the State</w:t>
      </w:r>
      <w:r w:rsidR="008D1FC8" w:rsidRPr="00104227">
        <w:rPr>
          <w:lang w:val="en-US"/>
        </w:rPr>
        <w:t xml:space="preserve"> make the following publications</w:t>
      </w:r>
      <w:r w:rsidR="00FC18F3" w:rsidRPr="00104227">
        <w:rPr>
          <w:lang w:val="en-US"/>
        </w:rPr>
        <w:t xml:space="preserve"> within six mont</w:t>
      </w:r>
      <w:r w:rsidR="008D1FC8" w:rsidRPr="00104227">
        <w:rPr>
          <w:lang w:val="en-US"/>
        </w:rPr>
        <w:t>h</w:t>
      </w:r>
      <w:r w:rsidR="00FC18F3" w:rsidRPr="00104227">
        <w:rPr>
          <w:lang w:val="en-US"/>
        </w:rPr>
        <w:t xml:space="preserve">s of notification </w:t>
      </w:r>
      <w:r w:rsidR="005E29A3" w:rsidRPr="00104227">
        <w:rPr>
          <w:lang w:val="en-US"/>
        </w:rPr>
        <w:t>of this judgment</w:t>
      </w:r>
      <w:r w:rsidR="00FC18F3" w:rsidRPr="00104227">
        <w:rPr>
          <w:lang w:val="en-US"/>
        </w:rPr>
        <w:t xml:space="preserve">: (a) the </w:t>
      </w:r>
      <w:r w:rsidR="00F27D61" w:rsidRPr="00104227">
        <w:rPr>
          <w:lang w:val="en-US"/>
        </w:rPr>
        <w:t>official</w:t>
      </w:r>
      <w:r w:rsidR="00FC18F3" w:rsidRPr="00104227">
        <w:rPr>
          <w:lang w:val="en-US"/>
        </w:rPr>
        <w:t xml:space="preserve"> summary </w:t>
      </w:r>
      <w:r w:rsidR="005E29A3" w:rsidRPr="00104227">
        <w:rPr>
          <w:lang w:val="en-US"/>
        </w:rPr>
        <w:t>of the judgment</w:t>
      </w:r>
      <w:r w:rsidR="00D57225" w:rsidRPr="00104227">
        <w:rPr>
          <w:lang w:val="en-US"/>
        </w:rPr>
        <w:t xml:space="preserve"> </w:t>
      </w:r>
      <w:r w:rsidR="00FC18F3" w:rsidRPr="00104227">
        <w:rPr>
          <w:lang w:val="en-US"/>
        </w:rPr>
        <w:t>prepared by</w:t>
      </w:r>
      <w:r w:rsidR="00D57225" w:rsidRPr="00104227">
        <w:rPr>
          <w:lang w:val="en-US"/>
        </w:rPr>
        <w:t xml:space="preserve"> </w:t>
      </w:r>
      <w:r w:rsidRPr="00104227">
        <w:rPr>
          <w:lang w:val="en-US"/>
        </w:rPr>
        <w:t>the Court</w:t>
      </w:r>
      <w:r w:rsidR="00D57225" w:rsidRPr="00104227">
        <w:rPr>
          <w:lang w:val="en-US"/>
        </w:rPr>
        <w:t xml:space="preserve">, </w:t>
      </w:r>
      <w:r w:rsidR="00FC18F3" w:rsidRPr="00104227">
        <w:rPr>
          <w:lang w:val="en-US"/>
        </w:rPr>
        <w:t>once, in the Official Gazette</w:t>
      </w:r>
      <w:r w:rsidR="00D57225" w:rsidRPr="00104227">
        <w:rPr>
          <w:lang w:val="en-US"/>
        </w:rPr>
        <w:t xml:space="preserve">, </w:t>
      </w:r>
      <w:r w:rsidR="00FC18F3" w:rsidRPr="00104227">
        <w:rPr>
          <w:lang w:val="en-US"/>
        </w:rPr>
        <w:t>in a newspaper with widespread national circulation, and in a</w:t>
      </w:r>
      <w:r w:rsidR="008D1FC8" w:rsidRPr="00104227">
        <w:rPr>
          <w:lang w:val="en-US"/>
        </w:rPr>
        <w:t xml:space="preserve"> widely read</w:t>
      </w:r>
      <w:r w:rsidR="00FC18F3" w:rsidRPr="00104227">
        <w:rPr>
          <w:lang w:val="en-US"/>
        </w:rPr>
        <w:t xml:space="preserve"> newspaper in </w:t>
      </w:r>
      <w:r w:rsidR="00AC3BFC" w:rsidRPr="00104227">
        <w:rPr>
          <w:lang w:val="en-US"/>
        </w:rPr>
        <w:t xml:space="preserve">the </w:t>
      </w:r>
      <w:r w:rsidR="00CA330F" w:rsidRPr="00104227">
        <w:rPr>
          <w:lang w:val="en-US"/>
        </w:rPr>
        <w:t>state of Mexico</w:t>
      </w:r>
      <w:r w:rsidR="00D57225" w:rsidRPr="00104227">
        <w:rPr>
          <w:lang w:val="en-US"/>
        </w:rPr>
        <w:t xml:space="preserve">, </w:t>
      </w:r>
      <w:r w:rsidR="00FC18F3" w:rsidRPr="00104227">
        <w:rPr>
          <w:lang w:val="en-US"/>
        </w:rPr>
        <w:t>in an legible font and</w:t>
      </w:r>
      <w:r w:rsidR="008D1FC8" w:rsidRPr="00104227">
        <w:rPr>
          <w:lang w:val="en-US"/>
        </w:rPr>
        <w:t xml:space="preserve"> appropriate</w:t>
      </w:r>
      <w:r w:rsidR="00FC18F3" w:rsidRPr="00104227">
        <w:rPr>
          <w:lang w:val="en-US"/>
        </w:rPr>
        <w:t xml:space="preserve"> letter size, and (b) </w:t>
      </w:r>
      <w:r w:rsidRPr="00104227">
        <w:rPr>
          <w:lang w:val="en-US"/>
        </w:rPr>
        <w:t>th</w:t>
      </w:r>
      <w:r w:rsidR="008D1FC8" w:rsidRPr="00104227">
        <w:rPr>
          <w:lang w:val="en-US"/>
        </w:rPr>
        <w:t>e entire</w:t>
      </w:r>
      <w:r w:rsidRPr="00104227">
        <w:rPr>
          <w:lang w:val="en-US"/>
        </w:rPr>
        <w:t xml:space="preserve"> judgment</w:t>
      </w:r>
      <w:r w:rsidR="008D1FC8" w:rsidRPr="00104227">
        <w:rPr>
          <w:lang w:val="en-US"/>
        </w:rPr>
        <w:t>,</w:t>
      </w:r>
      <w:r w:rsidR="00D57225" w:rsidRPr="00104227">
        <w:rPr>
          <w:lang w:val="en-US"/>
        </w:rPr>
        <w:t xml:space="preserve"> </w:t>
      </w:r>
      <w:r w:rsidR="00FC18F3" w:rsidRPr="00104227">
        <w:rPr>
          <w:lang w:val="en-US"/>
        </w:rPr>
        <w:t xml:space="preserve">available for at least one year, on the websites of the Ministry of Foreign Affairs and the government </w:t>
      </w:r>
      <w:r w:rsidR="002826A6" w:rsidRPr="00104227">
        <w:rPr>
          <w:rFonts w:eastAsia="ArialMT" w:cs="ArialMT"/>
          <w:lang w:val="en-US"/>
        </w:rPr>
        <w:t xml:space="preserve">of the </w:t>
      </w:r>
      <w:r w:rsidR="00CA330F" w:rsidRPr="00104227">
        <w:rPr>
          <w:rFonts w:eastAsia="ArialMT" w:cs="ArialMT"/>
          <w:lang w:val="en-US"/>
        </w:rPr>
        <w:t>state of Mexico</w:t>
      </w:r>
      <w:r w:rsidR="00D57225" w:rsidRPr="00104227">
        <w:rPr>
          <w:lang w:val="en-US"/>
        </w:rPr>
        <w:t xml:space="preserve">, </w:t>
      </w:r>
      <w:r w:rsidR="00403B2F" w:rsidRPr="00104227">
        <w:rPr>
          <w:lang w:val="en-US"/>
        </w:rPr>
        <w:t xml:space="preserve">in a way that is accessible to the public from the opening page of the said websites. </w:t>
      </w:r>
      <w:bookmarkEnd w:id="408"/>
    </w:p>
    <w:p w14:paraId="61C90B8B" w14:textId="77777777" w:rsidR="00D57225" w:rsidRPr="00104227" w:rsidRDefault="00D57225" w:rsidP="00E4619F">
      <w:pPr>
        <w:tabs>
          <w:tab w:val="left" w:pos="567"/>
        </w:tabs>
        <w:rPr>
          <w:lang w:eastAsia="es-MX"/>
        </w:rPr>
      </w:pPr>
    </w:p>
    <w:p w14:paraId="78CCAE9C" w14:textId="183ACAAA" w:rsidR="00D57225" w:rsidRPr="00104227" w:rsidRDefault="00D57225" w:rsidP="00E4619F">
      <w:pPr>
        <w:pStyle w:val="Numberedparagraphs"/>
        <w:tabs>
          <w:tab w:val="left" w:pos="567"/>
        </w:tabs>
        <w:rPr>
          <w:lang w:val="en-US"/>
        </w:rPr>
      </w:pPr>
      <w:r w:rsidRPr="00104227">
        <w:rPr>
          <w:lang w:val="en-US"/>
        </w:rPr>
        <w:t xml:space="preserve"> </w:t>
      </w:r>
      <w:bookmarkStart w:id="409" w:name="_Ref532988024"/>
      <w:r w:rsidR="005E29A3" w:rsidRPr="00104227">
        <w:rPr>
          <w:lang w:val="en-US"/>
        </w:rPr>
        <w:t xml:space="preserve">The State </w:t>
      </w:r>
      <w:r w:rsidR="00403B2F" w:rsidRPr="00104227">
        <w:rPr>
          <w:lang w:val="en-US"/>
        </w:rPr>
        <w:t xml:space="preserve">must inform the Court immediately when it has made each of the publications required, regardless of the one-year time frame to present its first report established in the operative paragraphs </w:t>
      </w:r>
      <w:r w:rsidR="005E29A3" w:rsidRPr="00104227">
        <w:rPr>
          <w:lang w:val="en-US"/>
        </w:rPr>
        <w:t>of this judgment</w:t>
      </w:r>
      <w:r w:rsidRPr="00104227">
        <w:rPr>
          <w:lang w:val="en-US"/>
        </w:rPr>
        <w:t>.</w:t>
      </w:r>
      <w:bookmarkEnd w:id="409"/>
    </w:p>
    <w:p w14:paraId="56B8A2B1" w14:textId="77777777" w:rsidR="00885693" w:rsidRPr="00104227" w:rsidRDefault="00885693" w:rsidP="00885693">
      <w:pPr>
        <w:rPr>
          <w:rStyle w:val="nfasissutil"/>
          <w:rFonts w:eastAsia="Batang" w:cs="Times New Roman"/>
          <w:spacing w:val="-4"/>
        </w:rPr>
      </w:pPr>
    </w:p>
    <w:p w14:paraId="21CAA3D6" w14:textId="4945E587" w:rsidR="00D57225" w:rsidRPr="00104227" w:rsidRDefault="00D57225" w:rsidP="00885693">
      <w:pPr>
        <w:pStyle w:val="Ttulo4"/>
        <w:rPr>
          <w:rStyle w:val="nfasissutil"/>
          <w:b w:val="0"/>
          <w:lang w:val="en-US" w:eastAsia="en-US"/>
        </w:rPr>
      </w:pPr>
      <w:r w:rsidRPr="00104227">
        <w:rPr>
          <w:rStyle w:val="nfasissutil"/>
          <w:b w:val="0"/>
          <w:lang w:val="en-US" w:eastAsia="en-US"/>
        </w:rPr>
        <w:t>D</w:t>
      </w:r>
      <w:r w:rsidRPr="00104227">
        <w:rPr>
          <w:lang w:val="en-US"/>
        </w:rPr>
        <w:t>.2.b Act</w:t>
      </w:r>
      <w:r w:rsidR="00403B2F" w:rsidRPr="00104227">
        <w:rPr>
          <w:lang w:val="en-US"/>
        </w:rPr>
        <w:t xml:space="preserve"> to acknowledge responsibility and offer a public apology</w:t>
      </w:r>
    </w:p>
    <w:p w14:paraId="75FC1E28" w14:textId="77777777" w:rsidR="00D57225" w:rsidRPr="00104227" w:rsidRDefault="00D57225" w:rsidP="00885693"/>
    <w:p w14:paraId="6A444D63" w14:textId="7E1636C6" w:rsidR="00D57225" w:rsidRPr="00104227" w:rsidRDefault="002826A6" w:rsidP="00E4619F">
      <w:pPr>
        <w:pStyle w:val="Numberedparagraphs"/>
        <w:tabs>
          <w:tab w:val="left" w:pos="567"/>
        </w:tabs>
        <w:rPr>
          <w:lang w:val="en-US" w:eastAsia="es-MX"/>
        </w:rPr>
      </w:pPr>
      <w:r w:rsidRPr="00104227">
        <w:rPr>
          <w:lang w:val="en-US"/>
        </w:rPr>
        <w:t xml:space="preserve">The </w:t>
      </w:r>
      <w:r w:rsidRPr="00104227">
        <w:rPr>
          <w:b/>
          <w:bCs/>
          <w:i/>
          <w:iCs/>
          <w:lang w:val="en-US"/>
        </w:rPr>
        <w:t>representatives</w:t>
      </w:r>
      <w:r w:rsidR="00D57225" w:rsidRPr="00104227">
        <w:rPr>
          <w:lang w:val="en-US"/>
        </w:rPr>
        <w:t xml:space="preserve"> </w:t>
      </w:r>
      <w:r w:rsidR="008A33F7" w:rsidRPr="00104227">
        <w:rPr>
          <w:lang w:val="en-US"/>
        </w:rPr>
        <w:t xml:space="preserve">asked the Court, first, to order the Mexican State to offer the women a public apology, at the same time undertaking to ensure that facts such as those of this case are never repeated. In particular, they proposed that the apology be made “in an </w:t>
      </w:r>
      <w:r w:rsidR="005968BD" w:rsidRPr="00104227">
        <w:rPr>
          <w:lang w:val="en-US"/>
        </w:rPr>
        <w:t>announcement</w:t>
      </w:r>
      <w:r w:rsidR="008A33F7" w:rsidRPr="00104227">
        <w:rPr>
          <w:lang w:val="en-US"/>
        </w:rPr>
        <w:t xml:space="preserve"> to be published by the same media </w:t>
      </w:r>
      <w:r w:rsidR="005968BD" w:rsidRPr="00104227">
        <w:rPr>
          <w:lang w:val="en-US"/>
        </w:rPr>
        <w:t>i</w:t>
      </w:r>
      <w:r w:rsidR="008A33F7" w:rsidRPr="00104227">
        <w:rPr>
          <w:lang w:val="en-US"/>
        </w:rPr>
        <w:t>n which the official summary of the Court’s judgment is published, signed by the most senior representatives of the Federal Government and of the government of the state of Mexico, and to be published on the same day, so that the judgment provides a context to the apology.</w:t>
      </w:r>
      <w:r w:rsidR="00D57225" w:rsidRPr="00104227">
        <w:rPr>
          <w:lang w:val="en-US"/>
        </w:rPr>
        <w:t xml:space="preserve">” </w:t>
      </w:r>
      <w:r w:rsidR="00AC3BFC" w:rsidRPr="00104227">
        <w:rPr>
          <w:lang w:val="en-US"/>
        </w:rPr>
        <w:t xml:space="preserve">The </w:t>
      </w:r>
      <w:r w:rsidR="00AC3BFC" w:rsidRPr="00104227">
        <w:rPr>
          <w:b/>
          <w:bCs/>
          <w:i/>
          <w:iCs/>
          <w:lang w:val="en-US"/>
        </w:rPr>
        <w:t>State</w:t>
      </w:r>
      <w:r w:rsidR="00D57225" w:rsidRPr="00104227">
        <w:rPr>
          <w:b/>
          <w:bCs/>
          <w:i/>
          <w:iCs/>
          <w:lang w:val="en-US"/>
        </w:rPr>
        <w:t xml:space="preserve"> </w:t>
      </w:r>
      <w:r w:rsidR="008A33F7" w:rsidRPr="00104227">
        <w:rPr>
          <w:lang w:val="en-US"/>
        </w:rPr>
        <w:t>indicated that it had already made a public acknowledgement of its responsibility</w:t>
      </w:r>
      <w:r w:rsidR="00D57225" w:rsidRPr="00104227">
        <w:rPr>
          <w:lang w:val="en-US"/>
        </w:rPr>
        <w:t>, a</w:t>
      </w:r>
      <w:r w:rsidR="008A33F7" w:rsidRPr="00104227">
        <w:rPr>
          <w:lang w:val="en-US"/>
        </w:rPr>
        <w:t>nd had issued a public apology to the victims in this case</w:t>
      </w:r>
      <w:r w:rsidR="005968BD" w:rsidRPr="00104227">
        <w:rPr>
          <w:lang w:val="en-US"/>
        </w:rPr>
        <w:t>;</w:t>
      </w:r>
      <w:r w:rsidR="008A33F7" w:rsidRPr="00104227">
        <w:rPr>
          <w:lang w:val="en-US"/>
        </w:rPr>
        <w:t xml:space="preserve"> it</w:t>
      </w:r>
      <w:r w:rsidR="005968BD" w:rsidRPr="00104227">
        <w:rPr>
          <w:lang w:val="en-US"/>
        </w:rPr>
        <w:t xml:space="preserve"> therefore</w:t>
      </w:r>
      <w:r w:rsidR="008A33F7" w:rsidRPr="00104227">
        <w:rPr>
          <w:lang w:val="en-US"/>
        </w:rPr>
        <w:t xml:space="preserve"> considered that the publication </w:t>
      </w:r>
      <w:r w:rsidR="005E29A3" w:rsidRPr="00104227">
        <w:rPr>
          <w:lang w:val="en-US"/>
        </w:rPr>
        <w:t>of the judgment</w:t>
      </w:r>
      <w:r w:rsidR="00D57225" w:rsidRPr="00104227">
        <w:rPr>
          <w:lang w:val="en-US"/>
        </w:rPr>
        <w:t xml:space="preserve"> </w:t>
      </w:r>
      <w:r w:rsidR="008A33F7" w:rsidRPr="00104227">
        <w:rPr>
          <w:lang w:val="en-US"/>
        </w:rPr>
        <w:t xml:space="preserve">was sufficient to respond to the representative’s request. </w:t>
      </w:r>
    </w:p>
    <w:p w14:paraId="69A3035B" w14:textId="77777777" w:rsidR="000414E6" w:rsidRPr="00104227" w:rsidRDefault="000414E6" w:rsidP="000414E6">
      <w:pPr>
        <w:rPr>
          <w:lang w:eastAsia="es-MX"/>
        </w:rPr>
      </w:pPr>
    </w:p>
    <w:p w14:paraId="5959B46B" w14:textId="42BBE390" w:rsidR="00D57225" w:rsidRPr="00104227" w:rsidRDefault="00BF5241" w:rsidP="00482DAC">
      <w:pPr>
        <w:pStyle w:val="Numberedparagraphs"/>
        <w:tabs>
          <w:tab w:val="left" w:pos="567"/>
        </w:tabs>
        <w:rPr>
          <w:lang w:val="en-US"/>
        </w:rPr>
      </w:pPr>
      <w:bookmarkStart w:id="410" w:name="_Ref532988088"/>
      <w:r w:rsidRPr="00104227">
        <w:rPr>
          <w:lang w:val="en-US"/>
        </w:rPr>
        <w:t>This Court</w:t>
      </w:r>
      <w:r w:rsidR="00D57225" w:rsidRPr="00104227">
        <w:rPr>
          <w:lang w:val="en-US"/>
        </w:rPr>
        <w:t xml:space="preserve"> </w:t>
      </w:r>
      <w:r w:rsidR="00482DAC" w:rsidRPr="00104227">
        <w:rPr>
          <w:lang w:val="en-US"/>
        </w:rPr>
        <w:t xml:space="preserve">appreciates the acknowledgement of international responsibility made by the </w:t>
      </w:r>
      <w:r w:rsidR="003F10B2" w:rsidRPr="00104227">
        <w:rPr>
          <w:lang w:val="en-US"/>
        </w:rPr>
        <w:t xml:space="preserve">State </w:t>
      </w:r>
      <w:r w:rsidR="00482DAC" w:rsidRPr="00104227">
        <w:rPr>
          <w:lang w:val="en-US"/>
        </w:rPr>
        <w:t>before</w:t>
      </w:r>
      <w:r w:rsidR="00D57225" w:rsidRPr="00104227">
        <w:rPr>
          <w:lang w:val="en-US"/>
        </w:rPr>
        <w:t xml:space="preserve"> </w:t>
      </w:r>
      <w:r w:rsidRPr="00104227">
        <w:rPr>
          <w:lang w:val="en-US"/>
        </w:rPr>
        <w:t>the Commission and the Court</w:t>
      </w:r>
      <w:r w:rsidR="00D57225" w:rsidRPr="00104227">
        <w:rPr>
          <w:lang w:val="en-US"/>
        </w:rPr>
        <w:t xml:space="preserve">, </w:t>
      </w:r>
      <w:r w:rsidR="00482DAC" w:rsidRPr="00104227">
        <w:rPr>
          <w:lang w:val="en-US"/>
        </w:rPr>
        <w:t xml:space="preserve">which could represent partial satisfaction for the victims in light of the violations declared in </w:t>
      </w:r>
      <w:r w:rsidRPr="00104227">
        <w:rPr>
          <w:lang w:val="en-US"/>
        </w:rPr>
        <w:t>this judgment</w:t>
      </w:r>
      <w:r w:rsidR="00482DAC" w:rsidRPr="00104227">
        <w:rPr>
          <w:lang w:val="en-US"/>
        </w:rPr>
        <w:t>.</w:t>
      </w:r>
      <w:r w:rsidR="00D57225" w:rsidRPr="00104227">
        <w:rPr>
          <w:rStyle w:val="Refdenotaalpie"/>
          <w:szCs w:val="20"/>
          <w:lang w:val="en-US"/>
        </w:rPr>
        <w:footnoteReference w:id="457"/>
      </w:r>
      <w:r w:rsidR="00D57225" w:rsidRPr="00104227">
        <w:rPr>
          <w:lang w:val="en-US"/>
        </w:rPr>
        <w:t xml:space="preserve"> </w:t>
      </w:r>
      <w:r w:rsidR="00482DAC" w:rsidRPr="00104227">
        <w:rPr>
          <w:lang w:val="en-US"/>
        </w:rPr>
        <w:t>However</w:t>
      </w:r>
      <w:r w:rsidR="00D57225" w:rsidRPr="00104227">
        <w:rPr>
          <w:lang w:val="en-US"/>
        </w:rPr>
        <w:t xml:space="preserve">, </w:t>
      </w:r>
      <w:r w:rsidRPr="00104227">
        <w:rPr>
          <w:lang w:val="en-US"/>
        </w:rPr>
        <w:t>the Court</w:t>
      </w:r>
      <w:r w:rsidR="00D57225" w:rsidRPr="00104227">
        <w:rPr>
          <w:lang w:val="en-US"/>
        </w:rPr>
        <w:t xml:space="preserve"> </w:t>
      </w:r>
      <w:r w:rsidR="00482DAC" w:rsidRPr="00104227">
        <w:rPr>
          <w:lang w:val="en-US"/>
        </w:rPr>
        <w:t xml:space="preserve">finds it necessary, in order to redress the harm caused to the victims and to avoid facts such as those of this case being repeated, to require that Mexico organize a public act to acknowledge international responsibility and make a public apology </w:t>
      </w:r>
      <w:r w:rsidR="005968BD" w:rsidRPr="00104227">
        <w:rPr>
          <w:lang w:val="en-US"/>
        </w:rPr>
        <w:t>for</w:t>
      </w:r>
      <w:r w:rsidR="00482DAC" w:rsidRPr="00104227">
        <w:rPr>
          <w:lang w:val="en-US"/>
        </w:rPr>
        <w:t xml:space="preserve"> the facts of this case.</w:t>
      </w:r>
      <w:r w:rsidR="00482DAC" w:rsidRPr="00104227">
        <w:rPr>
          <w:rStyle w:val="Refdenotaalpie"/>
          <w:lang w:val="en-US"/>
        </w:rPr>
        <w:footnoteReference w:id="458"/>
      </w:r>
      <w:r w:rsidR="00482DAC" w:rsidRPr="00104227">
        <w:rPr>
          <w:lang w:val="en-US"/>
        </w:rPr>
        <w:t xml:space="preserve"> In particular, </w:t>
      </w:r>
      <w:r w:rsidR="00482DAC" w:rsidRPr="00104227">
        <w:rPr>
          <w:lang w:val="en-US"/>
        </w:rPr>
        <w:lastRenderedPageBreak/>
        <w:t xml:space="preserve">the Court considers </w:t>
      </w:r>
      <w:r w:rsidR="005968BD" w:rsidRPr="00104227">
        <w:rPr>
          <w:lang w:val="en-US"/>
        </w:rPr>
        <w:t>it</w:t>
      </w:r>
      <w:r w:rsidR="00482DAC" w:rsidRPr="00104227">
        <w:rPr>
          <w:lang w:val="en-US"/>
        </w:rPr>
        <w:t xml:space="preserve"> necessary that the authorities make a public apology because the victims suffered institutional violence by different state and federal bodies. During the act, reference must be made to the human rights violations declared in this judgment. Also, it must</w:t>
      </w:r>
      <w:r w:rsidR="005968BD" w:rsidRPr="00104227">
        <w:rPr>
          <w:lang w:val="en-US"/>
        </w:rPr>
        <w:t xml:space="preserve"> take place</w:t>
      </w:r>
      <w:r w:rsidR="00482DAC" w:rsidRPr="00104227">
        <w:rPr>
          <w:lang w:val="en-US"/>
        </w:rPr>
        <w:t xml:space="preserve"> </w:t>
      </w:r>
      <w:r w:rsidR="005968BD" w:rsidRPr="00104227">
        <w:rPr>
          <w:lang w:val="en-US"/>
        </w:rPr>
        <w:t>in</w:t>
      </w:r>
      <w:r w:rsidR="00482DAC" w:rsidRPr="00104227">
        <w:rPr>
          <w:lang w:val="en-US"/>
        </w:rPr>
        <w:t xml:space="preserve"> a public ceremony in the presence of senior officials of the State and </w:t>
      </w:r>
      <w:r w:rsidR="00AC3BFC" w:rsidRPr="00104227">
        <w:rPr>
          <w:lang w:val="en-US"/>
        </w:rPr>
        <w:t xml:space="preserve">the </w:t>
      </w:r>
      <w:r w:rsidR="00CA330F" w:rsidRPr="00104227">
        <w:rPr>
          <w:lang w:val="en-US"/>
        </w:rPr>
        <w:t>state of Mexico</w:t>
      </w:r>
      <w:r w:rsidR="00482DAC" w:rsidRPr="00104227">
        <w:rPr>
          <w:lang w:val="en-US"/>
        </w:rPr>
        <w:t>,</w:t>
      </w:r>
      <w:r w:rsidRPr="00104227">
        <w:rPr>
          <w:lang w:val="en-US"/>
        </w:rPr>
        <w:t xml:space="preserve"> and </w:t>
      </w:r>
      <w:r w:rsidR="00482DAC" w:rsidRPr="00104227">
        <w:rPr>
          <w:lang w:val="en-US"/>
        </w:rPr>
        <w:t>the victims</w:t>
      </w:r>
      <w:r w:rsidR="00D57225" w:rsidRPr="00104227">
        <w:rPr>
          <w:lang w:val="en-US"/>
        </w:rPr>
        <w:t>.</w:t>
      </w:r>
      <w:bookmarkEnd w:id="410"/>
      <w:r w:rsidR="00D57225" w:rsidRPr="00104227">
        <w:rPr>
          <w:lang w:val="en-US"/>
        </w:rPr>
        <w:t xml:space="preserve"> </w:t>
      </w:r>
    </w:p>
    <w:p w14:paraId="616B4476" w14:textId="77777777" w:rsidR="00D57225" w:rsidRPr="00104227" w:rsidRDefault="00D57225" w:rsidP="00E4619F">
      <w:pPr>
        <w:tabs>
          <w:tab w:val="left" w:pos="567"/>
        </w:tabs>
        <w:rPr>
          <w:lang w:eastAsia="es-MX"/>
        </w:rPr>
      </w:pPr>
    </w:p>
    <w:p w14:paraId="6B2E49AB" w14:textId="42551090" w:rsidR="00D57225" w:rsidRPr="00104227" w:rsidRDefault="00AC3BFC" w:rsidP="00E4619F">
      <w:pPr>
        <w:pStyle w:val="Numberedparagraphs"/>
        <w:tabs>
          <w:tab w:val="left" w:pos="567"/>
        </w:tabs>
        <w:rPr>
          <w:lang w:val="en-US"/>
        </w:rPr>
      </w:pPr>
      <w:bookmarkStart w:id="411" w:name="_Ref532988101"/>
      <w:r w:rsidRPr="00104227">
        <w:rPr>
          <w:lang w:val="en-US"/>
        </w:rPr>
        <w:t>The State</w:t>
      </w:r>
      <w:r w:rsidR="00BF5241" w:rsidRPr="00104227">
        <w:rPr>
          <w:lang w:val="en-US"/>
        </w:rPr>
        <w:t xml:space="preserve"> and </w:t>
      </w:r>
      <w:r w:rsidR="00482DAC" w:rsidRPr="00104227">
        <w:rPr>
          <w:lang w:val="en-US"/>
        </w:rPr>
        <w:t>the victims and/or their representatives must reach agreement on how the public act is implemented, as well as on the details</w:t>
      </w:r>
      <w:r w:rsidR="005968BD" w:rsidRPr="00104227">
        <w:rPr>
          <w:lang w:val="en-US"/>
        </w:rPr>
        <w:t>,</w:t>
      </w:r>
      <w:r w:rsidR="00482DAC" w:rsidRPr="00104227">
        <w:rPr>
          <w:lang w:val="en-US"/>
        </w:rPr>
        <w:t xml:space="preserve"> such as the</w:t>
      </w:r>
      <w:r w:rsidR="005968BD" w:rsidRPr="00104227">
        <w:rPr>
          <w:lang w:val="en-US"/>
        </w:rPr>
        <w:t xml:space="preserve"> date and</w:t>
      </w:r>
      <w:r w:rsidR="00482DAC" w:rsidRPr="00104227">
        <w:rPr>
          <w:lang w:val="en-US"/>
        </w:rPr>
        <w:t xml:space="preserve"> place.</w:t>
      </w:r>
      <w:r w:rsidR="00D57225" w:rsidRPr="00104227">
        <w:rPr>
          <w:rStyle w:val="Refdenotaalpie"/>
          <w:szCs w:val="20"/>
          <w:lang w:val="en-US"/>
        </w:rPr>
        <w:footnoteReference w:id="459"/>
      </w:r>
      <w:r w:rsidR="00482DAC" w:rsidRPr="00104227">
        <w:rPr>
          <w:lang w:val="en-US"/>
        </w:rPr>
        <w:t xml:space="preserve"> Also, as it has in other cases,</w:t>
      </w:r>
      <w:r w:rsidR="00D57225" w:rsidRPr="00104227">
        <w:rPr>
          <w:rStyle w:val="Refdenotaalpie"/>
          <w:szCs w:val="20"/>
          <w:lang w:val="en-US"/>
        </w:rPr>
        <w:footnoteReference w:id="460"/>
      </w:r>
      <w:r w:rsidR="00D57225" w:rsidRPr="00104227">
        <w:rPr>
          <w:lang w:val="en-US"/>
        </w:rPr>
        <w:t xml:space="preserve"> </w:t>
      </w:r>
      <w:r w:rsidR="00BF5241" w:rsidRPr="00104227">
        <w:rPr>
          <w:lang w:val="en-US"/>
        </w:rPr>
        <w:t>the Court</w:t>
      </w:r>
      <w:r w:rsidR="00D57225" w:rsidRPr="00104227">
        <w:rPr>
          <w:lang w:val="en-US"/>
        </w:rPr>
        <w:t xml:space="preserve"> orde</w:t>
      </w:r>
      <w:r w:rsidR="00482DAC" w:rsidRPr="00104227">
        <w:rPr>
          <w:lang w:val="en-US"/>
        </w:rPr>
        <w:t>rs the St</w:t>
      </w:r>
      <w:r w:rsidR="005968BD" w:rsidRPr="00104227">
        <w:rPr>
          <w:lang w:val="en-US"/>
        </w:rPr>
        <w:t>a</w:t>
      </w:r>
      <w:r w:rsidR="00482DAC" w:rsidRPr="00104227">
        <w:rPr>
          <w:lang w:val="en-US"/>
        </w:rPr>
        <w:t xml:space="preserve">te to disseminate this act as widely as possible, including </w:t>
      </w:r>
      <w:r w:rsidR="005968BD" w:rsidRPr="00104227">
        <w:rPr>
          <w:lang w:val="en-US"/>
        </w:rPr>
        <w:t>by</w:t>
      </w:r>
      <w:r w:rsidR="00A95173" w:rsidRPr="00104227">
        <w:rPr>
          <w:lang w:val="en-US"/>
        </w:rPr>
        <w:t xml:space="preserve"> radio, television and social networks. The Court also establishes that the apology should also be made in writing, signed by the corresponding local and federal auth</w:t>
      </w:r>
      <w:r w:rsidR="005968BD" w:rsidRPr="00104227">
        <w:rPr>
          <w:lang w:val="en-US"/>
        </w:rPr>
        <w:t>o</w:t>
      </w:r>
      <w:r w:rsidR="00A95173" w:rsidRPr="00104227">
        <w:rPr>
          <w:lang w:val="en-US"/>
        </w:rPr>
        <w:t>r</w:t>
      </w:r>
      <w:r w:rsidR="005968BD" w:rsidRPr="00104227">
        <w:rPr>
          <w:lang w:val="en-US"/>
        </w:rPr>
        <w:t>itie</w:t>
      </w:r>
      <w:r w:rsidR="00A95173" w:rsidRPr="00104227">
        <w:rPr>
          <w:lang w:val="en-US"/>
        </w:rPr>
        <w:t>s</w:t>
      </w:r>
      <w:r w:rsidR="005968BD" w:rsidRPr="00104227">
        <w:rPr>
          <w:lang w:val="en-US"/>
        </w:rPr>
        <w:t xml:space="preserve">, </w:t>
      </w:r>
      <w:r w:rsidR="00A95173" w:rsidRPr="00104227">
        <w:rPr>
          <w:lang w:val="en-US"/>
        </w:rPr>
        <w:t>to facilitate its dis</w:t>
      </w:r>
      <w:r w:rsidR="005968BD" w:rsidRPr="00104227">
        <w:rPr>
          <w:lang w:val="en-US"/>
        </w:rPr>
        <w:t>tributio</w:t>
      </w:r>
      <w:r w:rsidR="00A95173" w:rsidRPr="00104227">
        <w:rPr>
          <w:lang w:val="en-US"/>
        </w:rPr>
        <w:t>n</w:t>
      </w:r>
      <w:r w:rsidR="00D57225" w:rsidRPr="00104227">
        <w:rPr>
          <w:lang w:val="en-US"/>
        </w:rPr>
        <w:t>.</w:t>
      </w:r>
      <w:bookmarkEnd w:id="411"/>
      <w:r w:rsidR="00D57225" w:rsidRPr="00104227">
        <w:rPr>
          <w:lang w:val="en-US"/>
        </w:rPr>
        <w:t xml:space="preserve"> </w:t>
      </w:r>
    </w:p>
    <w:p w14:paraId="69CD070D" w14:textId="77777777" w:rsidR="00D57225" w:rsidRPr="00104227" w:rsidRDefault="00D57225" w:rsidP="00E4619F">
      <w:pPr>
        <w:tabs>
          <w:tab w:val="left" w:pos="567"/>
        </w:tabs>
        <w:rPr>
          <w:lang w:eastAsia="es-MX"/>
        </w:rPr>
      </w:pPr>
    </w:p>
    <w:p w14:paraId="1E718024" w14:textId="6D7E5189" w:rsidR="00885693" w:rsidRPr="00104227" w:rsidRDefault="00885693" w:rsidP="00885693">
      <w:pPr>
        <w:pStyle w:val="Ttulo4"/>
        <w:rPr>
          <w:lang w:val="en-US"/>
        </w:rPr>
      </w:pPr>
      <w:r w:rsidRPr="00104227">
        <w:rPr>
          <w:lang w:val="en-US"/>
        </w:rPr>
        <w:t xml:space="preserve">D.2.c </w:t>
      </w:r>
      <w:r w:rsidR="00A95173" w:rsidRPr="00104227">
        <w:rPr>
          <w:lang w:val="en-US"/>
        </w:rPr>
        <w:t>Scholarships</w:t>
      </w:r>
      <w:r w:rsidRPr="00104227">
        <w:rPr>
          <w:lang w:val="en-US"/>
        </w:rPr>
        <w:t xml:space="preserve"> </w:t>
      </w:r>
    </w:p>
    <w:p w14:paraId="69FCB325" w14:textId="77777777" w:rsidR="00885693" w:rsidRPr="00104227" w:rsidRDefault="00885693" w:rsidP="00E4619F">
      <w:pPr>
        <w:tabs>
          <w:tab w:val="left" w:pos="567"/>
        </w:tabs>
        <w:rPr>
          <w:lang w:eastAsia="es-MX"/>
        </w:rPr>
      </w:pPr>
    </w:p>
    <w:p w14:paraId="0D98A633" w14:textId="793ADF80" w:rsidR="00D57225" w:rsidRPr="00104227" w:rsidRDefault="002826A6" w:rsidP="00E4619F">
      <w:pPr>
        <w:pStyle w:val="Numberedparagraphs"/>
        <w:tabs>
          <w:tab w:val="left" w:pos="567"/>
        </w:tabs>
        <w:rPr>
          <w:rFonts w:eastAsiaTheme="minorHAnsi"/>
          <w:lang w:val="en-US"/>
        </w:rPr>
      </w:pPr>
      <w:r w:rsidRPr="00104227">
        <w:rPr>
          <w:lang w:val="en-US"/>
        </w:rPr>
        <w:t xml:space="preserve">The </w:t>
      </w:r>
      <w:r w:rsidRPr="00104227">
        <w:rPr>
          <w:b/>
          <w:bCs/>
          <w:i/>
          <w:iCs/>
          <w:lang w:val="en-US"/>
        </w:rPr>
        <w:t>representatives</w:t>
      </w:r>
      <w:r w:rsidR="00D57225" w:rsidRPr="00104227">
        <w:rPr>
          <w:i/>
          <w:lang w:val="en-US"/>
        </w:rPr>
        <w:t xml:space="preserve"> </w:t>
      </w:r>
      <w:r w:rsidR="00A95173" w:rsidRPr="00104227">
        <w:rPr>
          <w:lang w:val="en-US"/>
        </w:rPr>
        <w:t>alleged that</w:t>
      </w:r>
      <w:r w:rsidR="00D57225" w:rsidRPr="00104227">
        <w:rPr>
          <w:lang w:val="en-US"/>
        </w:rPr>
        <w:t xml:space="preserve"> </w:t>
      </w:r>
      <w:r w:rsidR="0047539E" w:rsidRPr="00104227">
        <w:rPr>
          <w:lang w:val="en-US"/>
        </w:rPr>
        <w:t>Angélica Patricia Torres</w:t>
      </w:r>
      <w:r w:rsidR="00D57225" w:rsidRPr="00104227">
        <w:rPr>
          <w:lang w:val="en-US"/>
        </w:rPr>
        <w:t xml:space="preserve"> Linares, Claudia Hernández Martínez</w:t>
      </w:r>
      <w:r w:rsidR="00BF5241" w:rsidRPr="00104227">
        <w:rPr>
          <w:lang w:val="en-US"/>
        </w:rPr>
        <w:t xml:space="preserve"> and </w:t>
      </w:r>
      <w:r w:rsidR="00D57225" w:rsidRPr="00104227">
        <w:rPr>
          <w:lang w:val="en-US"/>
        </w:rPr>
        <w:t xml:space="preserve">Suhelen Gabriela Cuevas Jaramillo </w:t>
      </w:r>
      <w:r w:rsidR="00A95173" w:rsidRPr="00104227">
        <w:rPr>
          <w:lang w:val="en-US"/>
        </w:rPr>
        <w:t xml:space="preserve">were unable to continue their academic studies </w:t>
      </w:r>
      <w:r w:rsidR="005968BD" w:rsidRPr="00104227">
        <w:rPr>
          <w:lang w:val="en-US"/>
        </w:rPr>
        <w:t>due to</w:t>
      </w:r>
      <w:r w:rsidR="00A95173" w:rsidRPr="00104227">
        <w:rPr>
          <w:lang w:val="en-US"/>
        </w:rPr>
        <w:t xml:space="preserve"> the consequences of the facts of this case.</w:t>
      </w:r>
      <w:r w:rsidR="00D57225" w:rsidRPr="00104227">
        <w:rPr>
          <w:rStyle w:val="Refdenotaalpie"/>
          <w:lang w:val="en-US"/>
        </w:rPr>
        <w:footnoteReference w:id="461"/>
      </w:r>
      <w:r w:rsidR="00A95173" w:rsidRPr="00104227">
        <w:rPr>
          <w:lang w:val="en-US"/>
        </w:rPr>
        <w:t xml:space="preserve"> Therefore, they asked the Court to require the </w:t>
      </w:r>
      <w:r w:rsidR="003F10B2" w:rsidRPr="00104227">
        <w:rPr>
          <w:lang w:val="en-US"/>
        </w:rPr>
        <w:t xml:space="preserve">State </w:t>
      </w:r>
      <w:r w:rsidR="00A95173" w:rsidRPr="00104227">
        <w:rPr>
          <w:lang w:val="en-US"/>
        </w:rPr>
        <w:t xml:space="preserve">to guarantee scholarships to these three victims </w:t>
      </w:r>
      <w:r w:rsidR="005968BD" w:rsidRPr="00104227">
        <w:rPr>
          <w:lang w:val="en-US"/>
        </w:rPr>
        <w:t xml:space="preserve">that </w:t>
      </w:r>
      <w:r w:rsidR="00A95173" w:rsidRPr="00104227">
        <w:rPr>
          <w:lang w:val="en-US"/>
        </w:rPr>
        <w:t>cover</w:t>
      </w:r>
      <w:r w:rsidR="005968BD" w:rsidRPr="00104227">
        <w:rPr>
          <w:lang w:val="en-US"/>
        </w:rPr>
        <w:t>ed</w:t>
      </w:r>
      <w:r w:rsidR="00A95173" w:rsidRPr="00104227">
        <w:rPr>
          <w:lang w:val="en-US"/>
        </w:rPr>
        <w:t xml:space="preserve"> the cost of completing their studies at the graduate or postgraduate level, in the establishments of their choice </w:t>
      </w:r>
      <w:r w:rsidR="005968BD" w:rsidRPr="00104227">
        <w:rPr>
          <w:lang w:val="en-US"/>
        </w:rPr>
        <w:t>to</w:t>
      </w:r>
      <w:r w:rsidR="00A95173" w:rsidRPr="00104227">
        <w:rPr>
          <w:lang w:val="en-US"/>
        </w:rPr>
        <w:t xml:space="preserve"> which they are accepted, </w:t>
      </w:r>
      <w:r w:rsidR="005968BD" w:rsidRPr="00104227">
        <w:rPr>
          <w:lang w:val="en-US"/>
        </w:rPr>
        <w:t>including</w:t>
      </w:r>
      <w:r w:rsidR="00A95173" w:rsidRPr="00104227">
        <w:rPr>
          <w:lang w:val="en-US"/>
        </w:rPr>
        <w:t xml:space="preserve"> the </w:t>
      </w:r>
      <w:r w:rsidR="005968BD" w:rsidRPr="00104227">
        <w:rPr>
          <w:lang w:val="en-US"/>
        </w:rPr>
        <w:t>cost</w:t>
      </w:r>
      <w:r w:rsidR="00A95173" w:rsidRPr="00104227">
        <w:rPr>
          <w:lang w:val="en-US"/>
        </w:rPr>
        <w:t xml:space="preserve"> of enrollment, tuition, study materials, and other expenses related to their studies. Furthermore, regarding those family members whose academic plans were </w:t>
      </w:r>
      <w:r w:rsidR="005968BD" w:rsidRPr="00104227">
        <w:rPr>
          <w:lang w:val="en-US"/>
        </w:rPr>
        <w:t>thwarted</w:t>
      </w:r>
      <w:r w:rsidR="00A95173" w:rsidRPr="00104227">
        <w:rPr>
          <w:lang w:val="en-US"/>
        </w:rPr>
        <w:t xml:space="preserve"> as a result of the facts of this case, they asked that Mexico be required to provide university scholarships for those sons and daughters who want them.</w:t>
      </w:r>
    </w:p>
    <w:p w14:paraId="342C9B97" w14:textId="77777777" w:rsidR="00D57225" w:rsidRPr="00104227" w:rsidRDefault="00D57225" w:rsidP="00E4619F">
      <w:pPr>
        <w:tabs>
          <w:tab w:val="left" w:pos="567"/>
        </w:tabs>
        <w:rPr>
          <w:lang w:eastAsia="es-MX"/>
        </w:rPr>
      </w:pPr>
    </w:p>
    <w:p w14:paraId="2E59B803" w14:textId="612463E3" w:rsidR="00D57225" w:rsidRPr="00104227" w:rsidRDefault="00AC3BFC" w:rsidP="00E4619F">
      <w:pPr>
        <w:pStyle w:val="Numberedparagraphs"/>
        <w:tabs>
          <w:tab w:val="left" w:pos="567"/>
        </w:tabs>
        <w:rPr>
          <w:rFonts w:eastAsiaTheme="minorHAnsi" w:cs="ArialMT"/>
          <w:lang w:val="en-US"/>
        </w:rPr>
      </w:pPr>
      <w:r w:rsidRPr="00104227">
        <w:rPr>
          <w:lang w:val="en-US"/>
        </w:rPr>
        <w:t>The State</w:t>
      </w:r>
      <w:r w:rsidR="00D57225" w:rsidRPr="00104227">
        <w:rPr>
          <w:b/>
          <w:i/>
          <w:lang w:val="en-US"/>
        </w:rPr>
        <w:t xml:space="preserve"> </w:t>
      </w:r>
      <w:r w:rsidR="00D57225" w:rsidRPr="00104227">
        <w:rPr>
          <w:lang w:val="en-US"/>
        </w:rPr>
        <w:t>indic</w:t>
      </w:r>
      <w:r w:rsidR="0084318C" w:rsidRPr="00104227">
        <w:rPr>
          <w:lang w:val="en-US"/>
        </w:rPr>
        <w:t xml:space="preserve">ated that it had “proposed </w:t>
      </w:r>
      <w:r w:rsidR="00D57225" w:rsidRPr="00104227">
        <w:rPr>
          <w:i/>
          <w:iCs/>
          <w:lang w:val="en-US"/>
        </w:rPr>
        <w:t xml:space="preserve">motu proprio </w:t>
      </w:r>
      <w:r w:rsidR="0084318C" w:rsidRPr="00104227">
        <w:rPr>
          <w:lang w:val="en-US"/>
        </w:rPr>
        <w:t>to grant scholarships</w:t>
      </w:r>
      <w:r w:rsidR="00D57225" w:rsidRPr="00104227">
        <w:rPr>
          <w:lang w:val="en-US"/>
        </w:rPr>
        <w:t>”</w:t>
      </w:r>
      <w:r w:rsidR="00BF5241" w:rsidRPr="00104227">
        <w:rPr>
          <w:lang w:val="en-US"/>
        </w:rPr>
        <w:t xml:space="preserve"> and </w:t>
      </w:r>
      <w:r w:rsidR="0084318C" w:rsidRPr="00104227">
        <w:rPr>
          <w:lang w:val="en-US"/>
        </w:rPr>
        <w:t xml:space="preserve">that it “has the structures and procedures required to provide this measure at the domestic level; thus the victims should exhaust these internal mechanisms.” It also indicated that </w:t>
      </w:r>
      <w:r w:rsidR="005968BD" w:rsidRPr="00104227">
        <w:rPr>
          <w:lang w:val="en-US"/>
        </w:rPr>
        <w:t>such</w:t>
      </w:r>
      <w:r w:rsidR="0084318C" w:rsidRPr="00104227">
        <w:rPr>
          <w:lang w:val="en-US"/>
        </w:rPr>
        <w:t xml:space="preserve"> measures ha</w:t>
      </w:r>
      <w:r w:rsidR="005968BD" w:rsidRPr="00104227">
        <w:rPr>
          <w:lang w:val="en-US"/>
        </w:rPr>
        <w:t>d</w:t>
      </w:r>
      <w:r w:rsidR="0084318C" w:rsidRPr="00104227">
        <w:rPr>
          <w:lang w:val="en-US"/>
        </w:rPr>
        <w:t xml:space="preserve"> been available to the victims since </w:t>
      </w:r>
      <w:r w:rsidR="00D57225" w:rsidRPr="00104227">
        <w:rPr>
          <w:lang w:val="en-US"/>
        </w:rPr>
        <w:t xml:space="preserve">2013. </w:t>
      </w:r>
    </w:p>
    <w:p w14:paraId="42F521DB" w14:textId="77777777" w:rsidR="00D57225" w:rsidRPr="00104227" w:rsidRDefault="00D57225" w:rsidP="00E4619F">
      <w:pPr>
        <w:tabs>
          <w:tab w:val="left" w:pos="567"/>
        </w:tabs>
        <w:rPr>
          <w:szCs w:val="20"/>
          <w:lang w:eastAsia="es-MX"/>
        </w:rPr>
      </w:pPr>
    </w:p>
    <w:p w14:paraId="5120B56F" w14:textId="6F3410FF" w:rsidR="00D57225" w:rsidRPr="00104227" w:rsidRDefault="00BF5241" w:rsidP="00301401">
      <w:pPr>
        <w:pStyle w:val="Numberedparagraphs"/>
        <w:tabs>
          <w:tab w:val="left" w:pos="567"/>
        </w:tabs>
        <w:rPr>
          <w:rFonts w:cs="ArialMT"/>
          <w:color w:val="00B050"/>
          <w:lang w:val="en-US"/>
        </w:rPr>
      </w:pPr>
      <w:bookmarkStart w:id="412" w:name="_Ref532988149"/>
      <w:r w:rsidRPr="00104227">
        <w:rPr>
          <w:lang w:val="en-US"/>
        </w:rPr>
        <w:t>The Court</w:t>
      </w:r>
      <w:r w:rsidR="00D57225" w:rsidRPr="00104227">
        <w:rPr>
          <w:lang w:val="en-US"/>
        </w:rPr>
        <w:t xml:space="preserve"> ha</w:t>
      </w:r>
      <w:r w:rsidR="0084318C" w:rsidRPr="00104227">
        <w:rPr>
          <w:lang w:val="en-US"/>
        </w:rPr>
        <w:t>s</w:t>
      </w:r>
      <w:r w:rsidR="00D57225" w:rsidRPr="00104227">
        <w:rPr>
          <w:lang w:val="en-US"/>
        </w:rPr>
        <w:t xml:space="preserve"> establ</w:t>
      </w:r>
      <w:r w:rsidR="0084318C" w:rsidRPr="00104227">
        <w:rPr>
          <w:lang w:val="en-US"/>
        </w:rPr>
        <w:t>ished in</w:t>
      </w:r>
      <w:r w:rsidR="00D57225" w:rsidRPr="00104227">
        <w:rPr>
          <w:lang w:val="en-US"/>
        </w:rPr>
        <w:t xml:space="preserve"> </w:t>
      </w:r>
      <w:r w:rsidRPr="00104227">
        <w:rPr>
          <w:lang w:val="en-US"/>
        </w:rPr>
        <w:t>this judgment</w:t>
      </w:r>
      <w:r w:rsidR="00D57225" w:rsidRPr="00104227">
        <w:rPr>
          <w:lang w:val="en-US"/>
        </w:rPr>
        <w:t xml:space="preserve"> </w:t>
      </w:r>
      <w:r w:rsidR="0084318C" w:rsidRPr="00104227">
        <w:rPr>
          <w:lang w:val="en-US"/>
        </w:rPr>
        <w:t xml:space="preserve">that the facts of the case severely affected </w:t>
      </w:r>
      <w:r w:rsidR="0047539E" w:rsidRPr="00104227">
        <w:rPr>
          <w:lang w:val="en-US"/>
        </w:rPr>
        <w:t>Angélica Patricia Torres</w:t>
      </w:r>
      <w:r w:rsidR="00D57225" w:rsidRPr="00104227">
        <w:rPr>
          <w:lang w:val="en-US"/>
        </w:rPr>
        <w:t xml:space="preserve"> Linares, Claudia Hernández Martínez, Suhelen Gabriela Cuevas Jaramillo</w:t>
      </w:r>
      <w:r w:rsidRPr="00104227">
        <w:rPr>
          <w:lang w:val="en-US"/>
        </w:rPr>
        <w:t xml:space="preserve"> and </w:t>
      </w:r>
      <w:r w:rsidR="0084318C" w:rsidRPr="00104227">
        <w:rPr>
          <w:lang w:val="en-US"/>
        </w:rPr>
        <w:t xml:space="preserve">their next of kin, and these effects have continued over time and resulted in significant changes in their life projects, with an impact on their personal and professional development. In </w:t>
      </w:r>
      <w:r w:rsidR="00D57225" w:rsidRPr="00104227">
        <w:rPr>
          <w:lang w:val="en-US"/>
        </w:rPr>
        <w:t xml:space="preserve">particular, </w:t>
      </w:r>
      <w:r w:rsidRPr="00104227">
        <w:rPr>
          <w:lang w:val="en-US"/>
        </w:rPr>
        <w:t>the Court</w:t>
      </w:r>
      <w:r w:rsidR="00D57225" w:rsidRPr="00104227">
        <w:rPr>
          <w:lang w:val="en-US"/>
        </w:rPr>
        <w:t xml:space="preserve"> </w:t>
      </w:r>
      <w:r w:rsidR="0084318C" w:rsidRPr="00104227">
        <w:rPr>
          <w:lang w:val="en-US"/>
        </w:rPr>
        <w:t xml:space="preserve">underlines that the events occurred when these three victims were pursuing university studies, </w:t>
      </w:r>
      <w:r w:rsidR="00267B91" w:rsidRPr="00104227">
        <w:rPr>
          <w:lang w:val="en-US"/>
        </w:rPr>
        <w:t>which</w:t>
      </w:r>
      <w:r w:rsidR="0084318C" w:rsidRPr="00104227">
        <w:rPr>
          <w:lang w:val="en-US"/>
        </w:rPr>
        <w:t xml:space="preserve"> were interrupted owing to the severe psychological effects they suffered </w:t>
      </w:r>
      <w:r w:rsidR="0084318C" w:rsidRPr="00104227">
        <w:rPr>
          <w:lang w:val="en-US"/>
        </w:rPr>
        <w:lastRenderedPageBreak/>
        <w:t>as a result of the facts. Consequently, the Court considers it appropriate to require the State to grant a scholarship in a Mexican public higher education establishment to Angélica Patricia Torres Linares, Claudia Hernández Martínez and Suhelen Gabriela Cuevas Jaramillo</w:t>
      </w:r>
      <w:r w:rsidR="0084318C" w:rsidRPr="00104227">
        <w:rPr>
          <w:rFonts w:cs="Arial"/>
          <w:lang w:val="en-US"/>
        </w:rPr>
        <w:t>, as mutually agreed between them and the State, to continue their higher technical or university education, at either the graduate and/or postgraduate level, or to under</w:t>
      </w:r>
      <w:r w:rsidR="00301401" w:rsidRPr="00104227">
        <w:rPr>
          <w:rFonts w:cs="Arial"/>
          <w:lang w:val="en-US"/>
        </w:rPr>
        <w:t>take professional</w:t>
      </w:r>
      <w:r w:rsidR="0084318C" w:rsidRPr="00104227">
        <w:rPr>
          <w:rFonts w:cs="Arial"/>
          <w:lang w:val="en-US"/>
        </w:rPr>
        <w:t xml:space="preserve"> training</w:t>
      </w:r>
      <w:r w:rsidR="00301401" w:rsidRPr="00104227">
        <w:rPr>
          <w:rFonts w:cs="Arial"/>
          <w:lang w:val="en-US"/>
        </w:rPr>
        <w:t>.</w:t>
      </w:r>
      <w:r w:rsidR="00301401" w:rsidRPr="00104227">
        <w:rPr>
          <w:rStyle w:val="Refdenotaalpie"/>
          <w:szCs w:val="20"/>
          <w:lang w:val="en-US"/>
        </w:rPr>
        <w:footnoteReference w:id="462"/>
      </w:r>
      <w:r w:rsidR="00301401" w:rsidRPr="00104227">
        <w:rPr>
          <w:rFonts w:cs="Arial"/>
          <w:lang w:val="en-US"/>
        </w:rPr>
        <w:t xml:space="preserve"> This scholarship must be granted as soon as the beneficiaries request the State to provide it and until the conclusion of their high</w:t>
      </w:r>
      <w:r w:rsidR="00267B91" w:rsidRPr="00104227">
        <w:rPr>
          <w:rFonts w:cs="Arial"/>
          <w:lang w:val="en-US"/>
        </w:rPr>
        <w:t>er</w:t>
      </w:r>
      <w:r w:rsidR="00301401" w:rsidRPr="00104227">
        <w:rPr>
          <w:rFonts w:cs="Arial"/>
          <w:lang w:val="en-US"/>
        </w:rPr>
        <w:t xml:space="preserve"> technical or university studies, including study materials. In principle, this measure should begin as soon as possible following notification of the judgment, so that the beneficiaries may commence their studies during the next academic year if they so desire. Nevertheless, in light of the particular severity of the psychological and emotional effects of </w:t>
      </w:r>
      <w:r w:rsidR="00301401" w:rsidRPr="00104227">
        <w:rPr>
          <w:lang w:val="en-US"/>
        </w:rPr>
        <w:t>torture and sexual violence that still persist in the victims, the Court finds it prudent to emphasize that the beneficiaries may advise the State of their intention to receive the scholarships when they consider that they are in conditions to resume their academic studies, within two years from notification</w:t>
      </w:r>
      <w:r w:rsidR="00301401" w:rsidRPr="00104227">
        <w:rPr>
          <w:rFonts w:cs="ArialMT"/>
          <w:color w:val="00B050"/>
          <w:lang w:val="en-US"/>
        </w:rPr>
        <w:t xml:space="preserve"> </w:t>
      </w:r>
      <w:r w:rsidR="005E29A3" w:rsidRPr="00104227">
        <w:rPr>
          <w:lang w:val="en-US"/>
        </w:rPr>
        <w:t>of this judgment</w:t>
      </w:r>
      <w:r w:rsidR="00D57225" w:rsidRPr="00104227">
        <w:rPr>
          <w:lang w:val="en-US"/>
        </w:rPr>
        <w:t>.</w:t>
      </w:r>
      <w:bookmarkEnd w:id="412"/>
      <w:r w:rsidR="00D57225" w:rsidRPr="00104227">
        <w:rPr>
          <w:lang w:val="en-US"/>
        </w:rPr>
        <w:t xml:space="preserve"> </w:t>
      </w:r>
    </w:p>
    <w:p w14:paraId="6EDD4C39" w14:textId="77777777" w:rsidR="00D57225" w:rsidRPr="00104227" w:rsidRDefault="00D57225" w:rsidP="00E4619F">
      <w:pPr>
        <w:tabs>
          <w:tab w:val="left" w:pos="567"/>
        </w:tabs>
        <w:rPr>
          <w:lang w:eastAsia="es-MX"/>
        </w:rPr>
      </w:pPr>
    </w:p>
    <w:p w14:paraId="3AC20BF0" w14:textId="7CA9060A" w:rsidR="00D57225" w:rsidRPr="00104227" w:rsidRDefault="00D57225" w:rsidP="00E4619F">
      <w:pPr>
        <w:pStyle w:val="Ttulo3"/>
        <w:tabs>
          <w:tab w:val="left" w:pos="567"/>
        </w:tabs>
        <w:rPr>
          <w:rStyle w:val="nfasissutil"/>
          <w:b/>
          <w:lang w:val="en-US"/>
        </w:rPr>
      </w:pPr>
      <w:bookmarkStart w:id="413" w:name="_Toc31290624"/>
      <w:r w:rsidRPr="00104227">
        <w:rPr>
          <w:rStyle w:val="nfasissutil"/>
          <w:b/>
          <w:lang w:val="en-US"/>
        </w:rPr>
        <w:t xml:space="preserve">D.3 </w:t>
      </w:r>
      <w:r w:rsidR="005E5DCC" w:rsidRPr="00104227">
        <w:rPr>
          <w:rStyle w:val="nfasissutil"/>
          <w:b/>
          <w:lang w:val="en-US"/>
        </w:rPr>
        <w:t>Guarantees of non-repetition</w:t>
      </w:r>
      <w:bookmarkEnd w:id="413"/>
    </w:p>
    <w:p w14:paraId="4150B8F3" w14:textId="77777777" w:rsidR="00D57225" w:rsidRPr="00104227" w:rsidRDefault="00D57225" w:rsidP="00E4619F">
      <w:pPr>
        <w:tabs>
          <w:tab w:val="left" w:pos="567"/>
        </w:tabs>
        <w:rPr>
          <w:lang w:eastAsia="es-CR"/>
        </w:rPr>
      </w:pPr>
    </w:p>
    <w:p w14:paraId="153500A5" w14:textId="58342538" w:rsidR="00885693" w:rsidRPr="00104227" w:rsidRDefault="00885693" w:rsidP="00885693">
      <w:pPr>
        <w:pStyle w:val="Ttulo4"/>
        <w:rPr>
          <w:lang w:val="en-US"/>
        </w:rPr>
      </w:pPr>
      <w:r w:rsidRPr="00104227">
        <w:rPr>
          <w:lang w:val="en-US"/>
        </w:rPr>
        <w:t xml:space="preserve">D.3.a </w:t>
      </w:r>
      <w:r w:rsidR="00301401" w:rsidRPr="00104227">
        <w:rPr>
          <w:lang w:val="en-US"/>
        </w:rPr>
        <w:t>Raising police awareness of gender issues, and creati</w:t>
      </w:r>
      <w:r w:rsidR="00267B91" w:rsidRPr="00104227">
        <w:rPr>
          <w:lang w:val="en-US"/>
        </w:rPr>
        <w:t>on of</w:t>
      </w:r>
      <w:r w:rsidR="00301401" w:rsidRPr="00104227">
        <w:rPr>
          <w:lang w:val="en-US"/>
        </w:rPr>
        <w:t xml:space="preserve"> a mechanism to measure the effectiveness of institutions and policies established by the State to regulate and monitor </w:t>
      </w:r>
      <w:r w:rsidR="00BC5201" w:rsidRPr="00104227">
        <w:rPr>
          <w:lang w:val="en-US"/>
        </w:rPr>
        <w:t>the use of force</w:t>
      </w:r>
    </w:p>
    <w:p w14:paraId="2E1FCE2B" w14:textId="77777777" w:rsidR="00885693" w:rsidRPr="00104227" w:rsidRDefault="00885693" w:rsidP="00E4619F">
      <w:pPr>
        <w:tabs>
          <w:tab w:val="left" w:pos="567"/>
        </w:tabs>
        <w:rPr>
          <w:lang w:eastAsia="es-CR"/>
        </w:rPr>
      </w:pPr>
    </w:p>
    <w:p w14:paraId="113B454A" w14:textId="1B472EE2" w:rsidR="00D57225" w:rsidRPr="00104227" w:rsidRDefault="00BF5241" w:rsidP="00E4619F">
      <w:pPr>
        <w:pStyle w:val="Numberedparagraphs"/>
        <w:tabs>
          <w:tab w:val="left" w:pos="567"/>
        </w:tabs>
        <w:rPr>
          <w:b/>
          <w:lang w:val="en-US"/>
        </w:rPr>
      </w:pPr>
      <w:r w:rsidRPr="00104227">
        <w:rPr>
          <w:lang w:val="en-US"/>
        </w:rPr>
        <w:t xml:space="preserve">The </w:t>
      </w:r>
      <w:r w:rsidRPr="00104227">
        <w:rPr>
          <w:b/>
          <w:bCs/>
          <w:i/>
          <w:iCs/>
          <w:lang w:val="en-US"/>
        </w:rPr>
        <w:t>Commission</w:t>
      </w:r>
      <w:r w:rsidR="00D57225" w:rsidRPr="00104227">
        <w:rPr>
          <w:b/>
          <w:i/>
          <w:lang w:val="en-US"/>
        </w:rPr>
        <w:t xml:space="preserve"> </w:t>
      </w:r>
      <w:r w:rsidR="00301401" w:rsidRPr="00104227">
        <w:rPr>
          <w:lang w:val="en-US"/>
        </w:rPr>
        <w:t xml:space="preserve">asked the Court to order </w:t>
      </w:r>
      <w:r w:rsidR="0094395C" w:rsidRPr="00104227">
        <w:rPr>
          <w:lang w:val="en-US"/>
        </w:rPr>
        <w:t>the State</w:t>
      </w:r>
      <w:r w:rsidR="00D57225" w:rsidRPr="00104227">
        <w:rPr>
          <w:lang w:val="en-US"/>
        </w:rPr>
        <w:t xml:space="preserve"> “</w:t>
      </w:r>
      <w:r w:rsidR="00301401" w:rsidRPr="00104227">
        <w:rPr>
          <w:lang w:val="en-US"/>
        </w:rPr>
        <w:t xml:space="preserve">to adopt measures of non-repetition aimed at educating both state and federal </w:t>
      </w:r>
      <w:r w:rsidR="00267B91" w:rsidRPr="00104227">
        <w:rPr>
          <w:lang w:val="en-US"/>
        </w:rPr>
        <w:t>law enforcement</w:t>
      </w:r>
      <w:r w:rsidR="00301401" w:rsidRPr="00104227">
        <w:rPr>
          <w:lang w:val="en-US"/>
        </w:rPr>
        <w:t xml:space="preserve"> agencies with regard to the absolute prohibition of </w:t>
      </w:r>
      <w:r w:rsidR="00BC5201" w:rsidRPr="00104227">
        <w:rPr>
          <w:lang w:val="en-US"/>
        </w:rPr>
        <w:t>torture</w:t>
      </w:r>
      <w:r w:rsidRPr="00104227">
        <w:rPr>
          <w:lang w:val="en-US"/>
        </w:rPr>
        <w:t xml:space="preserve"> and</w:t>
      </w:r>
      <w:r w:rsidR="00D57225" w:rsidRPr="00104227">
        <w:rPr>
          <w:lang w:val="en-US"/>
        </w:rPr>
        <w:t xml:space="preserve"> </w:t>
      </w:r>
      <w:r w:rsidR="00814266" w:rsidRPr="00104227">
        <w:rPr>
          <w:lang w:val="en-US"/>
        </w:rPr>
        <w:t xml:space="preserve">sexual </w:t>
      </w:r>
      <w:r w:rsidR="0041662C" w:rsidRPr="00104227">
        <w:rPr>
          <w:lang w:val="en-US"/>
        </w:rPr>
        <w:t xml:space="preserve">or any other kind of </w:t>
      </w:r>
      <w:r w:rsidR="00814266" w:rsidRPr="00104227">
        <w:rPr>
          <w:lang w:val="en-US"/>
        </w:rPr>
        <w:t>violence</w:t>
      </w:r>
      <w:r w:rsidRPr="00104227">
        <w:rPr>
          <w:lang w:val="en-US"/>
        </w:rPr>
        <w:t xml:space="preserve"> </w:t>
      </w:r>
      <w:r w:rsidR="0041662C" w:rsidRPr="00104227">
        <w:rPr>
          <w:lang w:val="en-US"/>
        </w:rPr>
        <w:t>against women, and send</w:t>
      </w:r>
      <w:r w:rsidR="00267B91" w:rsidRPr="00104227">
        <w:rPr>
          <w:lang w:val="en-US"/>
        </w:rPr>
        <w:t>ing</w:t>
      </w:r>
      <w:r w:rsidR="0041662C" w:rsidRPr="00104227">
        <w:rPr>
          <w:lang w:val="en-US"/>
        </w:rPr>
        <w:t xml:space="preserve"> a clear message repudiati</w:t>
      </w:r>
      <w:r w:rsidR="00267B91" w:rsidRPr="00104227">
        <w:rPr>
          <w:lang w:val="en-US"/>
        </w:rPr>
        <w:t>ng</w:t>
      </w:r>
      <w:r w:rsidR="0041662C" w:rsidRPr="00104227">
        <w:rPr>
          <w:lang w:val="en-US"/>
        </w:rPr>
        <w:t xml:space="preserve"> this type of act.</w:t>
      </w:r>
      <w:r w:rsidR="00D57225" w:rsidRPr="00104227">
        <w:rPr>
          <w:lang w:val="en-US"/>
        </w:rPr>
        <w:t>”</w:t>
      </w:r>
      <w:r w:rsidR="00C726C5" w:rsidRPr="00104227">
        <w:rPr>
          <w:lang w:val="en-US"/>
        </w:rPr>
        <w:t xml:space="preserve"> </w:t>
      </w:r>
    </w:p>
    <w:p w14:paraId="29DDD7C4" w14:textId="77777777" w:rsidR="00D57225" w:rsidRPr="00104227" w:rsidRDefault="00D57225" w:rsidP="00E4619F">
      <w:pPr>
        <w:tabs>
          <w:tab w:val="left" w:pos="567"/>
        </w:tabs>
        <w:rPr>
          <w:lang w:eastAsia="es-MX"/>
        </w:rPr>
      </w:pPr>
    </w:p>
    <w:p w14:paraId="3EAB304D" w14:textId="46418033" w:rsidR="00D57225" w:rsidRPr="00104227" w:rsidRDefault="002826A6" w:rsidP="00E4619F">
      <w:pPr>
        <w:pStyle w:val="Numberedparagraphs"/>
        <w:tabs>
          <w:tab w:val="left" w:pos="567"/>
        </w:tabs>
        <w:rPr>
          <w:b/>
          <w:lang w:val="en-US"/>
        </w:rPr>
      </w:pPr>
      <w:r w:rsidRPr="00104227">
        <w:rPr>
          <w:lang w:val="en-US"/>
        </w:rPr>
        <w:t xml:space="preserve">The </w:t>
      </w:r>
      <w:r w:rsidRPr="00104227">
        <w:rPr>
          <w:b/>
          <w:bCs/>
          <w:i/>
          <w:iCs/>
          <w:lang w:val="en-US"/>
        </w:rPr>
        <w:t>representatives</w:t>
      </w:r>
      <w:r w:rsidR="00D57225" w:rsidRPr="00104227">
        <w:rPr>
          <w:b/>
          <w:i/>
          <w:lang w:val="en-US"/>
        </w:rPr>
        <w:t xml:space="preserve"> </w:t>
      </w:r>
      <w:r w:rsidR="0041662C" w:rsidRPr="00104227">
        <w:rPr>
          <w:lang w:val="en-US"/>
        </w:rPr>
        <w:t xml:space="preserve">asked the Court to require the </w:t>
      </w:r>
      <w:r w:rsidR="0094395C" w:rsidRPr="00104227">
        <w:rPr>
          <w:lang w:val="en-US"/>
        </w:rPr>
        <w:t>State</w:t>
      </w:r>
      <w:r w:rsidR="00D57225" w:rsidRPr="00104227">
        <w:rPr>
          <w:lang w:val="en-US"/>
        </w:rPr>
        <w:t xml:space="preserve"> </w:t>
      </w:r>
      <w:r w:rsidR="00267B91" w:rsidRPr="00104227">
        <w:rPr>
          <w:lang w:val="en-US"/>
        </w:rPr>
        <w:t>t</w:t>
      </w:r>
      <w:r w:rsidR="0041662C" w:rsidRPr="00104227">
        <w:rPr>
          <w:lang w:val="en-US"/>
        </w:rPr>
        <w:t xml:space="preserve">o adapt its laws to avoid the arbitrary use of force in contexts of </w:t>
      </w:r>
      <w:r w:rsidR="00D57225" w:rsidRPr="00104227">
        <w:rPr>
          <w:lang w:val="en-US"/>
        </w:rPr>
        <w:t>social</w:t>
      </w:r>
      <w:r w:rsidR="0041662C" w:rsidRPr="00104227">
        <w:rPr>
          <w:lang w:val="en-US"/>
        </w:rPr>
        <w:t xml:space="preserve"> protest</w:t>
      </w:r>
      <w:r w:rsidR="00D57225" w:rsidRPr="00104227">
        <w:rPr>
          <w:lang w:val="en-US"/>
        </w:rPr>
        <w:t xml:space="preserve">, </w:t>
      </w:r>
      <w:r w:rsidR="00267B91" w:rsidRPr="00104227">
        <w:rPr>
          <w:lang w:val="en-US"/>
        </w:rPr>
        <w:t>establishing</w:t>
      </w:r>
      <w:r w:rsidR="0041662C" w:rsidRPr="00104227">
        <w:rPr>
          <w:lang w:val="en-US"/>
        </w:rPr>
        <w:t xml:space="preserve"> </w:t>
      </w:r>
      <w:r w:rsidR="00267B91" w:rsidRPr="00104227">
        <w:rPr>
          <w:lang w:val="en-US"/>
        </w:rPr>
        <w:t>a</w:t>
      </w:r>
      <w:r w:rsidR="0041662C" w:rsidRPr="00104227">
        <w:rPr>
          <w:lang w:val="en-US"/>
        </w:rPr>
        <w:t xml:space="preserve"> </w:t>
      </w:r>
      <w:r w:rsidR="00267B91" w:rsidRPr="00104227">
        <w:rPr>
          <w:lang w:val="en-US"/>
        </w:rPr>
        <w:t>mechanism to exercise control of</w:t>
      </w:r>
      <w:r w:rsidR="008F27D0" w:rsidRPr="00104227">
        <w:rPr>
          <w:lang w:val="en-US"/>
        </w:rPr>
        <w:t xml:space="preserve"> the </w:t>
      </w:r>
      <w:r w:rsidR="00BC5201" w:rsidRPr="00104227">
        <w:rPr>
          <w:lang w:val="en-US"/>
        </w:rPr>
        <w:t>use of force</w:t>
      </w:r>
      <w:r w:rsidR="00D57225" w:rsidRPr="00104227">
        <w:rPr>
          <w:lang w:val="en-US"/>
        </w:rPr>
        <w:t xml:space="preserve"> </w:t>
      </w:r>
      <w:r w:rsidR="0041662C" w:rsidRPr="00104227">
        <w:rPr>
          <w:lang w:val="en-US"/>
        </w:rPr>
        <w:t xml:space="preserve">before, during and after police actions. They also asked that the </w:t>
      </w:r>
      <w:r w:rsidR="003F10B2" w:rsidRPr="00104227">
        <w:rPr>
          <w:lang w:val="en-US"/>
        </w:rPr>
        <w:t xml:space="preserve">State </w:t>
      </w:r>
      <w:r w:rsidR="0041662C" w:rsidRPr="00104227">
        <w:rPr>
          <w:lang w:val="en-US"/>
        </w:rPr>
        <w:t xml:space="preserve">be required to adapt its </w:t>
      </w:r>
      <w:r w:rsidR="00267B91" w:rsidRPr="00104227">
        <w:rPr>
          <w:lang w:val="en-US"/>
        </w:rPr>
        <w:t>domestic</w:t>
      </w:r>
      <w:r w:rsidR="0041662C" w:rsidRPr="00104227">
        <w:rPr>
          <w:lang w:val="en-US"/>
        </w:rPr>
        <w:t xml:space="preserve"> laws to avoid </w:t>
      </w:r>
      <w:r w:rsidR="00BC5201" w:rsidRPr="00104227">
        <w:rPr>
          <w:lang w:val="en-US"/>
        </w:rPr>
        <w:t>the use of force</w:t>
      </w:r>
      <w:r w:rsidR="00D57225" w:rsidRPr="00104227">
        <w:rPr>
          <w:lang w:val="en-US"/>
        </w:rPr>
        <w:t xml:space="preserve"> </w:t>
      </w:r>
      <w:r w:rsidR="0041662C" w:rsidRPr="00104227">
        <w:rPr>
          <w:lang w:val="en-US"/>
        </w:rPr>
        <w:t>i</w:t>
      </w:r>
      <w:r w:rsidR="00D57225" w:rsidRPr="00104227">
        <w:rPr>
          <w:lang w:val="en-US"/>
        </w:rPr>
        <w:t xml:space="preserve">n </w:t>
      </w:r>
      <w:r w:rsidR="00B851FA" w:rsidRPr="00104227">
        <w:rPr>
          <w:lang w:val="en-US"/>
        </w:rPr>
        <w:t>context</w:t>
      </w:r>
      <w:r w:rsidR="00D57225" w:rsidRPr="00104227">
        <w:rPr>
          <w:lang w:val="en-US"/>
        </w:rPr>
        <w:t xml:space="preserve">s </w:t>
      </w:r>
      <w:r w:rsidR="0041662C" w:rsidRPr="00104227">
        <w:rPr>
          <w:lang w:val="en-US"/>
        </w:rPr>
        <w:t>of</w:t>
      </w:r>
      <w:r w:rsidR="00D57225" w:rsidRPr="00104227">
        <w:rPr>
          <w:lang w:val="en-US"/>
        </w:rPr>
        <w:t xml:space="preserve"> social</w:t>
      </w:r>
      <w:r w:rsidR="0041662C" w:rsidRPr="00104227">
        <w:rPr>
          <w:lang w:val="en-US"/>
        </w:rPr>
        <w:t xml:space="preserve"> protest, by the creation of a body specialized in the institutional development and monitoring of the police forces</w:t>
      </w:r>
      <w:r w:rsidR="00CC3D89" w:rsidRPr="00104227">
        <w:rPr>
          <w:rFonts w:eastAsiaTheme="minorHAnsi" w:cs="Arial"/>
          <w:lang w:val="en-US"/>
        </w:rPr>
        <w:t>.</w:t>
      </w:r>
      <w:r w:rsidR="00D57225" w:rsidRPr="00104227">
        <w:rPr>
          <w:rFonts w:eastAsiaTheme="minorHAnsi" w:cs="Arial"/>
          <w:lang w:val="en-US"/>
        </w:rPr>
        <w:t xml:space="preserve"> </w:t>
      </w:r>
    </w:p>
    <w:p w14:paraId="4868D95B" w14:textId="77777777" w:rsidR="00D57225" w:rsidRPr="00104227" w:rsidRDefault="00D57225" w:rsidP="00E4619F">
      <w:pPr>
        <w:tabs>
          <w:tab w:val="left" w:pos="567"/>
        </w:tabs>
        <w:rPr>
          <w:szCs w:val="20"/>
          <w:lang w:eastAsia="es-MX"/>
        </w:rPr>
      </w:pPr>
    </w:p>
    <w:p w14:paraId="60DDCF5D" w14:textId="2A2319A6" w:rsidR="0041662C" w:rsidRPr="00104227" w:rsidRDefault="00AC3BFC" w:rsidP="00E4619F">
      <w:pPr>
        <w:pStyle w:val="Numberedparagraphs"/>
        <w:tabs>
          <w:tab w:val="left" w:pos="567"/>
        </w:tabs>
        <w:rPr>
          <w:rFonts w:eastAsiaTheme="minorHAnsi"/>
          <w:b/>
          <w:lang w:val="en-US"/>
        </w:rPr>
      </w:pPr>
      <w:r w:rsidRPr="00104227">
        <w:rPr>
          <w:lang w:val="en-US"/>
        </w:rPr>
        <w:t xml:space="preserve">The </w:t>
      </w:r>
      <w:r w:rsidRPr="00104227">
        <w:rPr>
          <w:b/>
          <w:bCs/>
          <w:i/>
          <w:iCs/>
          <w:lang w:val="en-US"/>
        </w:rPr>
        <w:t>State</w:t>
      </w:r>
      <w:r w:rsidR="00D57225" w:rsidRPr="00104227">
        <w:rPr>
          <w:b/>
          <w:i/>
          <w:lang w:val="en-US"/>
        </w:rPr>
        <w:t xml:space="preserve"> </w:t>
      </w:r>
      <w:r w:rsidR="0041662C" w:rsidRPr="00104227">
        <w:rPr>
          <w:lang w:val="en-US"/>
        </w:rPr>
        <w:t xml:space="preserve">indicated that, currently, it has legislative instruments </w:t>
      </w:r>
      <w:r w:rsidR="00610122" w:rsidRPr="00104227">
        <w:rPr>
          <w:lang w:val="en-US"/>
        </w:rPr>
        <w:t>adapting</w:t>
      </w:r>
      <w:r w:rsidR="0041662C" w:rsidRPr="00104227">
        <w:rPr>
          <w:lang w:val="en-US"/>
        </w:rPr>
        <w:t xml:space="preserve"> its legal framework </w:t>
      </w:r>
      <w:r w:rsidR="00610122" w:rsidRPr="00104227">
        <w:rPr>
          <w:lang w:val="en-US"/>
        </w:rPr>
        <w:t>concerning</w:t>
      </w:r>
      <w:r w:rsidR="0041662C" w:rsidRPr="00104227">
        <w:rPr>
          <w:lang w:val="en-US"/>
        </w:rPr>
        <w:t xml:space="preserve"> the use of force, and therefore argued that it “had already made the pertinent amendments to adapt its legal framework on torture and use of force.” Likewise, it argued that it “already has mechanisms and institutions that guarantee an external scrutiny of the Mexican police and that </w:t>
      </w:r>
      <w:r w:rsidR="00565699" w:rsidRPr="00104227">
        <w:rPr>
          <w:lang w:val="en-US"/>
        </w:rPr>
        <w:t>ensure the rights of the population from different perspectives, such as human rights, criminal law, administrative responsibility, and the right to the truth and information. Thus, the measure requested by the representatives is not viable.”</w:t>
      </w:r>
    </w:p>
    <w:p w14:paraId="0D0E0719" w14:textId="77777777" w:rsidR="00D57225" w:rsidRPr="00104227" w:rsidRDefault="00D57225" w:rsidP="00E4619F">
      <w:pPr>
        <w:tabs>
          <w:tab w:val="left" w:pos="567"/>
        </w:tabs>
        <w:rPr>
          <w:szCs w:val="20"/>
          <w:lang w:eastAsia="es-MX"/>
        </w:rPr>
      </w:pPr>
    </w:p>
    <w:p w14:paraId="6F8B816B" w14:textId="3CFFB574" w:rsidR="00565699" w:rsidRPr="00104227" w:rsidRDefault="00565699" w:rsidP="00E4619F">
      <w:pPr>
        <w:pStyle w:val="Numberedparagraphs"/>
        <w:tabs>
          <w:tab w:val="left" w:pos="567"/>
        </w:tabs>
        <w:rPr>
          <w:lang w:val="en-US"/>
        </w:rPr>
      </w:pPr>
      <w:bookmarkStart w:id="414" w:name="_Ref532988251"/>
      <w:r w:rsidRPr="00104227">
        <w:rPr>
          <w:lang w:val="en-US"/>
        </w:rPr>
        <w:t>As verified by</w:t>
      </w:r>
      <w:r w:rsidR="00D57225" w:rsidRPr="00104227">
        <w:rPr>
          <w:lang w:val="en-US"/>
        </w:rPr>
        <w:t xml:space="preserve"> </w:t>
      </w:r>
      <w:r w:rsidR="00BF5241" w:rsidRPr="00104227">
        <w:rPr>
          <w:lang w:val="en-US"/>
        </w:rPr>
        <w:t>the Court</w:t>
      </w:r>
      <w:r w:rsidR="00D57225" w:rsidRPr="00104227">
        <w:rPr>
          <w:lang w:val="en-US"/>
        </w:rPr>
        <w:t xml:space="preserve"> </w:t>
      </w:r>
      <w:r w:rsidRPr="00104227">
        <w:rPr>
          <w:lang w:val="en-US"/>
        </w:rPr>
        <w:t>in Chapter</w:t>
      </w:r>
      <w:r w:rsidR="00D57225" w:rsidRPr="00104227">
        <w:rPr>
          <w:lang w:val="en-US"/>
        </w:rPr>
        <w:t xml:space="preserve"> IX-1 </w:t>
      </w:r>
      <w:r w:rsidR="005E29A3" w:rsidRPr="00104227">
        <w:rPr>
          <w:lang w:val="en-US"/>
        </w:rPr>
        <w:t>of this judgment</w:t>
      </w:r>
      <w:r w:rsidR="00D57225" w:rsidRPr="00104227">
        <w:rPr>
          <w:lang w:val="en-US"/>
        </w:rPr>
        <w:t xml:space="preserve">, </w:t>
      </w:r>
      <w:r w:rsidRPr="00104227">
        <w:rPr>
          <w:lang w:val="en-US"/>
        </w:rPr>
        <w:t xml:space="preserve">the unlawful and excessive use of force by the State in the context of the events that took place on </w:t>
      </w:r>
      <w:r w:rsidR="00DF5F3C" w:rsidRPr="00104227">
        <w:rPr>
          <w:lang w:val="en-US"/>
        </w:rPr>
        <w:t>May 3 and 4,</w:t>
      </w:r>
      <w:r w:rsidR="00D57225" w:rsidRPr="00104227">
        <w:rPr>
          <w:lang w:val="en-US"/>
        </w:rPr>
        <w:t xml:space="preserve"> </w:t>
      </w:r>
      <w:r w:rsidR="008C6D02" w:rsidRPr="00104227">
        <w:rPr>
          <w:lang w:val="en-US"/>
        </w:rPr>
        <w:t>2006, in</w:t>
      </w:r>
      <w:r w:rsidR="00D57225" w:rsidRPr="00104227">
        <w:rPr>
          <w:lang w:val="en-US"/>
        </w:rPr>
        <w:t xml:space="preserve"> Texcoco</w:t>
      </w:r>
      <w:r w:rsidR="00BF5241" w:rsidRPr="00104227">
        <w:rPr>
          <w:lang w:val="en-US"/>
        </w:rPr>
        <w:t xml:space="preserve"> and </w:t>
      </w:r>
      <w:r w:rsidR="00D57225" w:rsidRPr="00104227">
        <w:rPr>
          <w:lang w:val="en-US"/>
        </w:rPr>
        <w:t xml:space="preserve">San Salvador de Atenco </w:t>
      </w:r>
      <w:r w:rsidRPr="00104227">
        <w:rPr>
          <w:lang w:val="en-US"/>
        </w:rPr>
        <w:t xml:space="preserve">resulted in violations of different rights </w:t>
      </w:r>
      <w:r w:rsidR="005E29A3" w:rsidRPr="00104227">
        <w:rPr>
          <w:lang w:val="en-US"/>
        </w:rPr>
        <w:t>recognized in</w:t>
      </w:r>
      <w:r w:rsidR="00D57225" w:rsidRPr="00104227">
        <w:rPr>
          <w:lang w:val="en-US"/>
        </w:rPr>
        <w:t xml:space="preserve"> </w:t>
      </w:r>
      <w:r w:rsidR="00BF5241" w:rsidRPr="00104227">
        <w:rPr>
          <w:lang w:val="en-US"/>
        </w:rPr>
        <w:t>the Convention</w:t>
      </w:r>
      <w:r w:rsidR="00D57225" w:rsidRPr="00104227">
        <w:rPr>
          <w:lang w:val="en-US"/>
        </w:rPr>
        <w:t xml:space="preserve">. </w:t>
      </w:r>
      <w:r w:rsidR="00BF5241" w:rsidRPr="00104227">
        <w:rPr>
          <w:lang w:val="en-US"/>
        </w:rPr>
        <w:t>Th</w:t>
      </w:r>
      <w:r w:rsidRPr="00104227">
        <w:rPr>
          <w:lang w:val="en-US"/>
        </w:rPr>
        <w:t>e</w:t>
      </w:r>
      <w:r w:rsidR="00BF5241" w:rsidRPr="00104227">
        <w:rPr>
          <w:lang w:val="en-US"/>
        </w:rPr>
        <w:t xml:space="preserve"> Court</w:t>
      </w:r>
      <w:r w:rsidR="00D57225" w:rsidRPr="00104227">
        <w:rPr>
          <w:lang w:val="en-US"/>
        </w:rPr>
        <w:t xml:space="preserve"> </w:t>
      </w:r>
      <w:r w:rsidRPr="00104227">
        <w:rPr>
          <w:lang w:val="en-US"/>
        </w:rPr>
        <w:t xml:space="preserve">appreciates the efforts made by the State, at both the state and the federal level, to establish limits to the use of force in contexts of social protest and to </w:t>
      </w:r>
      <w:r w:rsidR="00F27D61" w:rsidRPr="00104227">
        <w:rPr>
          <w:lang w:val="en-US"/>
        </w:rPr>
        <w:t>monitor</w:t>
      </w:r>
      <w:r w:rsidRPr="00104227">
        <w:rPr>
          <w:lang w:val="en-US"/>
        </w:rPr>
        <w:t xml:space="preserve"> the police forces. </w:t>
      </w:r>
      <w:r w:rsidRPr="00104227">
        <w:rPr>
          <w:lang w:val="en-US"/>
        </w:rPr>
        <w:lastRenderedPageBreak/>
        <w:t>However, it deems it pertinent to require the State to create and implement, within two years, a training plan for officers of the Federal Police and the police of the state of Mexico aimed at: (i) raising the awareness of members of the police forces</w:t>
      </w:r>
      <w:r w:rsidR="00610122" w:rsidRPr="00104227">
        <w:rPr>
          <w:lang w:val="en-US"/>
        </w:rPr>
        <w:t>:</w:t>
      </w:r>
      <w:r w:rsidRPr="00104227">
        <w:rPr>
          <w:lang w:val="en-US"/>
        </w:rPr>
        <w:t xml:space="preserve"> </w:t>
      </w:r>
      <w:r w:rsidR="00610122" w:rsidRPr="00104227">
        <w:rPr>
          <w:lang w:val="en-US"/>
        </w:rPr>
        <w:t>that they should</w:t>
      </w:r>
      <w:r w:rsidRPr="00104227">
        <w:rPr>
          <w:lang w:val="en-US"/>
        </w:rPr>
        <w:t xml:space="preserve"> </w:t>
      </w:r>
      <w:r w:rsidR="00610122" w:rsidRPr="00104227">
        <w:rPr>
          <w:lang w:val="en-US"/>
        </w:rPr>
        <w:t>include a gender perspective in</w:t>
      </w:r>
      <w:r w:rsidRPr="00104227">
        <w:rPr>
          <w:lang w:val="en-US"/>
        </w:rPr>
        <w:t xml:space="preserve"> police operations; </w:t>
      </w:r>
      <w:r w:rsidR="00610122" w:rsidRPr="00104227">
        <w:rPr>
          <w:lang w:val="en-US"/>
        </w:rPr>
        <w:t xml:space="preserve">regarding </w:t>
      </w:r>
      <w:r w:rsidRPr="00104227">
        <w:rPr>
          <w:lang w:val="en-US"/>
        </w:rPr>
        <w:t>the discriminatory nature of gender stereotypes such as those used in this case, and</w:t>
      </w:r>
      <w:r w:rsidR="00610122" w:rsidRPr="00104227">
        <w:rPr>
          <w:lang w:val="en-US"/>
        </w:rPr>
        <w:t xml:space="preserve"> with regard to</w:t>
      </w:r>
      <w:r w:rsidRPr="00104227">
        <w:rPr>
          <w:lang w:val="en-US"/>
        </w:rPr>
        <w:t xml:space="preserve"> the absolute duty to respect and protect the civilian population with whom they come into contact in the context of their work keeping public order, as well as (ii) training police agents on the standards for the use of force in contexts of social protest established in this judgment and in this Court’s case law. This training plan should be incorporated into the regular training of members of the</w:t>
      </w:r>
      <w:r w:rsidR="00610122" w:rsidRPr="00104227">
        <w:rPr>
          <w:lang w:val="en-US"/>
        </w:rPr>
        <w:t xml:space="preserve"> state and</w:t>
      </w:r>
      <w:r w:rsidRPr="00104227">
        <w:rPr>
          <w:lang w:val="en-US"/>
        </w:rPr>
        <w:t xml:space="preserve"> federal police forces.</w:t>
      </w:r>
    </w:p>
    <w:bookmarkEnd w:id="414"/>
    <w:p w14:paraId="37A30CB0" w14:textId="77777777" w:rsidR="00D57225" w:rsidRPr="00104227" w:rsidRDefault="00D57225" w:rsidP="00E4619F">
      <w:pPr>
        <w:tabs>
          <w:tab w:val="left" w:pos="567"/>
        </w:tabs>
        <w:rPr>
          <w:lang w:eastAsia="es-MX"/>
        </w:rPr>
      </w:pPr>
    </w:p>
    <w:p w14:paraId="71E2EE63" w14:textId="13FF66D3" w:rsidR="00565699" w:rsidRPr="00104227" w:rsidRDefault="00565699" w:rsidP="00E4619F">
      <w:pPr>
        <w:pStyle w:val="Numberedparagraphs"/>
        <w:tabs>
          <w:tab w:val="left" w:pos="567"/>
        </w:tabs>
        <w:rPr>
          <w:rFonts w:eastAsiaTheme="minorHAnsi" w:cstheme="minorBidi"/>
          <w:b/>
          <w:lang w:val="en-US" w:eastAsia="es-MX"/>
        </w:rPr>
      </w:pPr>
      <w:bookmarkStart w:id="415" w:name="_Ref532988269"/>
      <w:r w:rsidRPr="00104227">
        <w:rPr>
          <w:lang w:val="en-US"/>
        </w:rPr>
        <w:t>The</w:t>
      </w:r>
      <w:r w:rsidR="00BF5241" w:rsidRPr="00104227">
        <w:rPr>
          <w:lang w:val="en-US"/>
        </w:rPr>
        <w:t xml:space="preserve"> Court</w:t>
      </w:r>
      <w:r w:rsidR="00D57225" w:rsidRPr="00104227">
        <w:rPr>
          <w:lang w:val="en-US"/>
        </w:rPr>
        <w:t xml:space="preserve"> </w:t>
      </w:r>
      <w:r w:rsidRPr="00104227">
        <w:rPr>
          <w:lang w:val="en-US"/>
        </w:rPr>
        <w:t xml:space="preserve">also </w:t>
      </w:r>
      <w:r w:rsidR="00610122" w:rsidRPr="00104227">
        <w:rPr>
          <w:lang w:val="en-US"/>
        </w:rPr>
        <w:t>requires</w:t>
      </w:r>
      <w:r w:rsidRPr="00104227">
        <w:rPr>
          <w:lang w:val="en-US"/>
        </w:rPr>
        <w:t xml:space="preserve"> that the </w:t>
      </w:r>
      <w:r w:rsidR="005E29A3" w:rsidRPr="00104227">
        <w:rPr>
          <w:lang w:val="en-US"/>
        </w:rPr>
        <w:t>State</w:t>
      </w:r>
      <w:r w:rsidR="00E36251" w:rsidRPr="00104227">
        <w:rPr>
          <w:lang w:val="en-US"/>
        </w:rPr>
        <w:t xml:space="preserve"> </w:t>
      </w:r>
      <w:r w:rsidRPr="00104227">
        <w:rPr>
          <w:lang w:val="en-US"/>
        </w:rPr>
        <w:t>must establish an independent observatory at the federal level to follow up on implementation of the policies on accountability and</w:t>
      </w:r>
      <w:r w:rsidR="00610122" w:rsidRPr="00104227">
        <w:rPr>
          <w:lang w:val="en-US"/>
        </w:rPr>
        <w:t xml:space="preserve"> the</w:t>
      </w:r>
      <w:r w:rsidRPr="00104227">
        <w:rPr>
          <w:lang w:val="en-US"/>
        </w:rPr>
        <w:t xml:space="preserve"> monitoring of the use of force of the Federal Police and the police of the state of Mexico, which can include the participation of members of civil society. </w:t>
      </w:r>
      <w:r w:rsidR="00610122" w:rsidRPr="00104227">
        <w:rPr>
          <w:lang w:val="en-US"/>
        </w:rPr>
        <w:t>T</w:t>
      </w:r>
      <w:r w:rsidRPr="00104227">
        <w:rPr>
          <w:lang w:val="en-US"/>
        </w:rPr>
        <w:t xml:space="preserve">his observatory </w:t>
      </w:r>
      <w:r w:rsidR="00610122" w:rsidRPr="00104227">
        <w:rPr>
          <w:lang w:val="en-US"/>
        </w:rPr>
        <w:t>must also</w:t>
      </w:r>
      <w:r w:rsidRPr="00104227">
        <w:rPr>
          <w:lang w:val="en-US"/>
        </w:rPr>
        <w:t xml:space="preserve"> produce information that </w:t>
      </w:r>
      <w:r w:rsidR="00273E11" w:rsidRPr="00104227">
        <w:rPr>
          <w:lang w:val="en-US"/>
        </w:rPr>
        <w:t>leads to relevant institutional improvements. To this end, the State must generate information systems that permit: (i) evaluating the effectiveness of the existing mechanisms to supervise and monitor police operations before, during and after the use of force, and (ii) providing feedback on the required institutional improvements, based on the information obtained from the observatory. To comply with this measure, the State must provide evidence of the creation of the observatory, with the characteristics described, as well as its operationalization. However, the Court will not monitor its implementation.</w:t>
      </w:r>
    </w:p>
    <w:bookmarkEnd w:id="415"/>
    <w:p w14:paraId="4C849331" w14:textId="77777777" w:rsidR="00D57225" w:rsidRPr="00104227" w:rsidRDefault="00D57225" w:rsidP="00E4619F">
      <w:pPr>
        <w:tabs>
          <w:tab w:val="left" w:pos="567"/>
        </w:tabs>
        <w:rPr>
          <w:lang w:eastAsia="es-MX"/>
        </w:rPr>
      </w:pPr>
    </w:p>
    <w:p w14:paraId="3E153E6E" w14:textId="14FDBFAE" w:rsidR="00483F07" w:rsidRPr="00104227" w:rsidRDefault="00483F07" w:rsidP="00483F07">
      <w:pPr>
        <w:pStyle w:val="Ttulo4"/>
        <w:rPr>
          <w:lang w:val="en-US"/>
        </w:rPr>
      </w:pPr>
      <w:r w:rsidRPr="00104227">
        <w:rPr>
          <w:lang w:val="en-US"/>
        </w:rPr>
        <w:t>D.3.b G</w:t>
      </w:r>
      <w:r w:rsidR="00273E11" w:rsidRPr="00104227">
        <w:rPr>
          <w:lang w:val="en-US"/>
        </w:rPr>
        <w:t>u</w:t>
      </w:r>
      <w:r w:rsidRPr="00104227">
        <w:rPr>
          <w:lang w:val="en-US"/>
        </w:rPr>
        <w:t>arant</w:t>
      </w:r>
      <w:r w:rsidR="00273E11" w:rsidRPr="00104227">
        <w:rPr>
          <w:lang w:val="en-US"/>
        </w:rPr>
        <w:t xml:space="preserve">ee the effectiveness of the </w:t>
      </w:r>
      <w:r w:rsidR="00037264" w:rsidRPr="00104227">
        <w:rPr>
          <w:lang w:val="en-US"/>
        </w:rPr>
        <w:t>M</w:t>
      </w:r>
      <w:r w:rsidR="00273E11" w:rsidRPr="00104227">
        <w:rPr>
          <w:lang w:val="en-US"/>
        </w:rPr>
        <w:t xml:space="preserve">echanism </w:t>
      </w:r>
      <w:r w:rsidR="005053BB" w:rsidRPr="00104227">
        <w:rPr>
          <w:lang w:val="en-US"/>
        </w:rPr>
        <w:t xml:space="preserve">to </w:t>
      </w:r>
      <w:r w:rsidR="00037264" w:rsidRPr="00104227">
        <w:rPr>
          <w:lang w:val="en-US"/>
        </w:rPr>
        <w:t>Monitor Cases of Sexual Torture against Women</w:t>
      </w:r>
    </w:p>
    <w:p w14:paraId="11402A30" w14:textId="77777777" w:rsidR="00D57225" w:rsidRPr="00104227" w:rsidRDefault="00D57225" w:rsidP="00E4619F">
      <w:pPr>
        <w:tabs>
          <w:tab w:val="left" w:pos="567"/>
        </w:tabs>
        <w:autoSpaceDE w:val="0"/>
        <w:autoSpaceDN w:val="0"/>
        <w:adjustRightInd w:val="0"/>
        <w:rPr>
          <w:rStyle w:val="nfasissutil"/>
          <w:rFonts w:cs="Times New Roman"/>
          <w:b w:val="0"/>
        </w:rPr>
      </w:pPr>
    </w:p>
    <w:p w14:paraId="659F1C92" w14:textId="346C52D2" w:rsidR="00D57225" w:rsidRPr="00104227" w:rsidRDefault="00BF5241" w:rsidP="00E4619F">
      <w:pPr>
        <w:pStyle w:val="Numberedparagraphs"/>
        <w:tabs>
          <w:tab w:val="left" w:pos="567"/>
        </w:tabs>
        <w:rPr>
          <w:lang w:val="en-US"/>
        </w:rPr>
      </w:pPr>
      <w:r w:rsidRPr="00104227">
        <w:rPr>
          <w:lang w:val="en-US"/>
        </w:rPr>
        <w:t xml:space="preserve">The </w:t>
      </w:r>
      <w:r w:rsidRPr="00104227">
        <w:rPr>
          <w:b/>
          <w:bCs/>
          <w:i/>
          <w:iCs/>
          <w:lang w:val="en-US"/>
        </w:rPr>
        <w:t>Commission</w:t>
      </w:r>
      <w:r w:rsidR="00D57225" w:rsidRPr="00104227">
        <w:rPr>
          <w:b/>
          <w:i/>
          <w:lang w:val="en-US"/>
        </w:rPr>
        <w:t xml:space="preserve"> </w:t>
      </w:r>
      <w:r w:rsidR="00273E11" w:rsidRPr="00104227">
        <w:rPr>
          <w:lang w:val="en-US"/>
        </w:rPr>
        <w:t xml:space="preserve">asked the Court to order the State to reinforce its institutional capacity “to ensure that investigations of cases of alleged </w:t>
      </w:r>
      <w:r w:rsidR="00D25554" w:rsidRPr="00104227">
        <w:rPr>
          <w:lang w:val="en-US"/>
        </w:rPr>
        <w:t>sexual violence</w:t>
      </w:r>
      <w:r w:rsidR="00273E11" w:rsidRPr="00104227">
        <w:rPr>
          <w:lang w:val="en-US"/>
        </w:rPr>
        <w:t>,</w:t>
      </w:r>
      <w:r w:rsidR="00D57225" w:rsidRPr="00104227">
        <w:rPr>
          <w:lang w:val="en-US"/>
        </w:rPr>
        <w:t xml:space="preserve"> </w:t>
      </w:r>
      <w:r w:rsidR="00273E11" w:rsidRPr="00104227">
        <w:rPr>
          <w:lang w:val="en-US"/>
        </w:rPr>
        <w:t>i</w:t>
      </w:r>
      <w:r w:rsidR="00D57225" w:rsidRPr="00104227">
        <w:rPr>
          <w:lang w:val="en-US"/>
        </w:rPr>
        <w:t>n general</w:t>
      </w:r>
      <w:r w:rsidR="00273E11" w:rsidRPr="00104227">
        <w:rPr>
          <w:lang w:val="en-US"/>
        </w:rPr>
        <w:t>,</w:t>
      </w:r>
      <w:r w:rsidRPr="00104227">
        <w:rPr>
          <w:lang w:val="en-US"/>
        </w:rPr>
        <w:t xml:space="preserve"> and </w:t>
      </w:r>
      <w:r w:rsidR="00273E11" w:rsidRPr="00104227">
        <w:rPr>
          <w:lang w:val="en-US"/>
        </w:rPr>
        <w:t>of sexual</w:t>
      </w:r>
      <w:r w:rsidR="00D57225" w:rsidRPr="00104227">
        <w:rPr>
          <w:lang w:val="en-US"/>
        </w:rPr>
        <w:t xml:space="preserve"> </w:t>
      </w:r>
      <w:r w:rsidR="00BC5201" w:rsidRPr="00104227">
        <w:rPr>
          <w:lang w:val="en-US"/>
        </w:rPr>
        <w:t>torture</w:t>
      </w:r>
      <w:r w:rsidR="00273E11" w:rsidRPr="00104227">
        <w:rPr>
          <w:lang w:val="en-US"/>
        </w:rPr>
        <w:t xml:space="preserve"> by State agents, in </w:t>
      </w:r>
      <w:r w:rsidR="00D57225" w:rsidRPr="00104227">
        <w:rPr>
          <w:lang w:val="en-US"/>
        </w:rPr>
        <w:t xml:space="preserve">particular, </w:t>
      </w:r>
      <w:r w:rsidR="00273E11" w:rsidRPr="00104227">
        <w:rPr>
          <w:lang w:val="en-US"/>
        </w:rPr>
        <w:t>are</w:t>
      </w:r>
      <w:r w:rsidR="00D57225" w:rsidRPr="00104227">
        <w:rPr>
          <w:lang w:val="en-US"/>
        </w:rPr>
        <w:t xml:space="preserve"> compatible</w:t>
      </w:r>
      <w:r w:rsidR="00273E11" w:rsidRPr="00104227">
        <w:rPr>
          <w:lang w:val="en-US"/>
        </w:rPr>
        <w:t xml:space="preserve"> with the standards described” in its</w:t>
      </w:r>
      <w:r w:rsidR="00D57225" w:rsidRPr="00104227">
        <w:rPr>
          <w:lang w:val="en-US"/>
        </w:rPr>
        <w:t xml:space="preserve"> </w:t>
      </w:r>
      <w:r w:rsidR="002826A6" w:rsidRPr="00104227">
        <w:rPr>
          <w:lang w:val="en-US"/>
        </w:rPr>
        <w:t>Merits Report</w:t>
      </w:r>
      <w:r w:rsidR="00D57225" w:rsidRPr="00104227">
        <w:rPr>
          <w:lang w:val="en-US"/>
        </w:rPr>
        <w:t>.</w:t>
      </w:r>
      <w:r w:rsidR="00CC3D89" w:rsidRPr="00104227">
        <w:rPr>
          <w:b/>
          <w:lang w:val="en-US"/>
        </w:rPr>
        <w:t xml:space="preserve"> </w:t>
      </w:r>
    </w:p>
    <w:p w14:paraId="24180287" w14:textId="77777777" w:rsidR="00D57225" w:rsidRPr="00104227" w:rsidRDefault="00D57225" w:rsidP="00E4619F">
      <w:pPr>
        <w:tabs>
          <w:tab w:val="left" w:pos="567"/>
        </w:tabs>
        <w:rPr>
          <w:lang w:eastAsia="es-MX"/>
        </w:rPr>
      </w:pPr>
    </w:p>
    <w:p w14:paraId="4825C7B0" w14:textId="2BC5EA4E" w:rsidR="00D57225" w:rsidRPr="00104227" w:rsidRDefault="002826A6" w:rsidP="00E4619F">
      <w:pPr>
        <w:pStyle w:val="Numberedparagraphs"/>
        <w:tabs>
          <w:tab w:val="left" w:pos="567"/>
        </w:tabs>
        <w:rPr>
          <w:rFonts w:eastAsia="ArialMT" w:cs="ArialMT"/>
          <w:b/>
          <w:lang w:val="en-US"/>
        </w:rPr>
      </w:pPr>
      <w:r w:rsidRPr="00104227">
        <w:rPr>
          <w:lang w:val="en-US"/>
        </w:rPr>
        <w:t xml:space="preserve">The </w:t>
      </w:r>
      <w:r w:rsidRPr="00104227">
        <w:rPr>
          <w:b/>
          <w:bCs/>
          <w:i/>
          <w:iCs/>
          <w:lang w:val="en-US"/>
        </w:rPr>
        <w:t>representatives</w:t>
      </w:r>
      <w:r w:rsidR="00D57225" w:rsidRPr="00104227">
        <w:rPr>
          <w:b/>
          <w:i/>
          <w:lang w:val="en-US"/>
        </w:rPr>
        <w:t xml:space="preserve"> </w:t>
      </w:r>
      <w:r w:rsidR="00273E11" w:rsidRPr="00104227">
        <w:rPr>
          <w:lang w:val="en-US"/>
        </w:rPr>
        <w:t>alleged that</w:t>
      </w:r>
      <w:r w:rsidR="00D57225" w:rsidRPr="00104227">
        <w:rPr>
          <w:lang w:val="en-US"/>
        </w:rPr>
        <w:t xml:space="preserve"> </w:t>
      </w:r>
      <w:r w:rsidR="00AC3BFC" w:rsidRPr="00104227">
        <w:rPr>
          <w:lang w:val="en-US"/>
        </w:rPr>
        <w:t>the State</w:t>
      </w:r>
      <w:r w:rsidR="00D57225" w:rsidRPr="00104227">
        <w:rPr>
          <w:lang w:val="en-US"/>
        </w:rPr>
        <w:t xml:space="preserve"> </w:t>
      </w:r>
      <w:r w:rsidR="00273E11" w:rsidRPr="00104227">
        <w:rPr>
          <w:lang w:val="en-US"/>
        </w:rPr>
        <w:t>had not taken adequate and effective measures to end the sexual torture of women perpetrated by State agents, because its policies ha</w:t>
      </w:r>
      <w:r w:rsidR="00037264" w:rsidRPr="00104227">
        <w:rPr>
          <w:lang w:val="en-US"/>
        </w:rPr>
        <w:t>d</w:t>
      </w:r>
      <w:r w:rsidR="00273E11" w:rsidRPr="00104227">
        <w:rPr>
          <w:lang w:val="en-US"/>
        </w:rPr>
        <w:t xml:space="preserve"> focused on responding to violence </w:t>
      </w:r>
      <w:r w:rsidR="00037264" w:rsidRPr="00104227">
        <w:rPr>
          <w:lang w:val="en-US"/>
        </w:rPr>
        <w:t>involving</w:t>
      </w:r>
      <w:r w:rsidR="00273E11" w:rsidRPr="00104227">
        <w:rPr>
          <w:lang w:val="en-US"/>
        </w:rPr>
        <w:t xml:space="preserve"> private individuals. The Mechanism </w:t>
      </w:r>
      <w:r w:rsidR="005053BB" w:rsidRPr="00104227">
        <w:rPr>
          <w:lang w:val="en-US"/>
        </w:rPr>
        <w:t xml:space="preserve">to </w:t>
      </w:r>
      <w:r w:rsidR="00037264" w:rsidRPr="00104227">
        <w:rPr>
          <w:lang w:val="en-US"/>
        </w:rPr>
        <w:t>Monitor Cases of Sexual Torture</w:t>
      </w:r>
      <w:r w:rsidR="00D57225" w:rsidRPr="00104227">
        <w:rPr>
          <w:lang w:val="en-US"/>
        </w:rPr>
        <w:t xml:space="preserve">, </w:t>
      </w:r>
      <w:r w:rsidR="00273E11" w:rsidRPr="00104227">
        <w:rPr>
          <w:lang w:val="en-US"/>
        </w:rPr>
        <w:t>was created by the</w:t>
      </w:r>
      <w:r w:rsidR="00D57225" w:rsidRPr="00104227">
        <w:rPr>
          <w:lang w:val="en-US"/>
        </w:rPr>
        <w:t xml:space="preserve"> CONAVIM </w:t>
      </w:r>
      <w:r w:rsidR="00273E11" w:rsidRPr="00104227">
        <w:rPr>
          <w:lang w:val="en-US"/>
        </w:rPr>
        <w:t>in September</w:t>
      </w:r>
      <w:r w:rsidR="00D57225" w:rsidRPr="00104227">
        <w:rPr>
          <w:lang w:val="en-US"/>
        </w:rPr>
        <w:t xml:space="preserve"> 2015, </w:t>
      </w:r>
      <w:r w:rsidR="00273E11" w:rsidRPr="00104227">
        <w:rPr>
          <w:lang w:val="en-US"/>
        </w:rPr>
        <w:t xml:space="preserve">but it did not provide its first report until December </w:t>
      </w:r>
      <w:r w:rsidR="00D57225" w:rsidRPr="00104227">
        <w:rPr>
          <w:lang w:val="en-US"/>
        </w:rPr>
        <w:t xml:space="preserve">2016. </w:t>
      </w:r>
      <w:r w:rsidR="00273E11" w:rsidRPr="00104227">
        <w:rPr>
          <w:lang w:val="en-US"/>
        </w:rPr>
        <w:t>Consequently</w:t>
      </w:r>
      <w:r w:rsidR="00D57225" w:rsidRPr="00104227">
        <w:rPr>
          <w:lang w:val="en-US"/>
        </w:rPr>
        <w:t xml:space="preserve">, </w:t>
      </w:r>
      <w:r w:rsidRPr="00104227">
        <w:rPr>
          <w:lang w:val="en-US"/>
        </w:rPr>
        <w:t>the representatives</w:t>
      </w:r>
      <w:r w:rsidR="00D57225" w:rsidRPr="00104227">
        <w:rPr>
          <w:lang w:val="en-US"/>
        </w:rPr>
        <w:t xml:space="preserve"> </w:t>
      </w:r>
      <w:r w:rsidR="00273E11" w:rsidRPr="00104227">
        <w:rPr>
          <w:lang w:val="en-US"/>
        </w:rPr>
        <w:t>asked the Court to order</w:t>
      </w:r>
      <w:r w:rsidR="0094395C" w:rsidRPr="00104227">
        <w:rPr>
          <w:lang w:val="en-US"/>
        </w:rPr>
        <w:t xml:space="preserve"> the State</w:t>
      </w:r>
      <w:r w:rsidR="00D57225" w:rsidRPr="00104227">
        <w:rPr>
          <w:lang w:val="en-US"/>
        </w:rPr>
        <w:t xml:space="preserve"> </w:t>
      </w:r>
      <w:r w:rsidR="00273E11" w:rsidRPr="00104227">
        <w:rPr>
          <w:lang w:val="en-US"/>
        </w:rPr>
        <w:t>to ensure that this Mechanis</w:t>
      </w:r>
      <w:r w:rsidR="005053BB" w:rsidRPr="00104227">
        <w:rPr>
          <w:lang w:val="en-US"/>
        </w:rPr>
        <w:t>m</w:t>
      </w:r>
      <w:r w:rsidR="00273E11" w:rsidRPr="00104227">
        <w:rPr>
          <w:lang w:val="en-US"/>
        </w:rPr>
        <w:t xml:space="preserve"> </w:t>
      </w:r>
      <w:r w:rsidR="005053BB" w:rsidRPr="00104227">
        <w:rPr>
          <w:lang w:val="en-US"/>
        </w:rPr>
        <w:t>effectively “receives, analyzes and produces a report on the cases submitted to it within a reasonable time.</w:t>
      </w:r>
      <w:r w:rsidR="00D57225" w:rsidRPr="00104227">
        <w:rPr>
          <w:lang w:val="en-US"/>
        </w:rPr>
        <w:t>”</w:t>
      </w:r>
      <w:r w:rsidR="005053BB" w:rsidRPr="00104227">
        <w:rPr>
          <w:lang w:val="en-US"/>
        </w:rPr>
        <w:t xml:space="preserve"> They also asked that the </w:t>
      </w:r>
      <w:r w:rsidR="003F10B2" w:rsidRPr="00104227">
        <w:rPr>
          <w:lang w:val="en-US"/>
        </w:rPr>
        <w:t xml:space="preserve">State </w:t>
      </w:r>
      <w:r w:rsidR="005053BB" w:rsidRPr="00104227">
        <w:rPr>
          <w:lang w:val="en-US"/>
        </w:rPr>
        <w:t xml:space="preserve">be ordered to </w:t>
      </w:r>
      <w:r w:rsidR="00F27D61" w:rsidRPr="00104227">
        <w:rPr>
          <w:lang w:val="en-US"/>
        </w:rPr>
        <w:t>make</w:t>
      </w:r>
      <w:r w:rsidR="005053BB" w:rsidRPr="00104227">
        <w:rPr>
          <w:lang w:val="en-US"/>
        </w:rPr>
        <w:t xml:space="preserve"> a “diagnosis of the phenomenon of the sexual torture of women in the country in order to recommend relevant public policies, also guaranteeing </w:t>
      </w:r>
      <w:r w:rsidR="00037264" w:rsidRPr="00104227">
        <w:rPr>
          <w:lang w:val="en-US"/>
        </w:rPr>
        <w:t>their</w:t>
      </w:r>
      <w:r w:rsidR="005053BB" w:rsidRPr="00104227">
        <w:rPr>
          <w:lang w:val="en-US"/>
        </w:rPr>
        <w:t xml:space="preserve"> continuation beyond the current administration.” Lastly, they indicated that, contrary to the </w:t>
      </w:r>
      <w:r w:rsidR="00037264" w:rsidRPr="00104227">
        <w:rPr>
          <w:lang w:val="en-US"/>
        </w:rPr>
        <w:t xml:space="preserve">State’s </w:t>
      </w:r>
      <w:r w:rsidR="005053BB" w:rsidRPr="00104227">
        <w:rPr>
          <w:lang w:val="en-US"/>
        </w:rPr>
        <w:t xml:space="preserve">assertions, the Mechanism was not “meeting the objectives initially proposed.” </w:t>
      </w:r>
    </w:p>
    <w:p w14:paraId="6C6A9230" w14:textId="77777777" w:rsidR="00D57225" w:rsidRPr="00104227" w:rsidRDefault="00D57225" w:rsidP="00E4619F">
      <w:pPr>
        <w:tabs>
          <w:tab w:val="left" w:pos="567"/>
        </w:tabs>
        <w:rPr>
          <w:lang w:eastAsia="es-MX"/>
        </w:rPr>
      </w:pPr>
    </w:p>
    <w:p w14:paraId="2E9E48B1" w14:textId="7D9B157E" w:rsidR="005053BB" w:rsidRPr="00104227" w:rsidRDefault="005053BB" w:rsidP="00E4619F">
      <w:pPr>
        <w:pStyle w:val="Numberedparagraphs"/>
        <w:tabs>
          <w:tab w:val="left" w:pos="567"/>
        </w:tabs>
        <w:rPr>
          <w:rFonts w:eastAsiaTheme="minorHAnsi"/>
          <w:b/>
          <w:lang w:val="en-US"/>
        </w:rPr>
      </w:pPr>
      <w:r w:rsidRPr="00104227">
        <w:rPr>
          <w:lang w:val="en-US"/>
        </w:rPr>
        <w:t>Meanwhile</w:t>
      </w:r>
      <w:r w:rsidR="00D57225" w:rsidRPr="00104227">
        <w:rPr>
          <w:lang w:val="en-US"/>
        </w:rPr>
        <w:t xml:space="preserve">, </w:t>
      </w:r>
      <w:r w:rsidR="00AC3BFC" w:rsidRPr="00104227">
        <w:rPr>
          <w:lang w:val="en-US"/>
        </w:rPr>
        <w:t xml:space="preserve">the </w:t>
      </w:r>
      <w:r w:rsidR="00AC3BFC" w:rsidRPr="00104227">
        <w:rPr>
          <w:b/>
          <w:bCs/>
          <w:i/>
          <w:iCs/>
          <w:lang w:val="en-US"/>
        </w:rPr>
        <w:t>State</w:t>
      </w:r>
      <w:r w:rsidR="00D57225" w:rsidRPr="00104227">
        <w:rPr>
          <w:b/>
          <w:i/>
          <w:lang w:val="en-US"/>
        </w:rPr>
        <w:t xml:space="preserve"> </w:t>
      </w:r>
      <w:r w:rsidR="00D57225" w:rsidRPr="00104227">
        <w:rPr>
          <w:lang w:val="en-US"/>
        </w:rPr>
        <w:t>a</w:t>
      </w:r>
      <w:r w:rsidRPr="00104227">
        <w:rPr>
          <w:lang w:val="en-US"/>
        </w:rPr>
        <w:t xml:space="preserve">rgued that, as a result of the </w:t>
      </w:r>
      <w:r w:rsidR="002826A6" w:rsidRPr="00104227">
        <w:rPr>
          <w:lang w:val="en-US"/>
        </w:rPr>
        <w:t>representatives</w:t>
      </w:r>
      <w:r w:rsidR="00037264" w:rsidRPr="00104227">
        <w:rPr>
          <w:lang w:val="en-US"/>
        </w:rPr>
        <w:t>’ requests</w:t>
      </w:r>
      <w:r w:rsidR="00D57225" w:rsidRPr="00104227">
        <w:rPr>
          <w:lang w:val="en-US"/>
        </w:rPr>
        <w:t xml:space="preserve">, </w:t>
      </w:r>
      <w:r w:rsidRPr="00104227">
        <w:rPr>
          <w:lang w:val="en-US"/>
        </w:rPr>
        <w:t>it had adopted a State policy to reinforce its institutions in order to respond adequately to cases of</w:t>
      </w:r>
      <w:r w:rsidR="00037264" w:rsidRPr="00104227">
        <w:rPr>
          <w:lang w:val="en-US"/>
        </w:rPr>
        <w:t xml:space="preserve"> the</w:t>
      </w:r>
      <w:r w:rsidRPr="00104227">
        <w:rPr>
          <w:lang w:val="en-US"/>
        </w:rPr>
        <w:t xml:space="preserve"> sexual torture of women in Mexico. It recalled that, in response to the events of this case, it had created the Mechanism to </w:t>
      </w:r>
      <w:r w:rsidR="00037264" w:rsidRPr="00104227">
        <w:rPr>
          <w:lang w:val="en-US"/>
        </w:rPr>
        <w:t xml:space="preserve">Monitor Cases of Sexual Torture against Women </w:t>
      </w:r>
      <w:r w:rsidRPr="00104227">
        <w:rPr>
          <w:lang w:val="en-US"/>
        </w:rPr>
        <w:t xml:space="preserve">in order to review and respond to cases of women who denounced sexual torture. The Mechanism had issued reports on sexual torture in Mexico, and had even made on-site visits to learn about the </w:t>
      </w:r>
      <w:r w:rsidR="00037264" w:rsidRPr="00104227">
        <w:rPr>
          <w:lang w:val="en-US"/>
        </w:rPr>
        <w:t>most important</w:t>
      </w:r>
      <w:r w:rsidRPr="00104227">
        <w:rPr>
          <w:lang w:val="en-US"/>
        </w:rPr>
        <w:t xml:space="preserve"> needs and demands of the victims of sexual torture. Consequently, </w:t>
      </w:r>
      <w:r w:rsidR="00037264" w:rsidRPr="00104227">
        <w:rPr>
          <w:lang w:val="en-US"/>
        </w:rPr>
        <w:t>the State</w:t>
      </w:r>
      <w:r w:rsidRPr="00104227">
        <w:rPr>
          <w:lang w:val="en-US"/>
        </w:rPr>
        <w:t xml:space="preserve"> argued that it was not necessary for the Court to order the reinforcement of the Mechanism because “it is meeting the objectives initially proposed, in conjunction with civil society</w:t>
      </w:r>
      <w:r w:rsidR="00037264" w:rsidRPr="00104227">
        <w:rPr>
          <w:lang w:val="en-US"/>
        </w:rPr>
        <w:t xml:space="preserve"> organizations</w:t>
      </w:r>
      <w:r w:rsidRPr="00104227">
        <w:rPr>
          <w:lang w:val="en-US"/>
        </w:rPr>
        <w:t xml:space="preserve">.” </w:t>
      </w:r>
    </w:p>
    <w:p w14:paraId="2832C2A0" w14:textId="77777777" w:rsidR="00D57225" w:rsidRPr="00104227" w:rsidRDefault="00D57225" w:rsidP="00E4619F">
      <w:pPr>
        <w:tabs>
          <w:tab w:val="left" w:pos="567"/>
        </w:tabs>
        <w:rPr>
          <w:lang w:eastAsia="es-MX"/>
        </w:rPr>
      </w:pPr>
    </w:p>
    <w:p w14:paraId="3E613FA7" w14:textId="0B1783DA" w:rsidR="00D57225" w:rsidRPr="00104227" w:rsidRDefault="00BF5241" w:rsidP="005053BB">
      <w:pPr>
        <w:pStyle w:val="Numberedparagraphs"/>
        <w:tabs>
          <w:tab w:val="left" w:pos="567"/>
        </w:tabs>
        <w:rPr>
          <w:lang w:val="en-US"/>
        </w:rPr>
      </w:pPr>
      <w:bookmarkStart w:id="416" w:name="_Ref532988306"/>
      <w:r w:rsidRPr="00104227">
        <w:rPr>
          <w:lang w:val="en-US"/>
        </w:rPr>
        <w:lastRenderedPageBreak/>
        <w:t>The Court</w:t>
      </w:r>
      <w:r w:rsidR="00D57225" w:rsidRPr="00104227">
        <w:rPr>
          <w:lang w:val="en-US"/>
        </w:rPr>
        <w:t xml:space="preserve"> observ</w:t>
      </w:r>
      <w:r w:rsidR="005053BB" w:rsidRPr="00104227">
        <w:rPr>
          <w:lang w:val="en-US"/>
        </w:rPr>
        <w:t>es that, in September 20</w:t>
      </w:r>
      <w:r w:rsidR="00037264" w:rsidRPr="00104227">
        <w:rPr>
          <w:lang w:val="en-US"/>
        </w:rPr>
        <w:t>1</w:t>
      </w:r>
      <w:r w:rsidR="005053BB" w:rsidRPr="00104227">
        <w:rPr>
          <w:lang w:val="en-US"/>
        </w:rPr>
        <w:t>5, the State establis</w:t>
      </w:r>
      <w:r w:rsidR="00037264" w:rsidRPr="00104227">
        <w:rPr>
          <w:lang w:val="en-US"/>
        </w:rPr>
        <w:t>h</w:t>
      </w:r>
      <w:r w:rsidR="005053BB" w:rsidRPr="00104227">
        <w:rPr>
          <w:lang w:val="en-US"/>
        </w:rPr>
        <w:t xml:space="preserve">ed the Mechanism to </w:t>
      </w:r>
      <w:r w:rsidR="00037264" w:rsidRPr="00104227">
        <w:rPr>
          <w:lang w:val="en-US"/>
        </w:rPr>
        <w:t>Monitor Cases of Sexual Torture against Women</w:t>
      </w:r>
      <w:r w:rsidR="005053BB" w:rsidRPr="00104227">
        <w:rPr>
          <w:lang w:val="en-US"/>
        </w:rPr>
        <w:t>. Mexico reported that the mandate of this monitoring mechanism “includes the issue of a joint report with recommendations on the cases reviewed, so that the competent authorities act applying the highest international standards for women’s human rights, or receive technical assistance to investigate sexual torture,” in order to review or respond to cases of women who file complaints of sexual torture in Mexico. Although it acknowledge</w:t>
      </w:r>
      <w:r w:rsidR="00037264" w:rsidRPr="00104227">
        <w:rPr>
          <w:lang w:val="en-US"/>
        </w:rPr>
        <w:t>s</w:t>
      </w:r>
      <w:r w:rsidR="005053BB" w:rsidRPr="00104227">
        <w:rPr>
          <w:lang w:val="en-US"/>
        </w:rPr>
        <w:t xml:space="preserve"> the actions taken as a result of the Mechanism, the Court finds it pertinent to order the State, within two years, to draw up a plan, with its respective timetable, to strengthen the Mechanism to </w:t>
      </w:r>
      <w:r w:rsidR="00037264" w:rsidRPr="00104227">
        <w:rPr>
          <w:lang w:val="en-US"/>
        </w:rPr>
        <w:t>Monitor Cases of Sexual Torture against Women</w:t>
      </w:r>
      <w:r w:rsidR="005053BB" w:rsidRPr="00104227">
        <w:rPr>
          <w:lang w:val="en-US"/>
        </w:rPr>
        <w:t xml:space="preserve">, which includes the allocation of the resources </w:t>
      </w:r>
      <w:r w:rsidR="00F27D61" w:rsidRPr="00104227">
        <w:rPr>
          <w:lang w:val="en-US"/>
        </w:rPr>
        <w:t>required</w:t>
      </w:r>
      <w:r w:rsidR="005053BB" w:rsidRPr="00104227">
        <w:rPr>
          <w:lang w:val="en-US"/>
        </w:rPr>
        <w:t xml:space="preserve"> to allow it to fulfill its mandate throughout national territory, and establishes deadlines for the presentation of</w:t>
      </w:r>
      <w:r w:rsidR="00037264" w:rsidRPr="00104227">
        <w:rPr>
          <w:lang w:val="en-US"/>
        </w:rPr>
        <w:t xml:space="preserve"> annual</w:t>
      </w:r>
      <w:r w:rsidR="005053BB" w:rsidRPr="00104227">
        <w:rPr>
          <w:lang w:val="en-US"/>
        </w:rPr>
        <w:t xml:space="preserve"> reports.</w:t>
      </w:r>
      <w:r w:rsidR="00D57225" w:rsidRPr="00104227">
        <w:rPr>
          <w:rStyle w:val="Refdenotaalpie"/>
          <w:lang w:val="en-US"/>
        </w:rPr>
        <w:footnoteReference w:id="463"/>
      </w:r>
      <w:r w:rsidR="00D57225" w:rsidRPr="00104227">
        <w:rPr>
          <w:lang w:val="en-US"/>
        </w:rPr>
        <w:t xml:space="preserve"> </w:t>
      </w:r>
      <w:r w:rsidR="005053BB" w:rsidRPr="00104227">
        <w:rPr>
          <w:lang w:val="en-US"/>
        </w:rPr>
        <w:t>I</w:t>
      </w:r>
      <w:r w:rsidR="00D57225" w:rsidRPr="00104227">
        <w:rPr>
          <w:lang w:val="en-US"/>
        </w:rPr>
        <w:t xml:space="preserve">n particular, </w:t>
      </w:r>
      <w:r w:rsidR="005053BB" w:rsidRPr="00104227">
        <w:rPr>
          <w:lang w:val="en-US"/>
        </w:rPr>
        <w:t>t</w:t>
      </w:r>
      <w:r w:rsidR="005E29A3" w:rsidRPr="00104227">
        <w:rPr>
          <w:lang w:val="en-US"/>
        </w:rPr>
        <w:t>he State</w:t>
      </w:r>
      <w:r w:rsidR="00E36251" w:rsidRPr="00104227">
        <w:rPr>
          <w:lang w:val="en-US"/>
        </w:rPr>
        <w:t xml:space="preserve"> </w:t>
      </w:r>
      <w:r w:rsidR="005053BB" w:rsidRPr="00104227">
        <w:rPr>
          <w:lang w:val="en-US"/>
        </w:rPr>
        <w:t>must include among the Mechanism’s functions the tasks of making a diagnosis of the phenomenon of the sexual torture of women in the country and periodically drawing up proposals for public policies</w:t>
      </w:r>
      <w:bookmarkEnd w:id="416"/>
      <w:r w:rsidR="005053BB" w:rsidRPr="00104227">
        <w:rPr>
          <w:lang w:val="en-US"/>
        </w:rPr>
        <w:t>.</w:t>
      </w:r>
    </w:p>
    <w:p w14:paraId="33D3C71B" w14:textId="77777777" w:rsidR="00D57225" w:rsidRPr="00104227" w:rsidRDefault="00D57225" w:rsidP="00E4619F">
      <w:pPr>
        <w:tabs>
          <w:tab w:val="left" w:pos="567"/>
        </w:tabs>
        <w:rPr>
          <w:lang w:eastAsia="es-MX"/>
        </w:rPr>
      </w:pPr>
    </w:p>
    <w:p w14:paraId="5E8A1DB0" w14:textId="260ED892" w:rsidR="00D57225" w:rsidRPr="00104227" w:rsidRDefault="005E5DCC" w:rsidP="00E4619F">
      <w:pPr>
        <w:pStyle w:val="Ttulo2"/>
        <w:ind w:left="1440"/>
        <w:rPr>
          <w:lang w:val="en-US"/>
        </w:rPr>
      </w:pPr>
      <w:bookmarkStart w:id="417" w:name="_Toc31290625"/>
      <w:r w:rsidRPr="00104227">
        <w:rPr>
          <w:lang w:val="en-US"/>
        </w:rPr>
        <w:t>Other measures requested</w:t>
      </w:r>
      <w:bookmarkEnd w:id="417"/>
    </w:p>
    <w:p w14:paraId="73A1E2B1" w14:textId="77777777" w:rsidR="00D57225" w:rsidRPr="00104227" w:rsidRDefault="00D57225" w:rsidP="00E4619F">
      <w:pPr>
        <w:tabs>
          <w:tab w:val="left" w:pos="567"/>
        </w:tabs>
        <w:rPr>
          <w:lang w:eastAsia="es-MX"/>
        </w:rPr>
      </w:pPr>
    </w:p>
    <w:p w14:paraId="2482A6E0" w14:textId="2FD80A68" w:rsidR="00D57225" w:rsidRPr="00104227" w:rsidRDefault="00BF5241" w:rsidP="00E4619F">
      <w:pPr>
        <w:pStyle w:val="Numberedparagraphs"/>
        <w:tabs>
          <w:tab w:val="left" w:pos="567"/>
        </w:tabs>
        <w:rPr>
          <w:lang w:val="en-US"/>
        </w:rPr>
      </w:pPr>
      <w:r w:rsidRPr="00104227">
        <w:rPr>
          <w:lang w:val="en-US"/>
        </w:rPr>
        <w:t xml:space="preserve">The </w:t>
      </w:r>
      <w:r w:rsidRPr="00104227">
        <w:rPr>
          <w:b/>
          <w:bCs/>
          <w:i/>
          <w:iCs/>
          <w:lang w:val="en-US"/>
        </w:rPr>
        <w:t>Commission</w:t>
      </w:r>
      <w:r w:rsidRPr="00104227">
        <w:rPr>
          <w:lang w:val="en-US"/>
        </w:rPr>
        <w:t xml:space="preserve"> and </w:t>
      </w:r>
      <w:r w:rsidR="002826A6" w:rsidRPr="00104227">
        <w:rPr>
          <w:lang w:val="en-US"/>
        </w:rPr>
        <w:t xml:space="preserve">the </w:t>
      </w:r>
      <w:r w:rsidR="002826A6" w:rsidRPr="00104227">
        <w:rPr>
          <w:b/>
          <w:bCs/>
          <w:i/>
          <w:iCs/>
          <w:lang w:val="en-US"/>
        </w:rPr>
        <w:t>representatives</w:t>
      </w:r>
      <w:r w:rsidR="00D57225" w:rsidRPr="00104227">
        <w:rPr>
          <w:lang w:val="en-US"/>
        </w:rPr>
        <w:t xml:space="preserve"> </w:t>
      </w:r>
      <w:r w:rsidR="007B6FED" w:rsidRPr="00104227">
        <w:rPr>
          <w:lang w:val="en-US"/>
        </w:rPr>
        <w:t>asked the Court to order</w:t>
      </w:r>
      <w:r w:rsidR="00D57225" w:rsidRPr="00104227">
        <w:rPr>
          <w:lang w:val="en-US"/>
        </w:rPr>
        <w:t xml:space="preserve"> </w:t>
      </w:r>
      <w:r w:rsidRPr="00104227">
        <w:rPr>
          <w:lang w:val="en-US"/>
        </w:rPr>
        <w:t>Mexico</w:t>
      </w:r>
      <w:r w:rsidR="007B6FED" w:rsidRPr="00104227">
        <w:rPr>
          <w:lang w:val="en-US"/>
        </w:rPr>
        <w:t>:</w:t>
      </w:r>
      <w:r w:rsidR="00D57225" w:rsidRPr="00104227">
        <w:rPr>
          <w:lang w:val="en-US"/>
        </w:rPr>
        <w:t xml:space="preserve"> </w:t>
      </w:r>
      <w:r w:rsidR="00483F07" w:rsidRPr="00104227">
        <w:rPr>
          <w:lang w:val="en-US"/>
        </w:rPr>
        <w:t xml:space="preserve">(i) </w:t>
      </w:r>
      <w:r w:rsidR="007B6FED" w:rsidRPr="00104227">
        <w:rPr>
          <w:lang w:val="en-US"/>
        </w:rPr>
        <w:t xml:space="preserve">to adapt its legal framework </w:t>
      </w:r>
      <w:r w:rsidR="00037264" w:rsidRPr="00104227">
        <w:rPr>
          <w:lang w:val="en-US"/>
        </w:rPr>
        <w:t>to combat</w:t>
      </w:r>
      <w:r w:rsidR="007B6FED" w:rsidRPr="00104227">
        <w:rPr>
          <w:lang w:val="en-US"/>
        </w:rPr>
        <w:t xml:space="preserve"> torture. In addition</w:t>
      </w:r>
      <w:r w:rsidR="00D57225" w:rsidRPr="00104227">
        <w:rPr>
          <w:lang w:val="en-US"/>
        </w:rPr>
        <w:t xml:space="preserve">, </w:t>
      </w:r>
      <w:r w:rsidR="002826A6" w:rsidRPr="00104227">
        <w:rPr>
          <w:lang w:val="en-US"/>
        </w:rPr>
        <w:t>the representatives</w:t>
      </w:r>
      <w:r w:rsidR="00D57225" w:rsidRPr="00104227">
        <w:rPr>
          <w:lang w:val="en-US"/>
        </w:rPr>
        <w:t xml:space="preserve"> </w:t>
      </w:r>
      <w:r w:rsidR="007B6FED" w:rsidRPr="00104227">
        <w:rPr>
          <w:lang w:val="en-US"/>
        </w:rPr>
        <w:t xml:space="preserve">asked that the State be ordered: </w:t>
      </w:r>
      <w:r w:rsidR="00D57225" w:rsidRPr="00104227">
        <w:rPr>
          <w:lang w:val="en-US"/>
        </w:rPr>
        <w:t>(i</w:t>
      </w:r>
      <w:r w:rsidR="00483F07" w:rsidRPr="00104227">
        <w:rPr>
          <w:lang w:val="en-US"/>
        </w:rPr>
        <w:t>i</w:t>
      </w:r>
      <w:r w:rsidR="00D57225" w:rsidRPr="00104227">
        <w:rPr>
          <w:lang w:val="en-US"/>
        </w:rPr>
        <w:t xml:space="preserve">) </w:t>
      </w:r>
      <w:r w:rsidR="007B6FED" w:rsidRPr="00104227">
        <w:rPr>
          <w:lang w:val="en-US"/>
        </w:rPr>
        <w:t>to create a national forensic institution to guarantee the effective and independent documentation of torture, including the sexual torture of women;</w:t>
      </w:r>
      <w:r w:rsidR="00D57225" w:rsidRPr="00104227">
        <w:rPr>
          <w:rStyle w:val="Refdenotaalpie"/>
          <w:lang w:val="en-US"/>
        </w:rPr>
        <w:footnoteReference w:id="464"/>
      </w:r>
      <w:r w:rsidR="00D57225" w:rsidRPr="00104227">
        <w:rPr>
          <w:rFonts w:cs="Arial"/>
          <w:lang w:val="en-US"/>
        </w:rPr>
        <w:t xml:space="preserve"> (ii</w:t>
      </w:r>
      <w:r w:rsidR="00483F07" w:rsidRPr="00104227">
        <w:rPr>
          <w:rFonts w:cs="Arial"/>
          <w:lang w:val="en-US"/>
        </w:rPr>
        <w:t>i</w:t>
      </w:r>
      <w:r w:rsidR="00D57225" w:rsidRPr="00104227">
        <w:rPr>
          <w:rFonts w:cs="Arial"/>
          <w:lang w:val="en-US"/>
        </w:rPr>
        <w:t xml:space="preserve">) </w:t>
      </w:r>
      <w:r w:rsidR="007B6FED" w:rsidRPr="00104227">
        <w:rPr>
          <w:rFonts w:cs="Arial"/>
          <w:lang w:val="en-US"/>
        </w:rPr>
        <w:t>to establish a center of document</w:t>
      </w:r>
      <w:r w:rsidR="007554DA" w:rsidRPr="00104227">
        <w:rPr>
          <w:rFonts w:cs="Arial"/>
          <w:lang w:val="en-US"/>
        </w:rPr>
        <w:t>a</w:t>
      </w:r>
      <w:r w:rsidR="007B6FED" w:rsidRPr="00104227">
        <w:rPr>
          <w:rFonts w:cs="Arial"/>
          <w:lang w:val="en-US"/>
        </w:rPr>
        <w:t>tio</w:t>
      </w:r>
      <w:r w:rsidR="007554DA" w:rsidRPr="00104227">
        <w:rPr>
          <w:rFonts w:cs="Arial"/>
          <w:lang w:val="en-US"/>
        </w:rPr>
        <w:t>n</w:t>
      </w:r>
      <w:r w:rsidR="007B6FED" w:rsidRPr="00104227">
        <w:rPr>
          <w:rFonts w:cs="Arial"/>
          <w:lang w:val="en-US"/>
        </w:rPr>
        <w:t xml:space="preserve"> and support for women survivors of sexual torture, to be administered </w:t>
      </w:r>
      <w:r w:rsidR="007B6FED" w:rsidRPr="00104227">
        <w:rPr>
          <w:lang w:val="en-US"/>
        </w:rPr>
        <w:t xml:space="preserve">and managed by two of the victims in </w:t>
      </w:r>
      <w:r w:rsidR="00EF03E5" w:rsidRPr="00104227">
        <w:rPr>
          <w:lang w:val="en-US"/>
        </w:rPr>
        <w:t>this case</w:t>
      </w:r>
      <w:r w:rsidR="007B6FED" w:rsidRPr="00104227">
        <w:rPr>
          <w:lang w:val="en-US"/>
        </w:rPr>
        <w:t>,</w:t>
      </w:r>
      <w:r w:rsidR="00D57225" w:rsidRPr="00104227">
        <w:rPr>
          <w:rStyle w:val="Refdenotaalpie"/>
          <w:lang w:val="en-US"/>
        </w:rPr>
        <w:footnoteReference w:id="465"/>
      </w:r>
      <w:r w:rsidRPr="00104227">
        <w:rPr>
          <w:lang w:val="en-US"/>
        </w:rPr>
        <w:t xml:space="preserve"> and </w:t>
      </w:r>
      <w:r w:rsidR="00483F07" w:rsidRPr="00104227">
        <w:rPr>
          <w:lang w:val="en-US"/>
        </w:rPr>
        <w:t>(iv</w:t>
      </w:r>
      <w:r w:rsidR="00D57225" w:rsidRPr="00104227">
        <w:rPr>
          <w:lang w:val="en-US"/>
        </w:rPr>
        <w:t xml:space="preserve">) </w:t>
      </w:r>
      <w:r w:rsidR="007B6FED" w:rsidRPr="00104227">
        <w:rPr>
          <w:lang w:val="en-US"/>
        </w:rPr>
        <w:t xml:space="preserve">to establish a place to remember and learn about the violations committed in </w:t>
      </w:r>
      <w:r w:rsidR="00D57225" w:rsidRPr="00104227">
        <w:rPr>
          <w:rStyle w:val="nfasissutil"/>
          <w:b w:val="0"/>
          <w:lang w:val="en-US" w:eastAsia="en-US"/>
        </w:rPr>
        <w:t>San Salvador de Atenco</w:t>
      </w:r>
      <w:r w:rsidR="007B6FED" w:rsidRPr="00104227">
        <w:rPr>
          <w:rStyle w:val="nfasissutil"/>
          <w:b w:val="0"/>
          <w:lang w:val="en-US" w:eastAsia="en-US"/>
        </w:rPr>
        <w:t>.</w:t>
      </w:r>
      <w:r w:rsidR="00D57225" w:rsidRPr="00104227">
        <w:rPr>
          <w:rStyle w:val="Refdenotaalpie"/>
          <w:rFonts w:eastAsiaTheme="minorHAnsi"/>
          <w:lang w:val="en-US" w:eastAsia="es-CR"/>
        </w:rPr>
        <w:footnoteReference w:id="466"/>
      </w:r>
      <w:r w:rsidR="00D57225" w:rsidRPr="00104227">
        <w:rPr>
          <w:rStyle w:val="nfasissutil"/>
          <w:b w:val="0"/>
          <w:lang w:val="en-US"/>
        </w:rPr>
        <w:t xml:space="preserve"> </w:t>
      </w:r>
    </w:p>
    <w:p w14:paraId="43489B8B" w14:textId="77777777" w:rsidR="00D57225" w:rsidRPr="00104227" w:rsidRDefault="00D57225" w:rsidP="00E4619F">
      <w:pPr>
        <w:tabs>
          <w:tab w:val="left" w:pos="567"/>
        </w:tabs>
        <w:rPr>
          <w:lang w:eastAsia="es-MX"/>
        </w:rPr>
      </w:pPr>
    </w:p>
    <w:p w14:paraId="5383F7DD" w14:textId="2ACCD928" w:rsidR="00D57225" w:rsidRPr="00104227" w:rsidRDefault="00AC3BFC" w:rsidP="00121C69">
      <w:pPr>
        <w:pStyle w:val="Numberedparagraphs"/>
        <w:tabs>
          <w:tab w:val="left" w:pos="567"/>
        </w:tabs>
        <w:rPr>
          <w:rStyle w:val="nfasissutil"/>
          <w:rFonts w:eastAsiaTheme="minorHAnsi" w:cstheme="minorBidi"/>
          <w:lang w:val="en-US"/>
        </w:rPr>
      </w:pPr>
      <w:r w:rsidRPr="00104227">
        <w:rPr>
          <w:lang w:val="en-US"/>
        </w:rPr>
        <w:t xml:space="preserve">The </w:t>
      </w:r>
      <w:r w:rsidRPr="00104227">
        <w:rPr>
          <w:b/>
          <w:bCs/>
          <w:i/>
          <w:iCs/>
          <w:lang w:val="en-US"/>
        </w:rPr>
        <w:t>State</w:t>
      </w:r>
      <w:r w:rsidR="00D57225" w:rsidRPr="00104227">
        <w:rPr>
          <w:lang w:val="en-US"/>
        </w:rPr>
        <w:t xml:space="preserve"> </w:t>
      </w:r>
      <w:r w:rsidR="00494BB0" w:rsidRPr="00104227">
        <w:rPr>
          <w:lang w:val="en-US"/>
        </w:rPr>
        <w:t>argued that</w:t>
      </w:r>
      <w:r w:rsidR="00D57225" w:rsidRPr="00104227">
        <w:rPr>
          <w:lang w:val="en-US"/>
        </w:rPr>
        <w:t xml:space="preserve">: (i) </w:t>
      </w:r>
      <w:r w:rsidR="00494BB0" w:rsidRPr="00104227">
        <w:rPr>
          <w:lang w:val="en-US"/>
        </w:rPr>
        <w:t xml:space="preserve">it </w:t>
      </w:r>
      <w:r w:rsidR="00D57225" w:rsidRPr="00104227">
        <w:rPr>
          <w:lang w:val="en-US"/>
        </w:rPr>
        <w:t>ha</w:t>
      </w:r>
      <w:r w:rsidR="00494BB0" w:rsidRPr="00104227">
        <w:rPr>
          <w:lang w:val="en-US"/>
        </w:rPr>
        <w:t>d adopted amendments to the law concerning the prohibition of torture at both state and federal level, such as promulgation of the General Law to Prevent, Investigate and Punish Crimes of Torture and Other Cruel, Inhuman or Degrading Treatment or Punishment; (ii) it had taken a series of measures to “obtain justice” in cases of torture, in particular the promulgation of the PGR Standardized Protocol for the investigation of torture,</w:t>
      </w:r>
      <w:r w:rsidR="00494BB0" w:rsidRPr="00104227">
        <w:rPr>
          <w:rStyle w:val="Refdenotaalpie"/>
          <w:lang w:val="en-US"/>
        </w:rPr>
        <w:footnoteReference w:id="467"/>
      </w:r>
      <w:r w:rsidR="00494BB0" w:rsidRPr="00104227">
        <w:rPr>
          <w:lang w:val="en-US"/>
        </w:rPr>
        <w:t xml:space="preserve"> </w:t>
      </w:r>
      <w:r w:rsidR="00494BB0" w:rsidRPr="00104227">
        <w:rPr>
          <w:lang w:val="en-US"/>
        </w:rPr>
        <w:lastRenderedPageBreak/>
        <w:t xml:space="preserve">the design of the </w:t>
      </w:r>
      <w:r w:rsidR="00121C69" w:rsidRPr="00104227">
        <w:rPr>
          <w:lang w:val="en-US"/>
        </w:rPr>
        <w:t xml:space="preserve">special medical/psychological </w:t>
      </w:r>
      <w:r w:rsidR="00506FF6" w:rsidRPr="00104227">
        <w:rPr>
          <w:lang w:val="en-US"/>
        </w:rPr>
        <w:t>protocol</w:t>
      </w:r>
      <w:r w:rsidR="00121C69" w:rsidRPr="00104227">
        <w:rPr>
          <w:lang w:val="en-US"/>
        </w:rPr>
        <w:t xml:space="preserve"> for the investigation and documentation of torture based on the guiding principles of the Istanbul Protocol, the creation of the </w:t>
      </w:r>
      <w:r w:rsidR="00506FF6" w:rsidRPr="00104227">
        <w:rPr>
          <w:lang w:val="en-US"/>
        </w:rPr>
        <w:t>Special Unit to</w:t>
      </w:r>
      <w:r w:rsidR="00121C69" w:rsidRPr="00104227">
        <w:rPr>
          <w:lang w:val="en-US"/>
        </w:rPr>
        <w:t xml:space="preserve"> Investigat</w:t>
      </w:r>
      <w:r w:rsidR="00506FF6" w:rsidRPr="00104227">
        <w:rPr>
          <w:lang w:val="en-US"/>
        </w:rPr>
        <w:t>e</w:t>
      </w:r>
      <w:r w:rsidR="00121C69" w:rsidRPr="00104227">
        <w:rPr>
          <w:lang w:val="en-US"/>
        </w:rPr>
        <w:t xml:space="preserve"> the Crime of Torture, and the signature of a technical cooperation agreement with the OHCHR to reinforce the prevention and detection of torture; (iii) the creation of the center requested by the representatives was not justified because instances, mechanisms, protocols, procedures and functions already existed that were performed by diverse entities of the </w:t>
      </w:r>
      <w:r w:rsidR="00F27D61" w:rsidRPr="00104227">
        <w:rPr>
          <w:lang w:val="en-US"/>
        </w:rPr>
        <w:t>Mexican</w:t>
      </w:r>
      <w:r w:rsidR="00121C69" w:rsidRPr="00104227">
        <w:rPr>
          <w:lang w:val="en-US"/>
        </w:rPr>
        <w:t xml:space="preserve"> State</w:t>
      </w:r>
      <w:r w:rsidR="00506FF6" w:rsidRPr="00104227">
        <w:rPr>
          <w:lang w:val="en-US"/>
        </w:rPr>
        <w:t>,</w:t>
      </w:r>
      <w:r w:rsidR="00121C69" w:rsidRPr="00104227">
        <w:rPr>
          <w:lang w:val="en-US"/>
        </w:rPr>
        <w:t xml:space="preserve"> and (iv) the measures already implemented were sufficient so that “the victims’ request for the creation of a space of remembrance should be declined.</w:t>
      </w:r>
      <w:r w:rsidR="00D57225" w:rsidRPr="00104227">
        <w:rPr>
          <w:lang w:val="en-US"/>
        </w:rPr>
        <w:t xml:space="preserve">” </w:t>
      </w:r>
    </w:p>
    <w:p w14:paraId="08C8C75C" w14:textId="77777777" w:rsidR="00D57225" w:rsidRPr="00104227" w:rsidRDefault="00D57225" w:rsidP="00E4619F">
      <w:pPr>
        <w:tabs>
          <w:tab w:val="left" w:pos="567"/>
        </w:tabs>
        <w:rPr>
          <w:lang w:eastAsia="es-MX"/>
        </w:rPr>
      </w:pPr>
    </w:p>
    <w:p w14:paraId="12ADB618" w14:textId="1DFD7D5F" w:rsidR="00121C69" w:rsidRPr="00104227" w:rsidRDefault="00BF5241" w:rsidP="00E4619F">
      <w:pPr>
        <w:pStyle w:val="Numberedparagraphs"/>
        <w:tabs>
          <w:tab w:val="left" w:pos="567"/>
        </w:tabs>
        <w:rPr>
          <w:lang w:val="en-US"/>
        </w:rPr>
      </w:pPr>
      <w:r w:rsidRPr="00104227">
        <w:rPr>
          <w:lang w:val="en-US"/>
        </w:rPr>
        <w:t>The Court</w:t>
      </w:r>
      <w:r w:rsidR="00D57225" w:rsidRPr="00104227">
        <w:rPr>
          <w:lang w:val="en-US"/>
        </w:rPr>
        <w:t xml:space="preserve"> </w:t>
      </w:r>
      <w:r w:rsidR="00121C69" w:rsidRPr="00104227">
        <w:rPr>
          <w:lang w:val="en-US"/>
        </w:rPr>
        <w:t>has verified that the State has enacted the General Law to Prevent, Investigate and Punish Crimes of Torture and Other Cruel, Inhuman or Degrading Treatment or Punishment, published in the Official Gazette of the Federation on June 26, 2017</w:t>
      </w:r>
      <w:r w:rsidR="00D4076D" w:rsidRPr="00104227">
        <w:rPr>
          <w:lang w:val="en-US"/>
        </w:rPr>
        <w:t xml:space="preserve">, and its article 24 establishes that torture may be committed “for any </w:t>
      </w:r>
      <w:r w:rsidR="0057707E" w:rsidRPr="00104227">
        <w:rPr>
          <w:lang w:val="en-US"/>
        </w:rPr>
        <w:t xml:space="preserve">[…] </w:t>
      </w:r>
      <w:r w:rsidR="00D4076D" w:rsidRPr="00104227">
        <w:rPr>
          <w:lang w:val="en-US"/>
        </w:rPr>
        <w:t>purpose.” The Court also</w:t>
      </w:r>
      <w:r w:rsidR="0057707E" w:rsidRPr="00104227">
        <w:rPr>
          <w:lang w:val="en-US"/>
        </w:rPr>
        <w:t xml:space="preserve"> </w:t>
      </w:r>
      <w:r w:rsidR="00D4076D" w:rsidRPr="00104227">
        <w:rPr>
          <w:lang w:val="en-US"/>
        </w:rPr>
        <w:t>notes that this law has not been applied to the facts that are the purpose of this judgment. Therefore, the Court finds that it does not have to establish a measure of reparation related to this law, because it was not examined in this case.</w:t>
      </w:r>
    </w:p>
    <w:p w14:paraId="7ACB7F7A" w14:textId="77777777" w:rsidR="00D57225" w:rsidRPr="00104227" w:rsidRDefault="00D57225" w:rsidP="00E4619F">
      <w:pPr>
        <w:tabs>
          <w:tab w:val="left" w:pos="567"/>
        </w:tabs>
      </w:pPr>
    </w:p>
    <w:p w14:paraId="6BE651F8" w14:textId="7CC1CF92" w:rsidR="00D57225" w:rsidRPr="00104227" w:rsidRDefault="00F27D61" w:rsidP="00E4619F">
      <w:pPr>
        <w:pStyle w:val="Numberedparagraphs"/>
        <w:tabs>
          <w:tab w:val="left" w:pos="567"/>
        </w:tabs>
        <w:rPr>
          <w:lang w:val="en-US"/>
        </w:rPr>
      </w:pPr>
      <w:r w:rsidRPr="00104227">
        <w:rPr>
          <w:lang w:val="en-US"/>
        </w:rPr>
        <w:t>Regarding</w:t>
      </w:r>
      <w:r w:rsidR="00D314FC" w:rsidRPr="00104227">
        <w:rPr>
          <w:lang w:val="en-US"/>
        </w:rPr>
        <w:t xml:space="preserve"> the first measure requested by</w:t>
      </w:r>
      <w:r w:rsidR="00D57225" w:rsidRPr="00104227">
        <w:rPr>
          <w:lang w:val="en-US"/>
        </w:rPr>
        <w:t xml:space="preserve"> </w:t>
      </w:r>
      <w:r w:rsidR="002826A6" w:rsidRPr="00104227">
        <w:rPr>
          <w:lang w:val="en-US"/>
        </w:rPr>
        <w:t>the representatives</w:t>
      </w:r>
      <w:r w:rsidR="00D57225" w:rsidRPr="00104227">
        <w:rPr>
          <w:lang w:val="en-US"/>
        </w:rPr>
        <w:t xml:space="preserve">, </w:t>
      </w:r>
      <w:r w:rsidR="00BF5241" w:rsidRPr="00104227">
        <w:rPr>
          <w:lang w:val="en-US"/>
        </w:rPr>
        <w:t>the Court</w:t>
      </w:r>
      <w:r w:rsidR="00D57225" w:rsidRPr="00104227">
        <w:rPr>
          <w:lang w:val="en-US"/>
        </w:rPr>
        <w:t xml:space="preserve"> </w:t>
      </w:r>
      <w:r w:rsidR="00D314FC" w:rsidRPr="00104227">
        <w:rPr>
          <w:lang w:val="en-US"/>
        </w:rPr>
        <w:t>recognizes the progress made by the State as regards forensic medical care for</w:t>
      </w:r>
      <w:r w:rsidR="00D57225" w:rsidRPr="00104227">
        <w:rPr>
          <w:lang w:val="en-US"/>
        </w:rPr>
        <w:t xml:space="preserve"> </w:t>
      </w:r>
      <w:r w:rsidR="00221EED" w:rsidRPr="00104227">
        <w:rPr>
          <w:lang w:val="en-US"/>
        </w:rPr>
        <w:t>victims of</w:t>
      </w:r>
      <w:r w:rsidR="00D314FC" w:rsidRPr="00104227">
        <w:rPr>
          <w:lang w:val="en-US"/>
        </w:rPr>
        <w:t xml:space="preserve"> sexual</w:t>
      </w:r>
      <w:r w:rsidR="00D57225" w:rsidRPr="00104227">
        <w:rPr>
          <w:lang w:val="en-US"/>
        </w:rPr>
        <w:t xml:space="preserve"> </w:t>
      </w:r>
      <w:r w:rsidR="00BC5201" w:rsidRPr="00104227">
        <w:rPr>
          <w:lang w:val="en-US"/>
        </w:rPr>
        <w:t>torture</w:t>
      </w:r>
      <w:r w:rsidR="00D57225" w:rsidRPr="00104227">
        <w:rPr>
          <w:lang w:val="en-US"/>
        </w:rPr>
        <w:t xml:space="preserve">, </w:t>
      </w:r>
      <w:r w:rsidR="00D314FC" w:rsidRPr="00104227">
        <w:rPr>
          <w:lang w:val="en-US"/>
        </w:rPr>
        <w:t>and thus does not find it pertine</w:t>
      </w:r>
      <w:r w:rsidR="0057707E" w:rsidRPr="00104227">
        <w:rPr>
          <w:lang w:val="en-US"/>
        </w:rPr>
        <w:t>nt</w:t>
      </w:r>
      <w:r w:rsidR="00D314FC" w:rsidRPr="00104227">
        <w:rPr>
          <w:lang w:val="en-US"/>
        </w:rPr>
        <w:t xml:space="preserve"> to o</w:t>
      </w:r>
      <w:r w:rsidR="0057707E" w:rsidRPr="00104227">
        <w:rPr>
          <w:lang w:val="en-US"/>
        </w:rPr>
        <w:t>r</w:t>
      </w:r>
      <w:r w:rsidR="00D314FC" w:rsidRPr="00104227">
        <w:rPr>
          <w:lang w:val="en-US"/>
        </w:rPr>
        <w:t xml:space="preserve">der that measure. However, the Court notes that the consistent refusal of the forensic physicians to identify </w:t>
      </w:r>
      <w:r w:rsidR="0057707E" w:rsidRPr="00104227">
        <w:rPr>
          <w:lang w:val="en-US"/>
        </w:rPr>
        <w:t>signs</w:t>
      </w:r>
      <w:r w:rsidR="00D314FC" w:rsidRPr="00104227">
        <w:rPr>
          <w:lang w:val="en-US"/>
        </w:rPr>
        <w:t xml:space="preserve"> of </w:t>
      </w:r>
      <w:r w:rsidR="00BC5201" w:rsidRPr="00104227">
        <w:rPr>
          <w:lang w:val="en-US"/>
        </w:rPr>
        <w:t>torture</w:t>
      </w:r>
      <w:r w:rsidR="00BF5241" w:rsidRPr="00104227">
        <w:rPr>
          <w:lang w:val="en-US"/>
        </w:rPr>
        <w:t xml:space="preserve"> and </w:t>
      </w:r>
      <w:r w:rsidR="00D25554" w:rsidRPr="00104227">
        <w:rPr>
          <w:lang w:val="en-US"/>
        </w:rPr>
        <w:t>sexual violence</w:t>
      </w:r>
      <w:r w:rsidR="00D57225" w:rsidRPr="00104227">
        <w:rPr>
          <w:lang w:val="en-US"/>
        </w:rPr>
        <w:t>, as</w:t>
      </w:r>
      <w:r w:rsidR="00D314FC" w:rsidRPr="00104227">
        <w:rPr>
          <w:lang w:val="en-US"/>
        </w:rPr>
        <w:t xml:space="preserve"> well as their lack of independence, together with their failure to file reports, contributes to impunity.</w:t>
      </w:r>
      <w:r w:rsidR="00D57225" w:rsidRPr="00104227">
        <w:rPr>
          <w:rStyle w:val="Refdenotaalpie"/>
          <w:lang w:val="en-US"/>
        </w:rPr>
        <w:footnoteReference w:id="468"/>
      </w:r>
      <w:r w:rsidR="00D57225" w:rsidRPr="00104227">
        <w:rPr>
          <w:lang w:val="en-US"/>
        </w:rPr>
        <w:t xml:space="preserve"> </w:t>
      </w:r>
      <w:r w:rsidR="00D314FC" w:rsidRPr="00104227">
        <w:rPr>
          <w:lang w:val="en-US"/>
        </w:rPr>
        <w:t>Therefore, the Court urges the State to ensure the independence of the medical and health care personnel in charge of examining and providing assistance to detainees so</w:t>
      </w:r>
      <w:r w:rsidR="0057707E" w:rsidRPr="00104227">
        <w:rPr>
          <w:lang w:val="en-US"/>
        </w:rPr>
        <w:t xml:space="preserve"> that they may</w:t>
      </w:r>
      <w:r w:rsidR="00D314FC" w:rsidRPr="00104227">
        <w:rPr>
          <w:lang w:val="en-US"/>
        </w:rPr>
        <w:t xml:space="preserve"> perform the required medical assessments freely, respecting the standards established for the practice of their profession.</w:t>
      </w:r>
      <w:r w:rsidR="00D57225" w:rsidRPr="00104227">
        <w:rPr>
          <w:rStyle w:val="Refdenotaalpie"/>
          <w:lang w:val="en-US"/>
        </w:rPr>
        <w:footnoteReference w:id="469"/>
      </w:r>
      <w:r w:rsidR="00D57225" w:rsidRPr="00104227">
        <w:rPr>
          <w:lang w:val="en-US"/>
        </w:rPr>
        <w:t xml:space="preserve"> </w:t>
      </w:r>
    </w:p>
    <w:p w14:paraId="7DE39173" w14:textId="77777777" w:rsidR="00D57225" w:rsidRPr="00104227" w:rsidRDefault="00D57225" w:rsidP="00E4619F">
      <w:pPr>
        <w:tabs>
          <w:tab w:val="left" w:pos="567"/>
        </w:tabs>
      </w:pPr>
    </w:p>
    <w:p w14:paraId="1E4FDA72" w14:textId="3B37924C" w:rsidR="00D57225" w:rsidRPr="00104227" w:rsidRDefault="00D57225" w:rsidP="00E4619F">
      <w:pPr>
        <w:pStyle w:val="Numberedparagraphs"/>
        <w:tabs>
          <w:tab w:val="left" w:pos="567"/>
        </w:tabs>
        <w:rPr>
          <w:lang w:val="en-US"/>
        </w:rPr>
      </w:pPr>
      <w:r w:rsidRPr="00104227">
        <w:rPr>
          <w:lang w:val="en-US"/>
        </w:rPr>
        <w:t>Re</w:t>
      </w:r>
      <w:r w:rsidR="00D314FC" w:rsidRPr="00104227">
        <w:rPr>
          <w:lang w:val="en-US"/>
        </w:rPr>
        <w:t>garding the other measures requested, the Court considers that the delivery of this judgment and the reparations ordered in this chapter are sufficient and adequate to redress the violations suffered by the victims. Therefore, it does not find it necessary to order the said additional measures, without prejudice to the State deciding to adopt them and grant them at the domestic level.</w:t>
      </w:r>
    </w:p>
    <w:p w14:paraId="787C1004" w14:textId="77777777" w:rsidR="00D57225" w:rsidRPr="00104227" w:rsidRDefault="00D57225" w:rsidP="00E4619F">
      <w:pPr>
        <w:tabs>
          <w:tab w:val="left" w:pos="567"/>
        </w:tabs>
        <w:rPr>
          <w:lang w:eastAsia="es-MX"/>
        </w:rPr>
      </w:pPr>
    </w:p>
    <w:p w14:paraId="4A7F6A08" w14:textId="17BD8A49" w:rsidR="00D57225" w:rsidRPr="00104227" w:rsidRDefault="005E5DCC" w:rsidP="00E4619F">
      <w:pPr>
        <w:pStyle w:val="Ttulo2"/>
        <w:ind w:left="1440"/>
        <w:rPr>
          <w:lang w:val="en-US"/>
        </w:rPr>
      </w:pPr>
      <w:bookmarkStart w:id="418" w:name="_Toc31290626"/>
      <w:r w:rsidRPr="00104227">
        <w:rPr>
          <w:lang w:val="en-US"/>
        </w:rPr>
        <w:t>Compensation</w:t>
      </w:r>
      <w:bookmarkEnd w:id="418"/>
    </w:p>
    <w:p w14:paraId="1513830F" w14:textId="77777777" w:rsidR="00D57225" w:rsidRPr="00104227" w:rsidRDefault="00D57225" w:rsidP="00E4619F">
      <w:pPr>
        <w:pStyle w:val="PrrafodeSentencia"/>
        <w:numPr>
          <w:ilvl w:val="0"/>
          <w:numId w:val="0"/>
        </w:numPr>
        <w:rPr>
          <w:lang w:val="en-US"/>
        </w:rPr>
      </w:pPr>
    </w:p>
    <w:p w14:paraId="28979B3C" w14:textId="1D46EE08" w:rsidR="00D57225" w:rsidRPr="00104227" w:rsidRDefault="00BF5241" w:rsidP="00E4619F">
      <w:pPr>
        <w:pStyle w:val="Numberedparagraphs"/>
        <w:tabs>
          <w:tab w:val="left" w:pos="567"/>
        </w:tabs>
        <w:rPr>
          <w:b/>
          <w:i/>
          <w:lang w:val="en-US"/>
        </w:rPr>
      </w:pPr>
      <w:r w:rsidRPr="00104227">
        <w:rPr>
          <w:lang w:val="en-US"/>
        </w:rPr>
        <w:t xml:space="preserve">The </w:t>
      </w:r>
      <w:r w:rsidRPr="00104227">
        <w:rPr>
          <w:b/>
          <w:bCs/>
          <w:i/>
          <w:iCs/>
          <w:lang w:val="en-US"/>
        </w:rPr>
        <w:t>Commission</w:t>
      </w:r>
      <w:r w:rsidR="00D57225" w:rsidRPr="00104227">
        <w:rPr>
          <w:b/>
          <w:i/>
          <w:lang w:val="en-US"/>
        </w:rPr>
        <w:t xml:space="preserve"> </w:t>
      </w:r>
      <w:r w:rsidR="0023583E" w:rsidRPr="00104227">
        <w:rPr>
          <w:lang w:val="en-US"/>
        </w:rPr>
        <w:t xml:space="preserve">asked the Court to order the State to establish comprehensive reparation for the victims, covering both pecuniary and non-pecuniary aspects. </w:t>
      </w:r>
    </w:p>
    <w:p w14:paraId="5B2B1CE5" w14:textId="77777777" w:rsidR="00D57225" w:rsidRPr="00104227" w:rsidRDefault="00D57225" w:rsidP="00E4619F">
      <w:pPr>
        <w:tabs>
          <w:tab w:val="left" w:pos="567"/>
        </w:tabs>
        <w:rPr>
          <w:lang w:eastAsia="es-MX"/>
        </w:rPr>
      </w:pPr>
    </w:p>
    <w:p w14:paraId="20005DB4" w14:textId="74CBF286" w:rsidR="00D57225" w:rsidRPr="00104227" w:rsidRDefault="002826A6" w:rsidP="00E4619F">
      <w:pPr>
        <w:pStyle w:val="Numberedparagraphs"/>
        <w:tabs>
          <w:tab w:val="left" w:pos="567"/>
        </w:tabs>
        <w:rPr>
          <w:b/>
          <w:lang w:val="en-US"/>
        </w:rPr>
      </w:pPr>
      <w:r w:rsidRPr="00104227">
        <w:rPr>
          <w:lang w:val="en-US"/>
        </w:rPr>
        <w:t xml:space="preserve">The </w:t>
      </w:r>
      <w:r w:rsidRPr="00104227">
        <w:rPr>
          <w:b/>
          <w:bCs/>
          <w:i/>
          <w:iCs/>
          <w:lang w:val="en-US"/>
        </w:rPr>
        <w:t>representatives</w:t>
      </w:r>
      <w:r w:rsidR="00D57225" w:rsidRPr="00104227">
        <w:rPr>
          <w:lang w:val="en-US"/>
        </w:rPr>
        <w:t xml:space="preserve"> </w:t>
      </w:r>
      <w:r w:rsidR="0023583E" w:rsidRPr="00104227">
        <w:rPr>
          <w:lang w:val="en-US"/>
        </w:rPr>
        <w:t>asked the Court to order the State to pay financial compensation to the victims for p</w:t>
      </w:r>
      <w:r w:rsidR="005E5DCC" w:rsidRPr="00104227">
        <w:rPr>
          <w:lang w:val="en-US"/>
        </w:rPr>
        <w:t>ecuniary</w:t>
      </w:r>
      <w:r w:rsidR="00F3010F" w:rsidRPr="00104227">
        <w:rPr>
          <w:lang w:val="en-US"/>
        </w:rPr>
        <w:t xml:space="preserve"> damage</w:t>
      </w:r>
      <w:r w:rsidR="00D57225" w:rsidRPr="00104227">
        <w:rPr>
          <w:lang w:val="en-US"/>
        </w:rPr>
        <w:t xml:space="preserve">, </w:t>
      </w:r>
      <w:r w:rsidR="0023583E" w:rsidRPr="00104227">
        <w:rPr>
          <w:lang w:val="en-US"/>
        </w:rPr>
        <w:t xml:space="preserve">covering both “loss of earnings” and consequential damage, as </w:t>
      </w:r>
      <w:r w:rsidR="0023583E" w:rsidRPr="00104227">
        <w:rPr>
          <w:lang w:val="en-US"/>
        </w:rPr>
        <w:lastRenderedPageBreak/>
        <w:t>well as for n</w:t>
      </w:r>
      <w:r w:rsidR="005E5DCC" w:rsidRPr="00104227">
        <w:rPr>
          <w:lang w:val="en-US"/>
        </w:rPr>
        <w:t>on-pecuniary</w:t>
      </w:r>
      <w:r w:rsidR="00F3010F" w:rsidRPr="00104227">
        <w:rPr>
          <w:lang w:val="en-US"/>
        </w:rPr>
        <w:t xml:space="preserve"> damage</w:t>
      </w:r>
      <w:r w:rsidR="00D57225" w:rsidRPr="00104227">
        <w:rPr>
          <w:lang w:val="en-US"/>
        </w:rPr>
        <w:t xml:space="preserve">. </w:t>
      </w:r>
      <w:r w:rsidR="0023583E" w:rsidRPr="00104227">
        <w:rPr>
          <w:lang w:val="en-US"/>
        </w:rPr>
        <w:t xml:space="preserve">They also clarified that neither </w:t>
      </w:r>
      <w:r w:rsidR="00D57225" w:rsidRPr="00104227">
        <w:rPr>
          <w:lang w:val="en-US"/>
        </w:rPr>
        <w:t>Georgina Edith Rosales Gutiérrez n</w:t>
      </w:r>
      <w:r w:rsidR="0023583E" w:rsidRPr="00104227">
        <w:rPr>
          <w:lang w:val="en-US"/>
        </w:rPr>
        <w:t>or her</w:t>
      </w:r>
      <w:r w:rsidR="00D57225" w:rsidRPr="00104227">
        <w:rPr>
          <w:lang w:val="en-US"/>
        </w:rPr>
        <w:t xml:space="preserve"> </w:t>
      </w:r>
      <w:r w:rsidR="00A7120C" w:rsidRPr="00104227">
        <w:rPr>
          <w:lang w:val="en-US"/>
        </w:rPr>
        <w:t xml:space="preserve">next of kin </w:t>
      </w:r>
      <w:r w:rsidR="0023583E" w:rsidRPr="00104227">
        <w:rPr>
          <w:lang w:val="en-US"/>
        </w:rPr>
        <w:t xml:space="preserve">wish to receive financial compensation, and therefore requested the Court to grant these measures only in favor of the other </w:t>
      </w:r>
      <w:r w:rsidR="004160EE" w:rsidRPr="00104227">
        <w:rPr>
          <w:lang w:val="en-US"/>
        </w:rPr>
        <w:t>ten</w:t>
      </w:r>
      <w:r w:rsidR="00D57225" w:rsidRPr="00104227">
        <w:rPr>
          <w:lang w:val="en-US"/>
        </w:rPr>
        <w:t xml:space="preserve"> </w:t>
      </w:r>
      <w:r w:rsidR="00221EED" w:rsidRPr="00104227">
        <w:rPr>
          <w:lang w:val="en-US"/>
        </w:rPr>
        <w:t xml:space="preserve">victims </w:t>
      </w:r>
      <w:r w:rsidR="0023583E" w:rsidRPr="00104227">
        <w:rPr>
          <w:lang w:val="en-US"/>
        </w:rPr>
        <w:t>in the case.</w:t>
      </w:r>
      <w:r w:rsidR="00D57225" w:rsidRPr="00104227">
        <w:rPr>
          <w:lang w:val="en-US"/>
        </w:rPr>
        <w:t xml:space="preserve"> </w:t>
      </w:r>
    </w:p>
    <w:p w14:paraId="49177411" w14:textId="77777777" w:rsidR="00D57225" w:rsidRPr="00104227" w:rsidRDefault="00D57225" w:rsidP="00E4619F">
      <w:pPr>
        <w:tabs>
          <w:tab w:val="left" w:pos="567"/>
        </w:tabs>
        <w:rPr>
          <w:lang w:eastAsia="es-MX"/>
        </w:rPr>
      </w:pPr>
    </w:p>
    <w:p w14:paraId="23CC9A6D" w14:textId="519637D5" w:rsidR="00D57225" w:rsidRPr="00104227" w:rsidRDefault="00AC3BFC" w:rsidP="00E4619F">
      <w:pPr>
        <w:pStyle w:val="Numberedparagraphs"/>
        <w:tabs>
          <w:tab w:val="left" w:pos="567"/>
        </w:tabs>
        <w:rPr>
          <w:b/>
          <w:lang w:val="en-US"/>
        </w:rPr>
      </w:pPr>
      <w:r w:rsidRPr="00104227">
        <w:rPr>
          <w:lang w:val="en-US"/>
        </w:rPr>
        <w:t xml:space="preserve">The </w:t>
      </w:r>
      <w:r w:rsidRPr="00104227">
        <w:rPr>
          <w:b/>
          <w:bCs/>
          <w:i/>
          <w:iCs/>
          <w:lang w:val="en-US"/>
        </w:rPr>
        <w:t>State</w:t>
      </w:r>
      <w:r w:rsidR="00D57225" w:rsidRPr="00104227">
        <w:rPr>
          <w:lang w:val="en-US"/>
        </w:rPr>
        <w:t xml:space="preserve"> a</w:t>
      </w:r>
      <w:r w:rsidR="0023583E" w:rsidRPr="00104227">
        <w:rPr>
          <w:lang w:val="en-US"/>
        </w:rPr>
        <w:t xml:space="preserve">rgued that the victims had “never” taken any steps or expressed interest in accessing the National Victims Support System or the Victims Support </w:t>
      </w:r>
      <w:r w:rsidR="0057707E" w:rsidRPr="00104227">
        <w:rPr>
          <w:lang w:val="en-US"/>
        </w:rPr>
        <w:t xml:space="preserve">Executive </w:t>
      </w:r>
      <w:r w:rsidR="0023583E" w:rsidRPr="00104227">
        <w:rPr>
          <w:lang w:val="en-US"/>
        </w:rPr>
        <w:t>Commis</w:t>
      </w:r>
      <w:r w:rsidR="0057707E" w:rsidRPr="00104227">
        <w:rPr>
          <w:lang w:val="en-US"/>
        </w:rPr>
        <w:t>s</w:t>
      </w:r>
      <w:r w:rsidR="0023583E" w:rsidRPr="00104227">
        <w:rPr>
          <w:lang w:val="en-US"/>
        </w:rPr>
        <w:t>ion</w:t>
      </w:r>
      <w:r w:rsidR="002826A6" w:rsidRPr="00104227">
        <w:rPr>
          <w:lang w:val="en-US"/>
        </w:rPr>
        <w:t xml:space="preserve"> of the </w:t>
      </w:r>
      <w:r w:rsidR="00CA330F" w:rsidRPr="00104227">
        <w:rPr>
          <w:lang w:val="en-US"/>
        </w:rPr>
        <w:t>state of Mexico</w:t>
      </w:r>
      <w:r w:rsidR="00BF5241" w:rsidRPr="00104227">
        <w:rPr>
          <w:lang w:val="en-US"/>
        </w:rPr>
        <w:t xml:space="preserve"> and </w:t>
      </w:r>
      <w:r w:rsidR="0023583E" w:rsidRPr="00104227">
        <w:rPr>
          <w:lang w:val="en-US"/>
        </w:rPr>
        <w:t xml:space="preserve">availing themselves of the different forms of reparation established by law, and this could not be attributed to the State. It indicated that “pursuant to </w:t>
      </w:r>
      <w:r w:rsidR="001E2CED" w:rsidRPr="00104227">
        <w:rPr>
          <w:lang w:val="en-US"/>
        </w:rPr>
        <w:t>the principle of complementarity</w:t>
      </w:r>
      <w:r w:rsidR="0023583E" w:rsidRPr="00104227">
        <w:rPr>
          <w:lang w:val="en-US"/>
        </w:rPr>
        <w:t>,</w:t>
      </w:r>
      <w:r w:rsidR="00D57225" w:rsidRPr="00104227">
        <w:rPr>
          <w:lang w:val="en-US"/>
        </w:rPr>
        <w:t xml:space="preserve">” </w:t>
      </w:r>
      <w:r w:rsidR="0023583E" w:rsidRPr="00104227">
        <w:rPr>
          <w:lang w:val="en-US"/>
        </w:rPr>
        <w:t>the victims should have recourse to these existing national entities and exhaust the</w:t>
      </w:r>
      <w:r w:rsidR="0057707E" w:rsidRPr="00104227">
        <w:rPr>
          <w:lang w:val="en-US"/>
        </w:rPr>
        <w:t>se</w:t>
      </w:r>
      <w:r w:rsidR="0023583E" w:rsidRPr="00104227">
        <w:rPr>
          <w:lang w:val="en-US"/>
        </w:rPr>
        <w:t xml:space="preserve"> proce</w:t>
      </w:r>
      <w:r w:rsidR="0057707E" w:rsidRPr="00104227">
        <w:rPr>
          <w:lang w:val="en-US"/>
        </w:rPr>
        <w:t>d</w:t>
      </w:r>
      <w:r w:rsidR="0023583E" w:rsidRPr="00104227">
        <w:rPr>
          <w:lang w:val="en-US"/>
        </w:rPr>
        <w:t>ure</w:t>
      </w:r>
      <w:r w:rsidR="0057707E" w:rsidRPr="00104227">
        <w:rPr>
          <w:lang w:val="en-US"/>
        </w:rPr>
        <w:t>s</w:t>
      </w:r>
      <w:r w:rsidR="0023583E" w:rsidRPr="00104227">
        <w:rPr>
          <w:lang w:val="en-US"/>
        </w:rPr>
        <w:t xml:space="preserve"> </w:t>
      </w:r>
      <w:r w:rsidR="0012329E" w:rsidRPr="00104227">
        <w:rPr>
          <w:lang w:val="en-US"/>
        </w:rPr>
        <w:t>established by domestic law for reparations in order to determine the corresponding compensation.</w:t>
      </w:r>
    </w:p>
    <w:p w14:paraId="7B4D10CD" w14:textId="77777777" w:rsidR="00D57225" w:rsidRPr="00104227" w:rsidRDefault="00D57225" w:rsidP="00E4619F">
      <w:pPr>
        <w:tabs>
          <w:tab w:val="left" w:pos="567"/>
        </w:tabs>
        <w:rPr>
          <w:lang w:eastAsia="es-MX"/>
        </w:rPr>
      </w:pPr>
    </w:p>
    <w:p w14:paraId="568A7412" w14:textId="6367EFFD" w:rsidR="00D57225" w:rsidRPr="00104227" w:rsidRDefault="00D57225" w:rsidP="00E4619F">
      <w:pPr>
        <w:pStyle w:val="Ttulo3"/>
        <w:tabs>
          <w:tab w:val="left" w:pos="567"/>
        </w:tabs>
        <w:rPr>
          <w:lang w:val="en-US" w:eastAsia="es-MX"/>
        </w:rPr>
      </w:pPr>
      <w:bookmarkStart w:id="419" w:name="_Toc31290627"/>
      <w:r w:rsidRPr="00104227">
        <w:rPr>
          <w:lang w:val="en-US" w:eastAsia="es-MX"/>
        </w:rPr>
        <w:t xml:space="preserve">F.1 </w:t>
      </w:r>
      <w:r w:rsidR="005E5DCC" w:rsidRPr="00104227">
        <w:rPr>
          <w:lang w:val="en-US" w:eastAsia="es-MX"/>
        </w:rPr>
        <w:t>Pecuniary damage</w:t>
      </w:r>
      <w:bookmarkEnd w:id="419"/>
    </w:p>
    <w:p w14:paraId="1893AA16" w14:textId="77777777" w:rsidR="00D57225" w:rsidRPr="00104227" w:rsidRDefault="00D57225" w:rsidP="00E4619F">
      <w:pPr>
        <w:tabs>
          <w:tab w:val="left" w:pos="567"/>
        </w:tabs>
        <w:rPr>
          <w:b/>
          <w:lang w:eastAsia="es-MX"/>
        </w:rPr>
      </w:pPr>
    </w:p>
    <w:p w14:paraId="73F0D5C5" w14:textId="4E1D84E1" w:rsidR="00D57225" w:rsidRPr="00104227" w:rsidRDefault="00BF5241" w:rsidP="00E4619F">
      <w:pPr>
        <w:pStyle w:val="Numberedparagraphs"/>
        <w:tabs>
          <w:tab w:val="left" w:pos="567"/>
        </w:tabs>
        <w:rPr>
          <w:rFonts w:cs="Arial"/>
          <w:b/>
          <w:lang w:val="en-US"/>
        </w:rPr>
      </w:pPr>
      <w:r w:rsidRPr="00104227">
        <w:rPr>
          <w:lang w:val="en-US"/>
        </w:rPr>
        <w:t>This Court</w:t>
      </w:r>
      <w:r w:rsidR="00D57225" w:rsidRPr="00104227">
        <w:rPr>
          <w:lang w:val="en-US"/>
        </w:rPr>
        <w:t xml:space="preserve"> ha</w:t>
      </w:r>
      <w:r w:rsidR="0012329E" w:rsidRPr="00104227">
        <w:rPr>
          <w:lang w:val="en-US"/>
        </w:rPr>
        <w:t>s developed in its case law that p</w:t>
      </w:r>
      <w:r w:rsidR="005E5DCC" w:rsidRPr="00104227">
        <w:rPr>
          <w:lang w:val="en-US"/>
        </w:rPr>
        <w:t>ecuniary</w:t>
      </w:r>
      <w:r w:rsidR="00F3010F" w:rsidRPr="00104227">
        <w:rPr>
          <w:lang w:val="en-US"/>
        </w:rPr>
        <w:t xml:space="preserve"> damage </w:t>
      </w:r>
      <w:r w:rsidR="00D57225" w:rsidRPr="00104227">
        <w:rPr>
          <w:lang w:val="en-US"/>
        </w:rPr>
        <w:t>sup</w:t>
      </w:r>
      <w:r w:rsidR="0012329E" w:rsidRPr="00104227">
        <w:rPr>
          <w:lang w:val="en-US"/>
        </w:rPr>
        <w:t>poses the los</w:t>
      </w:r>
      <w:r w:rsidR="0057707E" w:rsidRPr="00104227">
        <w:rPr>
          <w:lang w:val="en-US"/>
        </w:rPr>
        <w:t>s</w:t>
      </w:r>
      <w:r w:rsidR="0012329E" w:rsidRPr="00104227">
        <w:rPr>
          <w:lang w:val="en-US"/>
        </w:rPr>
        <w:t xml:space="preserve"> of or detriment to the victims’ income, the expenses incurred as a result of the facts, and the </w:t>
      </w:r>
      <w:r w:rsidR="00F27D61" w:rsidRPr="00104227">
        <w:rPr>
          <w:lang w:val="en-US"/>
        </w:rPr>
        <w:t>consequences</w:t>
      </w:r>
      <w:r w:rsidR="0012329E" w:rsidRPr="00104227">
        <w:rPr>
          <w:lang w:val="en-US"/>
        </w:rPr>
        <w:t xml:space="preserve"> of a pecuniary nature that have a causal nexus with the facts of the case.</w:t>
      </w:r>
      <w:r w:rsidR="00D57225" w:rsidRPr="00104227">
        <w:rPr>
          <w:rStyle w:val="Refdenotaalpie"/>
          <w:szCs w:val="20"/>
          <w:lang w:val="en-US"/>
        </w:rPr>
        <w:footnoteReference w:id="470"/>
      </w:r>
      <w:r w:rsidR="00D57225" w:rsidRPr="00104227">
        <w:rPr>
          <w:lang w:val="en-US"/>
        </w:rPr>
        <w:t xml:space="preserve"> </w:t>
      </w:r>
    </w:p>
    <w:p w14:paraId="7945E737" w14:textId="77777777" w:rsidR="00D57225" w:rsidRPr="00104227" w:rsidRDefault="00D57225" w:rsidP="00E4619F">
      <w:pPr>
        <w:tabs>
          <w:tab w:val="left" w:pos="567"/>
        </w:tabs>
        <w:rPr>
          <w:lang w:eastAsia="es-MX"/>
        </w:rPr>
      </w:pPr>
    </w:p>
    <w:p w14:paraId="09C4248A" w14:textId="58173DF2" w:rsidR="00D57225" w:rsidRPr="00104227" w:rsidRDefault="00D57225" w:rsidP="00885693">
      <w:pPr>
        <w:pStyle w:val="Ttulo4"/>
        <w:rPr>
          <w:szCs w:val="24"/>
          <w:lang w:val="en-US"/>
        </w:rPr>
      </w:pPr>
      <w:r w:rsidRPr="00104227">
        <w:rPr>
          <w:lang w:val="en-US"/>
        </w:rPr>
        <w:t xml:space="preserve">F.1.a </w:t>
      </w:r>
      <w:r w:rsidR="0012329E" w:rsidRPr="00104227">
        <w:rPr>
          <w:lang w:val="en-US"/>
        </w:rPr>
        <w:t>Consequential damage</w:t>
      </w:r>
    </w:p>
    <w:p w14:paraId="44BA89D7" w14:textId="77777777" w:rsidR="00D57225" w:rsidRPr="00104227" w:rsidRDefault="00D57225" w:rsidP="00E4619F">
      <w:pPr>
        <w:tabs>
          <w:tab w:val="left" w:pos="567"/>
        </w:tabs>
        <w:rPr>
          <w:b/>
          <w:szCs w:val="20"/>
        </w:rPr>
      </w:pPr>
    </w:p>
    <w:p w14:paraId="4346D06D" w14:textId="1EB61867" w:rsidR="00D57225" w:rsidRPr="00104227" w:rsidRDefault="002826A6" w:rsidP="00E4619F">
      <w:pPr>
        <w:pStyle w:val="Numberedparagraphs"/>
        <w:tabs>
          <w:tab w:val="left" w:pos="567"/>
        </w:tabs>
        <w:rPr>
          <w:b/>
          <w:lang w:val="en-US"/>
        </w:rPr>
      </w:pPr>
      <w:r w:rsidRPr="00104227">
        <w:rPr>
          <w:lang w:val="en-US"/>
        </w:rPr>
        <w:t xml:space="preserve">The </w:t>
      </w:r>
      <w:r w:rsidRPr="00104227">
        <w:rPr>
          <w:b/>
          <w:bCs/>
          <w:i/>
          <w:iCs/>
          <w:lang w:val="en-US"/>
        </w:rPr>
        <w:t>representatives</w:t>
      </w:r>
      <w:r w:rsidR="00D57225" w:rsidRPr="00104227">
        <w:rPr>
          <w:b/>
          <w:i/>
          <w:lang w:val="en-US"/>
        </w:rPr>
        <w:t xml:space="preserve"> </w:t>
      </w:r>
      <w:r w:rsidR="0012329E" w:rsidRPr="00104227">
        <w:rPr>
          <w:lang w:val="en-US"/>
        </w:rPr>
        <w:t xml:space="preserve">requested, for consequential damage, compensation for the procedural expenses that the victims had to incur, as well as the expenditure incurred by their families to be able to visit them, medical expenses, psychological therapy, </w:t>
      </w:r>
      <w:r w:rsidR="00BD2A81" w:rsidRPr="00104227">
        <w:rPr>
          <w:lang w:val="en-US"/>
        </w:rPr>
        <w:t xml:space="preserve">and </w:t>
      </w:r>
      <w:r w:rsidR="00F27D61" w:rsidRPr="00104227">
        <w:rPr>
          <w:lang w:val="en-US"/>
        </w:rPr>
        <w:t>transportation</w:t>
      </w:r>
      <w:r w:rsidR="0012329E" w:rsidRPr="00104227">
        <w:rPr>
          <w:lang w:val="en-US"/>
        </w:rPr>
        <w:t xml:space="preserve"> and other costs related to their medical care. Since there are no vouchers to support the amounts requested for </w:t>
      </w:r>
      <w:r w:rsidR="0012329E" w:rsidRPr="00104227">
        <w:rPr>
          <w:rFonts w:cs="Arial"/>
          <w:lang w:val="en-US"/>
        </w:rPr>
        <w:t>p</w:t>
      </w:r>
      <w:r w:rsidR="005E5DCC" w:rsidRPr="00104227">
        <w:rPr>
          <w:rFonts w:cs="Arial"/>
          <w:lang w:val="en-US"/>
        </w:rPr>
        <w:t>ecuniary</w:t>
      </w:r>
      <w:r w:rsidR="00F3010F" w:rsidRPr="00104227">
        <w:rPr>
          <w:rFonts w:cs="Arial"/>
          <w:lang w:val="en-US"/>
        </w:rPr>
        <w:t xml:space="preserve"> damage</w:t>
      </w:r>
      <w:r w:rsidR="00D57225" w:rsidRPr="00104227">
        <w:rPr>
          <w:rFonts w:cs="Arial"/>
          <w:lang w:val="en-US"/>
        </w:rPr>
        <w:t xml:space="preserve">, </w:t>
      </w:r>
      <w:r w:rsidRPr="00104227">
        <w:rPr>
          <w:rFonts w:cs="Arial"/>
          <w:lang w:val="en-US"/>
        </w:rPr>
        <w:t>the representatives</w:t>
      </w:r>
      <w:r w:rsidR="00D57225" w:rsidRPr="00104227">
        <w:rPr>
          <w:rFonts w:cs="Arial"/>
          <w:lang w:val="en-US"/>
        </w:rPr>
        <w:t xml:space="preserve"> </w:t>
      </w:r>
      <w:r w:rsidR="0012329E" w:rsidRPr="00104227">
        <w:rPr>
          <w:rFonts w:cs="Arial"/>
          <w:lang w:val="en-US"/>
        </w:rPr>
        <w:t>asked</w:t>
      </w:r>
      <w:r w:rsidR="00D57225" w:rsidRPr="00104227">
        <w:rPr>
          <w:rFonts w:cs="Arial"/>
          <w:lang w:val="en-US"/>
        </w:rPr>
        <w:t xml:space="preserve"> </w:t>
      </w:r>
      <w:r w:rsidR="00BF5241" w:rsidRPr="00104227">
        <w:rPr>
          <w:rFonts w:cs="Arial"/>
          <w:lang w:val="en-US"/>
        </w:rPr>
        <w:t>the Court</w:t>
      </w:r>
      <w:r w:rsidR="00D57225" w:rsidRPr="00104227">
        <w:rPr>
          <w:rFonts w:cs="Arial"/>
          <w:lang w:val="en-US"/>
        </w:rPr>
        <w:t xml:space="preserve"> </w:t>
      </w:r>
      <w:r w:rsidR="0012329E" w:rsidRPr="00104227">
        <w:rPr>
          <w:rFonts w:cs="Arial"/>
          <w:lang w:val="en-US"/>
        </w:rPr>
        <w:t>to determine th</w:t>
      </w:r>
      <w:r w:rsidR="00BD2A81" w:rsidRPr="00104227">
        <w:rPr>
          <w:rFonts w:cs="Arial"/>
          <w:lang w:val="en-US"/>
        </w:rPr>
        <w:t>is</w:t>
      </w:r>
      <w:r w:rsidR="0012329E" w:rsidRPr="00104227">
        <w:rPr>
          <w:rFonts w:cs="Arial"/>
          <w:lang w:val="en-US"/>
        </w:rPr>
        <w:t xml:space="preserve"> in equity</w:t>
      </w:r>
      <w:r w:rsidR="00D57225" w:rsidRPr="00104227">
        <w:rPr>
          <w:rFonts w:cs="Arial"/>
          <w:lang w:val="en-US"/>
        </w:rPr>
        <w:t xml:space="preserve">. </w:t>
      </w:r>
    </w:p>
    <w:p w14:paraId="0EB6BED7" w14:textId="77777777" w:rsidR="00D57225" w:rsidRPr="00104227" w:rsidRDefault="00D57225" w:rsidP="00E4619F">
      <w:pPr>
        <w:tabs>
          <w:tab w:val="left" w:pos="567"/>
        </w:tabs>
        <w:rPr>
          <w:lang w:eastAsia="es-MX"/>
        </w:rPr>
      </w:pPr>
    </w:p>
    <w:p w14:paraId="13C3FE66" w14:textId="46934B82" w:rsidR="00D57225" w:rsidRPr="00104227" w:rsidRDefault="00BF5241" w:rsidP="00E4619F">
      <w:pPr>
        <w:pStyle w:val="Numberedparagraphs"/>
        <w:tabs>
          <w:tab w:val="left" w:pos="567"/>
        </w:tabs>
        <w:rPr>
          <w:lang w:val="en-US"/>
        </w:rPr>
      </w:pPr>
      <w:bookmarkStart w:id="420" w:name="_Ref532988350"/>
      <w:r w:rsidRPr="00104227">
        <w:rPr>
          <w:lang w:val="en-US"/>
        </w:rPr>
        <w:t>Th</w:t>
      </w:r>
      <w:r w:rsidR="0012329E" w:rsidRPr="00104227">
        <w:rPr>
          <w:lang w:val="en-US"/>
        </w:rPr>
        <w:t>e</w:t>
      </w:r>
      <w:r w:rsidRPr="00104227">
        <w:rPr>
          <w:lang w:val="en-US"/>
        </w:rPr>
        <w:t xml:space="preserve"> Court</w:t>
      </w:r>
      <w:r w:rsidR="00D57225" w:rsidRPr="00104227">
        <w:rPr>
          <w:lang w:val="en-US"/>
        </w:rPr>
        <w:t xml:space="preserve"> </w:t>
      </w:r>
      <w:r w:rsidR="0012329E" w:rsidRPr="00104227">
        <w:rPr>
          <w:lang w:val="en-US"/>
        </w:rPr>
        <w:t>notes that</w:t>
      </w:r>
      <w:r w:rsidR="00D57225" w:rsidRPr="00104227">
        <w:rPr>
          <w:lang w:val="en-US"/>
        </w:rPr>
        <w:t xml:space="preserve"> </w:t>
      </w:r>
      <w:r w:rsidR="0012329E" w:rsidRPr="00104227">
        <w:rPr>
          <w:lang w:val="en-US"/>
        </w:rPr>
        <w:t>no vouchers were submitted for the disbursements made by the victims and their family members for procedural matters, visits to the places where they were detained, and the medical and psychological treatment received by the victims. Howe</w:t>
      </w:r>
      <w:r w:rsidR="00BD2A81" w:rsidRPr="00104227">
        <w:rPr>
          <w:lang w:val="en-US"/>
        </w:rPr>
        <w:t>v</w:t>
      </w:r>
      <w:r w:rsidR="0012329E" w:rsidRPr="00104227">
        <w:rPr>
          <w:lang w:val="en-US"/>
        </w:rPr>
        <w:t xml:space="preserve">er, the Court finds it reasonable to presume that </w:t>
      </w:r>
      <w:r w:rsidR="00F3010F" w:rsidRPr="00104227">
        <w:rPr>
          <w:lang w:val="en-US"/>
        </w:rPr>
        <w:t>the eleven victims</w:t>
      </w:r>
      <w:r w:rsidRPr="00104227">
        <w:rPr>
          <w:lang w:val="en-US"/>
        </w:rPr>
        <w:t xml:space="preserve"> and </w:t>
      </w:r>
      <w:r w:rsidR="0012329E" w:rsidRPr="00104227">
        <w:rPr>
          <w:lang w:val="en-US"/>
        </w:rPr>
        <w:t xml:space="preserve">their families incurred these expenses as a result </w:t>
      </w:r>
      <w:r w:rsidR="00650467" w:rsidRPr="00104227">
        <w:rPr>
          <w:lang w:val="en-US"/>
        </w:rPr>
        <w:t xml:space="preserve">of the </w:t>
      </w:r>
      <w:r w:rsidR="00E466FA" w:rsidRPr="00104227">
        <w:rPr>
          <w:lang w:val="en-US"/>
        </w:rPr>
        <w:t>human rights violations</w:t>
      </w:r>
      <w:r w:rsidR="00D57225" w:rsidRPr="00104227">
        <w:rPr>
          <w:lang w:val="en-US"/>
        </w:rPr>
        <w:t xml:space="preserve"> </w:t>
      </w:r>
      <w:r w:rsidR="0012329E" w:rsidRPr="00104227">
        <w:rPr>
          <w:lang w:val="en-US"/>
        </w:rPr>
        <w:t>committed by</w:t>
      </w:r>
      <w:r w:rsidR="00D57225" w:rsidRPr="00104227">
        <w:rPr>
          <w:lang w:val="en-US"/>
        </w:rPr>
        <w:t xml:space="preserve"> </w:t>
      </w:r>
      <w:r w:rsidR="00AC3BFC" w:rsidRPr="00104227">
        <w:rPr>
          <w:lang w:val="en-US"/>
        </w:rPr>
        <w:t>the State</w:t>
      </w:r>
      <w:r w:rsidR="00D57225" w:rsidRPr="00104227">
        <w:rPr>
          <w:lang w:val="en-US"/>
        </w:rPr>
        <w:t xml:space="preserve"> </w:t>
      </w:r>
      <w:r w:rsidR="0012329E" w:rsidRPr="00104227">
        <w:rPr>
          <w:lang w:val="en-US"/>
        </w:rPr>
        <w:t>in this case</w:t>
      </w:r>
      <w:r w:rsidR="00D57225" w:rsidRPr="00104227">
        <w:rPr>
          <w:lang w:val="en-US"/>
        </w:rPr>
        <w:t xml:space="preserve">. </w:t>
      </w:r>
      <w:r w:rsidR="0012329E" w:rsidRPr="00104227">
        <w:rPr>
          <w:lang w:val="en-US"/>
        </w:rPr>
        <w:t xml:space="preserve">Therefore, based on the specific circumstances of the case, the Court finds it pertinent to establish, in equity, the sum of </w:t>
      </w:r>
      <w:r w:rsidR="00F3010F" w:rsidRPr="00104227">
        <w:rPr>
          <w:lang w:val="en-US"/>
        </w:rPr>
        <w:t>US$</w:t>
      </w:r>
      <w:r w:rsidR="00D57225" w:rsidRPr="00104227">
        <w:rPr>
          <w:lang w:val="en-US"/>
        </w:rPr>
        <w:t>5</w:t>
      </w:r>
      <w:r w:rsidR="00F3010F" w:rsidRPr="00104227">
        <w:rPr>
          <w:lang w:val="en-US"/>
        </w:rPr>
        <w:t>,000.00</w:t>
      </w:r>
      <w:r w:rsidR="00D57225" w:rsidRPr="00104227">
        <w:rPr>
          <w:lang w:val="en-US"/>
        </w:rPr>
        <w:t xml:space="preserve"> (</w:t>
      </w:r>
      <w:r w:rsidR="004160EE" w:rsidRPr="00104227">
        <w:rPr>
          <w:lang w:val="en-US"/>
        </w:rPr>
        <w:t>five</w:t>
      </w:r>
      <w:r w:rsidR="00D57225" w:rsidRPr="00104227">
        <w:rPr>
          <w:lang w:val="en-US"/>
        </w:rPr>
        <w:t xml:space="preserve"> </w:t>
      </w:r>
      <w:r w:rsidR="00F3010F" w:rsidRPr="00104227">
        <w:rPr>
          <w:lang w:val="en-US"/>
        </w:rPr>
        <w:t>thousand United States dollars</w:t>
      </w:r>
      <w:r w:rsidR="00D57225" w:rsidRPr="00104227">
        <w:rPr>
          <w:lang w:val="en-US"/>
        </w:rPr>
        <w:t xml:space="preserve">), </w:t>
      </w:r>
      <w:r w:rsidR="0012329E" w:rsidRPr="00104227">
        <w:rPr>
          <w:lang w:val="en-US"/>
        </w:rPr>
        <w:t xml:space="preserve">as compensation for consequential damage, and this must be delivered to </w:t>
      </w:r>
      <w:r w:rsidR="00F3010F" w:rsidRPr="00104227">
        <w:rPr>
          <w:lang w:val="en-US"/>
        </w:rPr>
        <w:t>each of the ten women</w:t>
      </w:r>
      <w:r w:rsidR="00D57225" w:rsidRPr="00104227">
        <w:rPr>
          <w:lang w:val="en-US"/>
        </w:rPr>
        <w:t xml:space="preserve"> </w:t>
      </w:r>
      <w:r w:rsidR="00EF03E5" w:rsidRPr="00104227">
        <w:rPr>
          <w:lang w:val="en-US"/>
        </w:rPr>
        <w:t>victims in this case</w:t>
      </w:r>
      <w:r w:rsidR="00D57225" w:rsidRPr="00104227">
        <w:rPr>
          <w:lang w:val="en-US"/>
        </w:rPr>
        <w:t xml:space="preserve"> </w:t>
      </w:r>
      <w:r w:rsidR="0012329E" w:rsidRPr="00104227">
        <w:rPr>
          <w:lang w:val="en-US"/>
        </w:rPr>
        <w:t>who have requested financial compensation; namely,</w:t>
      </w:r>
      <w:r w:rsidR="00D57225" w:rsidRPr="00104227">
        <w:rPr>
          <w:lang w:val="en-US"/>
        </w:rPr>
        <w:t xml:space="preserve"> Yolanda Muñoz Diosdada, Norma Aidé Jiménez Osorio, María Patricia Romero Hernández, Mariana Selvas Gómez, Ana María Velasco Rodríguez, Suhelen Gabriela Cuevas Jaramillo, Bárbara Italia Méndez Moreno, María Cristina Sánchez Hernández, </w:t>
      </w:r>
      <w:r w:rsidR="0047539E" w:rsidRPr="00104227">
        <w:rPr>
          <w:lang w:val="en-US"/>
        </w:rPr>
        <w:t>Angélica Patricia Torres</w:t>
      </w:r>
      <w:r w:rsidR="00D57225" w:rsidRPr="00104227">
        <w:rPr>
          <w:lang w:val="en-US"/>
        </w:rPr>
        <w:t xml:space="preserve"> Linares</w:t>
      </w:r>
      <w:r w:rsidRPr="00104227">
        <w:rPr>
          <w:lang w:val="en-US"/>
        </w:rPr>
        <w:t xml:space="preserve"> and </w:t>
      </w:r>
      <w:r w:rsidR="00D57225" w:rsidRPr="00104227">
        <w:rPr>
          <w:lang w:val="en-US"/>
        </w:rPr>
        <w:t>Claudia Hernández Martínez.</w:t>
      </w:r>
      <w:bookmarkEnd w:id="420"/>
      <w:r w:rsidR="00D57225" w:rsidRPr="00104227">
        <w:rPr>
          <w:lang w:val="en-US"/>
        </w:rPr>
        <w:t xml:space="preserve"> </w:t>
      </w:r>
    </w:p>
    <w:p w14:paraId="61033CAF" w14:textId="77777777" w:rsidR="00D57225" w:rsidRPr="00104227" w:rsidRDefault="00D57225" w:rsidP="00E4619F">
      <w:pPr>
        <w:tabs>
          <w:tab w:val="left" w:pos="567"/>
        </w:tabs>
        <w:rPr>
          <w:lang w:eastAsia="es-MX"/>
        </w:rPr>
      </w:pPr>
    </w:p>
    <w:p w14:paraId="543BF72A" w14:textId="2B835D78" w:rsidR="00D57225" w:rsidRPr="00104227" w:rsidRDefault="00D57225" w:rsidP="00885693">
      <w:pPr>
        <w:pStyle w:val="Ttulo4"/>
        <w:rPr>
          <w:lang w:val="en-US"/>
        </w:rPr>
      </w:pPr>
      <w:r w:rsidRPr="00104227">
        <w:rPr>
          <w:lang w:val="en-US"/>
        </w:rPr>
        <w:t xml:space="preserve">F.1.b </w:t>
      </w:r>
      <w:r w:rsidR="00F3010F" w:rsidRPr="00104227">
        <w:rPr>
          <w:lang w:val="en-US"/>
        </w:rPr>
        <w:t>Loss of earnin</w:t>
      </w:r>
      <w:r w:rsidR="004D2888" w:rsidRPr="00104227">
        <w:rPr>
          <w:lang w:val="en-US"/>
        </w:rPr>
        <w:t>g</w:t>
      </w:r>
      <w:r w:rsidR="00F3010F" w:rsidRPr="00104227">
        <w:rPr>
          <w:lang w:val="en-US"/>
        </w:rPr>
        <w:t>s</w:t>
      </w:r>
    </w:p>
    <w:p w14:paraId="1B85EE30" w14:textId="63AE2448" w:rsidR="00D57225" w:rsidRPr="00104227" w:rsidRDefault="00D57225" w:rsidP="00E4619F">
      <w:pPr>
        <w:pStyle w:val="PrrafodeSentencia"/>
        <w:numPr>
          <w:ilvl w:val="0"/>
          <w:numId w:val="0"/>
        </w:numPr>
        <w:rPr>
          <w:lang w:val="en-US"/>
        </w:rPr>
      </w:pPr>
    </w:p>
    <w:p w14:paraId="7C0F5870" w14:textId="0B2E8C60" w:rsidR="00D57225" w:rsidRPr="00104227" w:rsidRDefault="002826A6" w:rsidP="00E4619F">
      <w:pPr>
        <w:pStyle w:val="Numberedparagraphs"/>
        <w:tabs>
          <w:tab w:val="left" w:pos="567"/>
        </w:tabs>
        <w:rPr>
          <w:rFonts w:cs="Arial"/>
          <w:lang w:val="en-US"/>
        </w:rPr>
      </w:pPr>
      <w:r w:rsidRPr="00104227">
        <w:rPr>
          <w:lang w:val="en-US"/>
        </w:rPr>
        <w:t xml:space="preserve">The </w:t>
      </w:r>
      <w:r w:rsidRPr="00104227">
        <w:rPr>
          <w:b/>
          <w:bCs/>
          <w:i/>
          <w:iCs/>
          <w:lang w:val="en-US"/>
        </w:rPr>
        <w:t>representatives</w:t>
      </w:r>
      <w:r w:rsidR="00D57225" w:rsidRPr="00104227">
        <w:rPr>
          <w:lang w:val="en-US"/>
        </w:rPr>
        <w:t xml:space="preserve"> </w:t>
      </w:r>
      <w:r w:rsidR="0012329E" w:rsidRPr="00104227">
        <w:rPr>
          <w:lang w:val="en-US"/>
        </w:rPr>
        <w:t>asked the Court to require</w:t>
      </w:r>
      <w:r w:rsidR="0094395C" w:rsidRPr="00104227">
        <w:rPr>
          <w:lang w:val="en-US"/>
        </w:rPr>
        <w:t xml:space="preserve"> the State</w:t>
      </w:r>
      <w:r w:rsidR="00D57225" w:rsidRPr="00104227">
        <w:rPr>
          <w:lang w:val="en-US"/>
        </w:rPr>
        <w:t xml:space="preserve"> </w:t>
      </w:r>
      <w:r w:rsidR="0012329E" w:rsidRPr="00104227">
        <w:rPr>
          <w:lang w:val="en-US"/>
        </w:rPr>
        <w:t xml:space="preserve">to pay </w:t>
      </w:r>
      <w:r w:rsidR="000923AE" w:rsidRPr="00104227">
        <w:rPr>
          <w:lang w:val="en-US"/>
        </w:rPr>
        <w:t xml:space="preserve">for the loss of earnings of the victims </w:t>
      </w:r>
      <w:r w:rsidR="00D57225" w:rsidRPr="00104227">
        <w:rPr>
          <w:lang w:val="en-US"/>
        </w:rPr>
        <w:t>Yolanda Muñoz Diosdada</w:t>
      </w:r>
      <w:r w:rsidR="00BF5241" w:rsidRPr="00104227">
        <w:rPr>
          <w:lang w:val="en-US"/>
        </w:rPr>
        <w:t xml:space="preserve"> and </w:t>
      </w:r>
      <w:r w:rsidR="00D57225" w:rsidRPr="00104227">
        <w:rPr>
          <w:lang w:val="en-US"/>
        </w:rPr>
        <w:t xml:space="preserve">María Patricia Romero Hernández. </w:t>
      </w:r>
      <w:r w:rsidR="000923AE" w:rsidRPr="00104227">
        <w:rPr>
          <w:lang w:val="en-US"/>
        </w:rPr>
        <w:t xml:space="preserve">In the case of the former, they indicated that she earned approximately </w:t>
      </w:r>
      <w:r w:rsidR="00F3010F" w:rsidRPr="00104227">
        <w:rPr>
          <w:rFonts w:cs="Arial"/>
          <w:lang w:val="en-US"/>
        </w:rPr>
        <w:t>US$</w:t>
      </w:r>
      <w:r w:rsidR="00D57225" w:rsidRPr="00104227">
        <w:rPr>
          <w:rFonts w:cs="Arial"/>
          <w:lang w:val="en-US"/>
        </w:rPr>
        <w:t>433</w:t>
      </w:r>
      <w:r w:rsidR="00F3010F" w:rsidRPr="00104227">
        <w:rPr>
          <w:rFonts w:cs="Arial"/>
          <w:lang w:val="en-US"/>
        </w:rPr>
        <w:t>.</w:t>
      </w:r>
      <w:r w:rsidR="00D57225" w:rsidRPr="00104227">
        <w:rPr>
          <w:rFonts w:cs="Arial"/>
          <w:lang w:val="en-US"/>
        </w:rPr>
        <w:t xml:space="preserve">00 </w:t>
      </w:r>
      <w:r w:rsidR="000923AE" w:rsidRPr="00104227">
        <w:rPr>
          <w:rFonts w:cs="Arial"/>
          <w:lang w:val="en-US"/>
        </w:rPr>
        <w:t>a month selling denim</w:t>
      </w:r>
      <w:r w:rsidR="00BD2A81" w:rsidRPr="00104227">
        <w:rPr>
          <w:rFonts w:cs="Arial"/>
          <w:lang w:val="en-US"/>
        </w:rPr>
        <w:t xml:space="preserve"> articles </w:t>
      </w:r>
      <w:r w:rsidR="000923AE" w:rsidRPr="00104227">
        <w:rPr>
          <w:rFonts w:cs="Arial"/>
          <w:lang w:val="en-US"/>
        </w:rPr>
        <w:t>in T</w:t>
      </w:r>
      <w:r w:rsidR="00BD2A81" w:rsidRPr="00104227">
        <w:rPr>
          <w:rFonts w:cs="Arial"/>
          <w:lang w:val="en-US"/>
        </w:rPr>
        <w:t>e</w:t>
      </w:r>
      <w:r w:rsidR="000923AE" w:rsidRPr="00104227">
        <w:rPr>
          <w:rFonts w:cs="Arial"/>
          <w:lang w:val="en-US"/>
        </w:rPr>
        <w:t>xcoco at the time of the events</w:t>
      </w:r>
      <w:r w:rsidR="00BD2A81" w:rsidRPr="00104227">
        <w:rPr>
          <w:rFonts w:cs="Arial"/>
          <w:lang w:val="en-US"/>
        </w:rPr>
        <w:t>; however,</w:t>
      </w:r>
      <w:r w:rsidR="000923AE" w:rsidRPr="00104227">
        <w:rPr>
          <w:rFonts w:cs="Arial"/>
          <w:lang w:val="en-US"/>
        </w:rPr>
        <w:t xml:space="preserve"> as a result of the facts she lost this job and had difficulties to be accepted in another. </w:t>
      </w:r>
      <w:r w:rsidR="00D57225" w:rsidRPr="00104227">
        <w:rPr>
          <w:rFonts w:cs="Arial"/>
          <w:lang w:val="en-US"/>
        </w:rPr>
        <w:t>Yolanda</w:t>
      </w:r>
      <w:r w:rsidR="000923AE" w:rsidRPr="00104227">
        <w:rPr>
          <w:rFonts w:cs="Arial"/>
          <w:lang w:val="en-US"/>
        </w:rPr>
        <w:t xml:space="preserve"> continued to work as a salesperson subsequently, </w:t>
      </w:r>
      <w:r w:rsidR="000923AE" w:rsidRPr="00104227">
        <w:rPr>
          <w:rFonts w:cs="Arial"/>
          <w:lang w:val="en-US"/>
        </w:rPr>
        <w:lastRenderedPageBreak/>
        <w:t>but now she receives a monthly income of approximately</w:t>
      </w:r>
      <w:r w:rsidR="00D57225" w:rsidRPr="00104227">
        <w:rPr>
          <w:rFonts w:cs="Arial"/>
          <w:lang w:val="en-US"/>
        </w:rPr>
        <w:t xml:space="preserve"> US$193</w:t>
      </w:r>
      <w:r w:rsidR="00F3010F" w:rsidRPr="00104227">
        <w:rPr>
          <w:rFonts w:cs="Arial"/>
          <w:lang w:val="en-US"/>
        </w:rPr>
        <w:t>.</w:t>
      </w:r>
      <w:r w:rsidR="00D57225" w:rsidRPr="00104227">
        <w:rPr>
          <w:rFonts w:cs="Arial"/>
          <w:lang w:val="en-US"/>
        </w:rPr>
        <w:t xml:space="preserve">00. </w:t>
      </w:r>
      <w:r w:rsidR="000923AE" w:rsidRPr="00104227">
        <w:rPr>
          <w:rFonts w:cs="Arial"/>
          <w:lang w:val="en-US"/>
        </w:rPr>
        <w:t>Regarding</w:t>
      </w:r>
      <w:r w:rsidR="00D57225" w:rsidRPr="00104227">
        <w:rPr>
          <w:rFonts w:cs="Arial"/>
          <w:lang w:val="en-US"/>
        </w:rPr>
        <w:t xml:space="preserve"> María Patricia Romero Hernández, </w:t>
      </w:r>
      <w:r w:rsidRPr="00104227">
        <w:rPr>
          <w:rFonts w:cs="Arial"/>
          <w:lang w:val="en-US"/>
        </w:rPr>
        <w:t>the representatives</w:t>
      </w:r>
      <w:r w:rsidR="00D57225" w:rsidRPr="00104227">
        <w:rPr>
          <w:rFonts w:cs="Arial"/>
          <w:lang w:val="en-US"/>
        </w:rPr>
        <w:t xml:space="preserve"> indica</w:t>
      </w:r>
      <w:r w:rsidR="000923AE" w:rsidRPr="00104227">
        <w:rPr>
          <w:rFonts w:cs="Arial"/>
          <w:lang w:val="en-US"/>
        </w:rPr>
        <w:t xml:space="preserve">ted that, at the time of the events, she received approximately </w:t>
      </w:r>
      <w:r w:rsidR="00F3010F" w:rsidRPr="00104227">
        <w:rPr>
          <w:rFonts w:cs="Arial"/>
          <w:lang w:val="en-US"/>
        </w:rPr>
        <w:t>US$</w:t>
      </w:r>
      <w:r w:rsidR="00D57225" w:rsidRPr="00104227">
        <w:rPr>
          <w:rFonts w:cs="Arial"/>
          <w:lang w:val="en-US"/>
        </w:rPr>
        <w:t>96</w:t>
      </w:r>
      <w:r w:rsidR="00F3010F" w:rsidRPr="00104227">
        <w:rPr>
          <w:rFonts w:cs="Arial"/>
          <w:lang w:val="en-US"/>
        </w:rPr>
        <w:t>.</w:t>
      </w:r>
      <w:r w:rsidR="00D57225" w:rsidRPr="00104227">
        <w:rPr>
          <w:rFonts w:cs="Arial"/>
          <w:lang w:val="en-US"/>
        </w:rPr>
        <w:t xml:space="preserve">00 </w:t>
      </w:r>
      <w:r w:rsidR="000923AE" w:rsidRPr="00104227">
        <w:rPr>
          <w:rFonts w:cs="Arial"/>
          <w:lang w:val="en-US"/>
        </w:rPr>
        <w:t xml:space="preserve">a month working in the family butcher’s shop and a taco kiosk. As a result of her imprisonment, she was unable to work from May 2006 until August 2008. </w:t>
      </w:r>
      <w:r w:rsidR="00D57225" w:rsidRPr="00104227">
        <w:rPr>
          <w:rFonts w:cs="Arial"/>
          <w:lang w:val="en-US"/>
        </w:rPr>
        <w:t xml:space="preserve"> </w:t>
      </w:r>
    </w:p>
    <w:p w14:paraId="73C0B8F2" w14:textId="77777777" w:rsidR="00D57225" w:rsidRPr="00104227" w:rsidRDefault="00D57225" w:rsidP="00E4619F">
      <w:pPr>
        <w:tabs>
          <w:tab w:val="left" w:pos="567"/>
        </w:tabs>
        <w:rPr>
          <w:lang w:eastAsia="es-MX"/>
        </w:rPr>
      </w:pPr>
    </w:p>
    <w:p w14:paraId="43840A49" w14:textId="4A813662" w:rsidR="00D57225" w:rsidRPr="00104227" w:rsidRDefault="000923AE" w:rsidP="00E4619F">
      <w:pPr>
        <w:pStyle w:val="Numberedparagraphs"/>
        <w:tabs>
          <w:tab w:val="left" w:pos="567"/>
        </w:tabs>
        <w:rPr>
          <w:lang w:val="en-US"/>
        </w:rPr>
      </w:pPr>
      <w:bookmarkStart w:id="421" w:name="_Ref532988370"/>
      <w:r w:rsidRPr="00104227">
        <w:rPr>
          <w:lang w:val="en-US"/>
        </w:rPr>
        <w:t xml:space="preserve">In light of the circumstances of this case and the specific consequences that the facts of the case had on the earnings of </w:t>
      </w:r>
      <w:r w:rsidR="00D57225" w:rsidRPr="00104227">
        <w:rPr>
          <w:lang w:val="en-US"/>
        </w:rPr>
        <w:t>Yolanda Muñoz Diosdada</w:t>
      </w:r>
      <w:r w:rsidR="00BF5241" w:rsidRPr="00104227">
        <w:rPr>
          <w:lang w:val="en-US"/>
        </w:rPr>
        <w:t xml:space="preserve"> and </w:t>
      </w:r>
      <w:r w:rsidR="00D57225" w:rsidRPr="00104227">
        <w:rPr>
          <w:lang w:val="en-US"/>
        </w:rPr>
        <w:t xml:space="preserve">María Patricia Romero Hernández, </w:t>
      </w:r>
      <w:r w:rsidR="00BF5241" w:rsidRPr="00104227">
        <w:rPr>
          <w:lang w:val="en-US"/>
        </w:rPr>
        <w:t>the Court</w:t>
      </w:r>
      <w:r w:rsidR="00D57225" w:rsidRPr="00104227">
        <w:rPr>
          <w:lang w:val="en-US"/>
        </w:rPr>
        <w:t xml:space="preserve"> consider</w:t>
      </w:r>
      <w:r w:rsidRPr="00104227">
        <w:rPr>
          <w:lang w:val="en-US"/>
        </w:rPr>
        <w:t xml:space="preserve">s it reasonable to order the State to pay compensation for loss of earnings </w:t>
      </w:r>
      <w:r w:rsidR="00E36251" w:rsidRPr="00104227">
        <w:rPr>
          <w:lang w:val="en-US"/>
        </w:rPr>
        <w:t>in favor of</w:t>
      </w:r>
      <w:r w:rsidR="00D57225" w:rsidRPr="00104227">
        <w:rPr>
          <w:lang w:val="en-US"/>
        </w:rPr>
        <w:t xml:space="preserve"> </w:t>
      </w:r>
      <w:r w:rsidRPr="00104227">
        <w:rPr>
          <w:lang w:val="en-US"/>
        </w:rPr>
        <w:t>these two victims</w:t>
      </w:r>
      <w:r w:rsidR="00D57225" w:rsidRPr="00104227">
        <w:rPr>
          <w:lang w:val="en-US"/>
        </w:rPr>
        <w:t>. T</w:t>
      </w:r>
      <w:r w:rsidRPr="00104227">
        <w:rPr>
          <w:lang w:val="en-US"/>
        </w:rPr>
        <w:t xml:space="preserve">aking into account that the information provided by </w:t>
      </w:r>
      <w:r w:rsidR="002826A6" w:rsidRPr="00104227">
        <w:rPr>
          <w:lang w:val="en-US"/>
        </w:rPr>
        <w:t>the representatives</w:t>
      </w:r>
      <w:r w:rsidR="00D57225" w:rsidRPr="00104227">
        <w:rPr>
          <w:lang w:val="en-US"/>
        </w:rPr>
        <w:t xml:space="preserve"> </w:t>
      </w:r>
      <w:r w:rsidRPr="00104227">
        <w:rPr>
          <w:lang w:val="en-US"/>
        </w:rPr>
        <w:t xml:space="preserve">does not allow the Court to establish with certainty the amount of the loss of earnings suffered, the Court establishes the sums of </w:t>
      </w:r>
      <w:r w:rsidR="00F3010F" w:rsidRPr="00104227">
        <w:rPr>
          <w:lang w:val="en-US"/>
        </w:rPr>
        <w:t>US$</w:t>
      </w:r>
      <w:r w:rsidR="00D57225" w:rsidRPr="00104227">
        <w:rPr>
          <w:lang w:val="en-US"/>
        </w:rPr>
        <w:t>10</w:t>
      </w:r>
      <w:r w:rsidR="00F3010F" w:rsidRPr="00104227">
        <w:rPr>
          <w:lang w:val="en-US"/>
        </w:rPr>
        <w:t>,000.00</w:t>
      </w:r>
      <w:r w:rsidR="00D57225" w:rsidRPr="00104227">
        <w:rPr>
          <w:lang w:val="en-US"/>
        </w:rPr>
        <w:t xml:space="preserve"> (</w:t>
      </w:r>
      <w:r w:rsidR="004160EE" w:rsidRPr="00104227">
        <w:rPr>
          <w:lang w:val="en-US"/>
        </w:rPr>
        <w:t>ten</w:t>
      </w:r>
      <w:r w:rsidR="00D57225" w:rsidRPr="00104227">
        <w:rPr>
          <w:lang w:val="en-US"/>
        </w:rPr>
        <w:t xml:space="preserve"> </w:t>
      </w:r>
      <w:r w:rsidR="00F3010F" w:rsidRPr="00104227">
        <w:rPr>
          <w:lang w:val="en-US"/>
        </w:rPr>
        <w:t>thousand United States dollars</w:t>
      </w:r>
      <w:r w:rsidR="00D57225" w:rsidRPr="00104227">
        <w:rPr>
          <w:lang w:val="en-US"/>
        </w:rPr>
        <w:t xml:space="preserve">) </w:t>
      </w:r>
      <w:r w:rsidR="00E36251" w:rsidRPr="00104227">
        <w:rPr>
          <w:lang w:val="en-US"/>
        </w:rPr>
        <w:t>in favor of</w:t>
      </w:r>
      <w:r w:rsidR="00D57225" w:rsidRPr="00104227">
        <w:rPr>
          <w:lang w:val="en-US"/>
        </w:rPr>
        <w:t xml:space="preserve"> Yolanda Muñoz Diosdada</w:t>
      </w:r>
      <w:r w:rsidR="00BF5241" w:rsidRPr="00104227">
        <w:rPr>
          <w:lang w:val="en-US"/>
        </w:rPr>
        <w:t xml:space="preserve"> and</w:t>
      </w:r>
      <w:r w:rsidR="00D57225" w:rsidRPr="00104227">
        <w:rPr>
          <w:lang w:val="en-US"/>
        </w:rPr>
        <w:t xml:space="preserve"> </w:t>
      </w:r>
      <w:r w:rsidR="00F3010F" w:rsidRPr="00104227">
        <w:rPr>
          <w:lang w:val="en-US"/>
        </w:rPr>
        <w:t>US$</w:t>
      </w:r>
      <w:r w:rsidR="00D57225" w:rsidRPr="00104227">
        <w:rPr>
          <w:lang w:val="en-US"/>
        </w:rPr>
        <w:t>2</w:t>
      </w:r>
      <w:r w:rsidR="00F3010F" w:rsidRPr="00104227">
        <w:rPr>
          <w:lang w:val="en-US"/>
        </w:rPr>
        <w:t>,000.00</w:t>
      </w:r>
      <w:r w:rsidR="00D57225" w:rsidRPr="00104227">
        <w:rPr>
          <w:lang w:val="en-US"/>
        </w:rPr>
        <w:t xml:space="preserve"> (</w:t>
      </w:r>
      <w:r w:rsidR="00F3010F" w:rsidRPr="00104227">
        <w:rPr>
          <w:lang w:val="en-US"/>
        </w:rPr>
        <w:t>two</w:t>
      </w:r>
      <w:r w:rsidR="00D57225" w:rsidRPr="00104227">
        <w:rPr>
          <w:lang w:val="en-US"/>
        </w:rPr>
        <w:t xml:space="preserve"> </w:t>
      </w:r>
      <w:r w:rsidR="00F3010F" w:rsidRPr="00104227">
        <w:rPr>
          <w:lang w:val="en-US"/>
        </w:rPr>
        <w:t>thousand United States dollars</w:t>
      </w:r>
      <w:r w:rsidR="00D57225" w:rsidRPr="00104227">
        <w:rPr>
          <w:lang w:val="en-US"/>
        </w:rPr>
        <w:t xml:space="preserve">) </w:t>
      </w:r>
      <w:r w:rsidR="00E36251" w:rsidRPr="00104227">
        <w:rPr>
          <w:lang w:val="en-US"/>
        </w:rPr>
        <w:t>in favor of</w:t>
      </w:r>
      <w:r w:rsidR="00D57225" w:rsidRPr="00104227">
        <w:rPr>
          <w:lang w:val="en-US"/>
        </w:rPr>
        <w:t xml:space="preserve"> </w:t>
      </w:r>
      <w:r w:rsidR="00D57225" w:rsidRPr="00104227">
        <w:rPr>
          <w:rFonts w:cs="Arial"/>
          <w:lang w:val="en-US"/>
        </w:rPr>
        <w:t xml:space="preserve">María Patricia Romero Hernández. </w:t>
      </w:r>
      <w:r w:rsidRPr="00104227">
        <w:rPr>
          <w:rFonts w:cs="Arial"/>
          <w:lang w:val="en-US"/>
        </w:rPr>
        <w:t>Both sums must be paid by the State directly to these two victims.</w:t>
      </w:r>
      <w:bookmarkEnd w:id="421"/>
    </w:p>
    <w:p w14:paraId="3B8B5B6D" w14:textId="77777777" w:rsidR="00D57225" w:rsidRPr="00104227" w:rsidRDefault="00D57225" w:rsidP="00E4619F">
      <w:pPr>
        <w:tabs>
          <w:tab w:val="left" w:pos="567"/>
        </w:tabs>
        <w:rPr>
          <w:lang w:eastAsia="es-MX"/>
        </w:rPr>
      </w:pPr>
    </w:p>
    <w:p w14:paraId="6C3F3452" w14:textId="02972A1C" w:rsidR="00D57225" w:rsidRPr="00104227" w:rsidRDefault="00D57225" w:rsidP="00E4619F">
      <w:pPr>
        <w:pStyle w:val="Ttulo3"/>
        <w:tabs>
          <w:tab w:val="left" w:pos="567"/>
        </w:tabs>
        <w:rPr>
          <w:lang w:val="en-US" w:eastAsia="es-MX"/>
        </w:rPr>
      </w:pPr>
      <w:bookmarkStart w:id="422" w:name="_Toc31290628"/>
      <w:r w:rsidRPr="00104227">
        <w:rPr>
          <w:lang w:val="en-US" w:eastAsia="es-MX"/>
        </w:rPr>
        <w:t xml:space="preserve">F.2 </w:t>
      </w:r>
      <w:r w:rsidR="005E5DCC" w:rsidRPr="00104227">
        <w:rPr>
          <w:lang w:val="en-US" w:eastAsia="es-MX"/>
        </w:rPr>
        <w:t>Non-pecuniary</w:t>
      </w:r>
      <w:r w:rsidR="00F3010F" w:rsidRPr="00104227">
        <w:rPr>
          <w:lang w:val="en-US" w:eastAsia="es-MX"/>
        </w:rPr>
        <w:t xml:space="preserve"> damage</w:t>
      </w:r>
      <w:bookmarkEnd w:id="422"/>
    </w:p>
    <w:p w14:paraId="4FC711D1" w14:textId="77777777" w:rsidR="00D57225" w:rsidRPr="00104227" w:rsidRDefault="00D57225" w:rsidP="00E4619F">
      <w:pPr>
        <w:tabs>
          <w:tab w:val="left" w:pos="567"/>
        </w:tabs>
        <w:rPr>
          <w:b/>
          <w:lang w:eastAsia="es-MX"/>
        </w:rPr>
      </w:pPr>
    </w:p>
    <w:p w14:paraId="23036BA6" w14:textId="38A13964" w:rsidR="00D57225" w:rsidRPr="00104227" w:rsidRDefault="002826A6" w:rsidP="00E4619F">
      <w:pPr>
        <w:pStyle w:val="Numberedparagraphs"/>
        <w:tabs>
          <w:tab w:val="left" w:pos="567"/>
        </w:tabs>
        <w:rPr>
          <w:b/>
          <w:lang w:val="en-US"/>
        </w:rPr>
      </w:pPr>
      <w:r w:rsidRPr="00104227">
        <w:rPr>
          <w:lang w:val="en-US"/>
        </w:rPr>
        <w:t xml:space="preserve">The </w:t>
      </w:r>
      <w:r w:rsidRPr="00104227">
        <w:rPr>
          <w:b/>
          <w:bCs/>
          <w:i/>
          <w:iCs/>
          <w:lang w:val="en-US"/>
        </w:rPr>
        <w:t>representatives</w:t>
      </w:r>
      <w:r w:rsidR="00D57225" w:rsidRPr="00104227">
        <w:rPr>
          <w:b/>
          <w:i/>
          <w:lang w:val="en-US"/>
        </w:rPr>
        <w:t xml:space="preserve"> </w:t>
      </w:r>
      <w:r w:rsidR="00D57225" w:rsidRPr="00104227">
        <w:rPr>
          <w:lang w:val="en-US"/>
        </w:rPr>
        <w:t>a</w:t>
      </w:r>
      <w:r w:rsidR="000923AE" w:rsidRPr="00104227">
        <w:rPr>
          <w:lang w:val="en-US"/>
        </w:rPr>
        <w:t xml:space="preserve">sserted that, as a result of the sexual torture perpetrated by State agents, the victims </w:t>
      </w:r>
      <w:r w:rsidR="002A6518" w:rsidRPr="00104227">
        <w:rPr>
          <w:lang w:val="en-US"/>
        </w:rPr>
        <w:t>experienced physical and psychological suffering and problems with regard to their families, their affective relationships, and their reputation, among other</w:t>
      </w:r>
      <w:r w:rsidR="00BD2A81" w:rsidRPr="00104227">
        <w:rPr>
          <w:lang w:val="en-US"/>
        </w:rPr>
        <w:t xml:space="preserve"> matter</w:t>
      </w:r>
      <w:r w:rsidR="002A6518" w:rsidRPr="00104227">
        <w:rPr>
          <w:lang w:val="en-US"/>
        </w:rPr>
        <w:t xml:space="preserve">s. Consequently,  </w:t>
      </w:r>
      <w:r w:rsidRPr="00104227">
        <w:rPr>
          <w:lang w:val="en-US"/>
        </w:rPr>
        <w:t>the representatives</w:t>
      </w:r>
      <w:r w:rsidR="00D57225" w:rsidRPr="00104227">
        <w:rPr>
          <w:lang w:val="en-US"/>
        </w:rPr>
        <w:t xml:space="preserve"> </w:t>
      </w:r>
      <w:r w:rsidR="002A6518" w:rsidRPr="00104227">
        <w:rPr>
          <w:lang w:val="en-US"/>
        </w:rPr>
        <w:t>asked</w:t>
      </w:r>
      <w:r w:rsidR="00D57225" w:rsidRPr="00104227">
        <w:rPr>
          <w:lang w:val="en-US"/>
        </w:rPr>
        <w:t xml:space="preserve"> </w:t>
      </w:r>
      <w:r w:rsidR="00BF5241" w:rsidRPr="00104227">
        <w:rPr>
          <w:lang w:val="en-US"/>
        </w:rPr>
        <w:t>the Court</w:t>
      </w:r>
      <w:r w:rsidR="00D57225" w:rsidRPr="00104227">
        <w:rPr>
          <w:lang w:val="en-US"/>
        </w:rPr>
        <w:t xml:space="preserve"> </w:t>
      </w:r>
      <w:r w:rsidR="002A6518" w:rsidRPr="00104227">
        <w:rPr>
          <w:lang w:val="en-US"/>
        </w:rPr>
        <w:t xml:space="preserve">to </w:t>
      </w:r>
      <w:r w:rsidR="00D57225" w:rsidRPr="00104227">
        <w:rPr>
          <w:lang w:val="en-US"/>
        </w:rPr>
        <w:t>determin</w:t>
      </w:r>
      <w:r w:rsidR="002A6518" w:rsidRPr="00104227">
        <w:rPr>
          <w:lang w:val="en-US"/>
        </w:rPr>
        <w:t>e, in equity, the amount that the State should pay for</w:t>
      </w:r>
      <w:r w:rsidR="00D57225" w:rsidRPr="00104227">
        <w:rPr>
          <w:lang w:val="en-US"/>
        </w:rPr>
        <w:t xml:space="preserve"> </w:t>
      </w:r>
      <w:r w:rsidR="002A6518" w:rsidRPr="00104227">
        <w:rPr>
          <w:lang w:val="en-US"/>
        </w:rPr>
        <w:t>n</w:t>
      </w:r>
      <w:r w:rsidR="005E5DCC" w:rsidRPr="00104227">
        <w:rPr>
          <w:lang w:val="en-US"/>
        </w:rPr>
        <w:t>on-pecuniary</w:t>
      </w:r>
      <w:r w:rsidR="00F3010F" w:rsidRPr="00104227">
        <w:rPr>
          <w:lang w:val="en-US"/>
        </w:rPr>
        <w:t xml:space="preserve"> damage</w:t>
      </w:r>
      <w:r w:rsidR="00D57225" w:rsidRPr="00104227">
        <w:rPr>
          <w:lang w:val="en-US"/>
        </w:rPr>
        <w:t xml:space="preserve">. </w:t>
      </w:r>
      <w:r w:rsidR="002A6518" w:rsidRPr="00104227">
        <w:rPr>
          <w:lang w:val="en-US"/>
        </w:rPr>
        <w:t>They asked that this reparation be extended also to the next of kin of the victims who had also experienced severe suffering, as well as changes in the family dynamics</w:t>
      </w:r>
      <w:r w:rsidR="00BD2A81" w:rsidRPr="00104227">
        <w:rPr>
          <w:lang w:val="en-US"/>
        </w:rPr>
        <w:t>,</w:t>
      </w:r>
      <w:r w:rsidR="002A6518" w:rsidRPr="00104227">
        <w:rPr>
          <w:lang w:val="en-US"/>
        </w:rPr>
        <w:t xml:space="preserve"> as a result </w:t>
      </w:r>
      <w:r w:rsidR="00650467" w:rsidRPr="00104227">
        <w:rPr>
          <w:lang w:val="en-US"/>
        </w:rPr>
        <w:t xml:space="preserve">of the </w:t>
      </w:r>
      <w:r w:rsidR="00E466FA" w:rsidRPr="00104227">
        <w:rPr>
          <w:lang w:val="en-US"/>
        </w:rPr>
        <w:t>human rights violations</w:t>
      </w:r>
      <w:r w:rsidR="00D57225" w:rsidRPr="00104227">
        <w:rPr>
          <w:lang w:val="en-US"/>
        </w:rPr>
        <w:t xml:space="preserve">. </w:t>
      </w:r>
      <w:r w:rsidR="002A6518" w:rsidRPr="00104227">
        <w:rPr>
          <w:lang w:val="en-US"/>
        </w:rPr>
        <w:t xml:space="preserve">They reiterated that this measure should not be granted in </w:t>
      </w:r>
      <w:r w:rsidR="00D57225" w:rsidRPr="00104227">
        <w:rPr>
          <w:lang w:val="en-US"/>
        </w:rPr>
        <w:t xml:space="preserve">favor </w:t>
      </w:r>
      <w:r w:rsidR="002A6518" w:rsidRPr="00104227">
        <w:rPr>
          <w:lang w:val="en-US"/>
        </w:rPr>
        <w:t>of</w:t>
      </w:r>
      <w:r w:rsidR="00D57225" w:rsidRPr="00104227">
        <w:rPr>
          <w:lang w:val="en-US"/>
        </w:rPr>
        <w:t xml:space="preserve"> </w:t>
      </w:r>
      <w:r w:rsidR="002A6518" w:rsidRPr="00104227">
        <w:rPr>
          <w:lang w:val="en-US"/>
        </w:rPr>
        <w:t xml:space="preserve">either </w:t>
      </w:r>
      <w:r w:rsidR="00D57225" w:rsidRPr="00104227">
        <w:rPr>
          <w:lang w:val="en-US"/>
        </w:rPr>
        <w:t>Georgina Edith Rosales</w:t>
      </w:r>
      <w:r w:rsidR="002A6518" w:rsidRPr="00104227">
        <w:rPr>
          <w:lang w:val="en-US"/>
        </w:rPr>
        <w:t xml:space="preserve"> or her family members, as they did not wish to receive financial reparation</w:t>
      </w:r>
      <w:r w:rsidR="00BD2A81" w:rsidRPr="00104227">
        <w:rPr>
          <w:lang w:val="en-US"/>
        </w:rPr>
        <w:t>s</w:t>
      </w:r>
      <w:r w:rsidR="002A6518" w:rsidRPr="00104227">
        <w:rPr>
          <w:lang w:val="en-US"/>
        </w:rPr>
        <w:t>.</w:t>
      </w:r>
      <w:r w:rsidR="00D57225" w:rsidRPr="00104227">
        <w:rPr>
          <w:lang w:val="en-US"/>
        </w:rPr>
        <w:t xml:space="preserve"> </w:t>
      </w:r>
    </w:p>
    <w:p w14:paraId="55458849" w14:textId="77777777" w:rsidR="00D57225" w:rsidRPr="00104227" w:rsidRDefault="00D57225" w:rsidP="00E4619F">
      <w:pPr>
        <w:tabs>
          <w:tab w:val="left" w:pos="567"/>
        </w:tabs>
        <w:rPr>
          <w:lang w:eastAsia="es-MX"/>
        </w:rPr>
      </w:pPr>
    </w:p>
    <w:p w14:paraId="678A2F36" w14:textId="0C23CE35" w:rsidR="00D57225" w:rsidRPr="00104227" w:rsidRDefault="00BF5241" w:rsidP="00E4619F">
      <w:pPr>
        <w:pStyle w:val="Numberedparagraphs"/>
        <w:tabs>
          <w:tab w:val="left" w:pos="567"/>
        </w:tabs>
        <w:rPr>
          <w:b/>
          <w:lang w:val="en-US"/>
        </w:rPr>
      </w:pPr>
      <w:bookmarkStart w:id="423" w:name="_Ref532988388"/>
      <w:r w:rsidRPr="00104227">
        <w:rPr>
          <w:lang w:val="en-US"/>
        </w:rPr>
        <w:t>The Court</w:t>
      </w:r>
      <w:r w:rsidR="00D57225" w:rsidRPr="00104227">
        <w:rPr>
          <w:lang w:val="en-US"/>
        </w:rPr>
        <w:t xml:space="preserve"> ha</w:t>
      </w:r>
      <w:r w:rsidR="002A6518" w:rsidRPr="00104227">
        <w:rPr>
          <w:lang w:val="en-US"/>
        </w:rPr>
        <w:t>s established in its case law that n</w:t>
      </w:r>
      <w:r w:rsidR="005E5DCC" w:rsidRPr="00104227">
        <w:rPr>
          <w:lang w:val="en-US"/>
        </w:rPr>
        <w:t>on-pecuniary</w:t>
      </w:r>
      <w:r w:rsidR="00F3010F" w:rsidRPr="00104227">
        <w:rPr>
          <w:lang w:val="en-US"/>
        </w:rPr>
        <w:t xml:space="preserve"> damage </w:t>
      </w:r>
      <w:r w:rsidR="002A6518" w:rsidRPr="00104227">
        <w:rPr>
          <w:lang w:val="en-US"/>
        </w:rPr>
        <w:t>may include both the suffering and affliction caused by the violation and</w:t>
      </w:r>
      <w:r w:rsidR="00BD2A81" w:rsidRPr="00104227">
        <w:rPr>
          <w:lang w:val="en-US"/>
        </w:rPr>
        <w:t xml:space="preserve"> also</w:t>
      </w:r>
      <w:r w:rsidR="002A6518" w:rsidRPr="00104227">
        <w:rPr>
          <w:lang w:val="en-US"/>
        </w:rPr>
        <w:t xml:space="preserve"> the impairment of values that are of great significance for the individual, </w:t>
      </w:r>
      <w:r w:rsidR="00BD2A81" w:rsidRPr="00104227">
        <w:rPr>
          <w:lang w:val="en-US"/>
        </w:rPr>
        <w:t>as well as</w:t>
      </w:r>
      <w:r w:rsidR="002A6518" w:rsidRPr="00104227">
        <w:rPr>
          <w:lang w:val="en-US"/>
        </w:rPr>
        <w:t xml:space="preserve"> any changes of a non-pecuniary nature in the living conditions of the victims. In addition, since it is not </w:t>
      </w:r>
      <w:r w:rsidR="00F27D61" w:rsidRPr="00104227">
        <w:rPr>
          <w:lang w:val="en-US"/>
        </w:rPr>
        <w:t>possible</w:t>
      </w:r>
      <w:r w:rsidR="002A6518" w:rsidRPr="00104227">
        <w:rPr>
          <w:lang w:val="en-US"/>
        </w:rPr>
        <w:t xml:space="preserve"> to allocate a precise monetary equivalent to n</w:t>
      </w:r>
      <w:r w:rsidR="005E5DCC" w:rsidRPr="00104227">
        <w:rPr>
          <w:lang w:val="en-US"/>
        </w:rPr>
        <w:t>on-pecuniary</w:t>
      </w:r>
      <w:r w:rsidR="00F3010F" w:rsidRPr="00104227">
        <w:rPr>
          <w:lang w:val="en-US"/>
        </w:rPr>
        <w:t xml:space="preserve"> damage</w:t>
      </w:r>
      <w:r w:rsidR="002A6518" w:rsidRPr="00104227">
        <w:rPr>
          <w:lang w:val="en-US"/>
        </w:rPr>
        <w:t>, it can only be compensated, for the purposes of comprehensive reparation to the victim</w:t>
      </w:r>
      <w:r w:rsidR="00B83DEB" w:rsidRPr="00104227">
        <w:rPr>
          <w:lang w:val="en-US"/>
        </w:rPr>
        <w:t>,</w:t>
      </w:r>
      <w:r w:rsidR="002A6518" w:rsidRPr="00104227">
        <w:rPr>
          <w:lang w:val="en-US"/>
        </w:rPr>
        <w:t xml:space="preserve"> by the payment of a sum of money or the deliver</w:t>
      </w:r>
      <w:r w:rsidR="00B83DEB" w:rsidRPr="00104227">
        <w:rPr>
          <w:lang w:val="en-US"/>
        </w:rPr>
        <w:t>y</w:t>
      </w:r>
      <w:r w:rsidR="002A6518" w:rsidRPr="00104227">
        <w:rPr>
          <w:lang w:val="en-US"/>
        </w:rPr>
        <w:t xml:space="preserve"> of goods or services with a monetary value that the Court determines in reasonable application of sound judicial criteria and </w:t>
      </w:r>
      <w:r w:rsidR="00B83DEB" w:rsidRPr="00104227">
        <w:rPr>
          <w:lang w:val="en-US"/>
        </w:rPr>
        <w:t>based on</w:t>
      </w:r>
      <w:r w:rsidR="002A6518" w:rsidRPr="00104227">
        <w:rPr>
          <w:lang w:val="en-US"/>
        </w:rPr>
        <w:t xml:space="preserve"> equity.</w:t>
      </w:r>
      <w:r w:rsidR="00D57225" w:rsidRPr="00104227">
        <w:rPr>
          <w:rStyle w:val="Refdenotaalpie"/>
          <w:szCs w:val="20"/>
          <w:lang w:val="en-US"/>
        </w:rPr>
        <w:footnoteReference w:id="471"/>
      </w:r>
      <w:bookmarkEnd w:id="423"/>
    </w:p>
    <w:p w14:paraId="3B420A87" w14:textId="77777777" w:rsidR="00D57225" w:rsidRPr="00104227" w:rsidRDefault="00D57225" w:rsidP="00E4619F">
      <w:pPr>
        <w:pStyle w:val="PrrafodeSentencia"/>
        <w:numPr>
          <w:ilvl w:val="0"/>
          <w:numId w:val="0"/>
        </w:numPr>
        <w:rPr>
          <w:b/>
          <w:lang w:val="en-US"/>
        </w:rPr>
      </w:pPr>
    </w:p>
    <w:p w14:paraId="6F9AA3B3" w14:textId="5221B9B6" w:rsidR="00D57225" w:rsidRPr="00104227" w:rsidRDefault="00BF5241" w:rsidP="00E4619F">
      <w:pPr>
        <w:pStyle w:val="Numberedparagraphs"/>
        <w:tabs>
          <w:tab w:val="left" w:pos="567"/>
        </w:tabs>
        <w:rPr>
          <w:color w:val="00B050"/>
          <w:lang w:val="en-US"/>
        </w:rPr>
      </w:pPr>
      <w:bookmarkStart w:id="424" w:name="_Ref532988390"/>
      <w:r w:rsidRPr="00104227">
        <w:rPr>
          <w:lang w:val="en-US" w:bidi="en-US"/>
        </w:rPr>
        <w:t>The Court</w:t>
      </w:r>
      <w:r w:rsidR="00D57225" w:rsidRPr="00104227">
        <w:rPr>
          <w:lang w:val="en-US" w:bidi="en-US"/>
        </w:rPr>
        <w:t xml:space="preserve"> rec</w:t>
      </w:r>
      <w:r w:rsidR="00F3010F" w:rsidRPr="00104227">
        <w:rPr>
          <w:lang w:val="en-US" w:bidi="en-US"/>
        </w:rPr>
        <w:t xml:space="preserve">alls that, in this case, it has determined that the State committed serious violations of the </w:t>
      </w:r>
      <w:r w:rsidR="0094395C" w:rsidRPr="00104227">
        <w:rPr>
          <w:lang w:val="en-US" w:bidi="en-US"/>
        </w:rPr>
        <w:t>personal integrity</w:t>
      </w:r>
      <w:r w:rsidR="00D57225" w:rsidRPr="00104227">
        <w:rPr>
          <w:lang w:val="en-US" w:bidi="en-US"/>
        </w:rPr>
        <w:t xml:space="preserve">, </w:t>
      </w:r>
      <w:r w:rsidR="00F3010F" w:rsidRPr="00104227">
        <w:rPr>
          <w:lang w:val="en-US" w:bidi="en-US"/>
        </w:rPr>
        <w:t>privacy</w:t>
      </w:r>
      <w:r w:rsidRPr="00104227">
        <w:rPr>
          <w:lang w:val="en-US" w:bidi="en-US"/>
        </w:rPr>
        <w:t xml:space="preserve"> and </w:t>
      </w:r>
      <w:r w:rsidR="00D57225" w:rsidRPr="00104227">
        <w:rPr>
          <w:lang w:val="en-US" w:bidi="en-US"/>
        </w:rPr>
        <w:t xml:space="preserve">personal </w:t>
      </w:r>
      <w:r w:rsidR="00F3010F" w:rsidRPr="00104227">
        <w:rPr>
          <w:lang w:val="en-US" w:bidi="en-US"/>
        </w:rPr>
        <w:t xml:space="preserve">liberty </w:t>
      </w:r>
      <w:r w:rsidR="00F12946" w:rsidRPr="00104227">
        <w:rPr>
          <w:lang w:val="en-US" w:bidi="en-US"/>
        </w:rPr>
        <w:t>of the eleven women</w:t>
      </w:r>
      <w:r w:rsidR="00D57225" w:rsidRPr="00104227">
        <w:rPr>
          <w:lang w:val="en-US" w:bidi="en-US"/>
        </w:rPr>
        <w:t xml:space="preserve">, </w:t>
      </w:r>
      <w:r w:rsidR="00F3010F" w:rsidRPr="00104227">
        <w:rPr>
          <w:lang w:val="en-US" w:bidi="en-US"/>
        </w:rPr>
        <w:t xml:space="preserve">and of their next of kin. Considering the circumstances of the case, all the violations committed, the denial of justice, the suffering caused and experienced, the impact on the lives </w:t>
      </w:r>
      <w:r w:rsidR="00F12946" w:rsidRPr="00104227">
        <w:rPr>
          <w:lang w:val="en-US" w:bidi="en-US"/>
        </w:rPr>
        <w:t>of the eleven women</w:t>
      </w:r>
      <w:r w:rsidRPr="00104227">
        <w:rPr>
          <w:lang w:val="en-US" w:bidi="en-US"/>
        </w:rPr>
        <w:t xml:space="preserve"> and </w:t>
      </w:r>
      <w:r w:rsidR="00F3010F" w:rsidRPr="00104227">
        <w:rPr>
          <w:lang w:val="en-US" w:bidi="en-US"/>
        </w:rPr>
        <w:t>their families, as well as the other consequences of a non-pecuniary nature they suffered, the Court deems it pertine</w:t>
      </w:r>
      <w:r w:rsidR="00B83DEB" w:rsidRPr="00104227">
        <w:rPr>
          <w:lang w:val="en-US" w:bidi="en-US"/>
        </w:rPr>
        <w:t>nt</w:t>
      </w:r>
      <w:r w:rsidR="00F3010F" w:rsidRPr="00104227">
        <w:rPr>
          <w:lang w:val="en-US" w:bidi="en-US"/>
        </w:rPr>
        <w:t xml:space="preserve"> to establish, in equity, </w:t>
      </w:r>
      <w:r w:rsidR="00B83DEB" w:rsidRPr="00104227">
        <w:rPr>
          <w:lang w:val="en-US" w:bidi="en-US"/>
        </w:rPr>
        <w:t xml:space="preserve">for </w:t>
      </w:r>
      <w:r w:rsidR="00F3010F" w:rsidRPr="00104227">
        <w:rPr>
          <w:rFonts w:cs="Verdana"/>
          <w:lang w:val="en-US"/>
        </w:rPr>
        <w:t>n</w:t>
      </w:r>
      <w:r w:rsidR="005E5DCC" w:rsidRPr="00104227">
        <w:rPr>
          <w:rFonts w:cs="Verdana"/>
          <w:lang w:val="en-US"/>
        </w:rPr>
        <w:t>on-pecuniary</w:t>
      </w:r>
      <w:r w:rsidR="00F3010F" w:rsidRPr="00104227">
        <w:rPr>
          <w:rFonts w:cs="Verdana"/>
          <w:lang w:val="en-US"/>
        </w:rPr>
        <w:t xml:space="preserve"> damage</w:t>
      </w:r>
      <w:r w:rsidR="00181052" w:rsidRPr="00104227">
        <w:rPr>
          <w:rFonts w:cs="Verdana"/>
          <w:lang w:val="en-US"/>
        </w:rPr>
        <w:t xml:space="preserve">, </w:t>
      </w:r>
      <w:r w:rsidR="00F3010F" w:rsidRPr="00104227">
        <w:rPr>
          <w:rFonts w:cs="Verdana"/>
          <w:lang w:val="en-US"/>
        </w:rPr>
        <w:t>the sums of</w:t>
      </w:r>
      <w:r w:rsidR="00181052" w:rsidRPr="00104227">
        <w:rPr>
          <w:rFonts w:cs="Verdana"/>
          <w:lang w:val="en-US"/>
        </w:rPr>
        <w:t xml:space="preserve">: </w:t>
      </w:r>
      <w:r w:rsidR="00F3010F" w:rsidRPr="00104227">
        <w:rPr>
          <w:rFonts w:cs="Verdana"/>
          <w:lang w:val="en-US"/>
        </w:rPr>
        <w:t>US$</w:t>
      </w:r>
      <w:r w:rsidR="00D57225" w:rsidRPr="00104227">
        <w:rPr>
          <w:rFonts w:cs="Verdana"/>
          <w:lang w:val="en-US"/>
        </w:rPr>
        <w:t>70</w:t>
      </w:r>
      <w:r w:rsidR="00F3010F" w:rsidRPr="00104227">
        <w:rPr>
          <w:rFonts w:cs="Verdana"/>
          <w:lang w:val="en-US"/>
        </w:rPr>
        <w:t>,000.00</w:t>
      </w:r>
      <w:r w:rsidR="00D57225" w:rsidRPr="00104227">
        <w:rPr>
          <w:rFonts w:cs="Verdana"/>
          <w:lang w:val="en-US"/>
        </w:rPr>
        <w:t xml:space="preserve"> (se</w:t>
      </w:r>
      <w:r w:rsidR="00F3010F" w:rsidRPr="00104227">
        <w:rPr>
          <w:rFonts w:cs="Verdana"/>
          <w:lang w:val="en-US"/>
        </w:rPr>
        <w:t>venty</w:t>
      </w:r>
      <w:r w:rsidR="00D57225" w:rsidRPr="00104227">
        <w:rPr>
          <w:rFonts w:cs="Verdana"/>
          <w:lang w:val="en-US"/>
        </w:rPr>
        <w:t xml:space="preserve"> </w:t>
      </w:r>
      <w:r w:rsidR="00F3010F" w:rsidRPr="00104227">
        <w:rPr>
          <w:rFonts w:cs="Verdana"/>
          <w:lang w:val="en-US"/>
        </w:rPr>
        <w:t>thousand United States dollars</w:t>
      </w:r>
      <w:r w:rsidR="00D57225" w:rsidRPr="00104227">
        <w:rPr>
          <w:rFonts w:cs="Verdana"/>
          <w:lang w:val="en-US"/>
        </w:rPr>
        <w:t xml:space="preserve">) </w:t>
      </w:r>
      <w:r w:rsidR="00F3010F" w:rsidRPr="00104227">
        <w:rPr>
          <w:lang w:val="en-US"/>
        </w:rPr>
        <w:t>for each of the</w:t>
      </w:r>
      <w:r w:rsidR="00D57225" w:rsidRPr="00104227">
        <w:rPr>
          <w:lang w:val="en-US"/>
        </w:rPr>
        <w:t xml:space="preserve"> </w:t>
      </w:r>
      <w:r w:rsidR="004160EE" w:rsidRPr="00104227">
        <w:rPr>
          <w:lang w:val="en-US"/>
        </w:rPr>
        <w:t>ten</w:t>
      </w:r>
      <w:r w:rsidR="00D57225" w:rsidRPr="00104227">
        <w:rPr>
          <w:lang w:val="en-US"/>
        </w:rPr>
        <w:t xml:space="preserve"> </w:t>
      </w:r>
      <w:r w:rsidR="00F3010F" w:rsidRPr="00104227">
        <w:rPr>
          <w:lang w:val="en-US"/>
        </w:rPr>
        <w:t>women</w:t>
      </w:r>
      <w:r w:rsidR="00D57225" w:rsidRPr="00104227">
        <w:rPr>
          <w:lang w:val="en-US"/>
        </w:rPr>
        <w:t xml:space="preserve"> </w:t>
      </w:r>
      <w:r w:rsidR="00EF03E5" w:rsidRPr="00104227">
        <w:rPr>
          <w:lang w:val="en-US"/>
        </w:rPr>
        <w:t>victims in this case</w:t>
      </w:r>
      <w:r w:rsidR="00D57225" w:rsidRPr="00104227">
        <w:rPr>
          <w:lang w:val="en-US"/>
        </w:rPr>
        <w:t xml:space="preserve"> </w:t>
      </w:r>
      <w:r w:rsidR="00F3010F" w:rsidRPr="00104227">
        <w:rPr>
          <w:lang w:val="en-US"/>
        </w:rPr>
        <w:t>who have requested financial compensation, namely,</w:t>
      </w:r>
      <w:r w:rsidR="00D57225" w:rsidRPr="00104227">
        <w:rPr>
          <w:lang w:val="en-US"/>
        </w:rPr>
        <w:t xml:space="preserve"> Yolanda Muñoz Diosdada, Norma Aidé Jiménez Osorio, María Patricia Romero Hernández, Mariana Selvas Gómez, Ana María Velasco Rodríguez, Suhelen Gabriela Cuevas Jaramillo, Bárbara Italia Méndez Moreno, María Cristina Sánchez Hernández, </w:t>
      </w:r>
      <w:r w:rsidR="0047539E" w:rsidRPr="00104227">
        <w:rPr>
          <w:lang w:val="en-US"/>
        </w:rPr>
        <w:t>Angélica Patricia Torres</w:t>
      </w:r>
      <w:r w:rsidR="00D57225" w:rsidRPr="00104227">
        <w:rPr>
          <w:lang w:val="en-US"/>
        </w:rPr>
        <w:t xml:space="preserve"> Linares</w:t>
      </w:r>
      <w:r w:rsidRPr="00104227">
        <w:rPr>
          <w:lang w:val="en-US"/>
        </w:rPr>
        <w:t xml:space="preserve"> and </w:t>
      </w:r>
      <w:r w:rsidR="00D57225" w:rsidRPr="00104227">
        <w:rPr>
          <w:lang w:val="en-US"/>
        </w:rPr>
        <w:t xml:space="preserve">Claudia Hernández Martínez; </w:t>
      </w:r>
      <w:r w:rsidR="00F3010F" w:rsidRPr="00104227">
        <w:rPr>
          <w:lang w:val="en-US"/>
        </w:rPr>
        <w:t>US$</w:t>
      </w:r>
      <w:r w:rsidR="00D57225" w:rsidRPr="00104227">
        <w:rPr>
          <w:lang w:val="en-US"/>
        </w:rPr>
        <w:t>15</w:t>
      </w:r>
      <w:r w:rsidR="00F3010F" w:rsidRPr="00104227">
        <w:rPr>
          <w:lang w:val="en-US"/>
        </w:rPr>
        <w:t>,000.00</w:t>
      </w:r>
      <w:r w:rsidR="00D57225" w:rsidRPr="00104227">
        <w:rPr>
          <w:lang w:val="en-US"/>
        </w:rPr>
        <w:t xml:space="preserve"> (</w:t>
      </w:r>
      <w:r w:rsidR="00F3010F" w:rsidRPr="00104227">
        <w:rPr>
          <w:lang w:val="en-US"/>
        </w:rPr>
        <w:t>fifteen</w:t>
      </w:r>
      <w:r w:rsidR="00D57225" w:rsidRPr="00104227">
        <w:rPr>
          <w:lang w:val="en-US"/>
        </w:rPr>
        <w:t xml:space="preserve"> </w:t>
      </w:r>
      <w:r w:rsidR="00F3010F" w:rsidRPr="00104227">
        <w:rPr>
          <w:lang w:val="en-US"/>
        </w:rPr>
        <w:t>thousand United States dollars</w:t>
      </w:r>
      <w:r w:rsidR="00D57225" w:rsidRPr="00104227">
        <w:rPr>
          <w:lang w:val="en-US"/>
        </w:rPr>
        <w:t xml:space="preserve">) </w:t>
      </w:r>
      <w:r w:rsidR="00F3010F" w:rsidRPr="00104227">
        <w:rPr>
          <w:lang w:val="en-US"/>
        </w:rPr>
        <w:t xml:space="preserve">for each </w:t>
      </w:r>
      <w:r w:rsidR="00A7120C" w:rsidRPr="00104227">
        <w:rPr>
          <w:lang w:val="en-US"/>
        </w:rPr>
        <w:t>mother</w:t>
      </w:r>
      <w:r w:rsidR="00D57225" w:rsidRPr="00104227">
        <w:rPr>
          <w:lang w:val="en-US"/>
        </w:rPr>
        <w:t xml:space="preserve">, </w:t>
      </w:r>
      <w:r w:rsidR="00A7120C" w:rsidRPr="00104227">
        <w:rPr>
          <w:lang w:val="en-US"/>
        </w:rPr>
        <w:t>father</w:t>
      </w:r>
      <w:r w:rsidR="00D57225" w:rsidRPr="00104227">
        <w:rPr>
          <w:lang w:val="en-US"/>
        </w:rPr>
        <w:t xml:space="preserve">, </w:t>
      </w:r>
      <w:r w:rsidR="00F3010F" w:rsidRPr="00104227">
        <w:rPr>
          <w:lang w:val="en-US"/>
        </w:rPr>
        <w:t>daughter and son</w:t>
      </w:r>
      <w:r w:rsidR="00D57225" w:rsidRPr="00104227">
        <w:rPr>
          <w:lang w:val="en-US"/>
        </w:rPr>
        <w:t xml:space="preserve">, </w:t>
      </w:r>
      <w:r w:rsidR="00F3010F" w:rsidRPr="00104227">
        <w:rPr>
          <w:lang w:val="en-US"/>
        </w:rPr>
        <w:lastRenderedPageBreak/>
        <w:t xml:space="preserve">spouse or permanent companion of the said victims, identified in </w:t>
      </w:r>
      <w:r w:rsidR="00DF5F3C" w:rsidRPr="00104227">
        <w:rPr>
          <w:lang w:val="en-US"/>
        </w:rPr>
        <w:t>paragraph</w:t>
      </w:r>
      <w:r w:rsidR="00D57225" w:rsidRPr="00104227">
        <w:rPr>
          <w:lang w:val="en-US"/>
        </w:rPr>
        <w:t xml:space="preserve"> </w:t>
      </w:r>
      <w:r w:rsidR="00181052" w:rsidRPr="00104227">
        <w:rPr>
          <w:lang w:val="en-US"/>
        </w:rPr>
        <w:fldChar w:fldCharType="begin"/>
      </w:r>
      <w:r w:rsidR="00181052" w:rsidRPr="00104227">
        <w:rPr>
          <w:lang w:val="en-US"/>
        </w:rPr>
        <w:instrText xml:space="preserve"> REF _Ref532979975 \r \h </w:instrText>
      </w:r>
      <w:r w:rsidR="00284EAE" w:rsidRPr="00104227">
        <w:rPr>
          <w:lang w:val="en-US"/>
        </w:rPr>
        <w:instrText xml:space="preserve"> \* MERGEFORMAT </w:instrText>
      </w:r>
      <w:r w:rsidR="00181052" w:rsidRPr="00104227">
        <w:rPr>
          <w:lang w:val="en-US"/>
        </w:rPr>
      </w:r>
      <w:r w:rsidR="00181052" w:rsidRPr="00104227">
        <w:rPr>
          <w:lang w:val="en-US"/>
        </w:rPr>
        <w:fldChar w:fldCharType="separate"/>
      </w:r>
      <w:r w:rsidR="004276BD">
        <w:rPr>
          <w:lang w:val="en-US"/>
        </w:rPr>
        <w:t>324</w:t>
      </w:r>
      <w:r w:rsidR="00181052" w:rsidRPr="00104227">
        <w:rPr>
          <w:lang w:val="en-US"/>
        </w:rPr>
        <w:fldChar w:fldCharType="end"/>
      </w:r>
      <w:r w:rsidR="00D57225" w:rsidRPr="00104227">
        <w:rPr>
          <w:lang w:val="en-US"/>
        </w:rPr>
        <w:t xml:space="preserve"> </w:t>
      </w:r>
      <w:r w:rsidR="005E29A3" w:rsidRPr="00104227">
        <w:rPr>
          <w:lang w:val="en-US"/>
        </w:rPr>
        <w:t>of this judgment</w:t>
      </w:r>
      <w:r w:rsidR="00D57225" w:rsidRPr="00104227">
        <w:rPr>
          <w:lang w:val="en-US"/>
        </w:rPr>
        <w:t>,</w:t>
      </w:r>
      <w:r w:rsidRPr="00104227">
        <w:rPr>
          <w:lang w:val="en-US"/>
        </w:rPr>
        <w:t xml:space="preserve"> and </w:t>
      </w:r>
      <w:r w:rsidR="00F3010F" w:rsidRPr="00104227">
        <w:rPr>
          <w:lang w:val="en-US"/>
        </w:rPr>
        <w:t>US$</w:t>
      </w:r>
      <w:r w:rsidR="00D57225" w:rsidRPr="00104227">
        <w:rPr>
          <w:lang w:val="en-US"/>
        </w:rPr>
        <w:t>10</w:t>
      </w:r>
      <w:r w:rsidR="00F3010F" w:rsidRPr="00104227">
        <w:rPr>
          <w:lang w:val="en-US"/>
        </w:rPr>
        <w:t>,000.00</w:t>
      </w:r>
      <w:r w:rsidR="00D57225" w:rsidRPr="00104227">
        <w:rPr>
          <w:lang w:val="en-US"/>
        </w:rPr>
        <w:t xml:space="preserve"> (</w:t>
      </w:r>
      <w:r w:rsidR="004160EE" w:rsidRPr="00104227">
        <w:rPr>
          <w:lang w:val="en-US"/>
        </w:rPr>
        <w:t>ten</w:t>
      </w:r>
      <w:r w:rsidR="00D57225" w:rsidRPr="00104227">
        <w:rPr>
          <w:lang w:val="en-US"/>
        </w:rPr>
        <w:t xml:space="preserve"> </w:t>
      </w:r>
      <w:r w:rsidR="00F3010F" w:rsidRPr="00104227">
        <w:rPr>
          <w:lang w:val="en-US"/>
        </w:rPr>
        <w:t>thousand United States dollars</w:t>
      </w:r>
      <w:r w:rsidR="00D57225" w:rsidRPr="00104227">
        <w:rPr>
          <w:lang w:val="en-US"/>
        </w:rPr>
        <w:t xml:space="preserve">) </w:t>
      </w:r>
      <w:r w:rsidR="00F3010F" w:rsidRPr="00104227">
        <w:rPr>
          <w:lang w:val="en-US"/>
        </w:rPr>
        <w:t>in favor of each</w:t>
      </w:r>
      <w:r w:rsidR="00D57225" w:rsidRPr="00104227">
        <w:rPr>
          <w:lang w:val="en-US"/>
        </w:rPr>
        <w:t xml:space="preserve"> </w:t>
      </w:r>
      <w:r w:rsidR="00A7120C" w:rsidRPr="00104227">
        <w:rPr>
          <w:lang w:val="en-US"/>
        </w:rPr>
        <w:t>brother</w:t>
      </w:r>
      <w:r w:rsidR="00D57225" w:rsidRPr="00104227">
        <w:rPr>
          <w:lang w:val="en-US"/>
        </w:rPr>
        <w:t xml:space="preserve">, </w:t>
      </w:r>
      <w:r w:rsidR="00A7120C" w:rsidRPr="00104227">
        <w:rPr>
          <w:lang w:val="en-US"/>
        </w:rPr>
        <w:t>sister</w:t>
      </w:r>
      <w:r w:rsidR="00D57225" w:rsidRPr="00104227">
        <w:rPr>
          <w:lang w:val="en-US"/>
        </w:rPr>
        <w:t xml:space="preserve">, </w:t>
      </w:r>
      <w:r w:rsidR="00A7120C" w:rsidRPr="00104227">
        <w:rPr>
          <w:lang w:val="en-US"/>
        </w:rPr>
        <w:t>nephew</w:t>
      </w:r>
      <w:r w:rsidRPr="00104227">
        <w:rPr>
          <w:lang w:val="en-US"/>
        </w:rPr>
        <w:t xml:space="preserve"> and </w:t>
      </w:r>
      <w:r w:rsidR="00A7120C" w:rsidRPr="00104227">
        <w:rPr>
          <w:lang w:val="en-US"/>
        </w:rPr>
        <w:t>niece</w:t>
      </w:r>
      <w:r w:rsidR="00D57225" w:rsidRPr="00104227">
        <w:rPr>
          <w:lang w:val="en-US"/>
        </w:rPr>
        <w:t xml:space="preserve"> </w:t>
      </w:r>
      <w:r w:rsidR="00F3010F" w:rsidRPr="00104227">
        <w:rPr>
          <w:lang w:val="en-US"/>
        </w:rPr>
        <w:t xml:space="preserve">of these </w:t>
      </w:r>
      <w:r w:rsidR="00F27D61" w:rsidRPr="00104227">
        <w:rPr>
          <w:lang w:val="en-US"/>
        </w:rPr>
        <w:t>victims</w:t>
      </w:r>
      <w:r w:rsidR="00F3010F" w:rsidRPr="00104227">
        <w:rPr>
          <w:lang w:val="en-US"/>
        </w:rPr>
        <w:t xml:space="preserve"> identified in </w:t>
      </w:r>
      <w:r w:rsidR="00DF5F3C" w:rsidRPr="00104227">
        <w:rPr>
          <w:lang w:val="en-US"/>
        </w:rPr>
        <w:t>paragraph</w:t>
      </w:r>
      <w:r w:rsidR="00D57225" w:rsidRPr="00104227">
        <w:rPr>
          <w:lang w:val="en-US"/>
        </w:rPr>
        <w:t xml:space="preserve"> </w:t>
      </w:r>
      <w:r w:rsidR="00181052" w:rsidRPr="00104227">
        <w:rPr>
          <w:lang w:val="en-US"/>
        </w:rPr>
        <w:fldChar w:fldCharType="begin"/>
      </w:r>
      <w:r w:rsidR="00181052" w:rsidRPr="00104227">
        <w:rPr>
          <w:lang w:val="en-US"/>
        </w:rPr>
        <w:instrText xml:space="preserve"> REF _Ref532979975 \r \h </w:instrText>
      </w:r>
      <w:r w:rsidR="00284EAE" w:rsidRPr="00104227">
        <w:rPr>
          <w:lang w:val="en-US"/>
        </w:rPr>
        <w:instrText xml:space="preserve"> \* MERGEFORMAT </w:instrText>
      </w:r>
      <w:r w:rsidR="00181052" w:rsidRPr="00104227">
        <w:rPr>
          <w:lang w:val="en-US"/>
        </w:rPr>
      </w:r>
      <w:r w:rsidR="00181052" w:rsidRPr="00104227">
        <w:rPr>
          <w:lang w:val="en-US"/>
        </w:rPr>
        <w:fldChar w:fldCharType="separate"/>
      </w:r>
      <w:r w:rsidR="004276BD">
        <w:rPr>
          <w:lang w:val="en-US"/>
        </w:rPr>
        <w:t>324</w:t>
      </w:r>
      <w:r w:rsidR="00181052" w:rsidRPr="00104227">
        <w:rPr>
          <w:lang w:val="en-US"/>
        </w:rPr>
        <w:fldChar w:fldCharType="end"/>
      </w:r>
      <w:r w:rsidR="00D57225" w:rsidRPr="00104227">
        <w:rPr>
          <w:lang w:val="en-US"/>
        </w:rPr>
        <w:t xml:space="preserve"> </w:t>
      </w:r>
      <w:r w:rsidR="005E29A3" w:rsidRPr="00104227">
        <w:rPr>
          <w:lang w:val="en-US"/>
        </w:rPr>
        <w:t>of this judgment</w:t>
      </w:r>
      <w:r w:rsidR="00D57225" w:rsidRPr="00104227">
        <w:rPr>
          <w:lang w:val="en-US"/>
        </w:rPr>
        <w:t>.</w:t>
      </w:r>
      <w:bookmarkEnd w:id="424"/>
      <w:r w:rsidR="00D57225" w:rsidRPr="00104227">
        <w:rPr>
          <w:lang w:val="en-US"/>
        </w:rPr>
        <w:t xml:space="preserve"> </w:t>
      </w:r>
    </w:p>
    <w:p w14:paraId="1A86EEE2" w14:textId="77777777" w:rsidR="00D57225" w:rsidRPr="00104227" w:rsidRDefault="00D57225" w:rsidP="00E4619F">
      <w:pPr>
        <w:pStyle w:val="PrrafodeSentencia"/>
        <w:numPr>
          <w:ilvl w:val="0"/>
          <w:numId w:val="0"/>
        </w:numPr>
        <w:rPr>
          <w:lang w:val="en-US"/>
        </w:rPr>
      </w:pPr>
    </w:p>
    <w:p w14:paraId="45871A4F" w14:textId="32251B03" w:rsidR="00D57225" w:rsidRPr="00104227" w:rsidRDefault="00AA3133" w:rsidP="00E4619F">
      <w:pPr>
        <w:pStyle w:val="Ttulo2"/>
        <w:ind w:left="1440"/>
        <w:rPr>
          <w:lang w:val="en-US"/>
        </w:rPr>
      </w:pPr>
      <w:bookmarkStart w:id="425" w:name="_Toc31290629"/>
      <w:r w:rsidRPr="00104227">
        <w:rPr>
          <w:lang w:val="en-US"/>
        </w:rPr>
        <w:t>Costs and expenses</w:t>
      </w:r>
      <w:bookmarkEnd w:id="425"/>
    </w:p>
    <w:p w14:paraId="6B092A1B" w14:textId="77777777" w:rsidR="00D57225" w:rsidRPr="00104227" w:rsidRDefault="00D57225" w:rsidP="00E4619F">
      <w:pPr>
        <w:tabs>
          <w:tab w:val="left" w:pos="567"/>
        </w:tabs>
        <w:rPr>
          <w:lang w:eastAsia="es-MX"/>
        </w:rPr>
      </w:pPr>
    </w:p>
    <w:p w14:paraId="59A12CBE" w14:textId="35DE6DEB" w:rsidR="00D57225" w:rsidRPr="00104227" w:rsidRDefault="002826A6" w:rsidP="00E4619F">
      <w:pPr>
        <w:pStyle w:val="Numberedparagraphs"/>
        <w:tabs>
          <w:tab w:val="left" w:pos="567"/>
        </w:tabs>
        <w:rPr>
          <w:b/>
          <w:lang w:val="en-US"/>
        </w:rPr>
      </w:pPr>
      <w:r w:rsidRPr="00104227">
        <w:rPr>
          <w:lang w:val="en-US"/>
        </w:rPr>
        <w:t>The representatives</w:t>
      </w:r>
      <w:r w:rsidR="00D57225" w:rsidRPr="00104227">
        <w:rPr>
          <w:lang w:val="en-US"/>
        </w:rPr>
        <w:t>,</w:t>
      </w:r>
      <w:r w:rsidR="00F3010F" w:rsidRPr="00104227">
        <w:rPr>
          <w:lang w:val="en-US"/>
        </w:rPr>
        <w:t xml:space="preserve"> in this case</w:t>
      </w:r>
      <w:r w:rsidR="00D57225" w:rsidRPr="00104227">
        <w:rPr>
          <w:lang w:val="en-US"/>
        </w:rPr>
        <w:t xml:space="preserve"> CEJIL, </w:t>
      </w:r>
      <w:r w:rsidR="00F3010F" w:rsidRPr="00104227">
        <w:rPr>
          <w:lang w:val="en-US"/>
        </w:rPr>
        <w:t>asked</w:t>
      </w:r>
      <w:r w:rsidR="00D57225" w:rsidRPr="00104227">
        <w:rPr>
          <w:lang w:val="en-US"/>
        </w:rPr>
        <w:t xml:space="preserve"> </w:t>
      </w:r>
      <w:r w:rsidR="00BF5241" w:rsidRPr="00104227">
        <w:rPr>
          <w:lang w:val="en-US"/>
        </w:rPr>
        <w:t>the Court</w:t>
      </w:r>
      <w:r w:rsidR="00F3010F" w:rsidRPr="00104227">
        <w:rPr>
          <w:lang w:val="en-US"/>
        </w:rPr>
        <w:t xml:space="preserve"> to order</w:t>
      </w:r>
      <w:r w:rsidR="0094395C" w:rsidRPr="00104227">
        <w:rPr>
          <w:lang w:val="en-US"/>
        </w:rPr>
        <w:t xml:space="preserve"> the State</w:t>
      </w:r>
      <w:r w:rsidR="00181052" w:rsidRPr="00104227">
        <w:rPr>
          <w:lang w:val="en-US"/>
        </w:rPr>
        <w:t xml:space="preserve"> </w:t>
      </w:r>
      <w:r w:rsidR="00F3010F" w:rsidRPr="00104227">
        <w:rPr>
          <w:lang w:val="en-US"/>
        </w:rPr>
        <w:t>to pay</w:t>
      </w:r>
      <w:r w:rsidR="00181052" w:rsidRPr="00104227">
        <w:rPr>
          <w:lang w:val="en-US"/>
        </w:rPr>
        <w:t xml:space="preserve"> </w:t>
      </w:r>
      <w:r w:rsidR="00F3010F" w:rsidRPr="00104227">
        <w:rPr>
          <w:lang w:val="en-US"/>
        </w:rPr>
        <w:t>US$</w:t>
      </w:r>
      <w:r w:rsidR="00D57225" w:rsidRPr="00104227">
        <w:rPr>
          <w:lang w:val="en-US"/>
        </w:rPr>
        <w:t>21</w:t>
      </w:r>
      <w:r w:rsidR="00F3010F" w:rsidRPr="00104227">
        <w:rPr>
          <w:lang w:val="en-US"/>
        </w:rPr>
        <w:t>,</w:t>
      </w:r>
      <w:r w:rsidR="00D57225" w:rsidRPr="00104227">
        <w:rPr>
          <w:lang w:val="en-US"/>
        </w:rPr>
        <w:t>067</w:t>
      </w:r>
      <w:r w:rsidR="00F3010F" w:rsidRPr="00104227">
        <w:rPr>
          <w:lang w:val="en-US"/>
        </w:rPr>
        <w:t>.</w:t>
      </w:r>
      <w:r w:rsidR="00D57225" w:rsidRPr="00104227">
        <w:rPr>
          <w:lang w:val="en-US"/>
        </w:rPr>
        <w:t xml:space="preserve">78 </w:t>
      </w:r>
      <w:r w:rsidR="00F3010F" w:rsidRPr="00104227">
        <w:rPr>
          <w:lang w:val="en-US"/>
        </w:rPr>
        <w:t xml:space="preserve">for the concept of </w:t>
      </w:r>
      <w:r w:rsidR="00AA3133" w:rsidRPr="00104227">
        <w:rPr>
          <w:lang w:val="en-US"/>
        </w:rPr>
        <w:t>costs and expenses</w:t>
      </w:r>
      <w:r w:rsidR="00D57225" w:rsidRPr="00104227">
        <w:rPr>
          <w:lang w:val="en-US"/>
        </w:rPr>
        <w:t>, correspondi</w:t>
      </w:r>
      <w:r w:rsidR="00F3010F" w:rsidRPr="00104227">
        <w:rPr>
          <w:lang w:val="en-US"/>
        </w:rPr>
        <w:t xml:space="preserve">ng to travel, translations, salaries </w:t>
      </w:r>
      <w:r w:rsidR="00BF5241" w:rsidRPr="00104227">
        <w:rPr>
          <w:lang w:val="en-US"/>
        </w:rPr>
        <w:t xml:space="preserve">and </w:t>
      </w:r>
      <w:r w:rsidR="00B83DEB" w:rsidRPr="00104227">
        <w:rPr>
          <w:lang w:val="en-US"/>
        </w:rPr>
        <w:t>wages</w:t>
      </w:r>
      <w:r w:rsidR="00D57225" w:rsidRPr="00104227">
        <w:rPr>
          <w:lang w:val="en-US"/>
        </w:rPr>
        <w:t xml:space="preserve"> rela</w:t>
      </w:r>
      <w:r w:rsidR="00F3010F" w:rsidRPr="00104227">
        <w:rPr>
          <w:lang w:val="en-US"/>
        </w:rPr>
        <w:t>ted to the representation of the victims</w:t>
      </w:r>
      <w:r w:rsidR="00D57225" w:rsidRPr="00104227">
        <w:rPr>
          <w:lang w:val="en-US"/>
        </w:rPr>
        <w:t>. CEJIL indic</w:t>
      </w:r>
      <w:r w:rsidR="00F3010F" w:rsidRPr="00104227">
        <w:rPr>
          <w:lang w:val="en-US"/>
        </w:rPr>
        <w:t xml:space="preserve">ated that “in the months following the presentation </w:t>
      </w:r>
      <w:r w:rsidR="00B36B3A" w:rsidRPr="00104227">
        <w:rPr>
          <w:lang w:val="en-US"/>
        </w:rPr>
        <w:t xml:space="preserve">of the </w:t>
      </w:r>
      <w:r w:rsidR="009E0044" w:rsidRPr="00104227">
        <w:rPr>
          <w:lang w:val="en-US"/>
        </w:rPr>
        <w:t>brief with motions, pleadings and evidence</w:t>
      </w:r>
      <w:r w:rsidR="00D57225" w:rsidRPr="00104227">
        <w:rPr>
          <w:lang w:val="en-US"/>
        </w:rPr>
        <w:t>, CEJIL</w:t>
      </w:r>
      <w:r w:rsidR="00F3010F" w:rsidRPr="00104227">
        <w:rPr>
          <w:lang w:val="en-US"/>
        </w:rPr>
        <w:t xml:space="preserve"> incurred numerous expenses related to the production of evidence and the </w:t>
      </w:r>
      <w:r w:rsidR="00AA3133" w:rsidRPr="00104227">
        <w:rPr>
          <w:lang w:val="en-US"/>
        </w:rPr>
        <w:t>public hearing</w:t>
      </w:r>
      <w:r w:rsidR="00D57225" w:rsidRPr="00104227">
        <w:rPr>
          <w:lang w:val="en-US"/>
        </w:rPr>
        <w:t xml:space="preserve"> </w:t>
      </w:r>
      <w:r w:rsidR="00F3010F" w:rsidRPr="00104227">
        <w:rPr>
          <w:lang w:val="en-US"/>
        </w:rPr>
        <w:t>in this case” a</w:t>
      </w:r>
      <w:r w:rsidR="00B83DEB" w:rsidRPr="00104227">
        <w:rPr>
          <w:lang w:val="en-US"/>
        </w:rPr>
        <w:t>n</w:t>
      </w:r>
      <w:r w:rsidR="00F3010F" w:rsidRPr="00104227">
        <w:rPr>
          <w:lang w:val="en-US"/>
        </w:rPr>
        <w:t>d therefore asked that the Court order the State to pay an additional</w:t>
      </w:r>
      <w:r w:rsidR="00D57225" w:rsidRPr="00104227">
        <w:rPr>
          <w:lang w:val="en-US"/>
        </w:rPr>
        <w:t xml:space="preserve"> </w:t>
      </w:r>
      <w:r w:rsidR="00F3010F" w:rsidRPr="00104227">
        <w:rPr>
          <w:lang w:val="en-US"/>
        </w:rPr>
        <w:t>US$</w:t>
      </w:r>
      <w:r w:rsidR="00D57225" w:rsidRPr="00104227">
        <w:rPr>
          <w:lang w:val="en-US"/>
        </w:rPr>
        <w:t>8</w:t>
      </w:r>
      <w:r w:rsidR="00F3010F" w:rsidRPr="00104227">
        <w:rPr>
          <w:lang w:val="en-US"/>
        </w:rPr>
        <w:t>,</w:t>
      </w:r>
      <w:r w:rsidR="00D57225" w:rsidRPr="00104227">
        <w:rPr>
          <w:lang w:val="en-US"/>
        </w:rPr>
        <w:t>749</w:t>
      </w:r>
      <w:r w:rsidR="00F3010F" w:rsidRPr="00104227">
        <w:rPr>
          <w:lang w:val="en-US"/>
        </w:rPr>
        <w:t>.</w:t>
      </w:r>
      <w:r w:rsidR="00D57225" w:rsidRPr="00104227">
        <w:rPr>
          <w:lang w:val="en-US"/>
        </w:rPr>
        <w:t xml:space="preserve">19. </w:t>
      </w:r>
      <w:r w:rsidR="00F3010F" w:rsidRPr="00104227">
        <w:rPr>
          <w:lang w:val="en-US"/>
        </w:rPr>
        <w:t>I</w:t>
      </w:r>
      <w:r w:rsidR="00D57225" w:rsidRPr="00104227">
        <w:rPr>
          <w:lang w:val="en-US"/>
        </w:rPr>
        <w:t xml:space="preserve">n total, CEJIL </w:t>
      </w:r>
      <w:r w:rsidR="00F3010F" w:rsidRPr="00104227">
        <w:rPr>
          <w:lang w:val="en-US"/>
        </w:rPr>
        <w:t>requested payment of</w:t>
      </w:r>
      <w:r w:rsidR="00D57225" w:rsidRPr="00104227">
        <w:rPr>
          <w:lang w:val="en-US"/>
        </w:rPr>
        <w:t xml:space="preserve"> </w:t>
      </w:r>
      <w:r w:rsidR="00F3010F" w:rsidRPr="00104227">
        <w:rPr>
          <w:lang w:val="en-US"/>
        </w:rPr>
        <w:t>US$</w:t>
      </w:r>
      <w:r w:rsidR="00D57225" w:rsidRPr="00104227">
        <w:rPr>
          <w:lang w:val="en-US"/>
        </w:rPr>
        <w:t>29</w:t>
      </w:r>
      <w:r w:rsidR="00F3010F" w:rsidRPr="00104227">
        <w:rPr>
          <w:lang w:val="en-US"/>
        </w:rPr>
        <w:t>,</w:t>
      </w:r>
      <w:r w:rsidR="00D57225" w:rsidRPr="00104227">
        <w:rPr>
          <w:lang w:val="en-US"/>
        </w:rPr>
        <w:t>816</w:t>
      </w:r>
      <w:r w:rsidR="00F3010F" w:rsidRPr="00104227">
        <w:rPr>
          <w:lang w:val="en-US"/>
        </w:rPr>
        <w:t>.</w:t>
      </w:r>
      <w:r w:rsidR="00D57225" w:rsidRPr="00104227">
        <w:rPr>
          <w:lang w:val="en-US"/>
        </w:rPr>
        <w:t xml:space="preserve">97 </w:t>
      </w:r>
      <w:r w:rsidR="00F3010F" w:rsidRPr="00104227">
        <w:rPr>
          <w:lang w:val="en-US"/>
        </w:rPr>
        <w:t>for</w:t>
      </w:r>
      <w:r w:rsidR="00D57225" w:rsidRPr="00104227">
        <w:rPr>
          <w:lang w:val="en-US"/>
        </w:rPr>
        <w:t xml:space="preserve"> </w:t>
      </w:r>
      <w:r w:rsidR="00AA3133" w:rsidRPr="00104227">
        <w:rPr>
          <w:lang w:val="en-US"/>
        </w:rPr>
        <w:t>costs and expenses</w:t>
      </w:r>
      <w:r w:rsidR="00D57225" w:rsidRPr="00104227">
        <w:rPr>
          <w:lang w:val="en-US"/>
        </w:rPr>
        <w:t>.</w:t>
      </w:r>
      <w:r w:rsidR="00D57225" w:rsidRPr="00104227">
        <w:rPr>
          <w:b/>
          <w:lang w:val="en-US"/>
        </w:rPr>
        <w:t xml:space="preserve"> </w:t>
      </w:r>
      <w:r w:rsidR="00F3010F" w:rsidRPr="00104227">
        <w:rPr>
          <w:lang w:val="en-US"/>
        </w:rPr>
        <w:t xml:space="preserve">Meanwhile, </w:t>
      </w:r>
      <w:r w:rsidR="00C87135" w:rsidRPr="00104227">
        <w:rPr>
          <w:lang w:val="en-US"/>
        </w:rPr>
        <w:t>the Center Prodh</w:t>
      </w:r>
      <w:r w:rsidR="00D57225" w:rsidRPr="00104227">
        <w:rPr>
          <w:lang w:val="en-US"/>
        </w:rPr>
        <w:t xml:space="preserve"> </w:t>
      </w:r>
      <w:r w:rsidR="00F3010F" w:rsidRPr="00104227">
        <w:rPr>
          <w:lang w:val="en-US"/>
        </w:rPr>
        <w:t xml:space="preserve">indicated that it “did not wish to request reimbursement of </w:t>
      </w:r>
      <w:r w:rsidR="00E5597B" w:rsidRPr="00104227">
        <w:rPr>
          <w:lang w:val="en-US"/>
        </w:rPr>
        <w:t>costs</w:t>
      </w:r>
      <w:r w:rsidR="00F3010F" w:rsidRPr="00104227">
        <w:rPr>
          <w:lang w:val="en-US"/>
        </w:rPr>
        <w:t xml:space="preserve"> and expenses.”</w:t>
      </w:r>
      <w:r w:rsidR="00C726C5" w:rsidRPr="00104227">
        <w:rPr>
          <w:lang w:val="en-US"/>
        </w:rPr>
        <w:t xml:space="preserve"> </w:t>
      </w:r>
    </w:p>
    <w:p w14:paraId="173E5443" w14:textId="77777777" w:rsidR="00D57225" w:rsidRPr="00104227" w:rsidRDefault="00D57225" w:rsidP="00E4619F">
      <w:pPr>
        <w:tabs>
          <w:tab w:val="left" w:pos="567"/>
        </w:tabs>
      </w:pPr>
    </w:p>
    <w:p w14:paraId="4D333CA5" w14:textId="3E99E142" w:rsidR="00D57225" w:rsidRPr="00104227" w:rsidRDefault="00BF5241" w:rsidP="00E4619F">
      <w:pPr>
        <w:pStyle w:val="Numberedparagraphs"/>
        <w:tabs>
          <w:tab w:val="left" w:pos="567"/>
        </w:tabs>
        <w:rPr>
          <w:i/>
          <w:lang w:val="en-US"/>
        </w:rPr>
      </w:pPr>
      <w:bookmarkStart w:id="426" w:name="_Ref532988410"/>
      <w:r w:rsidRPr="00104227">
        <w:rPr>
          <w:lang w:val="en-US"/>
        </w:rPr>
        <w:t>The Court</w:t>
      </w:r>
      <w:r w:rsidR="00D57225" w:rsidRPr="00104227">
        <w:rPr>
          <w:lang w:val="en-US"/>
        </w:rPr>
        <w:t xml:space="preserve"> reitera</w:t>
      </w:r>
      <w:r w:rsidR="00F3010F" w:rsidRPr="00104227">
        <w:rPr>
          <w:lang w:val="en-US"/>
        </w:rPr>
        <w:t>tes that, according to its case law,</w:t>
      </w:r>
      <w:r w:rsidR="00D57225" w:rsidRPr="00104227">
        <w:rPr>
          <w:vertAlign w:val="superscript"/>
          <w:lang w:val="en-US"/>
        </w:rPr>
        <w:footnoteReference w:id="472"/>
      </w:r>
      <w:r w:rsidR="00D57225" w:rsidRPr="00104227">
        <w:rPr>
          <w:lang w:val="en-US"/>
        </w:rPr>
        <w:t xml:space="preserve"> </w:t>
      </w:r>
      <w:r w:rsidR="00AA3133" w:rsidRPr="00104227">
        <w:rPr>
          <w:lang w:val="en-US"/>
        </w:rPr>
        <w:t>costs and expenses</w:t>
      </w:r>
      <w:r w:rsidR="00D57225" w:rsidRPr="00104227">
        <w:rPr>
          <w:lang w:val="en-US"/>
        </w:rPr>
        <w:t xml:space="preserve"> </w:t>
      </w:r>
      <w:r w:rsidR="00F3010F" w:rsidRPr="00104227">
        <w:rPr>
          <w:lang w:val="en-US"/>
        </w:rPr>
        <w:t xml:space="preserve">form part of the concept of reparation, because the actions taken by the victims in order to obtain justice, at both the national and the international level, entail disbursements that must be compensated when </w:t>
      </w:r>
      <w:r w:rsidR="00CA43B0" w:rsidRPr="00104227">
        <w:rPr>
          <w:lang w:val="en-US"/>
        </w:rPr>
        <w:t>the international responsibility</w:t>
      </w:r>
      <w:r w:rsidR="002826A6" w:rsidRPr="00104227">
        <w:rPr>
          <w:lang w:val="en-US"/>
        </w:rPr>
        <w:t xml:space="preserve"> of the </w:t>
      </w:r>
      <w:r w:rsidR="00AC3BFC" w:rsidRPr="00104227">
        <w:rPr>
          <w:lang w:val="en-US"/>
        </w:rPr>
        <w:t>State</w:t>
      </w:r>
      <w:r w:rsidR="00D57225" w:rsidRPr="00104227">
        <w:rPr>
          <w:lang w:val="en-US"/>
        </w:rPr>
        <w:t xml:space="preserve"> </w:t>
      </w:r>
      <w:r w:rsidR="00F3010F" w:rsidRPr="00104227">
        <w:rPr>
          <w:lang w:val="en-US"/>
        </w:rPr>
        <w:t xml:space="preserve">has been declared in a judgment. Regarding the reimbursement of </w:t>
      </w:r>
      <w:r w:rsidR="00AA3133" w:rsidRPr="00104227">
        <w:rPr>
          <w:rFonts w:cs="Verdana"/>
          <w:lang w:val="en-US"/>
        </w:rPr>
        <w:t>costs and expenses</w:t>
      </w:r>
      <w:r w:rsidR="00D57225" w:rsidRPr="00104227">
        <w:rPr>
          <w:rFonts w:cs="Verdana"/>
          <w:lang w:val="en-US"/>
        </w:rPr>
        <w:t xml:space="preserve">, </w:t>
      </w:r>
      <w:r w:rsidR="00F3010F" w:rsidRPr="00104227">
        <w:rPr>
          <w:rFonts w:cs="Verdana"/>
          <w:lang w:val="en-US"/>
        </w:rPr>
        <w:t xml:space="preserve">the Court must make a prudent assessment of their scope, which includes the expenses incurred before the authorities of the domestic jurisdiction, as well as those incurred during the proceedings before the inter-American system, taking into account the circumstances of the specific case and the nature of the international jurisdiction for the protection of human rights. This assessment may be made based on the equity principle, taking into account the expenses indicated by the parties, provided their </w:t>
      </w:r>
      <w:r w:rsidR="00D57225" w:rsidRPr="00104227">
        <w:rPr>
          <w:rFonts w:cs="Verdana"/>
          <w:i/>
          <w:iCs/>
          <w:lang w:val="en-US"/>
        </w:rPr>
        <w:t>quantum</w:t>
      </w:r>
      <w:r w:rsidR="00D57225" w:rsidRPr="00104227">
        <w:rPr>
          <w:rFonts w:cs="Verdana"/>
          <w:iCs/>
          <w:lang w:val="en-US"/>
        </w:rPr>
        <w:t xml:space="preserve"> </w:t>
      </w:r>
      <w:r w:rsidR="00F3010F" w:rsidRPr="00104227">
        <w:rPr>
          <w:rFonts w:cs="Verdana"/>
          <w:iCs/>
          <w:lang w:val="en-US"/>
        </w:rPr>
        <w:t>is reasonable.</w:t>
      </w:r>
      <w:r w:rsidR="00D57225" w:rsidRPr="00104227">
        <w:rPr>
          <w:vertAlign w:val="superscript"/>
          <w:lang w:val="en-US"/>
        </w:rPr>
        <w:footnoteReference w:id="473"/>
      </w:r>
      <w:bookmarkEnd w:id="426"/>
    </w:p>
    <w:p w14:paraId="41AA6985" w14:textId="77777777" w:rsidR="00D57225" w:rsidRPr="00104227" w:rsidRDefault="00D57225" w:rsidP="00E4619F">
      <w:pPr>
        <w:pStyle w:val="Estilo1"/>
        <w:tabs>
          <w:tab w:val="left" w:pos="709"/>
        </w:tabs>
        <w:spacing w:after="0"/>
        <w:rPr>
          <w:i/>
          <w:lang w:val="en-US"/>
        </w:rPr>
      </w:pPr>
    </w:p>
    <w:p w14:paraId="419EFC84" w14:textId="32CEBD08" w:rsidR="00D57225" w:rsidRPr="00104227" w:rsidRDefault="00BF5241" w:rsidP="00E4619F">
      <w:pPr>
        <w:pStyle w:val="Numberedparagraphs"/>
        <w:tabs>
          <w:tab w:val="left" w:pos="567"/>
        </w:tabs>
        <w:rPr>
          <w:lang w:val="en-US"/>
        </w:rPr>
      </w:pPr>
      <w:r w:rsidRPr="00104227">
        <w:rPr>
          <w:lang w:val="en-US"/>
        </w:rPr>
        <w:t>This Court</w:t>
      </w:r>
      <w:r w:rsidR="00D57225" w:rsidRPr="00104227">
        <w:rPr>
          <w:lang w:val="en-US"/>
        </w:rPr>
        <w:t xml:space="preserve"> ha</w:t>
      </w:r>
      <w:r w:rsidR="00F3010F" w:rsidRPr="00104227">
        <w:rPr>
          <w:lang w:val="en-US"/>
        </w:rPr>
        <w:t xml:space="preserve">s indicated that “the claims of the victims or their representatives for </w:t>
      </w:r>
      <w:r w:rsidR="00AA3133" w:rsidRPr="00104227">
        <w:rPr>
          <w:lang w:val="en-US"/>
        </w:rPr>
        <w:t>costs and expenses</w:t>
      </w:r>
      <w:r w:rsidR="00D57225" w:rsidRPr="00104227">
        <w:rPr>
          <w:lang w:val="en-US"/>
        </w:rPr>
        <w:t>,</w:t>
      </w:r>
      <w:r w:rsidRPr="00104227">
        <w:rPr>
          <w:lang w:val="en-US"/>
        </w:rPr>
        <w:t xml:space="preserve"> and </w:t>
      </w:r>
      <w:r w:rsidR="00F3010F" w:rsidRPr="00104227">
        <w:rPr>
          <w:lang w:val="en-US"/>
        </w:rPr>
        <w:t>the evidence supporting them, should be submitted to the Court at the first procedural moment granted them</w:t>
      </w:r>
      <w:r w:rsidR="00B83DEB" w:rsidRPr="00104227">
        <w:rPr>
          <w:lang w:val="en-US"/>
        </w:rPr>
        <w:t>,</w:t>
      </w:r>
      <w:r w:rsidR="00F3010F" w:rsidRPr="00104227">
        <w:rPr>
          <w:lang w:val="en-US"/>
        </w:rPr>
        <w:t xml:space="preserve"> that is, in the </w:t>
      </w:r>
      <w:r w:rsidR="00AA3133" w:rsidRPr="00104227">
        <w:rPr>
          <w:lang w:val="en-US"/>
        </w:rPr>
        <w:t>motions and pleadings brief</w:t>
      </w:r>
      <w:r w:rsidR="00F3010F" w:rsidRPr="00104227">
        <w:rPr>
          <w:lang w:val="en-US"/>
        </w:rPr>
        <w:t xml:space="preserve">; without prejudice to these claims being updated subsequently, </w:t>
      </w:r>
      <w:r w:rsidR="00B83DEB" w:rsidRPr="00104227">
        <w:rPr>
          <w:lang w:val="en-US"/>
        </w:rPr>
        <w:t>on the basis of</w:t>
      </w:r>
      <w:r w:rsidR="00F3010F" w:rsidRPr="00104227">
        <w:rPr>
          <w:lang w:val="en-US"/>
        </w:rPr>
        <w:t xml:space="preserve"> the new </w:t>
      </w:r>
      <w:r w:rsidR="00AA3133" w:rsidRPr="00104227">
        <w:rPr>
          <w:lang w:val="en-US"/>
        </w:rPr>
        <w:t>costs and expenses</w:t>
      </w:r>
      <w:r w:rsidR="00D57225" w:rsidRPr="00104227">
        <w:rPr>
          <w:lang w:val="en-US"/>
        </w:rPr>
        <w:t xml:space="preserve"> </w:t>
      </w:r>
      <w:r w:rsidR="00F3010F" w:rsidRPr="00104227">
        <w:rPr>
          <w:lang w:val="en-US"/>
        </w:rPr>
        <w:t xml:space="preserve">incurred </w:t>
      </w:r>
      <w:r w:rsidR="00E36251" w:rsidRPr="00104227">
        <w:rPr>
          <w:lang w:val="en-US"/>
        </w:rPr>
        <w:t>owing to the proceedings before this Court.</w:t>
      </w:r>
      <w:r w:rsidR="00D57225" w:rsidRPr="00104227">
        <w:rPr>
          <w:lang w:val="en-US"/>
        </w:rPr>
        <w:t>”</w:t>
      </w:r>
      <w:r w:rsidR="00D57225" w:rsidRPr="00104227">
        <w:rPr>
          <w:vertAlign w:val="superscript"/>
          <w:lang w:val="en-US"/>
        </w:rPr>
        <w:footnoteReference w:id="474"/>
      </w:r>
      <w:r w:rsidR="00E36251" w:rsidRPr="00104227">
        <w:rPr>
          <w:lang w:val="en-US"/>
        </w:rPr>
        <w:t xml:space="preserve"> In addition, the Court reiterates that it is</w:t>
      </w:r>
      <w:r w:rsidR="00D57225" w:rsidRPr="00104227">
        <w:rPr>
          <w:lang w:val="en-US"/>
        </w:rPr>
        <w:t xml:space="preserve"> </w:t>
      </w:r>
      <w:r w:rsidR="00E36251" w:rsidRPr="00104227">
        <w:rPr>
          <w:lang w:val="en-US"/>
        </w:rPr>
        <w:t xml:space="preserve">not sufficient merely to forward probative documents; rather the parties are required to submit arguments relating the evidence to the fact that it is considered to represent and, in the case of alleged financial disbursements, the items and their justification </w:t>
      </w:r>
      <w:r w:rsidR="00B83DEB" w:rsidRPr="00104227">
        <w:rPr>
          <w:lang w:val="en-US"/>
        </w:rPr>
        <w:t>must be</w:t>
      </w:r>
      <w:r w:rsidR="00E36251" w:rsidRPr="00104227">
        <w:rPr>
          <w:lang w:val="en-US"/>
        </w:rPr>
        <w:t xml:space="preserve"> clearly established.</w:t>
      </w:r>
      <w:r w:rsidR="00D57225" w:rsidRPr="00104227">
        <w:rPr>
          <w:vertAlign w:val="superscript"/>
          <w:lang w:val="en-US"/>
        </w:rPr>
        <w:footnoteReference w:id="475"/>
      </w:r>
    </w:p>
    <w:p w14:paraId="0B4A2EB2" w14:textId="77777777" w:rsidR="00D57225" w:rsidRPr="00104227" w:rsidRDefault="00D57225" w:rsidP="00E4619F">
      <w:pPr>
        <w:tabs>
          <w:tab w:val="left" w:pos="567"/>
        </w:tabs>
        <w:rPr>
          <w:lang w:eastAsia="es-MX"/>
        </w:rPr>
      </w:pPr>
    </w:p>
    <w:p w14:paraId="37EE14DE" w14:textId="0906E7EC" w:rsidR="00D57225" w:rsidRPr="00104227" w:rsidRDefault="00BF5241" w:rsidP="00E4619F">
      <w:pPr>
        <w:pStyle w:val="Numberedparagraphs"/>
        <w:tabs>
          <w:tab w:val="left" w:pos="567"/>
        </w:tabs>
        <w:rPr>
          <w:lang w:val="en-US"/>
        </w:rPr>
      </w:pPr>
      <w:bookmarkStart w:id="427" w:name="_Ref532988424"/>
      <w:r w:rsidRPr="00104227">
        <w:rPr>
          <w:lang w:val="en-US"/>
        </w:rPr>
        <w:t>The Court</w:t>
      </w:r>
      <w:r w:rsidR="00D57225" w:rsidRPr="00104227">
        <w:rPr>
          <w:lang w:val="en-US"/>
        </w:rPr>
        <w:t xml:space="preserve"> observ</w:t>
      </w:r>
      <w:r w:rsidR="00E36251" w:rsidRPr="00104227">
        <w:rPr>
          <w:lang w:val="en-US"/>
        </w:rPr>
        <w:t>es that</w:t>
      </w:r>
      <w:r w:rsidR="00D57225" w:rsidRPr="00104227">
        <w:rPr>
          <w:lang w:val="en-US"/>
        </w:rPr>
        <w:t xml:space="preserve"> CEJIL </w:t>
      </w:r>
      <w:r w:rsidR="00E36251" w:rsidRPr="00104227">
        <w:rPr>
          <w:lang w:val="en-US"/>
        </w:rPr>
        <w:t xml:space="preserve">provided expense vouchers </w:t>
      </w:r>
      <w:r w:rsidR="00B83DEB" w:rsidRPr="00104227">
        <w:rPr>
          <w:lang w:val="en-US"/>
        </w:rPr>
        <w:t>in relation to</w:t>
      </w:r>
      <w:r w:rsidR="00E36251" w:rsidRPr="00104227">
        <w:rPr>
          <w:lang w:val="en-US"/>
        </w:rPr>
        <w:t xml:space="preserve"> their representation in this case, demonstrating that they had incurred expenses with regard to this case that amounted to approximately </w:t>
      </w:r>
      <w:r w:rsidR="00F3010F" w:rsidRPr="00104227">
        <w:rPr>
          <w:lang w:val="en-US"/>
        </w:rPr>
        <w:t>US$</w:t>
      </w:r>
      <w:r w:rsidR="00D57225" w:rsidRPr="00104227">
        <w:rPr>
          <w:lang w:val="en-US"/>
        </w:rPr>
        <w:t>30</w:t>
      </w:r>
      <w:r w:rsidR="00F3010F" w:rsidRPr="00104227">
        <w:rPr>
          <w:lang w:val="en-US"/>
        </w:rPr>
        <w:t>,000.00</w:t>
      </w:r>
      <w:r w:rsidR="00D57225" w:rsidRPr="00104227">
        <w:rPr>
          <w:lang w:val="en-US"/>
        </w:rPr>
        <w:t xml:space="preserve"> (t</w:t>
      </w:r>
      <w:r w:rsidR="00E36251" w:rsidRPr="00104227">
        <w:rPr>
          <w:lang w:val="en-US"/>
        </w:rPr>
        <w:t>hirty</w:t>
      </w:r>
      <w:r w:rsidR="00D57225" w:rsidRPr="00104227">
        <w:rPr>
          <w:lang w:val="en-US"/>
        </w:rPr>
        <w:t xml:space="preserve"> </w:t>
      </w:r>
      <w:r w:rsidR="00F3010F" w:rsidRPr="00104227">
        <w:rPr>
          <w:lang w:val="en-US"/>
        </w:rPr>
        <w:t>thousand United States dollars</w:t>
      </w:r>
      <w:r w:rsidR="00D57225" w:rsidRPr="00104227">
        <w:rPr>
          <w:lang w:val="en-US"/>
        </w:rPr>
        <w:t xml:space="preserve">), </w:t>
      </w:r>
      <w:r w:rsidR="00E36251" w:rsidRPr="00104227">
        <w:rPr>
          <w:lang w:val="en-US"/>
        </w:rPr>
        <w:t xml:space="preserve">owing to </w:t>
      </w:r>
      <w:r w:rsidR="00E36251" w:rsidRPr="00104227">
        <w:rPr>
          <w:lang w:val="en-US"/>
        </w:rPr>
        <w:lastRenderedPageBreak/>
        <w:t>expen</w:t>
      </w:r>
      <w:r w:rsidR="00B83DEB" w:rsidRPr="00104227">
        <w:rPr>
          <w:lang w:val="en-US"/>
        </w:rPr>
        <w:t>diture</w:t>
      </w:r>
      <w:r w:rsidR="00E36251" w:rsidRPr="00104227">
        <w:rPr>
          <w:lang w:val="en-US"/>
        </w:rPr>
        <w:t xml:space="preserve"> arising from the hearing of the case before the Court, as well as percentages of the salaries of </w:t>
      </w:r>
      <w:r w:rsidR="00C4575F" w:rsidRPr="00104227">
        <w:rPr>
          <w:lang w:val="en-US"/>
        </w:rPr>
        <w:t>various</w:t>
      </w:r>
      <w:r w:rsidR="00E36251" w:rsidRPr="00104227">
        <w:rPr>
          <w:lang w:val="en-US"/>
        </w:rPr>
        <w:t xml:space="preserve"> lawyers. Therefore, the Court decides to establish the payment of a total of</w:t>
      </w:r>
      <w:r w:rsidR="00CB2F18" w:rsidRPr="00104227">
        <w:rPr>
          <w:lang w:val="en-US"/>
        </w:rPr>
        <w:t xml:space="preserve"> </w:t>
      </w:r>
      <w:r w:rsidR="00F3010F" w:rsidRPr="00104227">
        <w:rPr>
          <w:lang w:val="en-US"/>
        </w:rPr>
        <w:t>US$</w:t>
      </w:r>
      <w:r w:rsidR="00D57225" w:rsidRPr="00104227">
        <w:rPr>
          <w:lang w:val="en-US"/>
        </w:rPr>
        <w:t>30</w:t>
      </w:r>
      <w:r w:rsidR="00F3010F" w:rsidRPr="00104227">
        <w:rPr>
          <w:lang w:val="en-US"/>
        </w:rPr>
        <w:t>,000.00</w:t>
      </w:r>
      <w:r w:rsidR="00D57225" w:rsidRPr="00104227">
        <w:rPr>
          <w:lang w:val="en-US"/>
        </w:rPr>
        <w:t xml:space="preserve"> (t</w:t>
      </w:r>
      <w:r w:rsidR="00E36251" w:rsidRPr="00104227">
        <w:rPr>
          <w:lang w:val="en-US"/>
        </w:rPr>
        <w:t>hirty</w:t>
      </w:r>
      <w:r w:rsidR="00D57225" w:rsidRPr="00104227">
        <w:rPr>
          <w:lang w:val="en-US"/>
        </w:rPr>
        <w:t xml:space="preserve"> </w:t>
      </w:r>
      <w:r w:rsidR="00F3010F" w:rsidRPr="00104227">
        <w:rPr>
          <w:lang w:val="en-US"/>
        </w:rPr>
        <w:t>thousand United States dollars</w:t>
      </w:r>
      <w:r w:rsidR="00D57225" w:rsidRPr="00104227">
        <w:rPr>
          <w:lang w:val="en-US"/>
        </w:rPr>
        <w:t xml:space="preserve">) </w:t>
      </w:r>
      <w:r w:rsidR="00E36251" w:rsidRPr="00104227">
        <w:rPr>
          <w:lang w:val="en-US"/>
        </w:rPr>
        <w:t xml:space="preserve">for the concept of </w:t>
      </w:r>
      <w:r w:rsidR="00AA3133" w:rsidRPr="00104227">
        <w:rPr>
          <w:lang w:val="en-US"/>
        </w:rPr>
        <w:t>costs and expenses</w:t>
      </w:r>
      <w:r w:rsidR="00D57225" w:rsidRPr="00104227">
        <w:rPr>
          <w:lang w:val="en-US"/>
        </w:rPr>
        <w:t xml:space="preserve"> </w:t>
      </w:r>
      <w:r w:rsidR="00E36251" w:rsidRPr="00104227">
        <w:rPr>
          <w:lang w:val="en-US"/>
        </w:rPr>
        <w:t>in</w:t>
      </w:r>
      <w:r w:rsidR="00D57225" w:rsidRPr="00104227">
        <w:rPr>
          <w:lang w:val="en-US"/>
        </w:rPr>
        <w:t xml:space="preserve"> favor </w:t>
      </w:r>
      <w:r w:rsidR="00E36251" w:rsidRPr="00104227">
        <w:rPr>
          <w:lang w:val="en-US"/>
        </w:rPr>
        <w:t>of</w:t>
      </w:r>
      <w:r w:rsidR="00D57225" w:rsidRPr="00104227">
        <w:rPr>
          <w:lang w:val="en-US"/>
        </w:rPr>
        <w:t xml:space="preserve"> CEJIL. </w:t>
      </w:r>
      <w:r w:rsidR="00E36251" w:rsidRPr="00104227">
        <w:rPr>
          <w:lang w:val="en-US"/>
        </w:rPr>
        <w:t>This amount must be delivered directly to this org</w:t>
      </w:r>
      <w:r w:rsidR="00C4575F" w:rsidRPr="00104227">
        <w:rPr>
          <w:lang w:val="en-US"/>
        </w:rPr>
        <w:t>a</w:t>
      </w:r>
      <w:r w:rsidR="00E36251" w:rsidRPr="00104227">
        <w:rPr>
          <w:lang w:val="en-US"/>
        </w:rPr>
        <w:t xml:space="preserve">nization. At the stage of monitoring compliance with </w:t>
      </w:r>
      <w:r w:rsidR="005E29A3" w:rsidRPr="00104227">
        <w:rPr>
          <w:rFonts w:cs="Verdana"/>
          <w:lang w:val="en-US"/>
        </w:rPr>
        <w:t>this judgment</w:t>
      </w:r>
      <w:r w:rsidR="00D57225" w:rsidRPr="00104227">
        <w:rPr>
          <w:rFonts w:cs="Verdana"/>
          <w:lang w:val="en-US"/>
        </w:rPr>
        <w:t xml:space="preserve">, </w:t>
      </w:r>
      <w:r w:rsidRPr="00104227">
        <w:rPr>
          <w:rFonts w:cs="Verdana"/>
          <w:lang w:val="en-US"/>
        </w:rPr>
        <w:t>the Court</w:t>
      </w:r>
      <w:r w:rsidR="00D57225" w:rsidRPr="00104227">
        <w:rPr>
          <w:rFonts w:cs="Verdana"/>
          <w:lang w:val="en-US"/>
        </w:rPr>
        <w:t xml:space="preserve"> </w:t>
      </w:r>
      <w:r w:rsidR="00E36251" w:rsidRPr="00104227">
        <w:rPr>
          <w:rFonts w:cs="Verdana"/>
          <w:lang w:val="en-US"/>
        </w:rPr>
        <w:t xml:space="preserve">may establish that </w:t>
      </w:r>
      <w:r w:rsidR="00AC3BFC" w:rsidRPr="00104227">
        <w:rPr>
          <w:rFonts w:cs="Verdana"/>
          <w:lang w:val="en-US"/>
        </w:rPr>
        <w:t>the State</w:t>
      </w:r>
      <w:r w:rsidR="00D57225" w:rsidRPr="00104227">
        <w:rPr>
          <w:rFonts w:cs="Verdana"/>
          <w:lang w:val="en-US"/>
        </w:rPr>
        <w:t xml:space="preserve"> </w:t>
      </w:r>
      <w:r w:rsidR="00E36251" w:rsidRPr="00104227">
        <w:rPr>
          <w:rFonts w:cs="Verdana"/>
          <w:lang w:val="en-US"/>
        </w:rPr>
        <w:t>must reimburse the victims or their representatives for any reasonable expenses incurred during that procedural stage.</w:t>
      </w:r>
      <w:r w:rsidR="00D57225" w:rsidRPr="00104227">
        <w:rPr>
          <w:rStyle w:val="Refdenotaalpie"/>
          <w:lang w:val="en-US"/>
        </w:rPr>
        <w:footnoteReference w:id="476"/>
      </w:r>
      <w:bookmarkEnd w:id="427"/>
    </w:p>
    <w:p w14:paraId="43A356F3" w14:textId="77777777" w:rsidR="00D57225" w:rsidRPr="00104227" w:rsidRDefault="00D57225" w:rsidP="00E4619F">
      <w:pPr>
        <w:tabs>
          <w:tab w:val="left" w:pos="567"/>
        </w:tabs>
        <w:rPr>
          <w:spacing w:val="-4"/>
          <w:lang w:eastAsia="es-MX"/>
        </w:rPr>
      </w:pPr>
    </w:p>
    <w:p w14:paraId="6C4B7AFF" w14:textId="40EC2A58" w:rsidR="00D57225" w:rsidRPr="00104227" w:rsidRDefault="005E5DCC" w:rsidP="00E4619F">
      <w:pPr>
        <w:pStyle w:val="Ttulo2"/>
        <w:ind w:left="1440"/>
        <w:rPr>
          <w:lang w:val="en-US"/>
        </w:rPr>
      </w:pPr>
      <w:bookmarkStart w:id="428" w:name="_Toc31290630"/>
      <w:r w:rsidRPr="00104227">
        <w:rPr>
          <w:lang w:val="en-US"/>
        </w:rPr>
        <w:t>Reimbursement of expenses to the Victims’ Legal Assistance Fund</w:t>
      </w:r>
      <w:bookmarkEnd w:id="428"/>
    </w:p>
    <w:p w14:paraId="26BA76DC" w14:textId="77777777" w:rsidR="00D57225" w:rsidRPr="00104227" w:rsidRDefault="00D57225" w:rsidP="00E4619F">
      <w:pPr>
        <w:tabs>
          <w:tab w:val="left" w:pos="567"/>
        </w:tabs>
        <w:rPr>
          <w:spacing w:val="-4"/>
          <w:lang w:eastAsia="es-MX"/>
        </w:rPr>
      </w:pPr>
    </w:p>
    <w:p w14:paraId="5A6E90E4" w14:textId="5246E06C" w:rsidR="00D57225" w:rsidRPr="00104227" w:rsidRDefault="00E36251" w:rsidP="00E4619F">
      <w:pPr>
        <w:pStyle w:val="Numberedparagraphs"/>
        <w:tabs>
          <w:tab w:val="left" w:pos="567"/>
        </w:tabs>
        <w:rPr>
          <w:lang w:val="en-US"/>
        </w:rPr>
      </w:pPr>
      <w:bookmarkStart w:id="429" w:name="_Ref532988453"/>
      <w:r w:rsidRPr="00104227">
        <w:rPr>
          <w:lang w:val="en-US"/>
        </w:rPr>
        <w:t xml:space="preserve">In this case, in orders of May 21 </w:t>
      </w:r>
      <w:r w:rsidR="00BF5241" w:rsidRPr="00104227">
        <w:rPr>
          <w:lang w:val="en-US"/>
        </w:rPr>
        <w:t xml:space="preserve">and </w:t>
      </w:r>
      <w:r w:rsidR="006E753C" w:rsidRPr="00104227">
        <w:rPr>
          <w:lang w:val="en-US"/>
        </w:rPr>
        <w:t xml:space="preserve">October </w:t>
      </w:r>
      <w:r w:rsidRPr="00104227">
        <w:rPr>
          <w:lang w:val="en-US"/>
        </w:rPr>
        <w:t>1</w:t>
      </w:r>
      <w:r w:rsidR="006E753C" w:rsidRPr="00104227">
        <w:rPr>
          <w:lang w:val="en-US"/>
        </w:rPr>
        <w:t>8,</w:t>
      </w:r>
      <w:r w:rsidR="00D57225" w:rsidRPr="00104227">
        <w:rPr>
          <w:lang w:val="en-US"/>
        </w:rPr>
        <w:t xml:space="preserve"> 2017, </w:t>
      </w:r>
      <w:r w:rsidRPr="00104227">
        <w:rPr>
          <w:lang w:val="en-US"/>
        </w:rPr>
        <w:t>the President</w:t>
      </w:r>
      <w:r w:rsidR="00BF5241" w:rsidRPr="00104227">
        <w:rPr>
          <w:lang w:val="en-US"/>
        </w:rPr>
        <w:t xml:space="preserve"> of the Court</w:t>
      </w:r>
      <w:r w:rsidR="00D57225" w:rsidRPr="00104227">
        <w:rPr>
          <w:lang w:val="en-US"/>
        </w:rPr>
        <w:t xml:space="preserve"> </w:t>
      </w:r>
      <w:r w:rsidRPr="00104227">
        <w:rPr>
          <w:lang w:val="en-US"/>
        </w:rPr>
        <w:t>granted financial support from the Victims’ Legal Assistance Fund of the Court to cover the travelling and accommodation expenses required for five victims</w:t>
      </w:r>
      <w:r w:rsidR="00D57225" w:rsidRPr="00104227">
        <w:rPr>
          <w:lang w:val="en-US"/>
        </w:rPr>
        <w:t xml:space="preserve">, Norma Aidé Jiménez Osorio, Claudia Hernández Martínez, Bárbara Italia Méndez Moreno, </w:t>
      </w:r>
      <w:r w:rsidR="0047539E" w:rsidRPr="00104227">
        <w:rPr>
          <w:lang w:val="en-US"/>
        </w:rPr>
        <w:t>Angélica Patricia Torres</w:t>
      </w:r>
      <w:r w:rsidR="00D57225" w:rsidRPr="00104227">
        <w:rPr>
          <w:lang w:val="en-US"/>
        </w:rPr>
        <w:t xml:space="preserve"> Linares</w:t>
      </w:r>
      <w:r w:rsidR="00BF5241" w:rsidRPr="00104227">
        <w:rPr>
          <w:lang w:val="en-US"/>
        </w:rPr>
        <w:t xml:space="preserve"> and </w:t>
      </w:r>
      <w:r w:rsidR="00D57225" w:rsidRPr="00104227">
        <w:rPr>
          <w:lang w:val="en-US"/>
        </w:rPr>
        <w:t>Suhelen Gabriela Cuevas Jaramillo</w:t>
      </w:r>
      <w:r w:rsidRPr="00104227">
        <w:rPr>
          <w:lang w:val="en-US"/>
        </w:rPr>
        <w:t xml:space="preserve"> to take part in the public hearing</w:t>
      </w:r>
      <w:bookmarkEnd w:id="429"/>
      <w:r w:rsidRPr="00104227">
        <w:rPr>
          <w:lang w:val="en-US"/>
        </w:rPr>
        <w:t>.</w:t>
      </w:r>
    </w:p>
    <w:p w14:paraId="5EB952CB" w14:textId="77777777" w:rsidR="00D57225" w:rsidRPr="00104227" w:rsidRDefault="00D57225" w:rsidP="00E4619F">
      <w:pPr>
        <w:tabs>
          <w:tab w:val="left" w:pos="567"/>
        </w:tabs>
        <w:rPr>
          <w:spacing w:val="-4"/>
          <w:lang w:eastAsia="es-MX"/>
        </w:rPr>
      </w:pPr>
    </w:p>
    <w:p w14:paraId="06AA1908" w14:textId="68FC08B9" w:rsidR="00D57225" w:rsidRPr="00104227" w:rsidRDefault="00E36251" w:rsidP="00E4619F">
      <w:pPr>
        <w:pStyle w:val="Numberedparagraphs"/>
        <w:tabs>
          <w:tab w:val="left" w:pos="567"/>
        </w:tabs>
        <w:rPr>
          <w:b/>
          <w:lang w:val="en-US"/>
        </w:rPr>
      </w:pPr>
      <w:r w:rsidRPr="00104227">
        <w:rPr>
          <w:lang w:val="en-US"/>
        </w:rPr>
        <w:t xml:space="preserve">On </w:t>
      </w:r>
      <w:r w:rsidR="002E30D8" w:rsidRPr="00104227">
        <w:rPr>
          <w:lang w:val="en-US"/>
        </w:rPr>
        <w:t xml:space="preserve">January </w:t>
      </w:r>
      <w:r w:rsidRPr="00104227">
        <w:rPr>
          <w:lang w:val="en-US"/>
        </w:rPr>
        <w:t>1</w:t>
      </w:r>
      <w:r w:rsidR="002E30D8" w:rsidRPr="00104227">
        <w:rPr>
          <w:lang w:val="en-US"/>
        </w:rPr>
        <w:t>5,</w:t>
      </w:r>
      <w:r w:rsidR="00D57225" w:rsidRPr="00104227">
        <w:rPr>
          <w:lang w:val="en-US"/>
        </w:rPr>
        <w:t xml:space="preserve"> 2018</w:t>
      </w:r>
      <w:r w:rsidRPr="00104227">
        <w:rPr>
          <w:lang w:val="en-US"/>
        </w:rPr>
        <w:t xml:space="preserve">, a disbursements report was forwarded to the State as established in  </w:t>
      </w:r>
      <w:r w:rsidR="00D57225" w:rsidRPr="00104227">
        <w:rPr>
          <w:lang w:val="en-US"/>
        </w:rPr>
        <w:t xml:space="preserve"> </w:t>
      </w:r>
      <w:r w:rsidRPr="00104227">
        <w:rPr>
          <w:lang w:val="en-US"/>
        </w:rPr>
        <w:t>a</w:t>
      </w:r>
      <w:r w:rsidR="00BF5241" w:rsidRPr="00104227">
        <w:rPr>
          <w:lang w:val="en-US"/>
        </w:rPr>
        <w:t>rticle</w:t>
      </w:r>
      <w:r w:rsidR="00D57225" w:rsidRPr="00104227">
        <w:rPr>
          <w:lang w:val="en-US"/>
        </w:rPr>
        <w:t xml:space="preserve"> 5</w:t>
      </w:r>
      <w:r w:rsidR="00BF5241" w:rsidRPr="00104227">
        <w:rPr>
          <w:lang w:val="en-US"/>
        </w:rPr>
        <w:t xml:space="preserve"> of the Rules </w:t>
      </w:r>
      <w:r w:rsidRPr="00104227">
        <w:rPr>
          <w:lang w:val="en-US"/>
        </w:rPr>
        <w:t xml:space="preserve">for the Operation of this Fund. Thus, the State had the opportunity to present its observations on the disbursements made in this case, which amounted to </w:t>
      </w:r>
      <w:r w:rsidR="00D57225" w:rsidRPr="00104227">
        <w:rPr>
          <w:lang w:val="en-US"/>
        </w:rPr>
        <w:t>US$4</w:t>
      </w:r>
      <w:r w:rsidRPr="00104227">
        <w:rPr>
          <w:lang w:val="en-US"/>
        </w:rPr>
        <w:t>,</w:t>
      </w:r>
      <w:r w:rsidR="00D57225" w:rsidRPr="00104227">
        <w:rPr>
          <w:lang w:val="en-US"/>
        </w:rPr>
        <w:t>214</w:t>
      </w:r>
      <w:r w:rsidRPr="00104227">
        <w:rPr>
          <w:lang w:val="en-US"/>
        </w:rPr>
        <w:t>.</w:t>
      </w:r>
      <w:r w:rsidR="00D57225" w:rsidRPr="00104227">
        <w:rPr>
          <w:lang w:val="en-US"/>
        </w:rPr>
        <w:t>20 (</w:t>
      </w:r>
      <w:r w:rsidRPr="00104227">
        <w:rPr>
          <w:lang w:val="en-US"/>
        </w:rPr>
        <w:t>four thousand two hundred and fourteen United States dollars and twenty cents). Mexico indicated that it had no observations to make in this regard</w:t>
      </w:r>
      <w:r w:rsidR="00D57225" w:rsidRPr="00104227">
        <w:rPr>
          <w:lang w:val="en-US"/>
        </w:rPr>
        <w:t xml:space="preserve">. </w:t>
      </w:r>
    </w:p>
    <w:p w14:paraId="468EEEDE" w14:textId="77777777" w:rsidR="00D57225" w:rsidRPr="00104227" w:rsidRDefault="00D57225" w:rsidP="00E4619F">
      <w:pPr>
        <w:tabs>
          <w:tab w:val="left" w:pos="567"/>
        </w:tabs>
        <w:rPr>
          <w:spacing w:val="-4"/>
          <w:lang w:eastAsia="es-MX"/>
        </w:rPr>
      </w:pPr>
    </w:p>
    <w:p w14:paraId="746EA5DE" w14:textId="2FED1FF7" w:rsidR="00D57225" w:rsidRPr="00104227" w:rsidRDefault="00E36251" w:rsidP="00E4619F">
      <w:pPr>
        <w:pStyle w:val="Numberedparagraphs"/>
        <w:tabs>
          <w:tab w:val="left" w:pos="567"/>
        </w:tabs>
        <w:rPr>
          <w:lang w:val="en-US"/>
        </w:rPr>
      </w:pPr>
      <w:bookmarkStart w:id="430" w:name="_Ref532988454"/>
      <w:r w:rsidRPr="00104227">
        <w:rPr>
          <w:lang w:val="en-US"/>
        </w:rPr>
        <w:t xml:space="preserve">Based on the violations declared in this judgment and compliance with the requirements for access to the Victims’ Legal Assistance Fund, the Court orders the </w:t>
      </w:r>
      <w:r w:rsidR="003F10B2" w:rsidRPr="00104227">
        <w:rPr>
          <w:lang w:val="en-US"/>
        </w:rPr>
        <w:t xml:space="preserve">State </w:t>
      </w:r>
      <w:r w:rsidRPr="00104227">
        <w:rPr>
          <w:lang w:val="en-US"/>
        </w:rPr>
        <w:t xml:space="preserve">to reimburse this Fund the sum of </w:t>
      </w:r>
      <w:r w:rsidR="00D57225" w:rsidRPr="00104227">
        <w:rPr>
          <w:lang w:val="en-US"/>
        </w:rPr>
        <w:t>US$4</w:t>
      </w:r>
      <w:r w:rsidRPr="00104227">
        <w:rPr>
          <w:lang w:val="en-US"/>
        </w:rPr>
        <w:t>,</w:t>
      </w:r>
      <w:r w:rsidR="00D57225" w:rsidRPr="00104227">
        <w:rPr>
          <w:lang w:val="en-US"/>
        </w:rPr>
        <w:t>214</w:t>
      </w:r>
      <w:r w:rsidRPr="00104227">
        <w:rPr>
          <w:lang w:val="en-US"/>
        </w:rPr>
        <w:t>.</w:t>
      </w:r>
      <w:r w:rsidR="00D57225" w:rsidRPr="00104227">
        <w:rPr>
          <w:lang w:val="en-US"/>
        </w:rPr>
        <w:t xml:space="preserve">20 </w:t>
      </w:r>
      <w:r w:rsidRPr="00104227">
        <w:rPr>
          <w:lang w:val="en-US"/>
        </w:rPr>
        <w:t>(four thousand two hundred and fourteen United States dollars and twenty cents) for the expenditure incurred. This sum must be reimbursed within six months of notification of this judgment</w:t>
      </w:r>
      <w:r w:rsidR="00D57225" w:rsidRPr="00104227">
        <w:rPr>
          <w:lang w:val="en-US"/>
        </w:rPr>
        <w:t>.</w:t>
      </w:r>
      <w:bookmarkEnd w:id="430"/>
    </w:p>
    <w:p w14:paraId="53DE3314" w14:textId="77777777" w:rsidR="00D57225" w:rsidRPr="00104227" w:rsidRDefault="00D57225" w:rsidP="00E4619F">
      <w:pPr>
        <w:tabs>
          <w:tab w:val="left" w:pos="567"/>
        </w:tabs>
        <w:rPr>
          <w:spacing w:val="-4"/>
          <w:szCs w:val="20"/>
        </w:rPr>
      </w:pPr>
    </w:p>
    <w:p w14:paraId="0E5A62A8" w14:textId="17F650DB" w:rsidR="00D57225" w:rsidRPr="00104227" w:rsidRDefault="005E5DCC" w:rsidP="00E4619F">
      <w:pPr>
        <w:pStyle w:val="Ttulo2"/>
        <w:ind w:left="1440"/>
        <w:rPr>
          <w:lang w:val="en-US"/>
        </w:rPr>
      </w:pPr>
      <w:bookmarkStart w:id="431" w:name="_Toc31290631"/>
      <w:r w:rsidRPr="00104227">
        <w:rPr>
          <w:lang w:val="en-US"/>
        </w:rPr>
        <w:t>Method of compliance with the payments ordered</w:t>
      </w:r>
      <w:bookmarkEnd w:id="431"/>
    </w:p>
    <w:p w14:paraId="3C877915" w14:textId="77777777" w:rsidR="00D57225" w:rsidRPr="00104227" w:rsidRDefault="00D57225" w:rsidP="00E4619F">
      <w:pPr>
        <w:pStyle w:val="PrrafodeSentencia"/>
        <w:numPr>
          <w:ilvl w:val="0"/>
          <w:numId w:val="0"/>
        </w:numPr>
        <w:rPr>
          <w:lang w:val="en-US"/>
        </w:rPr>
      </w:pPr>
    </w:p>
    <w:p w14:paraId="343D015B" w14:textId="0763A670" w:rsidR="00D57225" w:rsidRPr="00104227" w:rsidRDefault="005E29A3" w:rsidP="00E4619F">
      <w:pPr>
        <w:pStyle w:val="Numberedparagraphs"/>
        <w:tabs>
          <w:tab w:val="left" w:pos="567"/>
        </w:tabs>
        <w:rPr>
          <w:lang w:val="en-US"/>
        </w:rPr>
      </w:pPr>
      <w:r w:rsidRPr="00104227">
        <w:rPr>
          <w:lang w:val="en-US"/>
        </w:rPr>
        <w:t>The State</w:t>
      </w:r>
      <w:r w:rsidR="00E36251" w:rsidRPr="00104227">
        <w:rPr>
          <w:lang w:val="en-US"/>
        </w:rPr>
        <w:t xml:space="preserve"> shall</w:t>
      </w:r>
      <w:r w:rsidR="00D57225" w:rsidRPr="00104227">
        <w:rPr>
          <w:lang w:val="en-US"/>
        </w:rPr>
        <w:t xml:space="preserve"> </w:t>
      </w:r>
      <w:r w:rsidR="00E36251" w:rsidRPr="00104227">
        <w:rPr>
          <w:lang w:val="en-US"/>
        </w:rPr>
        <w:t>make the payments of the compensation for p</w:t>
      </w:r>
      <w:r w:rsidR="005E5DCC" w:rsidRPr="00104227">
        <w:rPr>
          <w:lang w:val="en-US"/>
        </w:rPr>
        <w:t>ecuniary</w:t>
      </w:r>
      <w:r w:rsidR="00E36251" w:rsidRPr="00104227">
        <w:rPr>
          <w:lang w:val="en-US"/>
        </w:rPr>
        <w:t xml:space="preserve"> and non-pecuniary</w:t>
      </w:r>
      <w:r w:rsidR="00F3010F" w:rsidRPr="00104227">
        <w:rPr>
          <w:lang w:val="en-US"/>
        </w:rPr>
        <w:t xml:space="preserve"> damage </w:t>
      </w:r>
      <w:r w:rsidR="00E36251" w:rsidRPr="00104227">
        <w:rPr>
          <w:lang w:val="en-US"/>
        </w:rPr>
        <w:t xml:space="preserve">and to reimburse </w:t>
      </w:r>
      <w:r w:rsidR="00AA3133" w:rsidRPr="00104227">
        <w:rPr>
          <w:lang w:val="en-US"/>
        </w:rPr>
        <w:t>costs and expenses</w:t>
      </w:r>
      <w:r w:rsidR="00D57225" w:rsidRPr="00104227">
        <w:rPr>
          <w:lang w:val="en-US"/>
        </w:rPr>
        <w:t xml:space="preserve"> </w:t>
      </w:r>
      <w:r w:rsidR="0094395C" w:rsidRPr="00104227">
        <w:rPr>
          <w:lang w:val="en-US"/>
        </w:rPr>
        <w:t>established in</w:t>
      </w:r>
      <w:r w:rsidR="00D57225" w:rsidRPr="00104227">
        <w:rPr>
          <w:lang w:val="en-US"/>
        </w:rPr>
        <w:t xml:space="preserve"> </w:t>
      </w:r>
      <w:r w:rsidR="00BF5241" w:rsidRPr="00104227">
        <w:rPr>
          <w:lang w:val="en-US"/>
        </w:rPr>
        <w:t>this judgment</w:t>
      </w:r>
      <w:r w:rsidR="00D57225" w:rsidRPr="00104227">
        <w:rPr>
          <w:lang w:val="en-US"/>
        </w:rPr>
        <w:t xml:space="preserve"> direct</w:t>
      </w:r>
      <w:r w:rsidR="00E36251" w:rsidRPr="00104227">
        <w:rPr>
          <w:lang w:val="en-US"/>
        </w:rPr>
        <w:t xml:space="preserve">ly to the persons indicated herein, within one year of </w:t>
      </w:r>
      <w:r w:rsidR="00F27D61" w:rsidRPr="00104227">
        <w:rPr>
          <w:lang w:val="en-US"/>
        </w:rPr>
        <w:t>notification</w:t>
      </w:r>
      <w:r w:rsidR="00D57225" w:rsidRPr="00104227">
        <w:rPr>
          <w:lang w:val="en-US"/>
        </w:rPr>
        <w:t xml:space="preserve"> </w:t>
      </w:r>
      <w:r w:rsidRPr="00104227">
        <w:rPr>
          <w:lang w:val="en-US"/>
        </w:rPr>
        <w:t>of this judgment</w:t>
      </w:r>
      <w:r w:rsidR="00D57225" w:rsidRPr="00104227">
        <w:rPr>
          <w:lang w:val="en-US"/>
        </w:rPr>
        <w:t>.</w:t>
      </w:r>
    </w:p>
    <w:p w14:paraId="2369DB06" w14:textId="77777777" w:rsidR="00D57225" w:rsidRPr="00104227" w:rsidRDefault="00D57225" w:rsidP="00E4619F">
      <w:pPr>
        <w:pStyle w:val="PrrafodeSentencia"/>
        <w:numPr>
          <w:ilvl w:val="0"/>
          <w:numId w:val="0"/>
        </w:numPr>
        <w:rPr>
          <w:lang w:val="en-US"/>
        </w:rPr>
      </w:pPr>
    </w:p>
    <w:p w14:paraId="2F043C4A" w14:textId="5F77EEE9" w:rsidR="00D57225" w:rsidRPr="00104227" w:rsidRDefault="00E36251" w:rsidP="00E4619F">
      <w:pPr>
        <w:pStyle w:val="Numberedparagraphs"/>
        <w:tabs>
          <w:tab w:val="left" w:pos="567"/>
        </w:tabs>
        <w:rPr>
          <w:lang w:val="en-US"/>
        </w:rPr>
      </w:pPr>
      <w:r w:rsidRPr="00104227">
        <w:rPr>
          <w:lang w:val="en-US"/>
        </w:rPr>
        <w:t>If any beneficiary should have died or should die before they receive the respective amount, this shall be delivered directly to their heirs, pursuant to the applicable domestic law</w:t>
      </w:r>
      <w:r w:rsidR="00D57225" w:rsidRPr="00104227">
        <w:rPr>
          <w:lang w:val="en-US"/>
        </w:rPr>
        <w:t xml:space="preserve">. </w:t>
      </w:r>
    </w:p>
    <w:p w14:paraId="253AAFAB" w14:textId="77777777" w:rsidR="00E36251" w:rsidRPr="00104227" w:rsidRDefault="00E36251" w:rsidP="00E36251"/>
    <w:p w14:paraId="43975C02" w14:textId="0CBCB552" w:rsidR="00D57225" w:rsidRPr="00104227" w:rsidRDefault="005E29A3" w:rsidP="00E36251">
      <w:pPr>
        <w:pStyle w:val="Numberedparagraphs"/>
        <w:tabs>
          <w:tab w:val="left" w:pos="567"/>
        </w:tabs>
        <w:rPr>
          <w:lang w:val="en-US"/>
        </w:rPr>
      </w:pPr>
      <w:r w:rsidRPr="00104227">
        <w:rPr>
          <w:lang w:val="en-US"/>
        </w:rPr>
        <w:t>The State</w:t>
      </w:r>
      <w:r w:rsidR="00E36251" w:rsidRPr="00104227">
        <w:rPr>
          <w:lang w:val="en-US"/>
        </w:rPr>
        <w:t xml:space="preserve"> shall</w:t>
      </w:r>
      <w:r w:rsidR="00D57225" w:rsidRPr="00104227">
        <w:rPr>
          <w:lang w:val="en-US"/>
        </w:rPr>
        <w:t xml:space="preserve"> </w:t>
      </w:r>
      <w:r w:rsidR="00F27D61" w:rsidRPr="00104227">
        <w:rPr>
          <w:lang w:val="en-US"/>
        </w:rPr>
        <w:t>comply</w:t>
      </w:r>
      <w:r w:rsidR="00D57225" w:rsidRPr="00104227">
        <w:rPr>
          <w:lang w:val="en-US"/>
        </w:rPr>
        <w:t xml:space="preserve"> </w:t>
      </w:r>
      <w:r w:rsidR="00E36251" w:rsidRPr="00104227">
        <w:rPr>
          <w:lang w:val="en-US"/>
        </w:rPr>
        <w:t xml:space="preserve">with its pecuniary obligations by payment in </w:t>
      </w:r>
      <w:r w:rsidR="00F3010F" w:rsidRPr="00104227">
        <w:rPr>
          <w:lang w:val="en-US"/>
        </w:rPr>
        <w:t>United States dollars</w:t>
      </w:r>
      <w:r w:rsidR="00D57225" w:rsidRPr="00104227">
        <w:rPr>
          <w:lang w:val="en-US"/>
        </w:rPr>
        <w:t xml:space="preserve"> o</w:t>
      </w:r>
      <w:r w:rsidR="00E36251" w:rsidRPr="00104227">
        <w:rPr>
          <w:lang w:val="en-US"/>
        </w:rPr>
        <w:t>r the equivalent in its domestic currency, using the exchange rate in force on the New York Stock Exchange (United States of America), the day before payment to make the respective calculation.</w:t>
      </w:r>
      <w:r w:rsidR="00D57225" w:rsidRPr="00104227">
        <w:rPr>
          <w:lang w:val="en-US"/>
        </w:rPr>
        <w:t xml:space="preserve"> </w:t>
      </w:r>
    </w:p>
    <w:p w14:paraId="5CD12B53" w14:textId="77777777" w:rsidR="00E36251" w:rsidRPr="00104227" w:rsidRDefault="00E36251" w:rsidP="00F342AA">
      <w:pPr>
        <w:pStyle w:val="Numberedparagraphs"/>
        <w:numPr>
          <w:ilvl w:val="0"/>
          <w:numId w:val="0"/>
        </w:numPr>
        <w:tabs>
          <w:tab w:val="left" w:pos="567"/>
        </w:tabs>
        <w:rPr>
          <w:lang w:val="en-US"/>
        </w:rPr>
      </w:pPr>
    </w:p>
    <w:p w14:paraId="20B18288" w14:textId="625EA934" w:rsidR="00D57225" w:rsidRPr="00104227" w:rsidRDefault="00E36251" w:rsidP="00E4619F">
      <w:pPr>
        <w:pStyle w:val="Numberedparagraphs"/>
        <w:tabs>
          <w:tab w:val="left" w:pos="567"/>
        </w:tabs>
        <w:rPr>
          <w:lang w:val="en-US"/>
        </w:rPr>
      </w:pPr>
      <w:r w:rsidRPr="00104227">
        <w:rPr>
          <w:lang w:val="en-US"/>
        </w:rPr>
        <w:t xml:space="preserve">If, for reasons that can be </w:t>
      </w:r>
      <w:r w:rsidR="00F27D61" w:rsidRPr="00104227">
        <w:rPr>
          <w:lang w:val="en-US"/>
        </w:rPr>
        <w:t>attributed</w:t>
      </w:r>
      <w:r w:rsidRPr="00104227">
        <w:rPr>
          <w:lang w:val="en-US"/>
        </w:rPr>
        <w:t xml:space="preserve"> to the beneficiaries of the compensation or their heirs, it is not po</w:t>
      </w:r>
      <w:r w:rsidR="00C4575F" w:rsidRPr="00104227">
        <w:rPr>
          <w:lang w:val="en-US"/>
        </w:rPr>
        <w:t>s</w:t>
      </w:r>
      <w:r w:rsidRPr="00104227">
        <w:rPr>
          <w:lang w:val="en-US"/>
        </w:rPr>
        <w:t xml:space="preserve">sible to pay the amounts established within the period indicated, the State shall deposit these amounts in their favor in a deposit account or certificate in a solvent Mexican financial institution, in </w:t>
      </w:r>
      <w:r w:rsidR="00F3010F" w:rsidRPr="00104227">
        <w:rPr>
          <w:lang w:val="en-US"/>
        </w:rPr>
        <w:t>United States dollars</w:t>
      </w:r>
      <w:r w:rsidR="00D57225" w:rsidRPr="00104227">
        <w:rPr>
          <w:lang w:val="en-US"/>
        </w:rPr>
        <w:t>,</w:t>
      </w:r>
      <w:r w:rsidR="00BF5241" w:rsidRPr="00104227">
        <w:rPr>
          <w:lang w:val="en-US"/>
        </w:rPr>
        <w:t xml:space="preserve"> and </w:t>
      </w:r>
      <w:r w:rsidRPr="00104227">
        <w:rPr>
          <w:lang w:val="en-US"/>
        </w:rPr>
        <w:t>in the most favorable financial conditions allowed by banking law and practice. If the corresponding compensation is not claimed within ten years, the amounts shall be returned to the State with the interest accrued</w:t>
      </w:r>
      <w:r w:rsidR="00D57225" w:rsidRPr="00104227">
        <w:rPr>
          <w:lang w:val="en-US"/>
        </w:rPr>
        <w:t>.</w:t>
      </w:r>
    </w:p>
    <w:p w14:paraId="54E97206" w14:textId="77777777" w:rsidR="00D57225" w:rsidRPr="00104227" w:rsidRDefault="00D57225" w:rsidP="00E4619F">
      <w:pPr>
        <w:pStyle w:val="PrrafodeSentencia"/>
        <w:numPr>
          <w:ilvl w:val="0"/>
          <w:numId w:val="0"/>
        </w:numPr>
        <w:rPr>
          <w:lang w:val="en-US"/>
        </w:rPr>
      </w:pPr>
    </w:p>
    <w:p w14:paraId="1AC8291F" w14:textId="3D336F7B" w:rsidR="00D57225" w:rsidRPr="00104227" w:rsidRDefault="00E36251" w:rsidP="00E4619F">
      <w:pPr>
        <w:pStyle w:val="Numberedparagraphs"/>
        <w:tabs>
          <w:tab w:val="left" w:pos="567"/>
        </w:tabs>
        <w:rPr>
          <w:lang w:val="en-US"/>
        </w:rPr>
      </w:pPr>
      <w:r w:rsidRPr="00104227">
        <w:rPr>
          <w:lang w:val="en-US"/>
        </w:rPr>
        <w:t xml:space="preserve">The sums allocated in </w:t>
      </w:r>
      <w:r w:rsidR="00BF5241" w:rsidRPr="00104227">
        <w:rPr>
          <w:lang w:val="en-US"/>
        </w:rPr>
        <w:t>this judgment</w:t>
      </w:r>
      <w:r w:rsidR="00D57225" w:rsidRPr="00104227">
        <w:rPr>
          <w:lang w:val="en-US"/>
        </w:rPr>
        <w:t xml:space="preserve"> </w:t>
      </w:r>
      <w:r w:rsidRPr="00104227">
        <w:rPr>
          <w:lang w:val="en-US"/>
        </w:rPr>
        <w:t>as compensation for pecuniary and non-pecuniary damage and to reimburse</w:t>
      </w:r>
      <w:r w:rsidR="00D57225" w:rsidRPr="00104227">
        <w:rPr>
          <w:lang w:val="en-US"/>
        </w:rPr>
        <w:t xml:space="preserve"> </w:t>
      </w:r>
      <w:r w:rsidR="00AA3133" w:rsidRPr="00104227">
        <w:rPr>
          <w:lang w:val="en-US"/>
        </w:rPr>
        <w:t>costs and expenses</w:t>
      </w:r>
      <w:r w:rsidR="00D57225" w:rsidRPr="00104227">
        <w:rPr>
          <w:lang w:val="en-US"/>
        </w:rPr>
        <w:t xml:space="preserve">, </w:t>
      </w:r>
      <w:r w:rsidRPr="00104227">
        <w:rPr>
          <w:lang w:val="en-US"/>
        </w:rPr>
        <w:t>shall be delivered to the persons indicated integrally, as established in this judgment, without any deduction</w:t>
      </w:r>
      <w:r w:rsidR="00C4575F" w:rsidRPr="00104227">
        <w:rPr>
          <w:lang w:val="en-US"/>
        </w:rPr>
        <w:t>s</w:t>
      </w:r>
      <w:r w:rsidRPr="00104227">
        <w:rPr>
          <w:lang w:val="en-US"/>
        </w:rPr>
        <w:t xml:space="preserve"> due to possible taxes or charges.</w:t>
      </w:r>
    </w:p>
    <w:p w14:paraId="0BDE550B" w14:textId="77777777" w:rsidR="00D57225" w:rsidRPr="00104227" w:rsidRDefault="00D57225" w:rsidP="00E4619F">
      <w:pPr>
        <w:pStyle w:val="PrrafodeSentencia"/>
        <w:numPr>
          <w:ilvl w:val="0"/>
          <w:numId w:val="0"/>
        </w:numPr>
        <w:rPr>
          <w:lang w:val="en-US"/>
        </w:rPr>
      </w:pPr>
    </w:p>
    <w:p w14:paraId="6B71451C" w14:textId="2ECC7B2E" w:rsidR="00D57225" w:rsidRPr="00104227" w:rsidRDefault="009454FE" w:rsidP="00E4619F">
      <w:pPr>
        <w:pStyle w:val="Numberedparagraphs"/>
        <w:tabs>
          <w:tab w:val="left" w:pos="567"/>
        </w:tabs>
        <w:rPr>
          <w:lang w:val="en-US"/>
        </w:rPr>
      </w:pPr>
      <w:r w:rsidRPr="00104227">
        <w:rPr>
          <w:lang w:val="en-US"/>
        </w:rPr>
        <w:t xml:space="preserve">If the State should fall in arrears, including with reimbursement of the expenses to the Victims’ </w:t>
      </w:r>
      <w:r w:rsidR="00AA3133" w:rsidRPr="00104227">
        <w:rPr>
          <w:lang w:val="en-US"/>
        </w:rPr>
        <w:t>Legal Assistance Fund</w:t>
      </w:r>
      <w:r w:rsidR="00D57225" w:rsidRPr="00104227">
        <w:rPr>
          <w:lang w:val="en-US"/>
        </w:rPr>
        <w:t xml:space="preserve">, </w:t>
      </w:r>
      <w:r w:rsidRPr="00104227">
        <w:rPr>
          <w:lang w:val="en-US"/>
        </w:rPr>
        <w:t>it shall pay interest on the amount owed corresponding to banking interest on arrears in</w:t>
      </w:r>
      <w:r w:rsidR="00D57225" w:rsidRPr="00104227">
        <w:rPr>
          <w:lang w:val="en-US"/>
        </w:rPr>
        <w:t xml:space="preserve"> </w:t>
      </w:r>
      <w:r w:rsidR="00AC3BFC" w:rsidRPr="00104227">
        <w:rPr>
          <w:lang w:val="en-US"/>
        </w:rPr>
        <w:t>the United Mexican States</w:t>
      </w:r>
      <w:r w:rsidR="00D57225" w:rsidRPr="00104227">
        <w:rPr>
          <w:lang w:val="en-US"/>
        </w:rPr>
        <w:t>.</w:t>
      </w:r>
    </w:p>
    <w:p w14:paraId="73753343" w14:textId="77777777" w:rsidR="00D57225" w:rsidRPr="00104227" w:rsidRDefault="00D57225" w:rsidP="00E4619F">
      <w:pPr>
        <w:tabs>
          <w:tab w:val="left" w:pos="567"/>
        </w:tabs>
        <w:rPr>
          <w:b/>
          <w:color w:val="00B050"/>
          <w:lang w:eastAsia="es-MX"/>
        </w:rPr>
      </w:pPr>
    </w:p>
    <w:p w14:paraId="723C8759" w14:textId="2AF6BC34" w:rsidR="00D57225" w:rsidRPr="00104227" w:rsidRDefault="00D57225" w:rsidP="00E4619F">
      <w:pPr>
        <w:pStyle w:val="Ttulo1"/>
        <w:tabs>
          <w:tab w:val="left" w:pos="567"/>
        </w:tabs>
        <w:spacing w:after="120"/>
        <w:rPr>
          <w:snapToGrid w:val="0"/>
          <w:spacing w:val="-4"/>
        </w:rPr>
      </w:pPr>
      <w:bookmarkStart w:id="432" w:name="_Toc31290632"/>
      <w:r w:rsidRPr="00104227">
        <w:rPr>
          <w:snapToGrid w:val="0"/>
          <w:spacing w:val="-4"/>
        </w:rPr>
        <w:t>XI</w:t>
      </w:r>
      <w:r w:rsidRPr="00104227">
        <w:rPr>
          <w:snapToGrid w:val="0"/>
          <w:spacing w:val="-4"/>
        </w:rPr>
        <w:br/>
      </w:r>
      <w:r w:rsidR="007E2382" w:rsidRPr="00104227">
        <w:rPr>
          <w:snapToGrid w:val="0"/>
          <w:spacing w:val="-4"/>
        </w:rPr>
        <w:t>OPERATIVE PARAGRAPHS</w:t>
      </w:r>
      <w:bookmarkEnd w:id="432"/>
    </w:p>
    <w:p w14:paraId="172164D6" w14:textId="77777777" w:rsidR="00D57225" w:rsidRPr="00104227" w:rsidRDefault="00D57225" w:rsidP="00E4619F">
      <w:pPr>
        <w:tabs>
          <w:tab w:val="left" w:pos="567"/>
        </w:tabs>
        <w:rPr>
          <w:spacing w:val="-4"/>
          <w:lang w:eastAsia="es-MX"/>
        </w:rPr>
      </w:pPr>
    </w:p>
    <w:p w14:paraId="772610D3" w14:textId="07A5701D" w:rsidR="00D57225" w:rsidRPr="00104227" w:rsidRDefault="005E29A3" w:rsidP="00E4619F">
      <w:pPr>
        <w:pStyle w:val="Numberedparagraphs"/>
        <w:tabs>
          <w:tab w:val="left" w:pos="567"/>
        </w:tabs>
        <w:rPr>
          <w:lang w:val="en-US"/>
        </w:rPr>
      </w:pPr>
      <w:r w:rsidRPr="00104227">
        <w:rPr>
          <w:lang w:val="en-US"/>
        </w:rPr>
        <w:t>Therefore</w:t>
      </w:r>
      <w:r w:rsidR="00D57225" w:rsidRPr="00104227">
        <w:rPr>
          <w:lang w:val="en-US"/>
        </w:rPr>
        <w:t xml:space="preserve">, </w:t>
      </w:r>
    </w:p>
    <w:p w14:paraId="0A605981" w14:textId="77777777" w:rsidR="00D57225" w:rsidRPr="00104227" w:rsidRDefault="00D57225" w:rsidP="00E4619F">
      <w:pPr>
        <w:pStyle w:val="Default"/>
        <w:tabs>
          <w:tab w:val="left" w:pos="567"/>
        </w:tabs>
        <w:jc w:val="both"/>
        <w:rPr>
          <w:rFonts w:ascii="Verdana" w:hAnsi="Verdana"/>
          <w:color w:val="auto"/>
          <w:spacing w:val="-4"/>
          <w:sz w:val="20"/>
          <w:szCs w:val="20"/>
        </w:rPr>
      </w:pPr>
    </w:p>
    <w:p w14:paraId="2D565E17" w14:textId="1F11D324" w:rsidR="00D57225" w:rsidRPr="00104227" w:rsidRDefault="00BF5241" w:rsidP="00E4619F">
      <w:pPr>
        <w:pStyle w:val="Default"/>
        <w:tabs>
          <w:tab w:val="left" w:pos="567"/>
        </w:tabs>
        <w:jc w:val="both"/>
        <w:rPr>
          <w:rFonts w:ascii="Verdana" w:hAnsi="Verdana"/>
          <w:color w:val="auto"/>
          <w:spacing w:val="-4"/>
          <w:sz w:val="20"/>
          <w:szCs w:val="20"/>
        </w:rPr>
      </w:pPr>
      <w:r w:rsidRPr="00104227">
        <w:rPr>
          <w:rFonts w:ascii="Verdana" w:hAnsi="Verdana"/>
          <w:b/>
          <w:bCs/>
          <w:color w:val="auto"/>
          <w:spacing w:val="-4"/>
          <w:sz w:val="20"/>
          <w:szCs w:val="20"/>
        </w:rPr>
        <w:t>THE COURT</w:t>
      </w:r>
      <w:r w:rsidR="00D57225" w:rsidRPr="00104227">
        <w:rPr>
          <w:rFonts w:ascii="Verdana" w:hAnsi="Verdana"/>
          <w:b/>
          <w:bCs/>
          <w:color w:val="auto"/>
          <w:spacing w:val="-4"/>
          <w:sz w:val="20"/>
          <w:szCs w:val="20"/>
        </w:rPr>
        <w:t xml:space="preserve"> </w:t>
      </w:r>
    </w:p>
    <w:p w14:paraId="656462FB" w14:textId="77777777" w:rsidR="00D57225" w:rsidRPr="00104227" w:rsidRDefault="00D57225" w:rsidP="00E4619F">
      <w:pPr>
        <w:pStyle w:val="Default"/>
        <w:tabs>
          <w:tab w:val="left" w:pos="567"/>
        </w:tabs>
        <w:jc w:val="both"/>
        <w:rPr>
          <w:rFonts w:ascii="Verdana" w:hAnsi="Verdana"/>
          <w:b/>
          <w:bCs/>
          <w:color w:val="auto"/>
          <w:spacing w:val="-4"/>
          <w:sz w:val="20"/>
          <w:szCs w:val="20"/>
        </w:rPr>
      </w:pPr>
    </w:p>
    <w:p w14:paraId="57363417" w14:textId="5E11E976" w:rsidR="00D57225" w:rsidRPr="00104227" w:rsidRDefault="00D57225" w:rsidP="00E4619F">
      <w:pPr>
        <w:pStyle w:val="Default"/>
        <w:tabs>
          <w:tab w:val="left" w:pos="567"/>
        </w:tabs>
        <w:jc w:val="both"/>
        <w:rPr>
          <w:rFonts w:ascii="Verdana" w:hAnsi="Verdana"/>
          <w:color w:val="auto"/>
          <w:spacing w:val="-4"/>
          <w:sz w:val="20"/>
          <w:szCs w:val="20"/>
        </w:rPr>
      </w:pPr>
      <w:r w:rsidRPr="00104227">
        <w:rPr>
          <w:rFonts w:ascii="Verdana" w:hAnsi="Verdana"/>
          <w:b/>
          <w:bCs/>
          <w:color w:val="auto"/>
          <w:spacing w:val="-4"/>
          <w:sz w:val="20"/>
          <w:szCs w:val="20"/>
        </w:rPr>
        <w:t>DECIDE</w:t>
      </w:r>
      <w:r w:rsidR="005E29A3" w:rsidRPr="00104227">
        <w:rPr>
          <w:rFonts w:ascii="Verdana" w:hAnsi="Verdana"/>
          <w:b/>
          <w:bCs/>
          <w:color w:val="auto"/>
          <w:spacing w:val="-4"/>
          <w:sz w:val="20"/>
          <w:szCs w:val="20"/>
        </w:rPr>
        <w:t>S</w:t>
      </w:r>
      <w:r w:rsidRPr="00104227">
        <w:rPr>
          <w:rFonts w:ascii="Verdana" w:hAnsi="Verdana"/>
          <w:b/>
          <w:bCs/>
          <w:color w:val="auto"/>
          <w:spacing w:val="-4"/>
          <w:sz w:val="20"/>
          <w:szCs w:val="20"/>
        </w:rPr>
        <w:t xml:space="preserve">, </w:t>
      </w:r>
    </w:p>
    <w:p w14:paraId="55792853" w14:textId="77777777" w:rsidR="00D57225" w:rsidRPr="00104227" w:rsidRDefault="00D57225" w:rsidP="00E4619F">
      <w:pPr>
        <w:pStyle w:val="Default"/>
        <w:tabs>
          <w:tab w:val="left" w:pos="567"/>
        </w:tabs>
        <w:jc w:val="both"/>
        <w:rPr>
          <w:rFonts w:ascii="Verdana" w:hAnsi="Verdana"/>
          <w:color w:val="auto"/>
          <w:spacing w:val="-4"/>
          <w:sz w:val="20"/>
          <w:szCs w:val="20"/>
        </w:rPr>
      </w:pPr>
    </w:p>
    <w:p w14:paraId="240CED6B" w14:textId="1FB0299D" w:rsidR="00D57225" w:rsidRPr="00104227" w:rsidRDefault="005E29A3" w:rsidP="00E4619F">
      <w:pPr>
        <w:pStyle w:val="Default"/>
        <w:tabs>
          <w:tab w:val="left" w:pos="567"/>
        </w:tabs>
        <w:jc w:val="both"/>
        <w:rPr>
          <w:rFonts w:ascii="Verdana" w:hAnsi="Verdana"/>
          <w:color w:val="auto"/>
          <w:spacing w:val="-4"/>
          <w:sz w:val="20"/>
          <w:szCs w:val="20"/>
        </w:rPr>
      </w:pPr>
      <w:r w:rsidRPr="00104227">
        <w:rPr>
          <w:rFonts w:ascii="Verdana" w:hAnsi="Verdana"/>
          <w:color w:val="auto"/>
          <w:spacing w:val="-4"/>
          <w:sz w:val="20"/>
          <w:szCs w:val="20"/>
        </w:rPr>
        <w:t>Unanimously</w:t>
      </w:r>
      <w:r w:rsidR="00D57225" w:rsidRPr="00104227">
        <w:rPr>
          <w:rFonts w:ascii="Verdana" w:hAnsi="Verdana"/>
          <w:color w:val="auto"/>
          <w:spacing w:val="-4"/>
          <w:sz w:val="20"/>
          <w:szCs w:val="20"/>
        </w:rPr>
        <w:t xml:space="preserve">, </w:t>
      </w:r>
    </w:p>
    <w:p w14:paraId="1EFCDF9D" w14:textId="77777777" w:rsidR="00D57225" w:rsidRPr="00104227" w:rsidRDefault="00D57225" w:rsidP="00E4619F">
      <w:pPr>
        <w:tabs>
          <w:tab w:val="left" w:pos="567"/>
        </w:tabs>
      </w:pPr>
    </w:p>
    <w:p w14:paraId="661B5749" w14:textId="3DF7B28B" w:rsidR="00D57225" w:rsidRPr="00104227" w:rsidRDefault="005E29A3" w:rsidP="00E4619F">
      <w:pPr>
        <w:pStyle w:val="Prrafodelista"/>
        <w:numPr>
          <w:ilvl w:val="0"/>
          <w:numId w:val="68"/>
        </w:numPr>
        <w:tabs>
          <w:tab w:val="left" w:pos="567"/>
        </w:tabs>
        <w:ind w:left="0" w:firstLine="0"/>
      </w:pPr>
      <w:r w:rsidRPr="00104227">
        <w:t>To</w:t>
      </w:r>
      <w:r w:rsidR="00C4575F" w:rsidRPr="00104227">
        <w:t xml:space="preserve"> </w:t>
      </w:r>
      <w:r w:rsidRPr="00104227">
        <w:t xml:space="preserve">reject the </w:t>
      </w:r>
      <w:r w:rsidR="00AA3133" w:rsidRPr="00104227">
        <w:t>preliminary objection</w:t>
      </w:r>
      <w:r w:rsidR="00D57225" w:rsidRPr="00104227">
        <w:t xml:space="preserve"> </w:t>
      </w:r>
      <w:r w:rsidRPr="00104227">
        <w:t>filed by</w:t>
      </w:r>
      <w:r w:rsidR="00D57225" w:rsidRPr="00104227">
        <w:t xml:space="preserve"> </w:t>
      </w:r>
      <w:r w:rsidR="00AC3BFC" w:rsidRPr="00104227">
        <w:t>the State</w:t>
      </w:r>
      <w:r w:rsidR="00D57225" w:rsidRPr="00104227">
        <w:t xml:space="preserve">, </w:t>
      </w:r>
      <w:r w:rsidRPr="00104227">
        <w:t xml:space="preserve">as established in </w:t>
      </w:r>
      <w:r w:rsidR="00DF5F3C" w:rsidRPr="00104227">
        <w:t>paragraphs</w:t>
      </w:r>
      <w:r w:rsidR="00D57225" w:rsidRPr="00104227">
        <w:t xml:space="preserve"> </w:t>
      </w:r>
      <w:r w:rsidR="00A23EE6" w:rsidRPr="00104227">
        <w:fldChar w:fldCharType="begin"/>
      </w:r>
      <w:r w:rsidR="00A23EE6" w:rsidRPr="00104227">
        <w:instrText xml:space="preserve"> REF _Ref532986864 \r \h </w:instrText>
      </w:r>
      <w:r w:rsidR="00284EAE" w:rsidRPr="00104227">
        <w:instrText xml:space="preserve"> \* MERGEFORMAT </w:instrText>
      </w:r>
      <w:r w:rsidR="00A23EE6" w:rsidRPr="00104227">
        <w:fldChar w:fldCharType="separate"/>
      </w:r>
      <w:r w:rsidR="004276BD">
        <w:t>21</w:t>
      </w:r>
      <w:r w:rsidR="00A23EE6" w:rsidRPr="00104227">
        <w:fldChar w:fldCharType="end"/>
      </w:r>
      <w:r w:rsidR="00D57225" w:rsidRPr="00104227">
        <w:t xml:space="preserve"> </w:t>
      </w:r>
      <w:r w:rsidRPr="00104227">
        <w:t>to</w:t>
      </w:r>
      <w:r w:rsidR="00D57225" w:rsidRPr="00104227">
        <w:t xml:space="preserve"> </w:t>
      </w:r>
      <w:r w:rsidR="00A23EE6" w:rsidRPr="00104227">
        <w:fldChar w:fldCharType="begin"/>
      </w:r>
      <w:r w:rsidR="00A23EE6" w:rsidRPr="00104227">
        <w:instrText xml:space="preserve"> REF _Ref532986878 \r \h </w:instrText>
      </w:r>
      <w:r w:rsidR="00284EAE" w:rsidRPr="00104227">
        <w:instrText xml:space="preserve"> \* MERGEFORMAT </w:instrText>
      </w:r>
      <w:r w:rsidR="00A23EE6" w:rsidRPr="00104227">
        <w:fldChar w:fldCharType="separate"/>
      </w:r>
      <w:r w:rsidR="004276BD">
        <w:t>27</w:t>
      </w:r>
      <w:r w:rsidR="00A23EE6" w:rsidRPr="00104227">
        <w:fldChar w:fldCharType="end"/>
      </w:r>
      <w:r w:rsidR="00D57225" w:rsidRPr="00104227">
        <w:t xml:space="preserve"> </w:t>
      </w:r>
      <w:r w:rsidRPr="00104227">
        <w:t>of this judgment</w:t>
      </w:r>
      <w:r w:rsidR="00D57225" w:rsidRPr="00104227">
        <w:t>.</w:t>
      </w:r>
    </w:p>
    <w:p w14:paraId="41F06FC6" w14:textId="77777777" w:rsidR="00D57225" w:rsidRPr="00104227" w:rsidRDefault="00D57225" w:rsidP="00E4619F">
      <w:pPr>
        <w:tabs>
          <w:tab w:val="left" w:pos="567"/>
        </w:tabs>
      </w:pPr>
    </w:p>
    <w:p w14:paraId="3FFCDA1E" w14:textId="0D1477E7" w:rsidR="00D57225" w:rsidRPr="00104227" w:rsidRDefault="005E29A3" w:rsidP="00E4619F">
      <w:pPr>
        <w:pStyle w:val="Prrafodelista"/>
        <w:numPr>
          <w:ilvl w:val="0"/>
          <w:numId w:val="68"/>
        </w:numPr>
        <w:tabs>
          <w:tab w:val="left" w:pos="567"/>
        </w:tabs>
        <w:ind w:left="0" w:firstLine="0"/>
      </w:pPr>
      <w:r w:rsidRPr="00104227">
        <w:t xml:space="preserve">To accept the partial acknowledgement of international responsibility made by the State, as established in </w:t>
      </w:r>
      <w:r w:rsidR="00DF5F3C" w:rsidRPr="00104227">
        <w:t>paragraphs</w:t>
      </w:r>
      <w:r w:rsidR="00D57225" w:rsidRPr="00104227">
        <w:t xml:space="preserve"> </w:t>
      </w:r>
      <w:r w:rsidR="00A23EE6" w:rsidRPr="00104227">
        <w:fldChar w:fldCharType="begin"/>
      </w:r>
      <w:r w:rsidR="00A23EE6" w:rsidRPr="00104227">
        <w:instrText xml:space="preserve"> REF _Ref532986896 \r \h </w:instrText>
      </w:r>
      <w:r w:rsidR="00284EAE" w:rsidRPr="00104227">
        <w:instrText xml:space="preserve"> \* MERGEFORMAT </w:instrText>
      </w:r>
      <w:r w:rsidR="00A23EE6" w:rsidRPr="00104227">
        <w:fldChar w:fldCharType="separate"/>
      </w:r>
      <w:r w:rsidR="004276BD">
        <w:t>34</w:t>
      </w:r>
      <w:r w:rsidR="00A23EE6" w:rsidRPr="00104227">
        <w:fldChar w:fldCharType="end"/>
      </w:r>
      <w:r w:rsidR="00D57225" w:rsidRPr="00104227">
        <w:t xml:space="preserve"> </w:t>
      </w:r>
      <w:r w:rsidRPr="00104227">
        <w:t>to</w:t>
      </w:r>
      <w:r w:rsidR="00D57225" w:rsidRPr="00104227">
        <w:t xml:space="preserve"> </w:t>
      </w:r>
      <w:r w:rsidR="00A23EE6" w:rsidRPr="00104227">
        <w:fldChar w:fldCharType="begin"/>
      </w:r>
      <w:r w:rsidR="00A23EE6" w:rsidRPr="00104227">
        <w:instrText xml:space="preserve"> REF _Ref532986917 \r \h </w:instrText>
      </w:r>
      <w:r w:rsidR="00284EAE" w:rsidRPr="00104227">
        <w:instrText xml:space="preserve"> \* MERGEFORMAT </w:instrText>
      </w:r>
      <w:r w:rsidR="00A23EE6" w:rsidRPr="00104227">
        <w:fldChar w:fldCharType="separate"/>
      </w:r>
      <w:r w:rsidR="004276BD">
        <w:t>42</w:t>
      </w:r>
      <w:r w:rsidR="00A23EE6" w:rsidRPr="00104227">
        <w:fldChar w:fldCharType="end"/>
      </w:r>
      <w:r w:rsidR="00D57225" w:rsidRPr="00104227">
        <w:t xml:space="preserve"> </w:t>
      </w:r>
      <w:r w:rsidRPr="00104227">
        <w:t>of this judgment</w:t>
      </w:r>
      <w:r w:rsidR="00D57225" w:rsidRPr="00104227">
        <w:t>.</w:t>
      </w:r>
    </w:p>
    <w:p w14:paraId="62488CE9" w14:textId="77777777" w:rsidR="00D57225" w:rsidRPr="00104227" w:rsidRDefault="00D57225" w:rsidP="00E4619F">
      <w:pPr>
        <w:tabs>
          <w:tab w:val="left" w:pos="567"/>
        </w:tabs>
      </w:pPr>
    </w:p>
    <w:p w14:paraId="1452A296" w14:textId="1D06AE92" w:rsidR="00D57225" w:rsidRPr="00104227" w:rsidRDefault="00D57225" w:rsidP="00E4619F">
      <w:pPr>
        <w:tabs>
          <w:tab w:val="left" w:pos="567"/>
          <w:tab w:val="num" w:pos="630"/>
          <w:tab w:val="left" w:pos="720"/>
        </w:tabs>
        <w:rPr>
          <w:rFonts w:cs="Verdana"/>
          <w:b/>
          <w:spacing w:val="-4"/>
          <w:szCs w:val="20"/>
        </w:rPr>
      </w:pPr>
      <w:r w:rsidRPr="00104227">
        <w:rPr>
          <w:rFonts w:cs="Verdana"/>
          <w:b/>
          <w:spacing w:val="-4"/>
          <w:szCs w:val="20"/>
        </w:rPr>
        <w:t>DECLAR</w:t>
      </w:r>
      <w:r w:rsidR="005E29A3" w:rsidRPr="00104227">
        <w:rPr>
          <w:rFonts w:cs="Verdana"/>
          <w:b/>
          <w:spacing w:val="-4"/>
          <w:szCs w:val="20"/>
        </w:rPr>
        <w:t>ES</w:t>
      </w:r>
      <w:r w:rsidRPr="00104227">
        <w:rPr>
          <w:rFonts w:cs="Verdana"/>
          <w:b/>
          <w:spacing w:val="-4"/>
          <w:szCs w:val="20"/>
        </w:rPr>
        <w:t>,</w:t>
      </w:r>
    </w:p>
    <w:p w14:paraId="41340319" w14:textId="77777777" w:rsidR="00D57225" w:rsidRPr="00104227" w:rsidRDefault="00D57225" w:rsidP="00E4619F">
      <w:pPr>
        <w:tabs>
          <w:tab w:val="left" w:pos="567"/>
        </w:tabs>
      </w:pPr>
    </w:p>
    <w:p w14:paraId="0367AF2D" w14:textId="6D25CC0C" w:rsidR="00D57225" w:rsidRPr="00104227" w:rsidRDefault="005E29A3" w:rsidP="00E4619F">
      <w:pPr>
        <w:pStyle w:val="Default"/>
        <w:tabs>
          <w:tab w:val="left" w:pos="567"/>
        </w:tabs>
        <w:jc w:val="both"/>
        <w:rPr>
          <w:rFonts w:ascii="Verdana" w:hAnsi="Verdana"/>
          <w:color w:val="auto"/>
          <w:spacing w:val="-4"/>
          <w:sz w:val="20"/>
          <w:szCs w:val="20"/>
        </w:rPr>
      </w:pPr>
      <w:r w:rsidRPr="00104227">
        <w:rPr>
          <w:rFonts w:ascii="Verdana" w:hAnsi="Verdana"/>
          <w:color w:val="auto"/>
          <w:spacing w:val="-4"/>
          <w:sz w:val="20"/>
          <w:szCs w:val="20"/>
        </w:rPr>
        <w:t>Unanimously</w:t>
      </w:r>
      <w:r w:rsidR="00D57225" w:rsidRPr="00104227">
        <w:rPr>
          <w:rFonts w:ascii="Verdana" w:hAnsi="Verdana"/>
          <w:color w:val="auto"/>
          <w:spacing w:val="-4"/>
          <w:sz w:val="20"/>
          <w:szCs w:val="20"/>
        </w:rPr>
        <w:t xml:space="preserve">, </w:t>
      </w:r>
      <w:r w:rsidRPr="00104227">
        <w:rPr>
          <w:rFonts w:ascii="Verdana" w:hAnsi="Verdana"/>
          <w:color w:val="auto"/>
          <w:spacing w:val="-4"/>
          <w:sz w:val="20"/>
          <w:szCs w:val="20"/>
        </w:rPr>
        <w:t>that:</w:t>
      </w:r>
    </w:p>
    <w:p w14:paraId="3BB803B3" w14:textId="77777777" w:rsidR="00D57225" w:rsidRPr="00104227" w:rsidRDefault="00D57225" w:rsidP="00E4619F">
      <w:pPr>
        <w:tabs>
          <w:tab w:val="left" w:pos="567"/>
        </w:tabs>
      </w:pPr>
    </w:p>
    <w:p w14:paraId="1D72C644" w14:textId="180A22D8" w:rsidR="00D57225" w:rsidRPr="00104227" w:rsidRDefault="00AC3BFC" w:rsidP="00E4619F">
      <w:pPr>
        <w:pStyle w:val="Prrafodelista"/>
        <w:numPr>
          <w:ilvl w:val="0"/>
          <w:numId w:val="68"/>
        </w:numPr>
        <w:tabs>
          <w:tab w:val="left" w:pos="567"/>
        </w:tabs>
        <w:ind w:left="0" w:firstLine="0"/>
      </w:pPr>
      <w:r w:rsidRPr="00104227">
        <w:t xml:space="preserve">The </w:t>
      </w:r>
      <w:r w:rsidR="005E29A3" w:rsidRPr="00104227">
        <w:t>State is responsible for the violation of</w:t>
      </w:r>
      <w:r w:rsidR="00D57225" w:rsidRPr="00104227">
        <w:t xml:space="preserve"> </w:t>
      </w:r>
      <w:r w:rsidR="0094395C" w:rsidRPr="00104227">
        <w:t>personal integrity</w:t>
      </w:r>
      <w:r w:rsidR="00D57225" w:rsidRPr="00104227">
        <w:t xml:space="preserve">, </w:t>
      </w:r>
      <w:r w:rsidR="0094395C" w:rsidRPr="00104227">
        <w:t>privacy</w:t>
      </w:r>
      <w:r w:rsidR="00D57225" w:rsidRPr="00104227">
        <w:t>,</w:t>
      </w:r>
      <w:r w:rsidR="00BF5241" w:rsidRPr="00104227">
        <w:t xml:space="preserve"> and </w:t>
      </w:r>
      <w:r w:rsidR="005E29A3" w:rsidRPr="00104227">
        <w:t>not to be subjected to torture</w:t>
      </w:r>
      <w:r w:rsidR="00D57225" w:rsidRPr="00104227">
        <w:t xml:space="preserve">, </w:t>
      </w:r>
      <w:r w:rsidR="005E29A3" w:rsidRPr="00104227">
        <w:t>recognized in</w:t>
      </w:r>
      <w:r w:rsidR="00D57225" w:rsidRPr="00104227">
        <w:t xml:space="preserve"> </w:t>
      </w:r>
      <w:r w:rsidR="00BF5241" w:rsidRPr="00104227">
        <w:t>Articles</w:t>
      </w:r>
      <w:r w:rsidR="00D57225" w:rsidRPr="00104227">
        <w:t xml:space="preserve"> </w:t>
      </w:r>
      <w:r w:rsidR="0094395C" w:rsidRPr="00104227">
        <w:t>5(1)</w:t>
      </w:r>
      <w:r w:rsidR="00D57225" w:rsidRPr="00104227">
        <w:t xml:space="preserve">, </w:t>
      </w:r>
      <w:r w:rsidR="0094395C" w:rsidRPr="00104227">
        <w:t>5(2)</w:t>
      </w:r>
      <w:r w:rsidR="00BF5241" w:rsidRPr="00104227">
        <w:t xml:space="preserve"> and </w:t>
      </w:r>
      <w:r w:rsidR="00D57225" w:rsidRPr="00104227">
        <w:t>11</w:t>
      </w:r>
      <w:r w:rsidR="00BF5241" w:rsidRPr="00104227">
        <w:t xml:space="preserve"> of the Convention</w:t>
      </w:r>
      <w:r w:rsidR="00D57225" w:rsidRPr="00104227">
        <w:t xml:space="preserve">, </w:t>
      </w:r>
      <w:r w:rsidR="005E29A3" w:rsidRPr="00104227">
        <w:t xml:space="preserve">in </w:t>
      </w:r>
      <w:r w:rsidR="00C4575F" w:rsidRPr="00104227">
        <w:t>r</w:t>
      </w:r>
      <w:r w:rsidR="005E29A3" w:rsidRPr="00104227">
        <w:t>elation to the obligations to respect and to ensure these rights without discrimination established in</w:t>
      </w:r>
      <w:r w:rsidR="00D57225" w:rsidRPr="00104227">
        <w:t xml:space="preserve"> </w:t>
      </w:r>
      <w:r w:rsidR="00C2124F" w:rsidRPr="00104227">
        <w:t>Articles 1(1)</w:t>
      </w:r>
      <w:r w:rsidR="00BF5241" w:rsidRPr="00104227">
        <w:t xml:space="preserve"> and </w:t>
      </w:r>
      <w:r w:rsidR="00D57225" w:rsidRPr="00104227">
        <w:t xml:space="preserve">2 </w:t>
      </w:r>
      <w:r w:rsidR="005E29A3" w:rsidRPr="00104227">
        <w:t>of this treaty,</w:t>
      </w:r>
      <w:r w:rsidR="00BF5241" w:rsidRPr="00104227">
        <w:t xml:space="preserve"> Articles</w:t>
      </w:r>
      <w:r w:rsidR="00D57225" w:rsidRPr="00104227">
        <w:t xml:space="preserve"> 1</w:t>
      </w:r>
      <w:r w:rsidR="00BF5241" w:rsidRPr="00104227">
        <w:t xml:space="preserve"> and </w:t>
      </w:r>
      <w:r w:rsidR="00D57225" w:rsidRPr="00104227">
        <w:t>6</w:t>
      </w:r>
      <w:r w:rsidR="00BF5241" w:rsidRPr="00104227">
        <w:t xml:space="preserve"> of the </w:t>
      </w:r>
      <w:r w:rsidR="007E2382" w:rsidRPr="00104227">
        <w:t>Inter-American Convention against Torture</w:t>
      </w:r>
      <w:r w:rsidR="00BF5241" w:rsidRPr="00104227">
        <w:t xml:space="preserve"> and Article</w:t>
      </w:r>
      <w:r w:rsidR="00D57225" w:rsidRPr="00104227">
        <w:t xml:space="preserve"> 7</w:t>
      </w:r>
      <w:r w:rsidR="00BF5241" w:rsidRPr="00104227">
        <w:t xml:space="preserve"> of the Convention</w:t>
      </w:r>
      <w:r w:rsidR="00D57225" w:rsidRPr="00104227">
        <w:t xml:space="preserve"> </w:t>
      </w:r>
      <w:r w:rsidR="0094395C" w:rsidRPr="00104227">
        <w:t>of Belém</w:t>
      </w:r>
      <w:r w:rsidR="00D57225" w:rsidRPr="00104227">
        <w:t xml:space="preserve"> do Pará, </w:t>
      </w:r>
      <w:r w:rsidR="00C2124F" w:rsidRPr="00104227">
        <w:t>to the detriment of</w:t>
      </w:r>
      <w:r w:rsidR="00D57225" w:rsidRPr="00104227">
        <w:t xml:space="preserve"> Yolanda Muñoz Diosdada, Norma Aidé Jiménez Osorio, María Patricia Romero Hernández, Mariana Selvas Gómez, Georgina Edith </w:t>
      </w:r>
      <w:r w:rsidR="00DA23B8" w:rsidRPr="00104227">
        <w:t>Rosales</w:t>
      </w:r>
      <w:r w:rsidR="00D57225" w:rsidRPr="00104227">
        <w:t xml:space="preserve"> Gutiérrez, Ana María Velasco Rodríguez, Suhelen Gabriela Cuevas Jaramillo, Bárbara Italia Méndez Moreno, María Cristina Sánchez Hernández, </w:t>
      </w:r>
      <w:r w:rsidR="0047539E" w:rsidRPr="00104227">
        <w:t>Angélica Patricia Torres</w:t>
      </w:r>
      <w:r w:rsidR="00D57225" w:rsidRPr="00104227">
        <w:t xml:space="preserve"> Linares</w:t>
      </w:r>
      <w:r w:rsidR="00BF5241" w:rsidRPr="00104227">
        <w:t xml:space="preserve"> and </w:t>
      </w:r>
      <w:r w:rsidR="00D57225" w:rsidRPr="00104227">
        <w:t xml:space="preserve">Claudia Hernández Martínez, </w:t>
      </w:r>
      <w:r w:rsidR="005E29A3" w:rsidRPr="00104227">
        <w:t>as established in</w:t>
      </w:r>
      <w:r w:rsidR="00D57225" w:rsidRPr="00104227">
        <w:t xml:space="preserve"> </w:t>
      </w:r>
      <w:r w:rsidR="00DF5F3C" w:rsidRPr="00104227">
        <w:t>paragraphs</w:t>
      </w:r>
      <w:r w:rsidR="00D57225" w:rsidRPr="00104227">
        <w:t xml:space="preserve"> </w:t>
      </w:r>
      <w:r w:rsidR="00A23EE6" w:rsidRPr="00104227">
        <w:fldChar w:fldCharType="begin"/>
      </w:r>
      <w:r w:rsidR="00A23EE6" w:rsidRPr="00104227">
        <w:instrText xml:space="preserve"> REF _Ref532986995 \r \h </w:instrText>
      </w:r>
      <w:r w:rsidR="00284EAE" w:rsidRPr="00104227">
        <w:instrText xml:space="preserve"> \* MERGEFORMAT </w:instrText>
      </w:r>
      <w:r w:rsidR="00A23EE6" w:rsidRPr="00104227">
        <w:fldChar w:fldCharType="separate"/>
      </w:r>
      <w:r w:rsidR="004276BD">
        <w:t>159</w:t>
      </w:r>
      <w:r w:rsidR="00A23EE6" w:rsidRPr="00104227">
        <w:fldChar w:fldCharType="end"/>
      </w:r>
      <w:r w:rsidR="00D57225" w:rsidRPr="00104227">
        <w:t xml:space="preserve"> </w:t>
      </w:r>
      <w:r w:rsidR="005E29A3" w:rsidRPr="00104227">
        <w:t>to</w:t>
      </w:r>
      <w:r w:rsidR="00D57225" w:rsidRPr="00104227">
        <w:t xml:space="preserve"> </w:t>
      </w:r>
      <w:r w:rsidR="00A23EE6" w:rsidRPr="00104227">
        <w:fldChar w:fldCharType="begin"/>
      </w:r>
      <w:r w:rsidR="00A23EE6" w:rsidRPr="00104227">
        <w:instrText xml:space="preserve"> REF _Ref532987023 \r \h </w:instrText>
      </w:r>
      <w:r w:rsidR="00284EAE" w:rsidRPr="00104227">
        <w:instrText xml:space="preserve"> \* MERGEFORMAT </w:instrText>
      </w:r>
      <w:r w:rsidR="00A23EE6" w:rsidRPr="00104227">
        <w:fldChar w:fldCharType="separate"/>
      </w:r>
      <w:r w:rsidR="004276BD">
        <w:t>170</w:t>
      </w:r>
      <w:r w:rsidR="00A23EE6" w:rsidRPr="00104227">
        <w:fldChar w:fldCharType="end"/>
      </w:r>
      <w:r w:rsidR="00BF5241" w:rsidRPr="00104227">
        <w:t xml:space="preserve"> and </w:t>
      </w:r>
      <w:r w:rsidR="00E71063" w:rsidRPr="00104227">
        <w:fldChar w:fldCharType="begin"/>
      </w:r>
      <w:r w:rsidR="00E71063" w:rsidRPr="00104227">
        <w:instrText xml:space="preserve"> REF _Ref532987162 \r \h </w:instrText>
      </w:r>
      <w:r w:rsidR="00284EAE" w:rsidRPr="00104227">
        <w:instrText xml:space="preserve"> \* MERGEFORMAT </w:instrText>
      </w:r>
      <w:r w:rsidR="00E71063" w:rsidRPr="00104227">
        <w:fldChar w:fldCharType="separate"/>
      </w:r>
      <w:r w:rsidR="004276BD">
        <w:t>177</w:t>
      </w:r>
      <w:r w:rsidR="00E71063" w:rsidRPr="00104227">
        <w:fldChar w:fldCharType="end"/>
      </w:r>
      <w:r w:rsidR="00E71063" w:rsidRPr="00104227">
        <w:t xml:space="preserve"> </w:t>
      </w:r>
      <w:r w:rsidR="005E29A3" w:rsidRPr="00104227">
        <w:t>to</w:t>
      </w:r>
      <w:r w:rsidR="00E71063" w:rsidRPr="00104227">
        <w:t xml:space="preserve"> </w:t>
      </w:r>
      <w:r w:rsidR="00516CAE" w:rsidRPr="00104227">
        <w:fldChar w:fldCharType="begin"/>
      </w:r>
      <w:r w:rsidR="00516CAE" w:rsidRPr="00104227">
        <w:instrText xml:space="preserve"> REF _Ref532987514 \r \h </w:instrText>
      </w:r>
      <w:r w:rsidR="00284EAE" w:rsidRPr="00104227">
        <w:instrText xml:space="preserve"> \* MERGEFORMAT </w:instrText>
      </w:r>
      <w:r w:rsidR="00516CAE" w:rsidRPr="00104227">
        <w:fldChar w:fldCharType="separate"/>
      </w:r>
      <w:r w:rsidR="004276BD">
        <w:t>223</w:t>
      </w:r>
      <w:r w:rsidR="00516CAE" w:rsidRPr="00104227">
        <w:fldChar w:fldCharType="end"/>
      </w:r>
      <w:r w:rsidR="00D57225" w:rsidRPr="00104227">
        <w:t xml:space="preserve"> </w:t>
      </w:r>
      <w:r w:rsidR="005E29A3" w:rsidRPr="00104227">
        <w:t>of this judgment</w:t>
      </w:r>
      <w:r w:rsidR="00D57225" w:rsidRPr="00104227">
        <w:t>.</w:t>
      </w:r>
      <w:r w:rsidR="00C726C5" w:rsidRPr="00104227">
        <w:t xml:space="preserve"> </w:t>
      </w:r>
    </w:p>
    <w:p w14:paraId="572CE92E" w14:textId="77777777" w:rsidR="00D57225" w:rsidRPr="00104227" w:rsidRDefault="00D57225" w:rsidP="00E4619F">
      <w:pPr>
        <w:tabs>
          <w:tab w:val="left" w:pos="567"/>
        </w:tabs>
      </w:pPr>
    </w:p>
    <w:p w14:paraId="70FA78AD" w14:textId="0D80D5F1" w:rsidR="00D57225" w:rsidRPr="00104227" w:rsidRDefault="00AC3BFC" w:rsidP="00E4619F">
      <w:pPr>
        <w:pStyle w:val="Prrafodelista"/>
        <w:numPr>
          <w:ilvl w:val="0"/>
          <w:numId w:val="68"/>
        </w:numPr>
        <w:tabs>
          <w:tab w:val="left" w:pos="567"/>
        </w:tabs>
        <w:ind w:left="0" w:firstLine="0"/>
      </w:pPr>
      <w:r w:rsidRPr="00104227">
        <w:t xml:space="preserve">The </w:t>
      </w:r>
      <w:r w:rsidR="005E29A3" w:rsidRPr="00104227">
        <w:t>State is responsible for the violation of the right to freedom of assembly</w:t>
      </w:r>
      <w:r w:rsidR="00D57225" w:rsidRPr="00104227">
        <w:t xml:space="preserve">, </w:t>
      </w:r>
      <w:r w:rsidR="005E29A3" w:rsidRPr="00104227">
        <w:t>recognized in</w:t>
      </w:r>
      <w:r w:rsidR="00D57225" w:rsidRPr="00104227">
        <w:t xml:space="preserve"> </w:t>
      </w:r>
      <w:r w:rsidR="00BF5241" w:rsidRPr="00104227">
        <w:t>Article</w:t>
      </w:r>
      <w:r w:rsidR="00D57225" w:rsidRPr="00104227">
        <w:t xml:space="preserve"> 15</w:t>
      </w:r>
      <w:r w:rsidR="00BF5241" w:rsidRPr="00104227">
        <w:t xml:space="preserve"> of the Convention</w:t>
      </w:r>
      <w:r w:rsidR="00D57225" w:rsidRPr="00104227">
        <w:t xml:space="preserve">, </w:t>
      </w:r>
      <w:r w:rsidR="00C2124F" w:rsidRPr="00104227">
        <w:t>in relation to Article 1(1)</w:t>
      </w:r>
      <w:r w:rsidR="00D57225" w:rsidRPr="00104227">
        <w:t xml:space="preserve"> </w:t>
      </w:r>
      <w:r w:rsidR="005E29A3" w:rsidRPr="00104227">
        <w:t>of this treaty</w:t>
      </w:r>
      <w:r w:rsidR="00D57225" w:rsidRPr="00104227">
        <w:t xml:space="preserve">, </w:t>
      </w:r>
      <w:r w:rsidR="00C2124F" w:rsidRPr="00104227">
        <w:t>to the detriment of</w:t>
      </w:r>
      <w:r w:rsidR="00D57225" w:rsidRPr="00104227">
        <w:t xml:space="preserve"> Norma Aidé Jiménez Osorio, Suhelen Gabriela Cuevas Jaramillo, Bárbara Italia Méndez Moreno, </w:t>
      </w:r>
      <w:r w:rsidR="0047539E" w:rsidRPr="00104227">
        <w:t>Angélica Patricia Torres</w:t>
      </w:r>
      <w:r w:rsidR="00D57225" w:rsidRPr="00104227">
        <w:t xml:space="preserve"> Linares, Claudia Hernández Martínez, Mariana Selvas Gómez</w:t>
      </w:r>
      <w:r w:rsidR="00BF5241" w:rsidRPr="00104227">
        <w:t xml:space="preserve"> and </w:t>
      </w:r>
      <w:r w:rsidR="00D57225" w:rsidRPr="00104227">
        <w:t xml:space="preserve">Georgina Edith </w:t>
      </w:r>
      <w:r w:rsidR="00DA23B8" w:rsidRPr="00104227">
        <w:t>Rosales</w:t>
      </w:r>
      <w:r w:rsidR="00EA4EC4" w:rsidRPr="00104227">
        <w:t xml:space="preserve"> Gutiérrez</w:t>
      </w:r>
      <w:r w:rsidR="00D57225" w:rsidRPr="00104227">
        <w:t xml:space="preserve">, </w:t>
      </w:r>
      <w:r w:rsidR="005E29A3" w:rsidRPr="00104227">
        <w:t xml:space="preserve">as established in </w:t>
      </w:r>
      <w:r w:rsidR="00DF5F3C" w:rsidRPr="00104227">
        <w:t>paragraphs</w:t>
      </w:r>
      <w:r w:rsidR="00D57225" w:rsidRPr="00104227">
        <w:t xml:space="preserve"> </w:t>
      </w:r>
      <w:r w:rsidR="00A23EE6" w:rsidRPr="00104227">
        <w:fldChar w:fldCharType="begin"/>
      </w:r>
      <w:r w:rsidR="00A23EE6" w:rsidRPr="00104227">
        <w:instrText xml:space="preserve"> REF _Ref532987040 \r \h </w:instrText>
      </w:r>
      <w:r w:rsidR="00284EAE" w:rsidRPr="00104227">
        <w:instrText xml:space="preserve"> \* MERGEFORMAT </w:instrText>
      </w:r>
      <w:r w:rsidR="00A23EE6" w:rsidRPr="00104227">
        <w:fldChar w:fldCharType="separate"/>
      </w:r>
      <w:r w:rsidR="004276BD">
        <w:t>171</w:t>
      </w:r>
      <w:r w:rsidR="00A23EE6" w:rsidRPr="00104227">
        <w:fldChar w:fldCharType="end"/>
      </w:r>
      <w:r w:rsidR="00D57225" w:rsidRPr="00104227">
        <w:t xml:space="preserve"> </w:t>
      </w:r>
      <w:r w:rsidR="005E29A3" w:rsidRPr="00104227">
        <w:t>to</w:t>
      </w:r>
      <w:r w:rsidR="00D57225" w:rsidRPr="00104227">
        <w:t xml:space="preserve"> </w:t>
      </w:r>
      <w:r w:rsidR="00A23EE6" w:rsidRPr="00104227">
        <w:fldChar w:fldCharType="begin"/>
      </w:r>
      <w:r w:rsidR="00A23EE6" w:rsidRPr="00104227">
        <w:instrText xml:space="preserve"> REF _Ref532987061 \r \h </w:instrText>
      </w:r>
      <w:r w:rsidR="00284EAE" w:rsidRPr="00104227">
        <w:instrText xml:space="preserve"> \* MERGEFORMAT </w:instrText>
      </w:r>
      <w:r w:rsidR="00A23EE6" w:rsidRPr="00104227">
        <w:fldChar w:fldCharType="separate"/>
      </w:r>
      <w:r w:rsidR="004276BD">
        <w:t>176</w:t>
      </w:r>
      <w:r w:rsidR="00A23EE6" w:rsidRPr="00104227">
        <w:fldChar w:fldCharType="end"/>
      </w:r>
      <w:r w:rsidR="00BF5241" w:rsidRPr="00104227">
        <w:t xml:space="preserve"> and </w:t>
      </w:r>
      <w:r w:rsidR="00516CAE" w:rsidRPr="00104227">
        <w:fldChar w:fldCharType="begin"/>
      </w:r>
      <w:r w:rsidR="00516CAE" w:rsidRPr="00104227">
        <w:instrText xml:space="preserve"> REF _Ref532987527 \r \h </w:instrText>
      </w:r>
      <w:r w:rsidR="00284EAE" w:rsidRPr="00104227">
        <w:instrText xml:space="preserve"> \* MERGEFORMAT </w:instrText>
      </w:r>
      <w:r w:rsidR="00516CAE" w:rsidRPr="00104227">
        <w:fldChar w:fldCharType="separate"/>
      </w:r>
      <w:r w:rsidR="004276BD">
        <w:t>224</w:t>
      </w:r>
      <w:r w:rsidR="00516CAE" w:rsidRPr="00104227">
        <w:fldChar w:fldCharType="end"/>
      </w:r>
      <w:r w:rsidR="00D57225" w:rsidRPr="00104227">
        <w:t xml:space="preserve"> </w:t>
      </w:r>
      <w:r w:rsidR="005E29A3" w:rsidRPr="00104227">
        <w:t>of this judgment</w:t>
      </w:r>
      <w:r w:rsidR="00D57225" w:rsidRPr="00104227">
        <w:t>.</w:t>
      </w:r>
    </w:p>
    <w:p w14:paraId="53F4856C" w14:textId="77777777" w:rsidR="00D57225" w:rsidRPr="00104227" w:rsidRDefault="00D57225" w:rsidP="00E4619F">
      <w:pPr>
        <w:tabs>
          <w:tab w:val="left" w:pos="567"/>
        </w:tabs>
      </w:pPr>
    </w:p>
    <w:p w14:paraId="66AF74BF" w14:textId="246E9D97" w:rsidR="00D57225" w:rsidRPr="00104227" w:rsidRDefault="00AC3BFC" w:rsidP="00E4619F">
      <w:pPr>
        <w:pStyle w:val="Prrafodelista"/>
        <w:numPr>
          <w:ilvl w:val="0"/>
          <w:numId w:val="68"/>
        </w:numPr>
        <w:tabs>
          <w:tab w:val="left" w:pos="567"/>
        </w:tabs>
        <w:ind w:left="0" w:firstLine="0"/>
      </w:pPr>
      <w:r w:rsidRPr="00104227">
        <w:t xml:space="preserve">The </w:t>
      </w:r>
      <w:r w:rsidR="005E29A3" w:rsidRPr="00104227">
        <w:t>State is responsible for the violation of the right to</w:t>
      </w:r>
      <w:r w:rsidR="00D57225" w:rsidRPr="00104227">
        <w:t xml:space="preserve"> </w:t>
      </w:r>
      <w:r w:rsidR="0094395C" w:rsidRPr="00104227">
        <w:t>personal liberty</w:t>
      </w:r>
      <w:r w:rsidR="00D57225" w:rsidRPr="00104227">
        <w:t xml:space="preserve"> </w:t>
      </w:r>
      <w:r w:rsidR="005E29A3" w:rsidRPr="00104227">
        <w:t>recognized in paragraphs 1, 2, 3 and 4 of</w:t>
      </w:r>
      <w:r w:rsidR="00D57225" w:rsidRPr="00104227">
        <w:t xml:space="preserve"> </w:t>
      </w:r>
      <w:r w:rsidR="00BF5241" w:rsidRPr="00104227">
        <w:t>Article</w:t>
      </w:r>
      <w:r w:rsidR="00D57225" w:rsidRPr="00104227">
        <w:t xml:space="preserve"> 7,</w:t>
      </w:r>
      <w:r w:rsidR="00BF5241" w:rsidRPr="00104227">
        <w:t xml:space="preserve"> and </w:t>
      </w:r>
      <w:r w:rsidR="005E29A3" w:rsidRPr="00104227">
        <w:t xml:space="preserve">of the right </w:t>
      </w:r>
      <w:r w:rsidR="00C4575F" w:rsidRPr="00104227">
        <w:t>of</w:t>
      </w:r>
      <w:r w:rsidR="005E29A3" w:rsidRPr="00104227">
        <w:t xml:space="preserve"> defense, recognized in </w:t>
      </w:r>
      <w:r w:rsidR="00F27D61" w:rsidRPr="00104227">
        <w:t>subparagraphs</w:t>
      </w:r>
      <w:r w:rsidR="005E29A3" w:rsidRPr="00104227">
        <w:t xml:space="preserve"> </w:t>
      </w:r>
      <w:r w:rsidR="00C4575F" w:rsidRPr="00104227">
        <w:t>(</w:t>
      </w:r>
      <w:r w:rsidR="005E29A3" w:rsidRPr="00104227">
        <w:t>b</w:t>
      </w:r>
      <w:r w:rsidR="00C4575F" w:rsidRPr="00104227">
        <w:t>)</w:t>
      </w:r>
      <w:r w:rsidR="005E29A3" w:rsidRPr="00104227">
        <w:t xml:space="preserve">, </w:t>
      </w:r>
      <w:r w:rsidR="00C4575F" w:rsidRPr="00104227">
        <w:t>(</w:t>
      </w:r>
      <w:r w:rsidR="005E29A3" w:rsidRPr="00104227">
        <w:t>d</w:t>
      </w:r>
      <w:r w:rsidR="00C4575F" w:rsidRPr="00104227">
        <w:t>)</w:t>
      </w:r>
      <w:r w:rsidR="005E29A3" w:rsidRPr="00104227">
        <w:t xml:space="preserve"> and </w:t>
      </w:r>
      <w:r w:rsidR="00C4575F" w:rsidRPr="00104227">
        <w:t>(</w:t>
      </w:r>
      <w:r w:rsidR="005E29A3" w:rsidRPr="00104227">
        <w:t>e</w:t>
      </w:r>
      <w:r w:rsidR="00C4575F" w:rsidRPr="00104227">
        <w:t>)</w:t>
      </w:r>
      <w:r w:rsidR="005E29A3" w:rsidRPr="00104227">
        <w:t xml:space="preserve"> of </w:t>
      </w:r>
      <w:r w:rsidR="00BF5241" w:rsidRPr="00104227">
        <w:t>Article</w:t>
      </w:r>
      <w:r w:rsidR="00D57225" w:rsidRPr="00104227">
        <w:t xml:space="preserve"> 8</w:t>
      </w:r>
      <w:r w:rsidR="005E29A3" w:rsidRPr="00104227">
        <w:t>(</w:t>
      </w:r>
      <w:r w:rsidR="00D57225" w:rsidRPr="00104227">
        <w:t>2</w:t>
      </w:r>
      <w:r w:rsidR="005E29A3" w:rsidRPr="00104227">
        <w:t xml:space="preserve">) </w:t>
      </w:r>
      <w:r w:rsidR="00BF5241" w:rsidRPr="00104227">
        <w:t>of the Convention</w:t>
      </w:r>
      <w:r w:rsidR="00D57225" w:rsidRPr="00104227">
        <w:t xml:space="preserve">, </w:t>
      </w:r>
      <w:r w:rsidR="00C2124F" w:rsidRPr="00104227">
        <w:t>in relation to Article 1(1)</w:t>
      </w:r>
      <w:r w:rsidR="00D57225" w:rsidRPr="00104227">
        <w:t xml:space="preserve"> </w:t>
      </w:r>
      <w:r w:rsidR="005E29A3" w:rsidRPr="00104227">
        <w:t>of this treaty</w:t>
      </w:r>
      <w:r w:rsidR="00D57225" w:rsidRPr="00104227">
        <w:t xml:space="preserve">, </w:t>
      </w:r>
      <w:r w:rsidR="00C2124F" w:rsidRPr="00104227">
        <w:t xml:space="preserve">to the </w:t>
      </w:r>
      <w:r w:rsidR="00C2124F" w:rsidRPr="00104227">
        <w:lastRenderedPageBreak/>
        <w:t>detriment of</w:t>
      </w:r>
      <w:r w:rsidR="00D57225" w:rsidRPr="00104227">
        <w:t xml:space="preserve"> Yolanda Muñoz Diosdada, Norma Aidé Jiménez Osorio, María Patricia Romero Hernández, Mariana Selvas Gómez, Georgina Edith Rosales Gutiérrez, Ana María Velasco Rodríguez, Suhelen Gabriela Cuevas Jaramillo, Bárbara Italia Méndez Moreno, </w:t>
      </w:r>
      <w:r w:rsidR="00EA4EC4" w:rsidRPr="00104227">
        <w:t xml:space="preserve">María </w:t>
      </w:r>
      <w:r w:rsidR="00D57225" w:rsidRPr="00104227">
        <w:t xml:space="preserve">Cristina Sánchez Hernández, </w:t>
      </w:r>
      <w:r w:rsidR="0047539E" w:rsidRPr="00104227">
        <w:t>Angélica Patricia Torres</w:t>
      </w:r>
      <w:r w:rsidR="00D57225" w:rsidRPr="00104227">
        <w:t xml:space="preserve"> Linares</w:t>
      </w:r>
      <w:r w:rsidR="00BF5241" w:rsidRPr="00104227">
        <w:t xml:space="preserve"> and </w:t>
      </w:r>
      <w:r w:rsidR="00D57225" w:rsidRPr="00104227">
        <w:t xml:space="preserve">Claudia Hernández Martínez, </w:t>
      </w:r>
      <w:r w:rsidR="005E29A3" w:rsidRPr="00104227">
        <w:t xml:space="preserve">as established in </w:t>
      </w:r>
      <w:r w:rsidR="00DF5F3C" w:rsidRPr="00104227">
        <w:t>paragraphs</w:t>
      </w:r>
      <w:r w:rsidR="00D57225" w:rsidRPr="00104227">
        <w:t xml:space="preserve"> </w:t>
      </w:r>
      <w:r w:rsidR="00516CAE" w:rsidRPr="00104227">
        <w:fldChar w:fldCharType="begin"/>
      </w:r>
      <w:r w:rsidR="00516CAE" w:rsidRPr="00104227">
        <w:instrText xml:space="preserve"> REF _Ref532987402 \r \h </w:instrText>
      </w:r>
      <w:r w:rsidR="00284EAE" w:rsidRPr="00104227">
        <w:instrText xml:space="preserve"> \* MERGEFORMAT </w:instrText>
      </w:r>
      <w:r w:rsidR="00516CAE" w:rsidRPr="00104227">
        <w:fldChar w:fldCharType="separate"/>
      </w:r>
      <w:r w:rsidR="004276BD">
        <w:t>228</w:t>
      </w:r>
      <w:r w:rsidR="00516CAE" w:rsidRPr="00104227">
        <w:fldChar w:fldCharType="end"/>
      </w:r>
      <w:r w:rsidR="00D57225" w:rsidRPr="00104227">
        <w:t xml:space="preserve"> </w:t>
      </w:r>
      <w:r w:rsidR="005E29A3" w:rsidRPr="00104227">
        <w:t>to</w:t>
      </w:r>
      <w:r w:rsidR="00D57225" w:rsidRPr="00104227">
        <w:t xml:space="preserve"> </w:t>
      </w:r>
      <w:r w:rsidR="00516CAE" w:rsidRPr="00104227">
        <w:fldChar w:fldCharType="begin"/>
      </w:r>
      <w:r w:rsidR="00516CAE" w:rsidRPr="00104227">
        <w:instrText xml:space="preserve"> REF _Ref532987436 \r \h </w:instrText>
      </w:r>
      <w:r w:rsidR="00284EAE" w:rsidRPr="00104227">
        <w:instrText xml:space="preserve"> \* MERGEFORMAT </w:instrText>
      </w:r>
      <w:r w:rsidR="00516CAE" w:rsidRPr="00104227">
        <w:fldChar w:fldCharType="separate"/>
      </w:r>
      <w:r w:rsidR="004276BD">
        <w:t>262</w:t>
      </w:r>
      <w:r w:rsidR="00516CAE" w:rsidRPr="00104227">
        <w:fldChar w:fldCharType="end"/>
      </w:r>
      <w:r w:rsidR="00D57225" w:rsidRPr="00104227">
        <w:t xml:space="preserve"> </w:t>
      </w:r>
      <w:r w:rsidR="005E29A3" w:rsidRPr="00104227">
        <w:t>of this judgment</w:t>
      </w:r>
      <w:r w:rsidR="00D57225" w:rsidRPr="00104227">
        <w:t xml:space="preserve">. </w:t>
      </w:r>
    </w:p>
    <w:p w14:paraId="741EAE88" w14:textId="77777777" w:rsidR="00D57225" w:rsidRPr="00104227" w:rsidRDefault="00D57225" w:rsidP="00E4619F">
      <w:pPr>
        <w:tabs>
          <w:tab w:val="left" w:pos="567"/>
        </w:tabs>
      </w:pPr>
    </w:p>
    <w:p w14:paraId="581A8DDE" w14:textId="3923DAD5" w:rsidR="00D57225" w:rsidRPr="00104227" w:rsidRDefault="00AC3BFC" w:rsidP="00E4619F">
      <w:pPr>
        <w:pStyle w:val="Prrafodelista"/>
        <w:numPr>
          <w:ilvl w:val="0"/>
          <w:numId w:val="68"/>
        </w:numPr>
        <w:tabs>
          <w:tab w:val="left" w:pos="567"/>
        </w:tabs>
        <w:ind w:left="0" w:firstLine="0"/>
      </w:pPr>
      <w:r w:rsidRPr="00104227">
        <w:t xml:space="preserve">The </w:t>
      </w:r>
      <w:r w:rsidR="005E29A3" w:rsidRPr="00104227">
        <w:t>State is responsible for the violation of</w:t>
      </w:r>
      <w:r w:rsidR="00D57225" w:rsidRPr="00104227">
        <w:t xml:space="preserve"> </w:t>
      </w:r>
      <w:r w:rsidR="005E29A3" w:rsidRPr="00104227">
        <w:t>the rights to</w:t>
      </w:r>
      <w:r w:rsidR="00D57225" w:rsidRPr="00104227">
        <w:t xml:space="preserve"> </w:t>
      </w:r>
      <w:r w:rsidR="0094395C" w:rsidRPr="00104227">
        <w:t>judicial guarantees</w:t>
      </w:r>
      <w:r w:rsidR="00BF5241" w:rsidRPr="00104227">
        <w:t xml:space="preserve"> and </w:t>
      </w:r>
      <w:r w:rsidR="005E29A3" w:rsidRPr="00104227">
        <w:t>to</w:t>
      </w:r>
      <w:r w:rsidR="00D57225" w:rsidRPr="00104227">
        <w:t xml:space="preserve"> </w:t>
      </w:r>
      <w:r w:rsidR="00E466FA" w:rsidRPr="00104227">
        <w:t>judicial protection</w:t>
      </w:r>
      <w:r w:rsidR="00D57225" w:rsidRPr="00104227">
        <w:t xml:space="preserve">, </w:t>
      </w:r>
      <w:r w:rsidR="00E466FA" w:rsidRPr="00104227">
        <w:t>recognized in</w:t>
      </w:r>
      <w:r w:rsidR="00D57225" w:rsidRPr="00104227">
        <w:t xml:space="preserve"> </w:t>
      </w:r>
      <w:r w:rsidR="00BF5241" w:rsidRPr="00104227">
        <w:t>Articles</w:t>
      </w:r>
      <w:r w:rsidR="00D57225" w:rsidRPr="00104227">
        <w:t xml:space="preserve"> </w:t>
      </w:r>
      <w:r w:rsidR="0094395C" w:rsidRPr="00104227">
        <w:t>8(1)</w:t>
      </w:r>
      <w:r w:rsidR="00BF5241" w:rsidRPr="00104227">
        <w:t xml:space="preserve"> and </w:t>
      </w:r>
      <w:r w:rsidR="00D57225" w:rsidRPr="00104227">
        <w:t>2</w:t>
      </w:r>
      <w:r w:rsidR="0094395C" w:rsidRPr="00104227">
        <w:t>5(1)</w:t>
      </w:r>
      <w:r w:rsidR="00BF5241" w:rsidRPr="00104227">
        <w:t xml:space="preserve"> of the American Convention</w:t>
      </w:r>
      <w:r w:rsidR="00D57225" w:rsidRPr="00104227">
        <w:t xml:space="preserve">, </w:t>
      </w:r>
      <w:r w:rsidR="005E29A3" w:rsidRPr="00104227">
        <w:t>in relation to the general o</w:t>
      </w:r>
      <w:r w:rsidR="00C4575F" w:rsidRPr="00104227">
        <w:t>b</w:t>
      </w:r>
      <w:r w:rsidR="005E29A3" w:rsidRPr="00104227">
        <w:t>ligations contained in</w:t>
      </w:r>
      <w:r w:rsidR="00D57225" w:rsidRPr="00104227">
        <w:t xml:space="preserve"> </w:t>
      </w:r>
      <w:r w:rsidR="00C2124F" w:rsidRPr="00104227">
        <w:t>Articles 1(1)</w:t>
      </w:r>
      <w:r w:rsidR="00BF5241" w:rsidRPr="00104227">
        <w:t xml:space="preserve"> and </w:t>
      </w:r>
      <w:r w:rsidR="00D57225" w:rsidRPr="00104227">
        <w:t xml:space="preserve">2 </w:t>
      </w:r>
      <w:r w:rsidR="005E29A3" w:rsidRPr="00104227">
        <w:t>of this instrument</w:t>
      </w:r>
      <w:r w:rsidR="00D57225" w:rsidRPr="00104227">
        <w:t xml:space="preserve">, </w:t>
      </w:r>
      <w:r w:rsidR="00BF5241" w:rsidRPr="00104227">
        <w:t>Articles</w:t>
      </w:r>
      <w:r w:rsidR="00D57225" w:rsidRPr="00104227">
        <w:t xml:space="preserve"> 1, 6</w:t>
      </w:r>
      <w:r w:rsidR="00BF5241" w:rsidRPr="00104227">
        <w:t xml:space="preserve"> and </w:t>
      </w:r>
      <w:r w:rsidR="00D57225" w:rsidRPr="00104227">
        <w:t>8</w:t>
      </w:r>
      <w:r w:rsidR="00BF5241" w:rsidRPr="00104227">
        <w:t xml:space="preserve"> of the </w:t>
      </w:r>
      <w:r w:rsidR="007E2382" w:rsidRPr="00104227">
        <w:t>Inter-American Convention against Torture</w:t>
      </w:r>
      <w:r w:rsidR="00D57225" w:rsidRPr="00104227">
        <w:t>,</w:t>
      </w:r>
      <w:r w:rsidR="00BF5241" w:rsidRPr="00104227">
        <w:t xml:space="preserve"> and</w:t>
      </w:r>
      <w:r w:rsidR="00D57225" w:rsidRPr="00104227">
        <w:t xml:space="preserve"> </w:t>
      </w:r>
      <w:r w:rsidR="00BF5241" w:rsidRPr="00104227">
        <w:t>Article</w:t>
      </w:r>
      <w:r w:rsidR="00D57225" w:rsidRPr="00104227">
        <w:t xml:space="preserve"> 7</w:t>
      </w:r>
      <w:r w:rsidR="005E29A3" w:rsidRPr="00104227">
        <w:t>(</w:t>
      </w:r>
      <w:r w:rsidR="00D57225" w:rsidRPr="00104227">
        <w:t>b</w:t>
      </w:r>
      <w:r w:rsidR="005E29A3" w:rsidRPr="00104227">
        <w:t>)</w:t>
      </w:r>
      <w:r w:rsidR="00BF5241" w:rsidRPr="00104227">
        <w:t xml:space="preserve"> of the Convention</w:t>
      </w:r>
      <w:r w:rsidR="00D57225" w:rsidRPr="00104227">
        <w:t xml:space="preserve"> </w:t>
      </w:r>
      <w:r w:rsidR="005E29A3" w:rsidRPr="00104227">
        <w:t>of</w:t>
      </w:r>
      <w:r w:rsidR="00D57225" w:rsidRPr="00104227">
        <w:t xml:space="preserve"> Belem do Pará, </w:t>
      </w:r>
      <w:r w:rsidR="00C2124F" w:rsidRPr="00104227">
        <w:t>to the detriment of</w:t>
      </w:r>
      <w:r w:rsidR="00D57225" w:rsidRPr="00104227">
        <w:t xml:space="preserve"> Yolanda Muñoz Diosdada, Norma Aidé Jiménez Osorio, María Patricia Romero Hernández, Mariana Selvas Gómez, Georgina Edith </w:t>
      </w:r>
      <w:r w:rsidR="00DA23B8" w:rsidRPr="00104227">
        <w:t>Rosales</w:t>
      </w:r>
      <w:r w:rsidR="00D57225" w:rsidRPr="00104227">
        <w:t xml:space="preserve"> Gutiérrez, Ana María Velasco Rodríguez, Suhelen Gabriela Cuevas Jaramillo, Bárbara Italia Méndez Moreno, María Cristina Sánchez Hernández, </w:t>
      </w:r>
      <w:r w:rsidR="0047539E" w:rsidRPr="00104227">
        <w:t>Angélica Patricia Torres</w:t>
      </w:r>
      <w:r w:rsidR="00D57225" w:rsidRPr="00104227">
        <w:t xml:space="preserve"> Linares</w:t>
      </w:r>
      <w:r w:rsidR="00BF5241" w:rsidRPr="00104227">
        <w:t xml:space="preserve"> and </w:t>
      </w:r>
      <w:r w:rsidR="00D57225" w:rsidRPr="00104227">
        <w:t xml:space="preserve">Claudia Hernández Martínez, </w:t>
      </w:r>
      <w:r w:rsidR="005E29A3" w:rsidRPr="00104227">
        <w:t xml:space="preserve">as established in </w:t>
      </w:r>
      <w:r w:rsidR="00DF5F3C" w:rsidRPr="00104227">
        <w:t>paragraphs</w:t>
      </w:r>
      <w:r w:rsidR="00D57225" w:rsidRPr="00104227">
        <w:t xml:space="preserve"> </w:t>
      </w:r>
      <w:r w:rsidR="00516CAE" w:rsidRPr="00104227">
        <w:fldChar w:fldCharType="begin"/>
      </w:r>
      <w:r w:rsidR="00516CAE" w:rsidRPr="00104227">
        <w:instrText xml:space="preserve"> REF _Ref532987565 \r \h </w:instrText>
      </w:r>
      <w:r w:rsidR="00284EAE" w:rsidRPr="00104227">
        <w:instrText xml:space="preserve"> \* MERGEFORMAT </w:instrText>
      </w:r>
      <w:r w:rsidR="00516CAE" w:rsidRPr="00104227">
        <w:fldChar w:fldCharType="separate"/>
      </w:r>
      <w:r w:rsidR="004276BD">
        <w:t>266</w:t>
      </w:r>
      <w:r w:rsidR="00516CAE" w:rsidRPr="00104227">
        <w:fldChar w:fldCharType="end"/>
      </w:r>
      <w:r w:rsidR="00D57225" w:rsidRPr="00104227">
        <w:t xml:space="preserve"> </w:t>
      </w:r>
      <w:r w:rsidR="005E29A3" w:rsidRPr="00104227">
        <w:t>to</w:t>
      </w:r>
      <w:r w:rsidR="00D57225" w:rsidRPr="00104227">
        <w:t xml:space="preserve"> </w:t>
      </w:r>
      <w:r w:rsidR="00516CAE" w:rsidRPr="00104227">
        <w:fldChar w:fldCharType="begin"/>
      </w:r>
      <w:r w:rsidR="00516CAE" w:rsidRPr="00104227">
        <w:instrText xml:space="preserve"> REF _Ref532987583 \r \h </w:instrText>
      </w:r>
      <w:r w:rsidR="00284EAE" w:rsidRPr="00104227">
        <w:instrText xml:space="preserve"> \* MERGEFORMAT </w:instrText>
      </w:r>
      <w:r w:rsidR="00516CAE" w:rsidRPr="00104227">
        <w:fldChar w:fldCharType="separate"/>
      </w:r>
      <w:r w:rsidR="004276BD">
        <w:t>318</w:t>
      </w:r>
      <w:r w:rsidR="00516CAE" w:rsidRPr="00104227">
        <w:fldChar w:fldCharType="end"/>
      </w:r>
      <w:r w:rsidR="00D57225" w:rsidRPr="00104227">
        <w:t xml:space="preserve"> </w:t>
      </w:r>
      <w:r w:rsidR="005E29A3" w:rsidRPr="00104227">
        <w:t>of this judgment</w:t>
      </w:r>
      <w:r w:rsidR="00D57225" w:rsidRPr="00104227">
        <w:t>.</w:t>
      </w:r>
      <w:r w:rsidR="00C726C5" w:rsidRPr="00104227">
        <w:t xml:space="preserve"> </w:t>
      </w:r>
    </w:p>
    <w:p w14:paraId="0DC15E3C" w14:textId="77777777" w:rsidR="00D57225" w:rsidRPr="00104227" w:rsidRDefault="00D57225" w:rsidP="00E4619F">
      <w:pPr>
        <w:tabs>
          <w:tab w:val="left" w:pos="567"/>
        </w:tabs>
      </w:pPr>
    </w:p>
    <w:p w14:paraId="4E48DC71" w14:textId="57198AFB" w:rsidR="00D57225" w:rsidRPr="00104227" w:rsidRDefault="00AC3BFC" w:rsidP="00E4619F">
      <w:pPr>
        <w:pStyle w:val="Prrafodelista"/>
        <w:numPr>
          <w:ilvl w:val="0"/>
          <w:numId w:val="68"/>
        </w:numPr>
        <w:tabs>
          <w:tab w:val="left" w:pos="567"/>
        </w:tabs>
        <w:ind w:left="0" w:firstLine="0"/>
      </w:pPr>
      <w:r w:rsidRPr="00104227">
        <w:t xml:space="preserve">The </w:t>
      </w:r>
      <w:r w:rsidR="005E29A3" w:rsidRPr="00104227">
        <w:t>State is responsible for the violation of the right to</w:t>
      </w:r>
      <w:r w:rsidR="00D57225" w:rsidRPr="00104227">
        <w:t xml:space="preserve"> </w:t>
      </w:r>
      <w:r w:rsidR="0094395C" w:rsidRPr="00104227">
        <w:t>personal integrity</w:t>
      </w:r>
      <w:r w:rsidR="00D57225" w:rsidRPr="00104227">
        <w:t xml:space="preserve"> </w:t>
      </w:r>
      <w:r w:rsidR="005E29A3" w:rsidRPr="00104227">
        <w:t>recognized in</w:t>
      </w:r>
      <w:r w:rsidR="00D57225" w:rsidRPr="00104227">
        <w:t xml:space="preserve"> </w:t>
      </w:r>
      <w:r w:rsidR="00BF5241" w:rsidRPr="00104227">
        <w:t>Article</w:t>
      </w:r>
      <w:r w:rsidR="00D57225" w:rsidRPr="00104227">
        <w:t xml:space="preserve"> </w:t>
      </w:r>
      <w:r w:rsidR="0094395C" w:rsidRPr="00104227">
        <w:t>5(1)</w:t>
      </w:r>
      <w:r w:rsidR="00BF5241" w:rsidRPr="00104227">
        <w:t xml:space="preserve"> of the American Convention</w:t>
      </w:r>
      <w:r w:rsidR="00D57225" w:rsidRPr="00104227">
        <w:t xml:space="preserve">, </w:t>
      </w:r>
      <w:r w:rsidR="00C2124F" w:rsidRPr="00104227">
        <w:t>in relation to Article 1(1)</w:t>
      </w:r>
      <w:r w:rsidR="00D57225" w:rsidRPr="00104227">
        <w:t xml:space="preserve"> </w:t>
      </w:r>
      <w:r w:rsidR="00C2124F" w:rsidRPr="00104227">
        <w:t>of this instrument</w:t>
      </w:r>
      <w:r w:rsidR="00D57225" w:rsidRPr="00104227">
        <w:t xml:space="preserve">, </w:t>
      </w:r>
      <w:r w:rsidR="00C2124F" w:rsidRPr="00104227">
        <w:t>to the detriment of</w:t>
      </w:r>
      <w:r w:rsidR="00D57225" w:rsidRPr="00104227">
        <w:t xml:space="preserve"> </w:t>
      </w:r>
      <w:r w:rsidR="0094395C" w:rsidRPr="00104227">
        <w:t>the next of kin</w:t>
      </w:r>
      <w:r w:rsidR="00D57225" w:rsidRPr="00104227">
        <w:t xml:space="preserve"> </w:t>
      </w:r>
      <w:r w:rsidR="005E29A3" w:rsidRPr="00104227">
        <w:t>referred to in</w:t>
      </w:r>
      <w:r w:rsidR="00D57225" w:rsidRPr="00104227">
        <w:t xml:space="preserve"> </w:t>
      </w:r>
      <w:r w:rsidR="00DF5F3C" w:rsidRPr="00104227">
        <w:t>paragraph</w:t>
      </w:r>
      <w:r w:rsidR="00D57225" w:rsidRPr="00104227">
        <w:t xml:space="preserve"> </w:t>
      </w:r>
      <w:r w:rsidR="00516CAE" w:rsidRPr="00104227">
        <w:fldChar w:fldCharType="begin"/>
      </w:r>
      <w:r w:rsidR="00516CAE" w:rsidRPr="00104227">
        <w:instrText xml:space="preserve"> REF _Ref532979975 \r \h </w:instrText>
      </w:r>
      <w:r w:rsidR="00284EAE" w:rsidRPr="00104227">
        <w:instrText xml:space="preserve"> \* MERGEFORMAT </w:instrText>
      </w:r>
      <w:r w:rsidR="00516CAE" w:rsidRPr="00104227">
        <w:fldChar w:fldCharType="separate"/>
      </w:r>
      <w:r w:rsidR="004276BD">
        <w:t>324</w:t>
      </w:r>
      <w:r w:rsidR="00516CAE" w:rsidRPr="00104227">
        <w:fldChar w:fldCharType="end"/>
      </w:r>
      <w:r w:rsidR="00D57225" w:rsidRPr="00104227">
        <w:t xml:space="preserve"> </w:t>
      </w:r>
      <w:r w:rsidR="005E29A3" w:rsidRPr="00104227">
        <w:t>of this judgment</w:t>
      </w:r>
      <w:r w:rsidR="00D57225" w:rsidRPr="00104227">
        <w:t xml:space="preserve">, </w:t>
      </w:r>
      <w:r w:rsidR="005E29A3" w:rsidRPr="00104227">
        <w:t xml:space="preserve">as established in </w:t>
      </w:r>
      <w:r w:rsidR="00DF5F3C" w:rsidRPr="00104227">
        <w:t>paragraphs</w:t>
      </w:r>
      <w:r w:rsidR="00D57225" w:rsidRPr="00104227">
        <w:t xml:space="preserve"> </w:t>
      </w:r>
      <w:r w:rsidR="00516CAE" w:rsidRPr="00104227">
        <w:fldChar w:fldCharType="begin"/>
      </w:r>
      <w:r w:rsidR="00516CAE" w:rsidRPr="00104227">
        <w:instrText xml:space="preserve"> REF _Ref532984850 \r \h </w:instrText>
      </w:r>
      <w:r w:rsidR="00284EAE" w:rsidRPr="00104227">
        <w:instrText xml:space="preserve"> \* MERGEFORMAT </w:instrText>
      </w:r>
      <w:r w:rsidR="00516CAE" w:rsidRPr="00104227">
        <w:fldChar w:fldCharType="separate"/>
      </w:r>
      <w:r w:rsidR="004276BD">
        <w:t>320</w:t>
      </w:r>
      <w:r w:rsidR="00516CAE" w:rsidRPr="00104227">
        <w:fldChar w:fldCharType="end"/>
      </w:r>
      <w:r w:rsidR="00D57225" w:rsidRPr="00104227">
        <w:t xml:space="preserve"> </w:t>
      </w:r>
      <w:r w:rsidR="005E29A3" w:rsidRPr="00104227">
        <w:t>to</w:t>
      </w:r>
      <w:r w:rsidR="00D57225" w:rsidRPr="00104227">
        <w:t xml:space="preserve"> </w:t>
      </w:r>
      <w:r w:rsidR="00516CAE" w:rsidRPr="00104227">
        <w:fldChar w:fldCharType="begin"/>
      </w:r>
      <w:r w:rsidR="00516CAE" w:rsidRPr="00104227">
        <w:instrText xml:space="preserve"> REF _Ref532979975 \r \h </w:instrText>
      </w:r>
      <w:r w:rsidR="00284EAE" w:rsidRPr="00104227">
        <w:instrText xml:space="preserve"> \* MERGEFORMAT </w:instrText>
      </w:r>
      <w:r w:rsidR="00516CAE" w:rsidRPr="00104227">
        <w:fldChar w:fldCharType="separate"/>
      </w:r>
      <w:r w:rsidR="004276BD">
        <w:t>324</w:t>
      </w:r>
      <w:r w:rsidR="00516CAE" w:rsidRPr="00104227">
        <w:fldChar w:fldCharType="end"/>
      </w:r>
      <w:r w:rsidR="00516CAE" w:rsidRPr="00104227">
        <w:t xml:space="preserve"> </w:t>
      </w:r>
      <w:r w:rsidR="005E29A3" w:rsidRPr="00104227">
        <w:t>of this judgment</w:t>
      </w:r>
      <w:r w:rsidR="00D57225" w:rsidRPr="00104227">
        <w:t>.</w:t>
      </w:r>
      <w:r w:rsidR="00C726C5" w:rsidRPr="00104227">
        <w:t xml:space="preserve"> </w:t>
      </w:r>
    </w:p>
    <w:p w14:paraId="5C3DC12D" w14:textId="77777777" w:rsidR="00D57225" w:rsidRPr="00104227" w:rsidRDefault="00D57225" w:rsidP="00E4619F">
      <w:pPr>
        <w:tabs>
          <w:tab w:val="left" w:pos="567"/>
        </w:tabs>
      </w:pPr>
    </w:p>
    <w:p w14:paraId="4828CB4A" w14:textId="4A21ED62" w:rsidR="00D57225" w:rsidRPr="00104227" w:rsidRDefault="005E29A3" w:rsidP="00E4619F">
      <w:pPr>
        <w:tabs>
          <w:tab w:val="left" w:pos="567"/>
          <w:tab w:val="left" w:pos="720"/>
        </w:tabs>
        <w:rPr>
          <w:rFonts w:cs="Verdana"/>
          <w:b/>
          <w:color w:val="000000" w:themeColor="text1"/>
          <w:szCs w:val="20"/>
        </w:rPr>
      </w:pPr>
      <w:r w:rsidRPr="00104227">
        <w:rPr>
          <w:rFonts w:cs="Verdana"/>
          <w:b/>
          <w:color w:val="000000" w:themeColor="text1"/>
          <w:szCs w:val="20"/>
        </w:rPr>
        <w:t>AND ESTABLISHES</w:t>
      </w:r>
      <w:r w:rsidR="00D57225" w:rsidRPr="00104227">
        <w:rPr>
          <w:rFonts w:cs="Verdana"/>
          <w:b/>
          <w:color w:val="000000" w:themeColor="text1"/>
          <w:szCs w:val="20"/>
        </w:rPr>
        <w:t>,</w:t>
      </w:r>
    </w:p>
    <w:p w14:paraId="600BBDF5" w14:textId="77777777" w:rsidR="00D57225" w:rsidRPr="00104227" w:rsidRDefault="00D57225" w:rsidP="00E4619F">
      <w:pPr>
        <w:tabs>
          <w:tab w:val="left" w:pos="567"/>
          <w:tab w:val="left" w:pos="720"/>
        </w:tabs>
        <w:rPr>
          <w:rFonts w:cs="Verdana"/>
          <w:b/>
          <w:color w:val="000000" w:themeColor="text1"/>
          <w:szCs w:val="20"/>
        </w:rPr>
      </w:pPr>
    </w:p>
    <w:p w14:paraId="3D83454F" w14:textId="1D38F2D1" w:rsidR="00D57225" w:rsidRPr="00104227" w:rsidRDefault="005E29A3" w:rsidP="00E4619F">
      <w:pPr>
        <w:tabs>
          <w:tab w:val="left" w:pos="567"/>
          <w:tab w:val="left" w:pos="720"/>
        </w:tabs>
        <w:rPr>
          <w:rFonts w:cs="Verdana"/>
          <w:color w:val="000000" w:themeColor="text1"/>
          <w:szCs w:val="20"/>
        </w:rPr>
      </w:pPr>
      <w:r w:rsidRPr="00104227">
        <w:rPr>
          <w:rFonts w:cs="Verdana"/>
          <w:color w:val="000000" w:themeColor="text1"/>
          <w:szCs w:val="20"/>
        </w:rPr>
        <w:t>Unanimously that</w:t>
      </w:r>
      <w:r w:rsidR="00D57225" w:rsidRPr="00104227">
        <w:rPr>
          <w:rFonts w:cs="Verdana"/>
          <w:color w:val="000000" w:themeColor="text1"/>
          <w:szCs w:val="20"/>
        </w:rPr>
        <w:t>:</w:t>
      </w:r>
    </w:p>
    <w:p w14:paraId="7006B15A" w14:textId="77777777" w:rsidR="00D57225" w:rsidRPr="00104227" w:rsidRDefault="00D57225" w:rsidP="00E4619F">
      <w:pPr>
        <w:tabs>
          <w:tab w:val="left" w:pos="567"/>
        </w:tabs>
      </w:pPr>
    </w:p>
    <w:p w14:paraId="4BCEB8BD" w14:textId="52E541FE" w:rsidR="00D57225" w:rsidRPr="00104227" w:rsidRDefault="005E29A3" w:rsidP="00E4619F">
      <w:pPr>
        <w:pStyle w:val="Prrafodelista"/>
        <w:numPr>
          <w:ilvl w:val="0"/>
          <w:numId w:val="68"/>
        </w:numPr>
        <w:tabs>
          <w:tab w:val="left" w:pos="567"/>
        </w:tabs>
        <w:ind w:left="0" w:firstLine="0"/>
      </w:pPr>
      <w:r w:rsidRPr="00104227">
        <w:t xml:space="preserve">This judgment constitutes, </w:t>
      </w:r>
      <w:r w:rsidRPr="00104227">
        <w:rPr>
          <w:i/>
          <w:iCs/>
        </w:rPr>
        <w:t>per se</w:t>
      </w:r>
      <w:r w:rsidRPr="00104227">
        <w:t>, a form of reparation</w:t>
      </w:r>
      <w:r w:rsidR="00D57225" w:rsidRPr="00104227">
        <w:t xml:space="preserve">. </w:t>
      </w:r>
    </w:p>
    <w:p w14:paraId="54920BD7" w14:textId="77777777" w:rsidR="00D57225" w:rsidRPr="00104227" w:rsidRDefault="00D57225" w:rsidP="00E4619F">
      <w:pPr>
        <w:tabs>
          <w:tab w:val="left" w:pos="567"/>
        </w:tabs>
      </w:pPr>
    </w:p>
    <w:p w14:paraId="01DD2781" w14:textId="13C3D3BE" w:rsidR="00D57225" w:rsidRPr="00104227" w:rsidRDefault="005E29A3" w:rsidP="00E4619F">
      <w:pPr>
        <w:pStyle w:val="Prrafodelista"/>
        <w:numPr>
          <w:ilvl w:val="0"/>
          <w:numId w:val="68"/>
        </w:numPr>
        <w:tabs>
          <w:tab w:val="left" w:pos="567"/>
        </w:tabs>
        <w:ind w:left="0" w:firstLine="0"/>
      </w:pPr>
      <w:r w:rsidRPr="00104227">
        <w:t>The State shall</w:t>
      </w:r>
      <w:r w:rsidR="00D57225" w:rsidRPr="00104227">
        <w:t xml:space="preserve"> </w:t>
      </w:r>
      <w:r w:rsidR="00D57225" w:rsidRPr="00104227">
        <w:rPr>
          <w:lang w:bidi="en-US"/>
        </w:rPr>
        <w:t>continu</w:t>
      </w:r>
      <w:r w:rsidR="00EF03E5" w:rsidRPr="00104227">
        <w:rPr>
          <w:lang w:bidi="en-US"/>
        </w:rPr>
        <w:t>e or open the wide</w:t>
      </w:r>
      <w:r w:rsidR="00C4575F" w:rsidRPr="00104227">
        <w:rPr>
          <w:lang w:bidi="en-US"/>
        </w:rPr>
        <w:t>-</w:t>
      </w:r>
      <w:r w:rsidR="00EF03E5" w:rsidRPr="00104227">
        <w:rPr>
          <w:lang w:bidi="en-US"/>
        </w:rPr>
        <w:t>ranging, sys</w:t>
      </w:r>
      <w:r w:rsidR="00C4575F" w:rsidRPr="00104227">
        <w:rPr>
          <w:lang w:bidi="en-US"/>
        </w:rPr>
        <w:t>t</w:t>
      </w:r>
      <w:r w:rsidR="00EF03E5" w:rsidRPr="00104227">
        <w:rPr>
          <w:lang w:bidi="en-US"/>
        </w:rPr>
        <w:t xml:space="preserve">ematic and thorough investigations </w:t>
      </w:r>
      <w:r w:rsidR="00D57225" w:rsidRPr="00104227">
        <w:rPr>
          <w:lang w:bidi="en-US"/>
        </w:rPr>
        <w:t xml:space="preserve"> </w:t>
      </w:r>
      <w:r w:rsidR="00EF03E5" w:rsidRPr="00104227">
        <w:rPr>
          <w:lang w:bidi="en-US"/>
        </w:rPr>
        <w:t>required to determine, prosecute and punish, as appropriate, all those responsible for the violence and sexual torture suffered by</w:t>
      </w:r>
      <w:r w:rsidR="00D57225" w:rsidRPr="00104227">
        <w:rPr>
          <w:lang w:bidi="en-US"/>
        </w:rPr>
        <w:t xml:space="preserve"> </w:t>
      </w:r>
      <w:r w:rsidR="00F12946" w:rsidRPr="00104227">
        <w:t>the eleven women</w:t>
      </w:r>
      <w:r w:rsidR="00D57225" w:rsidRPr="00104227">
        <w:t xml:space="preserve"> </w:t>
      </w:r>
      <w:r w:rsidR="00EF03E5" w:rsidRPr="00104227">
        <w:t>victims in this case</w:t>
      </w:r>
      <w:r w:rsidR="00D57225" w:rsidRPr="00104227">
        <w:t xml:space="preserve">, </w:t>
      </w:r>
      <w:r w:rsidRPr="00104227">
        <w:t>pursuant to</w:t>
      </w:r>
      <w:r w:rsidR="00D57225" w:rsidRPr="00104227">
        <w:t xml:space="preserve"> </w:t>
      </w:r>
      <w:r w:rsidRPr="00104227">
        <w:t>paragraphs</w:t>
      </w:r>
      <w:r w:rsidR="00D57225" w:rsidRPr="00104227">
        <w:t xml:space="preserve"> </w:t>
      </w:r>
      <w:r w:rsidR="00AF3B27" w:rsidRPr="00104227">
        <w:fldChar w:fldCharType="begin"/>
      </w:r>
      <w:r w:rsidR="00AF3B27" w:rsidRPr="00104227">
        <w:instrText xml:space="preserve"> REF _Ref532987940 \r \h </w:instrText>
      </w:r>
      <w:r w:rsidR="00284EAE" w:rsidRPr="00104227">
        <w:instrText xml:space="preserve"> \* MERGEFORMAT </w:instrText>
      </w:r>
      <w:r w:rsidR="00AF3B27" w:rsidRPr="00104227">
        <w:fldChar w:fldCharType="separate"/>
      </w:r>
      <w:r w:rsidR="004276BD">
        <w:t>338</w:t>
      </w:r>
      <w:r w:rsidR="00AF3B27" w:rsidRPr="00104227">
        <w:fldChar w:fldCharType="end"/>
      </w:r>
      <w:r w:rsidR="00D57225" w:rsidRPr="00104227">
        <w:t xml:space="preserve"> </w:t>
      </w:r>
      <w:r w:rsidRPr="00104227">
        <w:t>to</w:t>
      </w:r>
      <w:r w:rsidR="00D57225" w:rsidRPr="00104227">
        <w:t xml:space="preserve"> </w:t>
      </w:r>
      <w:r w:rsidR="00AF3B27" w:rsidRPr="00104227">
        <w:fldChar w:fldCharType="begin"/>
      </w:r>
      <w:r w:rsidR="00AF3B27" w:rsidRPr="00104227">
        <w:instrText xml:space="preserve"> REF _Ref532987953 \r \h </w:instrText>
      </w:r>
      <w:r w:rsidR="00284EAE" w:rsidRPr="00104227">
        <w:instrText xml:space="preserve"> \* MERGEFORMAT </w:instrText>
      </w:r>
      <w:r w:rsidR="00AF3B27" w:rsidRPr="00104227">
        <w:fldChar w:fldCharType="separate"/>
      </w:r>
      <w:r w:rsidR="004276BD">
        <w:t>339</w:t>
      </w:r>
      <w:r w:rsidR="00AF3B27" w:rsidRPr="00104227">
        <w:fldChar w:fldCharType="end"/>
      </w:r>
      <w:r w:rsidR="00D57225" w:rsidRPr="00104227">
        <w:t xml:space="preserve"> </w:t>
      </w:r>
      <w:r w:rsidRPr="00104227">
        <w:t>of this judgment</w:t>
      </w:r>
      <w:r w:rsidR="00D57225" w:rsidRPr="00104227">
        <w:t xml:space="preserve">. </w:t>
      </w:r>
    </w:p>
    <w:p w14:paraId="1C411EA9" w14:textId="77777777" w:rsidR="00D57225" w:rsidRPr="00104227" w:rsidRDefault="00D57225" w:rsidP="00E4619F">
      <w:pPr>
        <w:tabs>
          <w:tab w:val="left" w:pos="567"/>
        </w:tabs>
      </w:pPr>
    </w:p>
    <w:p w14:paraId="094205FA" w14:textId="1DFBBAF2" w:rsidR="00D57225" w:rsidRPr="00104227" w:rsidRDefault="005E29A3" w:rsidP="00E4619F">
      <w:pPr>
        <w:pStyle w:val="Prrafodelista"/>
        <w:numPr>
          <w:ilvl w:val="0"/>
          <w:numId w:val="68"/>
        </w:numPr>
        <w:tabs>
          <w:tab w:val="left" w:pos="567"/>
        </w:tabs>
        <w:ind w:left="0" w:firstLine="0"/>
      </w:pPr>
      <w:r w:rsidRPr="00104227">
        <w:t>The State shall</w:t>
      </w:r>
      <w:r w:rsidR="00D57225" w:rsidRPr="00104227">
        <w:t xml:space="preserve"> </w:t>
      </w:r>
      <w:r w:rsidR="00EF03E5" w:rsidRPr="00104227">
        <w:t>provide, free of charge and immediately, the medical and psych</w:t>
      </w:r>
      <w:r w:rsidR="00C4575F" w:rsidRPr="00104227">
        <w:t>o</w:t>
      </w:r>
      <w:r w:rsidR="00EF03E5" w:rsidRPr="00104227">
        <w:t>logical or psychiatric treatment, as appropriate, to the victims in this case</w:t>
      </w:r>
      <w:r w:rsidR="00D57225" w:rsidRPr="00104227">
        <w:t xml:space="preserve"> </w:t>
      </w:r>
      <w:r w:rsidR="00EF03E5" w:rsidRPr="00104227">
        <w:t xml:space="preserve">who request this, as established in </w:t>
      </w:r>
      <w:r w:rsidRPr="00104227">
        <w:t>paragraph</w:t>
      </w:r>
      <w:r w:rsidR="00D57225" w:rsidRPr="00104227">
        <w:t xml:space="preserve"> </w:t>
      </w:r>
      <w:r w:rsidR="00AF3B27" w:rsidRPr="00104227">
        <w:fldChar w:fldCharType="begin"/>
      </w:r>
      <w:r w:rsidR="00AF3B27" w:rsidRPr="00104227">
        <w:instrText xml:space="preserve"> REF _Ref532987983 \r \h </w:instrText>
      </w:r>
      <w:r w:rsidR="00284EAE" w:rsidRPr="00104227">
        <w:instrText xml:space="preserve"> \* MERGEFORMAT </w:instrText>
      </w:r>
      <w:r w:rsidR="00AF3B27" w:rsidRPr="00104227">
        <w:fldChar w:fldCharType="separate"/>
      </w:r>
      <w:r w:rsidR="004276BD">
        <w:t>341</w:t>
      </w:r>
      <w:r w:rsidR="00AF3B27" w:rsidRPr="00104227">
        <w:fldChar w:fldCharType="end"/>
      </w:r>
      <w:r w:rsidR="00D57225" w:rsidRPr="00104227">
        <w:t xml:space="preserve"> </w:t>
      </w:r>
      <w:r w:rsidRPr="00104227">
        <w:t>of this judgment</w:t>
      </w:r>
      <w:r w:rsidR="00D57225" w:rsidRPr="00104227">
        <w:t xml:space="preserve">. </w:t>
      </w:r>
    </w:p>
    <w:p w14:paraId="44EC045D" w14:textId="77777777" w:rsidR="00D57225" w:rsidRPr="00104227" w:rsidRDefault="00D57225" w:rsidP="00E4619F">
      <w:pPr>
        <w:tabs>
          <w:tab w:val="left" w:pos="567"/>
        </w:tabs>
      </w:pPr>
    </w:p>
    <w:p w14:paraId="2D7034A2" w14:textId="5F552495" w:rsidR="00D57225" w:rsidRPr="00104227" w:rsidRDefault="005E29A3" w:rsidP="00E4619F">
      <w:pPr>
        <w:pStyle w:val="Prrafodelista"/>
        <w:numPr>
          <w:ilvl w:val="0"/>
          <w:numId w:val="68"/>
        </w:numPr>
        <w:tabs>
          <w:tab w:val="left" w:pos="567"/>
        </w:tabs>
        <w:ind w:left="0" w:firstLine="0"/>
      </w:pPr>
      <w:r w:rsidRPr="00104227">
        <w:t>The State shall</w:t>
      </w:r>
      <w:r w:rsidR="00D57225" w:rsidRPr="00104227">
        <w:t xml:space="preserve"> </w:t>
      </w:r>
      <w:r w:rsidR="00EF03E5" w:rsidRPr="00104227">
        <w:t xml:space="preserve">make the publications indicated in </w:t>
      </w:r>
      <w:r w:rsidRPr="00104227">
        <w:t>paragraphs</w:t>
      </w:r>
      <w:r w:rsidR="00D57225" w:rsidRPr="00104227">
        <w:t xml:space="preserve"> </w:t>
      </w:r>
      <w:r w:rsidR="003A0BBB" w:rsidRPr="00104227">
        <w:fldChar w:fldCharType="begin"/>
      </w:r>
      <w:r w:rsidR="003A0BBB" w:rsidRPr="00104227">
        <w:instrText xml:space="preserve"> REF _Ref532988021 \r \h </w:instrText>
      </w:r>
      <w:r w:rsidR="00284EAE" w:rsidRPr="00104227">
        <w:instrText xml:space="preserve"> \* MERGEFORMAT </w:instrText>
      </w:r>
      <w:r w:rsidR="003A0BBB" w:rsidRPr="00104227">
        <w:fldChar w:fldCharType="separate"/>
      </w:r>
      <w:r w:rsidR="004276BD">
        <w:t>344</w:t>
      </w:r>
      <w:r w:rsidR="003A0BBB" w:rsidRPr="00104227">
        <w:fldChar w:fldCharType="end"/>
      </w:r>
      <w:r w:rsidR="003A0BBB" w:rsidRPr="00104227">
        <w:t xml:space="preserve"> a</w:t>
      </w:r>
      <w:r w:rsidR="00EF03E5" w:rsidRPr="00104227">
        <w:t>nd</w:t>
      </w:r>
      <w:r w:rsidR="003A0BBB" w:rsidRPr="00104227">
        <w:t xml:space="preserve"> </w:t>
      </w:r>
      <w:r w:rsidR="003A0BBB" w:rsidRPr="00104227">
        <w:fldChar w:fldCharType="begin"/>
      </w:r>
      <w:r w:rsidR="003A0BBB" w:rsidRPr="00104227">
        <w:instrText xml:space="preserve"> REF _Ref532988024 \r \h </w:instrText>
      </w:r>
      <w:r w:rsidR="00284EAE" w:rsidRPr="00104227">
        <w:instrText xml:space="preserve"> \* MERGEFORMAT </w:instrText>
      </w:r>
      <w:r w:rsidR="003A0BBB" w:rsidRPr="00104227">
        <w:fldChar w:fldCharType="separate"/>
      </w:r>
      <w:r w:rsidR="004276BD">
        <w:t>345</w:t>
      </w:r>
      <w:r w:rsidR="003A0BBB" w:rsidRPr="00104227">
        <w:fldChar w:fldCharType="end"/>
      </w:r>
      <w:r w:rsidR="003A0BBB" w:rsidRPr="00104227">
        <w:t xml:space="preserve"> </w:t>
      </w:r>
      <w:r w:rsidRPr="00104227">
        <w:t>of th</w:t>
      </w:r>
      <w:r w:rsidR="00C4575F" w:rsidRPr="00104227">
        <w:t>is</w:t>
      </w:r>
      <w:r w:rsidRPr="00104227">
        <w:t xml:space="preserve"> judgment</w:t>
      </w:r>
      <w:r w:rsidR="00EF03E5" w:rsidRPr="00104227">
        <w:t xml:space="preserve"> within six months of its notification</w:t>
      </w:r>
      <w:r w:rsidR="00D57225" w:rsidRPr="00104227">
        <w:t xml:space="preserve">, </w:t>
      </w:r>
      <w:r w:rsidR="00EF03E5" w:rsidRPr="00104227">
        <w:t>as established herein.</w:t>
      </w:r>
    </w:p>
    <w:p w14:paraId="44A00451" w14:textId="77777777" w:rsidR="00D57225" w:rsidRPr="00104227" w:rsidRDefault="00D57225" w:rsidP="00E4619F">
      <w:pPr>
        <w:tabs>
          <w:tab w:val="left" w:pos="567"/>
        </w:tabs>
      </w:pPr>
    </w:p>
    <w:p w14:paraId="49D26C9E" w14:textId="60039C22" w:rsidR="00D57225" w:rsidRPr="00104227" w:rsidRDefault="005E29A3" w:rsidP="00E4619F">
      <w:pPr>
        <w:pStyle w:val="Prrafodelista"/>
        <w:numPr>
          <w:ilvl w:val="0"/>
          <w:numId w:val="68"/>
        </w:numPr>
        <w:tabs>
          <w:tab w:val="left" w:pos="567"/>
        </w:tabs>
        <w:ind w:left="0" w:firstLine="0"/>
      </w:pPr>
      <w:r w:rsidRPr="00104227">
        <w:t>The State shall</w:t>
      </w:r>
      <w:r w:rsidR="00D57225" w:rsidRPr="00104227">
        <w:t xml:space="preserve"> </w:t>
      </w:r>
      <w:r w:rsidR="00EF03E5" w:rsidRPr="00104227">
        <w:t>organize a public act to acknowledge international responsibility and make a public apology with regar</w:t>
      </w:r>
      <w:r w:rsidR="00C4575F" w:rsidRPr="00104227">
        <w:t>d</w:t>
      </w:r>
      <w:r w:rsidR="00EF03E5" w:rsidRPr="00104227">
        <w:t xml:space="preserve"> to the facts of this case, </w:t>
      </w:r>
      <w:r w:rsidRPr="00104227">
        <w:t>pursuant to</w:t>
      </w:r>
      <w:r w:rsidR="00D57225" w:rsidRPr="00104227">
        <w:t xml:space="preserve"> </w:t>
      </w:r>
      <w:r w:rsidRPr="00104227">
        <w:t>paragraphs</w:t>
      </w:r>
      <w:r w:rsidR="00D57225" w:rsidRPr="00104227">
        <w:t xml:space="preserve"> </w:t>
      </w:r>
      <w:r w:rsidR="007420D2" w:rsidRPr="00104227">
        <w:fldChar w:fldCharType="begin"/>
      </w:r>
      <w:r w:rsidR="007420D2" w:rsidRPr="00104227">
        <w:instrText xml:space="preserve"> REF _Ref532988088 \r \h </w:instrText>
      </w:r>
      <w:r w:rsidR="00284EAE" w:rsidRPr="00104227">
        <w:instrText xml:space="preserve"> \* MERGEFORMAT </w:instrText>
      </w:r>
      <w:r w:rsidR="007420D2" w:rsidRPr="00104227">
        <w:fldChar w:fldCharType="separate"/>
      </w:r>
      <w:r w:rsidR="004276BD">
        <w:t>347</w:t>
      </w:r>
      <w:r w:rsidR="007420D2" w:rsidRPr="00104227">
        <w:fldChar w:fldCharType="end"/>
      </w:r>
      <w:r w:rsidR="00D57225" w:rsidRPr="00104227">
        <w:t xml:space="preserve"> a</w:t>
      </w:r>
      <w:r w:rsidRPr="00104227">
        <w:t>nd</w:t>
      </w:r>
      <w:r w:rsidR="00D57225" w:rsidRPr="00104227">
        <w:t xml:space="preserve"> </w:t>
      </w:r>
      <w:r w:rsidR="007420D2" w:rsidRPr="00104227">
        <w:fldChar w:fldCharType="begin"/>
      </w:r>
      <w:r w:rsidR="007420D2" w:rsidRPr="00104227">
        <w:instrText xml:space="preserve"> REF _Ref532988101 \r \h </w:instrText>
      </w:r>
      <w:r w:rsidR="00284EAE" w:rsidRPr="00104227">
        <w:instrText xml:space="preserve"> \* MERGEFORMAT </w:instrText>
      </w:r>
      <w:r w:rsidR="007420D2" w:rsidRPr="00104227">
        <w:fldChar w:fldCharType="separate"/>
      </w:r>
      <w:r w:rsidR="004276BD">
        <w:t>348</w:t>
      </w:r>
      <w:r w:rsidR="007420D2" w:rsidRPr="00104227">
        <w:fldChar w:fldCharType="end"/>
      </w:r>
      <w:r w:rsidR="00D57225" w:rsidRPr="00104227">
        <w:t xml:space="preserve"> </w:t>
      </w:r>
      <w:r w:rsidRPr="00104227">
        <w:t>of this judgment</w:t>
      </w:r>
      <w:r w:rsidR="00D57225" w:rsidRPr="00104227">
        <w:t>.</w:t>
      </w:r>
    </w:p>
    <w:p w14:paraId="289DD765" w14:textId="6AB8FC73" w:rsidR="00D57225" w:rsidRPr="00104227" w:rsidRDefault="00D57225" w:rsidP="00E4619F">
      <w:pPr>
        <w:tabs>
          <w:tab w:val="left" w:pos="567"/>
        </w:tabs>
      </w:pPr>
    </w:p>
    <w:p w14:paraId="4A5D0A0B" w14:textId="1EF36937" w:rsidR="00D57225" w:rsidRPr="00104227" w:rsidRDefault="005E29A3" w:rsidP="00E4619F">
      <w:pPr>
        <w:pStyle w:val="Prrafodelista"/>
        <w:numPr>
          <w:ilvl w:val="0"/>
          <w:numId w:val="68"/>
        </w:numPr>
        <w:tabs>
          <w:tab w:val="left" w:pos="567"/>
        </w:tabs>
        <w:ind w:left="0" w:firstLine="0"/>
      </w:pPr>
      <w:r w:rsidRPr="00104227">
        <w:t>The State shall</w:t>
      </w:r>
      <w:r w:rsidR="00D57225" w:rsidRPr="00104227">
        <w:t xml:space="preserve">, </w:t>
      </w:r>
      <w:r w:rsidR="00EF03E5" w:rsidRPr="00104227">
        <w:t>within two years</w:t>
      </w:r>
      <w:r w:rsidR="00D57225" w:rsidRPr="00104227">
        <w:t xml:space="preserve">, </w:t>
      </w:r>
      <w:r w:rsidR="00EF03E5" w:rsidRPr="00104227">
        <w:t>establish a training program for Federal Police</w:t>
      </w:r>
      <w:r w:rsidR="00E24D3B" w:rsidRPr="00104227">
        <w:t xml:space="preserve"> agents</w:t>
      </w:r>
      <w:r w:rsidR="00EF03E5" w:rsidRPr="00104227">
        <w:t xml:space="preserve"> and </w:t>
      </w:r>
      <w:r w:rsidR="002826A6" w:rsidRPr="00104227">
        <w:t>the</w:t>
      </w:r>
      <w:r w:rsidR="00C4575F" w:rsidRPr="00104227">
        <w:t xml:space="preserve"> police of the</w:t>
      </w:r>
      <w:r w:rsidR="002826A6" w:rsidRPr="00104227">
        <w:t xml:space="preserve"> </w:t>
      </w:r>
      <w:r w:rsidR="00CA330F" w:rsidRPr="00104227">
        <w:t>state of Mexico</w:t>
      </w:r>
      <w:r w:rsidR="00D57225" w:rsidRPr="00104227">
        <w:t>,</w:t>
      </w:r>
      <w:r w:rsidR="00BF5241" w:rsidRPr="00104227">
        <w:t xml:space="preserve"> and </w:t>
      </w:r>
      <w:r w:rsidR="00EF03E5" w:rsidRPr="00104227">
        <w:t xml:space="preserve">set up a supervision and monitoring mechanism to measure and evaluate the effectiveness of existing policies and institutions </w:t>
      </w:r>
      <w:r w:rsidR="00E24D3B" w:rsidRPr="00104227">
        <w:t>with</w:t>
      </w:r>
      <w:r w:rsidR="00EF03E5" w:rsidRPr="00104227">
        <w:t xml:space="preserve"> regard</w:t>
      </w:r>
      <w:r w:rsidR="00E24D3B" w:rsidRPr="00104227">
        <w:t xml:space="preserve"> to</w:t>
      </w:r>
      <w:r w:rsidR="00EF03E5" w:rsidRPr="00104227">
        <w:t xml:space="preserve"> accountability and the monitoring of the </w:t>
      </w:r>
      <w:r w:rsidR="00BC5201" w:rsidRPr="00104227">
        <w:t>use of force</w:t>
      </w:r>
      <w:r w:rsidR="00D57225" w:rsidRPr="00104227">
        <w:t xml:space="preserve"> </w:t>
      </w:r>
      <w:r w:rsidR="00EF03E5" w:rsidRPr="00104227">
        <w:t>of the Federal Police</w:t>
      </w:r>
      <w:r w:rsidR="00D57225" w:rsidRPr="00104227">
        <w:t xml:space="preserve"> </w:t>
      </w:r>
      <w:r w:rsidR="00BF5241" w:rsidRPr="00104227">
        <w:t xml:space="preserve">and </w:t>
      </w:r>
      <w:r w:rsidR="00EF03E5" w:rsidRPr="00104227">
        <w:t>the police</w:t>
      </w:r>
      <w:r w:rsidR="002826A6" w:rsidRPr="00104227">
        <w:t xml:space="preserve"> of the </w:t>
      </w:r>
      <w:r w:rsidR="00CA330F" w:rsidRPr="00104227">
        <w:t>state of Mexico</w:t>
      </w:r>
      <w:r w:rsidR="00D57225" w:rsidRPr="00104227">
        <w:t xml:space="preserve">, </w:t>
      </w:r>
      <w:r w:rsidRPr="00104227">
        <w:t>pursuant to</w:t>
      </w:r>
      <w:r w:rsidR="00D57225" w:rsidRPr="00104227">
        <w:t xml:space="preserve"> </w:t>
      </w:r>
      <w:r w:rsidRPr="00104227">
        <w:t>paragraphs</w:t>
      </w:r>
      <w:r w:rsidR="00D57225" w:rsidRPr="00104227">
        <w:t xml:space="preserve"> </w:t>
      </w:r>
      <w:r w:rsidR="0094353B" w:rsidRPr="00104227">
        <w:fldChar w:fldCharType="begin"/>
      </w:r>
      <w:r w:rsidR="0094353B" w:rsidRPr="00104227">
        <w:instrText xml:space="preserve"> REF _Ref532988251 \r \h </w:instrText>
      </w:r>
      <w:r w:rsidR="00284EAE" w:rsidRPr="00104227">
        <w:instrText xml:space="preserve"> \* MERGEFORMAT </w:instrText>
      </w:r>
      <w:r w:rsidR="0094353B" w:rsidRPr="00104227">
        <w:fldChar w:fldCharType="separate"/>
      </w:r>
      <w:r w:rsidR="004276BD">
        <w:t>355</w:t>
      </w:r>
      <w:r w:rsidR="0094353B" w:rsidRPr="00104227">
        <w:fldChar w:fldCharType="end"/>
      </w:r>
      <w:r w:rsidR="00D57225" w:rsidRPr="00104227">
        <w:t xml:space="preserve"> a</w:t>
      </w:r>
      <w:r w:rsidRPr="00104227">
        <w:t>nd</w:t>
      </w:r>
      <w:r w:rsidR="00D57225" w:rsidRPr="00104227">
        <w:t xml:space="preserve"> </w:t>
      </w:r>
      <w:r w:rsidR="0094353B" w:rsidRPr="00104227">
        <w:fldChar w:fldCharType="begin"/>
      </w:r>
      <w:r w:rsidR="0094353B" w:rsidRPr="00104227">
        <w:instrText xml:space="preserve"> REF _Ref532988269 \r \h </w:instrText>
      </w:r>
      <w:r w:rsidR="00284EAE" w:rsidRPr="00104227">
        <w:instrText xml:space="preserve"> \* MERGEFORMAT </w:instrText>
      </w:r>
      <w:r w:rsidR="0094353B" w:rsidRPr="00104227">
        <w:fldChar w:fldCharType="separate"/>
      </w:r>
      <w:r w:rsidR="004276BD">
        <w:t>356</w:t>
      </w:r>
      <w:r w:rsidR="0094353B" w:rsidRPr="00104227">
        <w:fldChar w:fldCharType="end"/>
      </w:r>
      <w:r w:rsidR="00D57225" w:rsidRPr="00104227">
        <w:t xml:space="preserve"> </w:t>
      </w:r>
      <w:r w:rsidRPr="00104227">
        <w:t>of this judgment</w:t>
      </w:r>
      <w:r w:rsidR="00D57225" w:rsidRPr="00104227">
        <w:t>.</w:t>
      </w:r>
    </w:p>
    <w:p w14:paraId="6E57255B" w14:textId="77777777" w:rsidR="00D57225" w:rsidRPr="00104227" w:rsidRDefault="00D57225" w:rsidP="00E4619F">
      <w:pPr>
        <w:tabs>
          <w:tab w:val="left" w:pos="567"/>
        </w:tabs>
      </w:pPr>
    </w:p>
    <w:p w14:paraId="2040FA57" w14:textId="67AC2675" w:rsidR="00D57225" w:rsidRPr="00104227" w:rsidRDefault="005E29A3" w:rsidP="00E4619F">
      <w:pPr>
        <w:pStyle w:val="Prrafodelista"/>
        <w:numPr>
          <w:ilvl w:val="0"/>
          <w:numId w:val="68"/>
        </w:numPr>
        <w:tabs>
          <w:tab w:val="left" w:pos="567"/>
        </w:tabs>
        <w:ind w:left="0" w:firstLine="0"/>
      </w:pPr>
      <w:r w:rsidRPr="00104227">
        <w:t>The State shall</w:t>
      </w:r>
      <w:r w:rsidR="00D57225" w:rsidRPr="00104227">
        <w:t xml:space="preserve"> </w:t>
      </w:r>
      <w:r w:rsidR="00EF03E5" w:rsidRPr="00104227">
        <w:t>grant a scholarship in a Mexican public high</w:t>
      </w:r>
      <w:r w:rsidR="00E24D3B" w:rsidRPr="00104227">
        <w:t>er</w:t>
      </w:r>
      <w:r w:rsidR="00EF03E5" w:rsidRPr="00104227">
        <w:t xml:space="preserve"> education establishment to </w:t>
      </w:r>
      <w:r w:rsidR="0047539E" w:rsidRPr="00104227">
        <w:t>Angélica Patricia Torres</w:t>
      </w:r>
      <w:r w:rsidR="00D57225" w:rsidRPr="00104227">
        <w:t xml:space="preserve"> Linares, Claudia Hernández Martínez</w:t>
      </w:r>
      <w:r w:rsidR="00BF5241" w:rsidRPr="00104227">
        <w:t xml:space="preserve"> and </w:t>
      </w:r>
      <w:r w:rsidR="00D57225" w:rsidRPr="00104227">
        <w:t xml:space="preserve">Suhelen Gabriela Cuevas Jaramillo, </w:t>
      </w:r>
      <w:r w:rsidR="00EF03E5" w:rsidRPr="00104227">
        <w:t>so that they may pu</w:t>
      </w:r>
      <w:r w:rsidR="00E24D3B" w:rsidRPr="00104227">
        <w:t>r</w:t>
      </w:r>
      <w:r w:rsidR="00EF03E5" w:rsidRPr="00104227">
        <w:t xml:space="preserve">sue higher technical or university education, </w:t>
      </w:r>
      <w:r w:rsidRPr="00104227">
        <w:t xml:space="preserve">pursuant to </w:t>
      </w:r>
      <w:r w:rsidRPr="00104227">
        <w:lastRenderedPageBreak/>
        <w:t>paragraph</w:t>
      </w:r>
      <w:r w:rsidR="00D57225" w:rsidRPr="00104227">
        <w:t xml:space="preserve"> </w:t>
      </w:r>
      <w:r w:rsidR="007420D2" w:rsidRPr="00104227">
        <w:fldChar w:fldCharType="begin"/>
      </w:r>
      <w:r w:rsidR="007420D2" w:rsidRPr="00104227">
        <w:instrText xml:space="preserve"> REF _Ref532988149 \r \h </w:instrText>
      </w:r>
      <w:r w:rsidR="00284EAE" w:rsidRPr="00104227">
        <w:instrText xml:space="preserve"> \* MERGEFORMAT </w:instrText>
      </w:r>
      <w:r w:rsidR="007420D2" w:rsidRPr="00104227">
        <w:fldChar w:fldCharType="separate"/>
      </w:r>
      <w:r w:rsidR="004276BD">
        <w:t>351</w:t>
      </w:r>
      <w:r w:rsidR="007420D2" w:rsidRPr="00104227">
        <w:fldChar w:fldCharType="end"/>
      </w:r>
      <w:r w:rsidR="00D57225" w:rsidRPr="00104227">
        <w:t xml:space="preserve"> </w:t>
      </w:r>
      <w:r w:rsidRPr="00104227">
        <w:t>of this judgment</w:t>
      </w:r>
      <w:r w:rsidR="00D57225" w:rsidRPr="00104227">
        <w:t>.</w:t>
      </w:r>
    </w:p>
    <w:p w14:paraId="77D08CD5" w14:textId="77777777" w:rsidR="00D57225" w:rsidRPr="00104227" w:rsidRDefault="00D57225" w:rsidP="00E4619F">
      <w:pPr>
        <w:tabs>
          <w:tab w:val="left" w:pos="567"/>
        </w:tabs>
      </w:pPr>
    </w:p>
    <w:p w14:paraId="16B7AE2F" w14:textId="5179DF89" w:rsidR="00D57225" w:rsidRPr="00104227" w:rsidRDefault="005E29A3" w:rsidP="00E4619F">
      <w:pPr>
        <w:pStyle w:val="Prrafodelista"/>
        <w:numPr>
          <w:ilvl w:val="0"/>
          <w:numId w:val="68"/>
        </w:numPr>
        <w:tabs>
          <w:tab w:val="left" w:pos="567"/>
        </w:tabs>
        <w:ind w:left="0" w:firstLine="0"/>
      </w:pPr>
      <w:r w:rsidRPr="00104227">
        <w:t>The State shall</w:t>
      </w:r>
      <w:r w:rsidR="00D57225" w:rsidRPr="00104227">
        <w:t xml:space="preserve">, </w:t>
      </w:r>
      <w:r w:rsidR="00EF03E5" w:rsidRPr="00104227">
        <w:t>within two years</w:t>
      </w:r>
      <w:r w:rsidR="00D57225" w:rsidRPr="00104227">
        <w:t>, elabora</w:t>
      </w:r>
      <w:r w:rsidR="00EF03E5" w:rsidRPr="00104227">
        <w:t xml:space="preserve">te a </w:t>
      </w:r>
      <w:r w:rsidR="00D0136A" w:rsidRPr="00104227">
        <w:t xml:space="preserve">plan, with a timetable, to reinforce the Mechanism to </w:t>
      </w:r>
      <w:r w:rsidR="00E24D3B" w:rsidRPr="00104227">
        <w:t>Monitor Cases of Sexual Torture against Women</w:t>
      </w:r>
      <w:r w:rsidR="00D57225" w:rsidRPr="00104227">
        <w:t xml:space="preserve">, </w:t>
      </w:r>
      <w:r w:rsidRPr="00104227">
        <w:t>pursuant to paragraph</w:t>
      </w:r>
      <w:r w:rsidR="00D57225" w:rsidRPr="00104227">
        <w:t xml:space="preserve"> </w:t>
      </w:r>
      <w:r w:rsidR="0094353B" w:rsidRPr="00104227">
        <w:fldChar w:fldCharType="begin"/>
      </w:r>
      <w:r w:rsidR="0094353B" w:rsidRPr="00104227">
        <w:instrText xml:space="preserve"> REF _Ref532988306 \r \h </w:instrText>
      </w:r>
      <w:r w:rsidR="00284EAE" w:rsidRPr="00104227">
        <w:instrText xml:space="preserve"> \* MERGEFORMAT </w:instrText>
      </w:r>
      <w:r w:rsidR="0094353B" w:rsidRPr="00104227">
        <w:fldChar w:fldCharType="separate"/>
      </w:r>
      <w:r w:rsidR="004276BD">
        <w:t>360</w:t>
      </w:r>
      <w:r w:rsidR="0094353B" w:rsidRPr="00104227">
        <w:fldChar w:fldCharType="end"/>
      </w:r>
      <w:r w:rsidR="00D57225" w:rsidRPr="00104227">
        <w:t xml:space="preserve"> </w:t>
      </w:r>
      <w:r w:rsidRPr="00104227">
        <w:t>of this judgment</w:t>
      </w:r>
      <w:r w:rsidR="00D57225" w:rsidRPr="00104227">
        <w:t>.</w:t>
      </w:r>
    </w:p>
    <w:p w14:paraId="1FA1FCA5" w14:textId="77777777" w:rsidR="00D57225" w:rsidRPr="00104227" w:rsidRDefault="00D57225" w:rsidP="00E4619F">
      <w:pPr>
        <w:tabs>
          <w:tab w:val="left" w:pos="567"/>
        </w:tabs>
      </w:pPr>
    </w:p>
    <w:p w14:paraId="246608EE" w14:textId="21F726E4" w:rsidR="00D57225" w:rsidRPr="00104227" w:rsidRDefault="005E29A3" w:rsidP="00E4619F">
      <w:pPr>
        <w:pStyle w:val="Prrafodelista"/>
        <w:numPr>
          <w:ilvl w:val="0"/>
          <w:numId w:val="68"/>
        </w:numPr>
        <w:tabs>
          <w:tab w:val="left" w:pos="567"/>
        </w:tabs>
        <w:ind w:left="0" w:firstLine="0"/>
      </w:pPr>
      <w:r w:rsidRPr="00104227">
        <w:t>The State shall</w:t>
      </w:r>
      <w:r w:rsidR="00D57225" w:rsidRPr="00104227">
        <w:t xml:space="preserve"> pa</w:t>
      </w:r>
      <w:r w:rsidR="00D0136A" w:rsidRPr="00104227">
        <w:t xml:space="preserve">y, within one year of notification </w:t>
      </w:r>
      <w:r w:rsidRPr="00104227">
        <w:t>of this judgment</w:t>
      </w:r>
      <w:r w:rsidR="00D57225" w:rsidRPr="00104227">
        <w:t xml:space="preserve">, </w:t>
      </w:r>
      <w:r w:rsidR="00D0136A" w:rsidRPr="00104227">
        <w:t xml:space="preserve">the amounts established in </w:t>
      </w:r>
      <w:r w:rsidRPr="00104227">
        <w:t>paragraphs</w:t>
      </w:r>
      <w:r w:rsidR="00D57225" w:rsidRPr="00104227">
        <w:t xml:space="preserve"> </w:t>
      </w:r>
      <w:r w:rsidR="00D509D0" w:rsidRPr="00104227">
        <w:fldChar w:fldCharType="begin"/>
      </w:r>
      <w:r w:rsidR="00D509D0" w:rsidRPr="00104227">
        <w:instrText xml:space="preserve"> REF _Ref532988350 \r \h </w:instrText>
      </w:r>
      <w:r w:rsidR="00284EAE" w:rsidRPr="00104227">
        <w:instrText xml:space="preserve"> \* MERGEFORMAT </w:instrText>
      </w:r>
      <w:r w:rsidR="00D509D0" w:rsidRPr="00104227">
        <w:fldChar w:fldCharType="separate"/>
      </w:r>
      <w:r w:rsidR="004276BD">
        <w:t>371</w:t>
      </w:r>
      <w:r w:rsidR="00D509D0" w:rsidRPr="00104227">
        <w:fldChar w:fldCharType="end"/>
      </w:r>
      <w:r w:rsidR="00D57225" w:rsidRPr="00104227">
        <w:t xml:space="preserve">, </w:t>
      </w:r>
      <w:r w:rsidR="00D509D0" w:rsidRPr="00104227">
        <w:fldChar w:fldCharType="begin"/>
      </w:r>
      <w:r w:rsidR="00D509D0" w:rsidRPr="00104227">
        <w:instrText xml:space="preserve"> REF _Ref532988370 \r \h </w:instrText>
      </w:r>
      <w:r w:rsidR="00284EAE" w:rsidRPr="00104227">
        <w:instrText xml:space="preserve"> \* MERGEFORMAT </w:instrText>
      </w:r>
      <w:r w:rsidR="00D509D0" w:rsidRPr="00104227">
        <w:fldChar w:fldCharType="separate"/>
      </w:r>
      <w:r w:rsidR="004276BD">
        <w:t>373</w:t>
      </w:r>
      <w:r w:rsidR="00D509D0" w:rsidRPr="00104227">
        <w:fldChar w:fldCharType="end"/>
      </w:r>
      <w:r w:rsidRPr="00104227">
        <w:t>,</w:t>
      </w:r>
      <w:r w:rsidR="00BF5241" w:rsidRPr="00104227">
        <w:t xml:space="preserve"> </w:t>
      </w:r>
      <w:r w:rsidR="00D509D0" w:rsidRPr="00104227">
        <w:fldChar w:fldCharType="begin"/>
      </w:r>
      <w:r w:rsidR="00D509D0" w:rsidRPr="00104227">
        <w:instrText xml:space="preserve"> REF _Ref532988388 \r \h </w:instrText>
      </w:r>
      <w:r w:rsidR="00284EAE" w:rsidRPr="00104227">
        <w:instrText xml:space="preserve"> \* MERGEFORMAT </w:instrText>
      </w:r>
      <w:r w:rsidR="00D509D0" w:rsidRPr="00104227">
        <w:fldChar w:fldCharType="separate"/>
      </w:r>
      <w:r w:rsidR="004276BD">
        <w:t>375</w:t>
      </w:r>
      <w:r w:rsidR="00D509D0" w:rsidRPr="00104227">
        <w:fldChar w:fldCharType="end"/>
      </w:r>
      <w:r w:rsidR="00D509D0" w:rsidRPr="00104227">
        <w:t xml:space="preserve"> a</w:t>
      </w:r>
      <w:r w:rsidRPr="00104227">
        <w:t>nd</w:t>
      </w:r>
      <w:r w:rsidR="00D509D0" w:rsidRPr="00104227">
        <w:t xml:space="preserve"> </w:t>
      </w:r>
      <w:r w:rsidR="00D509D0" w:rsidRPr="00104227">
        <w:fldChar w:fldCharType="begin"/>
      </w:r>
      <w:r w:rsidR="00D509D0" w:rsidRPr="00104227">
        <w:instrText xml:space="preserve"> REF _Ref532988390 \r \h </w:instrText>
      </w:r>
      <w:r w:rsidR="00284EAE" w:rsidRPr="00104227">
        <w:instrText xml:space="preserve"> \* MERGEFORMAT </w:instrText>
      </w:r>
      <w:r w:rsidR="00D509D0" w:rsidRPr="00104227">
        <w:fldChar w:fldCharType="separate"/>
      </w:r>
      <w:r w:rsidR="004276BD">
        <w:t>376</w:t>
      </w:r>
      <w:r w:rsidR="00D509D0" w:rsidRPr="00104227">
        <w:fldChar w:fldCharType="end"/>
      </w:r>
      <w:r w:rsidR="00D57225" w:rsidRPr="00104227">
        <w:t xml:space="preserve"> </w:t>
      </w:r>
      <w:r w:rsidR="00D0136A" w:rsidRPr="00104227">
        <w:t>herein, as compensation for pecuniary and non-pecuniary damage, and to reimburse</w:t>
      </w:r>
      <w:r w:rsidR="00D57225" w:rsidRPr="00104227">
        <w:t xml:space="preserve"> </w:t>
      </w:r>
      <w:r w:rsidR="00AA3133" w:rsidRPr="00104227">
        <w:t>costs and expenses</w:t>
      </w:r>
      <w:r w:rsidR="00D57225" w:rsidRPr="00104227">
        <w:t xml:space="preserve">, </w:t>
      </w:r>
      <w:r w:rsidRPr="00104227">
        <w:t>pursuant to</w:t>
      </w:r>
      <w:r w:rsidR="00D57225" w:rsidRPr="00104227">
        <w:t xml:space="preserve"> </w:t>
      </w:r>
      <w:r w:rsidRPr="00104227">
        <w:t>paragraphs</w:t>
      </w:r>
      <w:r w:rsidR="00D57225" w:rsidRPr="00104227">
        <w:t xml:space="preserve"> </w:t>
      </w:r>
      <w:r w:rsidR="00D509D0" w:rsidRPr="00104227">
        <w:fldChar w:fldCharType="begin"/>
      </w:r>
      <w:r w:rsidR="00D509D0" w:rsidRPr="00104227">
        <w:instrText xml:space="preserve"> REF _Ref532988410 \r \h </w:instrText>
      </w:r>
      <w:r w:rsidR="00284EAE" w:rsidRPr="00104227">
        <w:instrText xml:space="preserve"> \* MERGEFORMAT </w:instrText>
      </w:r>
      <w:r w:rsidR="00D509D0" w:rsidRPr="00104227">
        <w:fldChar w:fldCharType="separate"/>
      </w:r>
      <w:r w:rsidR="004276BD">
        <w:t>378</w:t>
      </w:r>
      <w:r w:rsidR="00D509D0" w:rsidRPr="00104227">
        <w:fldChar w:fldCharType="end"/>
      </w:r>
      <w:r w:rsidR="00D57225" w:rsidRPr="00104227">
        <w:t xml:space="preserve"> </w:t>
      </w:r>
      <w:r w:rsidRPr="00104227">
        <w:t>to</w:t>
      </w:r>
      <w:r w:rsidR="00D57225" w:rsidRPr="00104227">
        <w:t xml:space="preserve"> </w:t>
      </w:r>
      <w:r w:rsidR="00D509D0" w:rsidRPr="00104227">
        <w:fldChar w:fldCharType="begin"/>
      </w:r>
      <w:r w:rsidR="00D509D0" w:rsidRPr="00104227">
        <w:instrText xml:space="preserve"> REF _Ref532988424 \r \h </w:instrText>
      </w:r>
      <w:r w:rsidR="00284EAE" w:rsidRPr="00104227">
        <w:instrText xml:space="preserve"> \* MERGEFORMAT </w:instrText>
      </w:r>
      <w:r w:rsidR="00D509D0" w:rsidRPr="00104227">
        <w:fldChar w:fldCharType="separate"/>
      </w:r>
      <w:r w:rsidR="004276BD">
        <w:t>380</w:t>
      </w:r>
      <w:r w:rsidR="00D509D0" w:rsidRPr="00104227">
        <w:fldChar w:fldCharType="end"/>
      </w:r>
      <w:r w:rsidR="00D57225" w:rsidRPr="00104227">
        <w:t xml:space="preserve"> </w:t>
      </w:r>
      <w:r w:rsidRPr="00104227">
        <w:t>of this judgment</w:t>
      </w:r>
      <w:r w:rsidR="00D57225" w:rsidRPr="00104227">
        <w:t>.</w:t>
      </w:r>
    </w:p>
    <w:p w14:paraId="797154C5" w14:textId="77777777" w:rsidR="00D57225" w:rsidRPr="00104227" w:rsidRDefault="00D57225" w:rsidP="00E4619F">
      <w:pPr>
        <w:tabs>
          <w:tab w:val="left" w:pos="567"/>
        </w:tabs>
      </w:pPr>
    </w:p>
    <w:p w14:paraId="0BCE0042" w14:textId="5CBD31C0" w:rsidR="00D57225" w:rsidRPr="00104227" w:rsidRDefault="005E29A3" w:rsidP="00E4619F">
      <w:pPr>
        <w:pStyle w:val="Prrafodelista"/>
        <w:numPr>
          <w:ilvl w:val="0"/>
          <w:numId w:val="68"/>
        </w:numPr>
        <w:tabs>
          <w:tab w:val="left" w:pos="567"/>
        </w:tabs>
        <w:ind w:left="0" w:firstLine="0"/>
      </w:pPr>
      <w:r w:rsidRPr="00104227">
        <w:t>The State shall</w:t>
      </w:r>
      <w:r w:rsidR="00D57225" w:rsidRPr="00104227">
        <w:t xml:space="preserve"> rei</w:t>
      </w:r>
      <w:r w:rsidR="00D0136A" w:rsidRPr="00104227">
        <w:t>mburse the Victims’</w:t>
      </w:r>
      <w:r w:rsidR="00D57225" w:rsidRPr="00104227">
        <w:t xml:space="preserve"> </w:t>
      </w:r>
      <w:r w:rsidR="00AA3133" w:rsidRPr="00104227">
        <w:t>Legal Assistance Fund</w:t>
      </w:r>
      <w:r w:rsidR="00D57225" w:rsidRPr="00104227">
        <w:t xml:space="preserve"> </w:t>
      </w:r>
      <w:r w:rsidR="00BF5241" w:rsidRPr="00104227">
        <w:t>of the Inter-American Court of Human Rights</w:t>
      </w:r>
      <w:r w:rsidR="00D57225" w:rsidRPr="00104227">
        <w:t xml:space="preserve"> </w:t>
      </w:r>
      <w:r w:rsidR="00D0136A" w:rsidRPr="00104227">
        <w:t>the amount disbursed during the processing of this case,</w:t>
      </w:r>
      <w:r w:rsidR="00D57225" w:rsidRPr="00104227">
        <w:t xml:space="preserve"> </w:t>
      </w:r>
      <w:r w:rsidRPr="00104227">
        <w:t>pursuant to</w:t>
      </w:r>
      <w:r w:rsidR="00D57225" w:rsidRPr="00104227">
        <w:t xml:space="preserve"> </w:t>
      </w:r>
      <w:r w:rsidRPr="00104227">
        <w:t>paragraphs</w:t>
      </w:r>
      <w:r w:rsidR="00D57225" w:rsidRPr="00104227">
        <w:t xml:space="preserve"> </w:t>
      </w:r>
      <w:r w:rsidR="00D509D0" w:rsidRPr="00104227">
        <w:fldChar w:fldCharType="begin"/>
      </w:r>
      <w:r w:rsidR="00D509D0" w:rsidRPr="00104227">
        <w:instrText xml:space="preserve"> REF _Ref532988453 \r \h </w:instrText>
      </w:r>
      <w:r w:rsidR="00284EAE" w:rsidRPr="00104227">
        <w:instrText xml:space="preserve"> \* MERGEFORMAT </w:instrText>
      </w:r>
      <w:r w:rsidR="00D509D0" w:rsidRPr="00104227">
        <w:fldChar w:fldCharType="separate"/>
      </w:r>
      <w:r w:rsidR="004276BD">
        <w:t>381</w:t>
      </w:r>
      <w:r w:rsidR="00D509D0" w:rsidRPr="00104227">
        <w:fldChar w:fldCharType="end"/>
      </w:r>
      <w:r w:rsidR="00D509D0" w:rsidRPr="00104227">
        <w:t xml:space="preserve"> </w:t>
      </w:r>
      <w:r w:rsidRPr="00104227">
        <w:t>to</w:t>
      </w:r>
      <w:r w:rsidR="00D509D0" w:rsidRPr="00104227">
        <w:t xml:space="preserve"> </w:t>
      </w:r>
      <w:r w:rsidR="00D509D0" w:rsidRPr="00104227">
        <w:fldChar w:fldCharType="begin"/>
      </w:r>
      <w:r w:rsidR="00D509D0" w:rsidRPr="00104227">
        <w:instrText xml:space="preserve"> REF _Ref532988454 \r \h </w:instrText>
      </w:r>
      <w:r w:rsidR="00284EAE" w:rsidRPr="00104227">
        <w:instrText xml:space="preserve"> \* MERGEFORMAT </w:instrText>
      </w:r>
      <w:r w:rsidR="00D509D0" w:rsidRPr="00104227">
        <w:fldChar w:fldCharType="separate"/>
      </w:r>
      <w:r w:rsidR="004276BD">
        <w:t>383</w:t>
      </w:r>
      <w:r w:rsidR="00D509D0" w:rsidRPr="00104227">
        <w:fldChar w:fldCharType="end"/>
      </w:r>
      <w:r w:rsidR="00D57225" w:rsidRPr="00104227">
        <w:t xml:space="preserve"> </w:t>
      </w:r>
      <w:r w:rsidRPr="00104227">
        <w:t>of this judgment</w:t>
      </w:r>
      <w:r w:rsidR="00D57225" w:rsidRPr="00104227">
        <w:t>.</w:t>
      </w:r>
    </w:p>
    <w:p w14:paraId="78EC8CA9" w14:textId="77777777" w:rsidR="00D57225" w:rsidRPr="00104227" w:rsidRDefault="00D57225" w:rsidP="00E4619F">
      <w:pPr>
        <w:tabs>
          <w:tab w:val="left" w:pos="567"/>
        </w:tabs>
      </w:pPr>
    </w:p>
    <w:p w14:paraId="25DD2170" w14:textId="0CA945A9" w:rsidR="00D57225" w:rsidRPr="00104227" w:rsidRDefault="005E29A3" w:rsidP="00E4619F">
      <w:pPr>
        <w:pStyle w:val="Prrafodelista"/>
        <w:numPr>
          <w:ilvl w:val="0"/>
          <w:numId w:val="68"/>
        </w:numPr>
        <w:tabs>
          <w:tab w:val="left" w:pos="567"/>
        </w:tabs>
        <w:ind w:left="0" w:firstLine="0"/>
      </w:pPr>
      <w:r w:rsidRPr="00104227">
        <w:t>The State shall</w:t>
      </w:r>
      <w:r w:rsidR="00D0136A" w:rsidRPr="00104227">
        <w:t xml:space="preserve"> provide the Court with a report, within one year of notification of this judgment</w:t>
      </w:r>
      <w:r w:rsidR="00D57225" w:rsidRPr="00104227">
        <w:t>,</w:t>
      </w:r>
      <w:r w:rsidR="00D0136A" w:rsidRPr="00104227">
        <w:t xml:space="preserve"> on the measures adopted to comply with it.</w:t>
      </w:r>
    </w:p>
    <w:p w14:paraId="2F588AB3" w14:textId="77777777" w:rsidR="00D57225" w:rsidRPr="00104227" w:rsidRDefault="00D57225" w:rsidP="00E4619F">
      <w:pPr>
        <w:tabs>
          <w:tab w:val="left" w:pos="567"/>
        </w:tabs>
      </w:pPr>
    </w:p>
    <w:p w14:paraId="72CDB3AA" w14:textId="7EEA4A75" w:rsidR="00D57225" w:rsidRPr="00104227" w:rsidRDefault="00BF5241" w:rsidP="00E4619F">
      <w:pPr>
        <w:pStyle w:val="Prrafodelista"/>
        <w:numPr>
          <w:ilvl w:val="0"/>
          <w:numId w:val="68"/>
        </w:numPr>
        <w:tabs>
          <w:tab w:val="left" w:pos="567"/>
        </w:tabs>
        <w:ind w:left="0" w:firstLine="0"/>
      </w:pPr>
      <w:r w:rsidRPr="00104227">
        <w:t>The Court</w:t>
      </w:r>
      <w:r w:rsidR="00D57225" w:rsidRPr="00104227">
        <w:t xml:space="preserve"> </w:t>
      </w:r>
      <w:r w:rsidR="00D0136A" w:rsidRPr="00104227">
        <w:t xml:space="preserve">will supervise full compliance with </w:t>
      </w:r>
      <w:r w:rsidR="005E29A3" w:rsidRPr="00104227">
        <w:t>this judgment</w:t>
      </w:r>
      <w:r w:rsidR="00D57225" w:rsidRPr="00104227">
        <w:t xml:space="preserve"> </w:t>
      </w:r>
      <w:r w:rsidR="00D0136A" w:rsidRPr="00104227">
        <w:t>in exercise of its authority and in fulfillment of its obli</w:t>
      </w:r>
      <w:r w:rsidR="00E24D3B" w:rsidRPr="00104227">
        <w:t>g</w:t>
      </w:r>
      <w:r w:rsidR="00D0136A" w:rsidRPr="00104227">
        <w:t>ation</w:t>
      </w:r>
      <w:r w:rsidR="00E24D3B" w:rsidRPr="00104227">
        <w:t>s</w:t>
      </w:r>
      <w:r w:rsidR="00D0136A" w:rsidRPr="00104227">
        <w:t xml:space="preserve"> under </w:t>
      </w:r>
      <w:r w:rsidR="00736460" w:rsidRPr="00104227">
        <w:t>the American Convention</w:t>
      </w:r>
      <w:r w:rsidR="00D57225" w:rsidRPr="00104227">
        <w:t xml:space="preserve"> </w:t>
      </w:r>
      <w:r w:rsidR="00D0136A" w:rsidRPr="00104227">
        <w:t>on Human Rights</w:t>
      </w:r>
      <w:r w:rsidR="00D57225" w:rsidRPr="00104227">
        <w:t>,</w:t>
      </w:r>
      <w:r w:rsidRPr="00104227">
        <w:t xml:space="preserve"> and </w:t>
      </w:r>
      <w:r w:rsidR="00D0136A" w:rsidRPr="00104227">
        <w:t>will close this case when the State has complied fully with its provisions.</w:t>
      </w:r>
    </w:p>
    <w:bookmarkEnd w:id="389"/>
    <w:bookmarkEnd w:id="390"/>
    <w:bookmarkEnd w:id="391"/>
    <w:bookmarkEnd w:id="392"/>
    <w:bookmarkEnd w:id="393"/>
    <w:bookmarkEnd w:id="394"/>
    <w:bookmarkEnd w:id="395"/>
    <w:p w14:paraId="6905CDD4" w14:textId="45EA4686" w:rsidR="0084057F" w:rsidRPr="00104227" w:rsidRDefault="0084057F" w:rsidP="00E4619F">
      <w:pPr>
        <w:pStyle w:val="Prrafodelista"/>
        <w:numPr>
          <w:ilvl w:val="0"/>
          <w:numId w:val="0"/>
        </w:numPr>
        <w:tabs>
          <w:tab w:val="left" w:pos="567"/>
        </w:tabs>
      </w:pPr>
      <w:r w:rsidRPr="00104227">
        <w:t xml:space="preserve"> </w:t>
      </w:r>
    </w:p>
    <w:p w14:paraId="1EB63993" w14:textId="175FB5DB" w:rsidR="0084057F" w:rsidRPr="00104227" w:rsidRDefault="005E29A3" w:rsidP="00E4619F">
      <w:pPr>
        <w:tabs>
          <w:tab w:val="left" w:pos="567"/>
        </w:tabs>
        <w:rPr>
          <w:color w:val="000000" w:themeColor="text1"/>
          <w:szCs w:val="20"/>
        </w:rPr>
      </w:pPr>
      <w:r w:rsidRPr="00104227">
        <w:rPr>
          <w:color w:val="000000" w:themeColor="text1"/>
          <w:szCs w:val="20"/>
        </w:rPr>
        <w:t xml:space="preserve">DONE, at </w:t>
      </w:r>
      <w:r w:rsidR="0084057F" w:rsidRPr="00104227">
        <w:rPr>
          <w:color w:val="000000" w:themeColor="text1"/>
          <w:szCs w:val="20"/>
        </w:rPr>
        <w:t xml:space="preserve">San José, Costa Rica, </w:t>
      </w:r>
      <w:r w:rsidRPr="00104227">
        <w:rPr>
          <w:color w:val="000000" w:themeColor="text1"/>
          <w:szCs w:val="20"/>
        </w:rPr>
        <w:t>on</w:t>
      </w:r>
      <w:r w:rsidR="0084057F" w:rsidRPr="00104227">
        <w:rPr>
          <w:color w:val="000000" w:themeColor="text1"/>
          <w:szCs w:val="20"/>
        </w:rPr>
        <w:t xml:space="preserve"> </w:t>
      </w:r>
      <w:r w:rsidR="00BF5241" w:rsidRPr="00104227">
        <w:rPr>
          <w:color w:val="000000" w:themeColor="text1"/>
          <w:szCs w:val="20"/>
        </w:rPr>
        <w:t>November 28,</w:t>
      </w:r>
      <w:r w:rsidR="0084057F" w:rsidRPr="00104227">
        <w:rPr>
          <w:color w:val="000000" w:themeColor="text1"/>
          <w:szCs w:val="20"/>
        </w:rPr>
        <w:t xml:space="preserve"> 2018</w:t>
      </w:r>
      <w:r w:rsidRPr="00104227">
        <w:rPr>
          <w:color w:val="000000" w:themeColor="text1"/>
          <w:szCs w:val="20"/>
        </w:rPr>
        <w:t>, in the Spanish language</w:t>
      </w:r>
      <w:r w:rsidR="0084057F" w:rsidRPr="00104227">
        <w:rPr>
          <w:color w:val="000000" w:themeColor="text1"/>
          <w:szCs w:val="20"/>
        </w:rPr>
        <w:t>.</w:t>
      </w:r>
    </w:p>
    <w:p w14:paraId="0D2BDBE3" w14:textId="6B7E1061" w:rsidR="00B8265B" w:rsidRPr="00104227" w:rsidRDefault="00B8265B" w:rsidP="00E4619F">
      <w:pPr>
        <w:tabs>
          <w:tab w:val="left" w:pos="567"/>
        </w:tabs>
        <w:spacing w:after="200" w:line="276" w:lineRule="auto"/>
        <w:jc w:val="left"/>
        <w:rPr>
          <w:color w:val="000000" w:themeColor="text1"/>
        </w:rPr>
      </w:pPr>
      <w:r w:rsidRPr="00104227">
        <w:rPr>
          <w:color w:val="000000" w:themeColor="text1"/>
        </w:rPr>
        <w:br w:type="page"/>
      </w:r>
    </w:p>
    <w:p w14:paraId="05DD20C0" w14:textId="5E73A218" w:rsidR="00B8265B" w:rsidRPr="00104227" w:rsidRDefault="00B8265B" w:rsidP="00E4619F">
      <w:pPr>
        <w:tabs>
          <w:tab w:val="left" w:pos="567"/>
        </w:tabs>
        <w:jc w:val="center"/>
        <w:rPr>
          <w:b/>
          <w:color w:val="000000" w:themeColor="text1"/>
        </w:rPr>
      </w:pPr>
      <w:r w:rsidRPr="00104227">
        <w:rPr>
          <w:b/>
          <w:color w:val="000000" w:themeColor="text1"/>
        </w:rPr>
        <w:lastRenderedPageBreak/>
        <w:t>AN</w:t>
      </w:r>
      <w:r w:rsidR="00410260" w:rsidRPr="00104227">
        <w:rPr>
          <w:b/>
          <w:color w:val="000000" w:themeColor="text1"/>
        </w:rPr>
        <w:t>N</w:t>
      </w:r>
      <w:r w:rsidRPr="00104227">
        <w:rPr>
          <w:b/>
          <w:color w:val="000000" w:themeColor="text1"/>
        </w:rPr>
        <w:t>EX 1</w:t>
      </w:r>
    </w:p>
    <w:p w14:paraId="50A6F3A2" w14:textId="77777777" w:rsidR="00B8265B" w:rsidRPr="00104227" w:rsidRDefault="00B8265B" w:rsidP="00E4619F">
      <w:pPr>
        <w:tabs>
          <w:tab w:val="left" w:pos="567"/>
        </w:tabs>
        <w:jc w:val="center"/>
        <w:rPr>
          <w:b/>
          <w:color w:val="000000" w:themeColor="text1"/>
        </w:rPr>
      </w:pPr>
    </w:p>
    <w:p w14:paraId="585480D3" w14:textId="617349B4" w:rsidR="00410260" w:rsidRPr="00104227" w:rsidRDefault="00B851FA" w:rsidP="00E4619F">
      <w:pPr>
        <w:tabs>
          <w:tab w:val="left" w:pos="567"/>
        </w:tabs>
        <w:jc w:val="center"/>
        <w:rPr>
          <w:b/>
          <w:color w:val="000000" w:themeColor="text1"/>
        </w:rPr>
      </w:pPr>
      <w:r w:rsidRPr="00104227">
        <w:rPr>
          <w:b/>
          <w:color w:val="000000" w:themeColor="text1"/>
        </w:rPr>
        <w:t>EVIDENCE</w:t>
      </w:r>
      <w:r w:rsidR="00410260" w:rsidRPr="00104227">
        <w:rPr>
          <w:b/>
          <w:color w:val="000000" w:themeColor="text1"/>
        </w:rPr>
        <w:t xml:space="preserve"> </w:t>
      </w:r>
      <w:r w:rsidR="009A715A" w:rsidRPr="00104227">
        <w:rPr>
          <w:b/>
          <w:color w:val="000000" w:themeColor="text1"/>
        </w:rPr>
        <w:t>OF</w:t>
      </w:r>
      <w:r w:rsidR="00410260" w:rsidRPr="00104227">
        <w:rPr>
          <w:b/>
          <w:color w:val="000000" w:themeColor="text1"/>
        </w:rPr>
        <w:t xml:space="preserve"> THE INDIVIDUAL FACTS RELATING TO EACH </w:t>
      </w:r>
      <w:r w:rsidR="00F12946" w:rsidRPr="00104227">
        <w:rPr>
          <w:b/>
          <w:color w:val="000000" w:themeColor="text1"/>
        </w:rPr>
        <w:t xml:space="preserve">OF THE </w:t>
      </w:r>
    </w:p>
    <w:p w14:paraId="33533C58" w14:textId="6156C1C5" w:rsidR="00B8265B" w:rsidRPr="00104227" w:rsidRDefault="00F12946" w:rsidP="00E4619F">
      <w:pPr>
        <w:tabs>
          <w:tab w:val="left" w:pos="567"/>
        </w:tabs>
        <w:jc w:val="center"/>
        <w:rPr>
          <w:color w:val="000000" w:themeColor="text1"/>
        </w:rPr>
      </w:pPr>
      <w:r w:rsidRPr="00104227">
        <w:rPr>
          <w:b/>
          <w:color w:val="000000" w:themeColor="text1"/>
        </w:rPr>
        <w:t>ELEVEN WOMEN</w:t>
      </w:r>
      <w:r w:rsidR="00B8265B" w:rsidRPr="00104227">
        <w:rPr>
          <w:b/>
          <w:color w:val="000000" w:themeColor="text1"/>
        </w:rPr>
        <w:t xml:space="preserve"> </w:t>
      </w:r>
      <w:r w:rsidR="00844C80" w:rsidRPr="00104227">
        <w:rPr>
          <w:b/>
          <w:color w:val="000000" w:themeColor="text1"/>
        </w:rPr>
        <w:t>VICTIMS IN THIS CASE</w:t>
      </w:r>
    </w:p>
    <w:p w14:paraId="0DABEE81" w14:textId="77777777" w:rsidR="00B8265B" w:rsidRPr="00104227" w:rsidRDefault="00B8265B" w:rsidP="00E4619F">
      <w:pPr>
        <w:tabs>
          <w:tab w:val="left" w:pos="567"/>
        </w:tabs>
        <w:rPr>
          <w:color w:val="000000" w:themeColor="text1"/>
        </w:rPr>
      </w:pPr>
    </w:p>
    <w:p w14:paraId="3C377F23" w14:textId="0F0BE885" w:rsidR="00C41CD3" w:rsidRPr="00104227" w:rsidRDefault="004617E1" w:rsidP="00E4619F">
      <w:pPr>
        <w:tabs>
          <w:tab w:val="left" w:pos="567"/>
        </w:tabs>
        <w:rPr>
          <w:color w:val="000000" w:themeColor="text1"/>
          <w:u w:val="single"/>
        </w:rPr>
      </w:pPr>
      <w:r w:rsidRPr="00104227">
        <w:rPr>
          <w:color w:val="000000" w:themeColor="text1"/>
          <w:u w:val="single"/>
        </w:rPr>
        <w:t>Evidence of the facts relating to</w:t>
      </w:r>
      <w:r w:rsidR="00C41CD3" w:rsidRPr="00104227">
        <w:rPr>
          <w:color w:val="000000" w:themeColor="text1"/>
          <w:u w:val="single"/>
        </w:rPr>
        <w:t xml:space="preserve"> Yolanda Muñoz Diosdada </w:t>
      </w:r>
    </w:p>
    <w:p w14:paraId="4B4A9ED1" w14:textId="77777777" w:rsidR="00C41CD3" w:rsidRPr="00104227" w:rsidRDefault="00C41CD3" w:rsidP="00E4619F">
      <w:pPr>
        <w:tabs>
          <w:tab w:val="left" w:pos="567"/>
        </w:tabs>
        <w:rPr>
          <w:b/>
          <w:color w:val="000000" w:themeColor="text1"/>
        </w:rPr>
      </w:pPr>
    </w:p>
    <w:p w14:paraId="0E245B2F" w14:textId="6062621A" w:rsidR="00C41CD3" w:rsidRPr="00104227" w:rsidRDefault="004617E1" w:rsidP="00E4619F">
      <w:pPr>
        <w:tabs>
          <w:tab w:val="left" w:pos="567"/>
        </w:tabs>
        <w:rPr>
          <w:b/>
          <w:color w:val="000000" w:themeColor="text1"/>
        </w:rPr>
      </w:pPr>
      <w:r w:rsidRPr="00104227">
        <w:rPr>
          <w:color w:val="000000" w:themeColor="text1"/>
        </w:rPr>
        <w:t>The description of what happened to</w:t>
      </w:r>
      <w:r w:rsidR="00C41CD3" w:rsidRPr="00104227">
        <w:rPr>
          <w:color w:val="000000" w:themeColor="text1"/>
        </w:rPr>
        <w:t xml:space="preserve"> Yolanda Muñoz Diosdada </w:t>
      </w:r>
      <w:r w:rsidRPr="00104227">
        <w:rPr>
          <w:color w:val="000000" w:themeColor="text1"/>
        </w:rPr>
        <w:t>can be found in the following evidence</w:t>
      </w:r>
      <w:r w:rsidR="00C41CD3" w:rsidRPr="00104227">
        <w:rPr>
          <w:color w:val="000000" w:themeColor="text1"/>
        </w:rPr>
        <w:t xml:space="preserve">, </w:t>
      </w:r>
      <w:r w:rsidRPr="00104227">
        <w:rPr>
          <w:color w:val="000000" w:themeColor="text1"/>
        </w:rPr>
        <w:t>unless otherwise specifically indicated</w:t>
      </w:r>
      <w:r w:rsidR="00C41CD3" w:rsidRPr="00104227">
        <w:rPr>
          <w:color w:val="000000" w:themeColor="text1"/>
        </w:rPr>
        <w:t xml:space="preserve">: </w:t>
      </w:r>
      <w:r w:rsidR="00D0136A" w:rsidRPr="00104227">
        <w:rPr>
          <w:color w:val="000000" w:themeColor="text1"/>
        </w:rPr>
        <w:t>Entry medical report of</w:t>
      </w:r>
      <w:r w:rsidR="00C41CD3" w:rsidRPr="00104227">
        <w:rPr>
          <w:color w:val="000000" w:themeColor="text1"/>
        </w:rPr>
        <w:t xml:space="preserve"> Yolanda Muñoz Diosdada </w:t>
      </w:r>
      <w:r w:rsidR="00B851FA" w:rsidRPr="00104227">
        <w:rPr>
          <w:color w:val="000000" w:themeColor="text1"/>
        </w:rPr>
        <w:t>of May 4,</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folios 665</w:t>
      </w:r>
      <w:r w:rsidR="00BF5241" w:rsidRPr="00104227">
        <w:rPr>
          <w:color w:val="000000" w:themeColor="text1"/>
        </w:rPr>
        <w:t xml:space="preserve"> and </w:t>
      </w:r>
      <w:r w:rsidR="00C41CD3" w:rsidRPr="00104227">
        <w:rPr>
          <w:color w:val="000000" w:themeColor="text1"/>
        </w:rPr>
        <w:t xml:space="preserve">666); </w:t>
      </w:r>
      <w:r w:rsidR="00581EFB" w:rsidRPr="00104227">
        <w:rPr>
          <w:color w:val="000000" w:themeColor="text1"/>
        </w:rPr>
        <w:t>CNDH report of August 31</w:t>
      </w:r>
      <w:r w:rsidR="00E31E41" w:rsidRPr="00104227">
        <w:rPr>
          <w:color w:val="000000" w:themeColor="text1"/>
        </w:rPr>
        <w:t>,</w:t>
      </w:r>
      <w:r w:rsidR="00C41CD3" w:rsidRPr="00104227">
        <w:rPr>
          <w:color w:val="000000" w:themeColor="text1"/>
        </w:rPr>
        <w:t xml:space="preserve"> </w:t>
      </w:r>
      <w:r w:rsidR="008C6D02" w:rsidRPr="00104227">
        <w:rPr>
          <w:color w:val="000000" w:themeColor="text1"/>
        </w:rPr>
        <w:t xml:space="preserve">2006, </w:t>
      </w:r>
      <w:r w:rsidR="00E31E41" w:rsidRPr="00104227">
        <w:rPr>
          <w:color w:val="000000" w:themeColor="text1"/>
        </w:rPr>
        <w:t>recording the application</w:t>
      </w:r>
      <w:r w:rsidRPr="00104227">
        <w:rPr>
          <w:color w:val="000000" w:themeColor="text1"/>
        </w:rPr>
        <w:t xml:space="preserve"> of the Istanbul Protocol to</w:t>
      </w:r>
      <w:r w:rsidR="00C41CD3" w:rsidRPr="00104227">
        <w:rPr>
          <w:color w:val="000000" w:themeColor="text1"/>
        </w:rPr>
        <w:t xml:space="preserve"> Yolanda Muñoz Diosdada (</w:t>
      </w:r>
      <w:r w:rsidRPr="00104227">
        <w:rPr>
          <w:color w:val="000000" w:themeColor="text1"/>
        </w:rPr>
        <w:t>evidence file</w:t>
      </w:r>
      <w:r w:rsidR="00C41CD3" w:rsidRPr="00104227">
        <w:rPr>
          <w:color w:val="000000" w:themeColor="text1"/>
        </w:rPr>
        <w:t xml:space="preserve">, folios 682, 684 </w:t>
      </w:r>
      <w:r w:rsidR="00410260" w:rsidRPr="00104227">
        <w:rPr>
          <w:color w:val="000000" w:themeColor="text1"/>
        </w:rPr>
        <w:t>to</w:t>
      </w:r>
      <w:r w:rsidR="00C41CD3" w:rsidRPr="00104227">
        <w:rPr>
          <w:color w:val="000000" w:themeColor="text1"/>
        </w:rPr>
        <w:t xml:space="preserve"> 687</w:t>
      </w:r>
      <w:r w:rsidR="00BF5241" w:rsidRPr="00104227">
        <w:rPr>
          <w:color w:val="000000" w:themeColor="text1"/>
        </w:rPr>
        <w:t xml:space="preserve"> and </w:t>
      </w:r>
      <w:r w:rsidR="00C41CD3" w:rsidRPr="00104227">
        <w:rPr>
          <w:color w:val="000000" w:themeColor="text1"/>
        </w:rPr>
        <w:t xml:space="preserve">695); </w:t>
      </w:r>
      <w:r w:rsidRPr="00104227">
        <w:rPr>
          <w:color w:val="000000" w:themeColor="text1"/>
        </w:rPr>
        <w:t>statement by</w:t>
      </w:r>
      <w:r w:rsidR="00C41CD3" w:rsidRPr="00104227">
        <w:rPr>
          <w:color w:val="000000" w:themeColor="text1"/>
        </w:rPr>
        <w:t xml:space="preserve"> Yolanda</w:t>
      </w:r>
      <w:r w:rsidR="00B14263" w:rsidRPr="00104227">
        <w:rPr>
          <w:color w:val="000000" w:themeColor="text1"/>
        </w:rPr>
        <w:t xml:space="preserve"> Muñoz Diosdada </w:t>
      </w:r>
      <w:r w:rsidRPr="00104227">
        <w:rPr>
          <w:color w:val="000000" w:themeColor="text1"/>
        </w:rPr>
        <w:t>before the</w:t>
      </w:r>
      <w:r w:rsidR="00B14263" w:rsidRPr="00104227">
        <w:rPr>
          <w:color w:val="000000" w:themeColor="text1"/>
        </w:rPr>
        <w:t xml:space="preserve"> FEVIM </w:t>
      </w:r>
      <w:r w:rsidR="00410260" w:rsidRPr="00104227">
        <w:rPr>
          <w:color w:val="000000" w:themeColor="text1"/>
        </w:rPr>
        <w:t xml:space="preserve">on June 15, </w:t>
      </w:r>
      <w:r w:rsidR="00C41CD3" w:rsidRPr="00104227">
        <w:rPr>
          <w:color w:val="000000" w:themeColor="text1"/>
        </w:rPr>
        <w:t>2006 (</w:t>
      </w:r>
      <w:r w:rsidRPr="00104227">
        <w:rPr>
          <w:color w:val="000000" w:themeColor="text1"/>
        </w:rPr>
        <w:t>evidence file</w:t>
      </w:r>
      <w:r w:rsidR="00C41CD3" w:rsidRPr="00104227">
        <w:rPr>
          <w:color w:val="000000" w:themeColor="text1"/>
        </w:rPr>
        <w:t xml:space="preserve">, folios 702 </w:t>
      </w:r>
      <w:r w:rsidR="00410260" w:rsidRPr="00104227">
        <w:rPr>
          <w:color w:val="000000" w:themeColor="text1"/>
        </w:rPr>
        <w:t>to</w:t>
      </w:r>
      <w:r w:rsidR="00C41CD3" w:rsidRPr="00104227">
        <w:rPr>
          <w:color w:val="000000" w:themeColor="text1"/>
        </w:rPr>
        <w:t xml:space="preserve"> 708); </w:t>
      </w:r>
      <w:r w:rsidR="00E31E41" w:rsidRPr="00104227">
        <w:rPr>
          <w:color w:val="000000" w:themeColor="text1"/>
        </w:rPr>
        <w:t>detailed record of the</w:t>
      </w:r>
      <w:r w:rsidR="00C41CD3" w:rsidRPr="00104227">
        <w:rPr>
          <w:color w:val="000000" w:themeColor="text1"/>
        </w:rPr>
        <w:t xml:space="preserve"> </w:t>
      </w:r>
      <w:r w:rsidR="00D0136A" w:rsidRPr="00104227">
        <w:rPr>
          <w:color w:val="000000" w:themeColor="text1"/>
        </w:rPr>
        <w:t>Deputy Inspector</w:t>
      </w:r>
      <w:r w:rsidR="00C41CD3" w:rsidRPr="00104227">
        <w:rPr>
          <w:color w:val="000000" w:themeColor="text1"/>
        </w:rPr>
        <w:t xml:space="preserve"> </w:t>
      </w:r>
      <w:r w:rsidR="00E31E41" w:rsidRPr="00104227">
        <w:rPr>
          <w:color w:val="000000" w:themeColor="text1"/>
        </w:rPr>
        <w:t>of May 6,</w:t>
      </w:r>
      <w:r w:rsidR="00C41CD3" w:rsidRPr="00104227">
        <w:rPr>
          <w:color w:val="000000" w:themeColor="text1"/>
        </w:rPr>
        <w:t xml:space="preserve"> 2006</w:t>
      </w:r>
      <w:r w:rsidR="00410260" w:rsidRPr="00104227">
        <w:rPr>
          <w:color w:val="000000" w:themeColor="text1"/>
        </w:rPr>
        <w:t>,</w:t>
      </w:r>
      <w:r w:rsidR="00C41CD3" w:rsidRPr="00104227">
        <w:rPr>
          <w:color w:val="000000" w:themeColor="text1"/>
        </w:rPr>
        <w:t xml:space="preserve"> </w:t>
      </w:r>
      <w:r w:rsidR="00E31E41" w:rsidRPr="00104227">
        <w:rPr>
          <w:color w:val="000000" w:themeColor="text1"/>
        </w:rPr>
        <w:t>with regard to</w:t>
      </w:r>
      <w:r w:rsidR="00C41CD3" w:rsidRPr="00104227">
        <w:rPr>
          <w:color w:val="000000" w:themeColor="text1"/>
        </w:rPr>
        <w:t xml:space="preserve"> Yolanda Muñoz Diosdada (</w:t>
      </w:r>
      <w:r w:rsidRPr="00104227">
        <w:rPr>
          <w:color w:val="000000" w:themeColor="text1"/>
        </w:rPr>
        <w:t>evidence file</w:t>
      </w:r>
      <w:r w:rsidR="00C41CD3" w:rsidRPr="00104227">
        <w:rPr>
          <w:color w:val="000000" w:themeColor="text1"/>
        </w:rPr>
        <w:t>, folios 668</w:t>
      </w:r>
      <w:r w:rsidR="00BF5241" w:rsidRPr="00104227">
        <w:rPr>
          <w:color w:val="000000" w:themeColor="text1"/>
        </w:rPr>
        <w:t xml:space="preserve"> and </w:t>
      </w:r>
      <w:r w:rsidR="00C41CD3" w:rsidRPr="00104227">
        <w:rPr>
          <w:color w:val="000000" w:themeColor="text1"/>
        </w:rPr>
        <w:t xml:space="preserve">669); </w:t>
      </w:r>
      <w:r w:rsidR="00E31E41" w:rsidRPr="00104227">
        <w:rPr>
          <w:color w:val="000000" w:themeColor="text1"/>
        </w:rPr>
        <w:t>detailed record of the</w:t>
      </w:r>
      <w:r w:rsidR="00C41CD3" w:rsidRPr="00104227">
        <w:rPr>
          <w:color w:val="000000" w:themeColor="text1"/>
        </w:rPr>
        <w:t xml:space="preserve"> </w:t>
      </w:r>
      <w:r w:rsidR="00D0136A" w:rsidRPr="00104227">
        <w:rPr>
          <w:color w:val="000000" w:themeColor="text1"/>
        </w:rPr>
        <w:t>Deputy Inspector</w:t>
      </w:r>
      <w:r w:rsidR="00C41CD3" w:rsidRPr="00104227">
        <w:rPr>
          <w:color w:val="000000" w:themeColor="text1"/>
        </w:rPr>
        <w:t xml:space="preserve"> </w:t>
      </w:r>
      <w:r w:rsidR="00E31E41" w:rsidRPr="00104227">
        <w:rPr>
          <w:color w:val="000000" w:themeColor="text1"/>
        </w:rPr>
        <w:t>of October 31,</w:t>
      </w:r>
      <w:r w:rsidR="00C41CD3" w:rsidRPr="00104227">
        <w:rPr>
          <w:color w:val="000000" w:themeColor="text1"/>
        </w:rPr>
        <w:t xml:space="preserve"> 2017</w:t>
      </w:r>
      <w:r w:rsidR="00410260" w:rsidRPr="00104227">
        <w:rPr>
          <w:color w:val="000000" w:themeColor="text1"/>
        </w:rPr>
        <w:t>,</w:t>
      </w:r>
      <w:r w:rsidR="00C41CD3" w:rsidRPr="00104227">
        <w:rPr>
          <w:color w:val="000000" w:themeColor="text1"/>
        </w:rPr>
        <w:t xml:space="preserve"> </w:t>
      </w:r>
      <w:r w:rsidR="00E31E41" w:rsidRPr="00104227">
        <w:rPr>
          <w:color w:val="000000" w:themeColor="text1"/>
        </w:rPr>
        <w:t>with regard to</w:t>
      </w:r>
      <w:r w:rsidR="00C41CD3" w:rsidRPr="00104227">
        <w:rPr>
          <w:color w:val="000000" w:themeColor="text1"/>
        </w:rPr>
        <w:t xml:space="preserve"> Yolanda Muñoz Diosdada (</w:t>
      </w:r>
      <w:r w:rsidRPr="00104227">
        <w:rPr>
          <w:color w:val="000000" w:themeColor="text1"/>
        </w:rPr>
        <w:t>evidence file</w:t>
      </w:r>
      <w:r w:rsidR="00C41CD3" w:rsidRPr="00104227">
        <w:rPr>
          <w:color w:val="000000" w:themeColor="text1"/>
        </w:rPr>
        <w:t xml:space="preserve">, folios 37165 </w:t>
      </w:r>
      <w:r w:rsidR="00410260" w:rsidRPr="00104227">
        <w:rPr>
          <w:color w:val="000000" w:themeColor="text1"/>
        </w:rPr>
        <w:t>to</w:t>
      </w:r>
      <w:r w:rsidR="00C41CD3" w:rsidRPr="00104227">
        <w:rPr>
          <w:color w:val="000000" w:themeColor="text1"/>
        </w:rPr>
        <w:t xml:space="preserve"> 37167); </w:t>
      </w:r>
      <w:r w:rsidR="00410260" w:rsidRPr="00104227">
        <w:rPr>
          <w:color w:val="000000" w:themeColor="text1"/>
        </w:rPr>
        <w:t>medical certificate of injuries to</w:t>
      </w:r>
      <w:r w:rsidR="00C41CD3" w:rsidRPr="00104227">
        <w:rPr>
          <w:color w:val="000000" w:themeColor="text1"/>
        </w:rPr>
        <w:t xml:space="preserve"> Yolanda Muñoz Diosdada</w:t>
      </w:r>
      <w:r w:rsidR="00E31E41" w:rsidRPr="00104227">
        <w:rPr>
          <w:color w:val="000000" w:themeColor="text1"/>
        </w:rPr>
        <w:t xml:space="preserve"> of May</w:t>
      </w:r>
      <w:r w:rsidR="000777FE" w:rsidRPr="00104227">
        <w:rPr>
          <w:color w:val="000000" w:themeColor="text1"/>
        </w:rPr>
        <w:t xml:space="preserve"> 17,</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xml:space="preserve">s, folio 673, 714 </w:t>
      </w:r>
      <w:r w:rsidR="00410260" w:rsidRPr="00104227">
        <w:rPr>
          <w:color w:val="000000" w:themeColor="text1"/>
        </w:rPr>
        <w:t>to</w:t>
      </w:r>
      <w:r w:rsidR="00C41CD3" w:rsidRPr="00104227">
        <w:rPr>
          <w:color w:val="000000" w:themeColor="text1"/>
        </w:rPr>
        <w:t xml:space="preserve"> 719); </w:t>
      </w:r>
      <w:r w:rsidR="00E31E41" w:rsidRPr="00104227">
        <w:rPr>
          <w:color w:val="000000" w:themeColor="text1"/>
        </w:rPr>
        <w:t>CNDH Recommendation 38/2006</w:t>
      </w:r>
      <w:r w:rsidR="00C41CD3" w:rsidRPr="00104227">
        <w:rPr>
          <w:color w:val="000000" w:themeColor="text1"/>
        </w:rPr>
        <w:t xml:space="preserve">. </w:t>
      </w:r>
      <w:r w:rsidR="00E31E41" w:rsidRPr="00104227">
        <w:rPr>
          <w:color w:val="000000" w:themeColor="text1"/>
        </w:rPr>
        <w:t>Section on</w:t>
      </w:r>
      <w:r w:rsidR="00C41CD3" w:rsidRPr="00104227">
        <w:rPr>
          <w:color w:val="000000" w:themeColor="text1"/>
        </w:rPr>
        <w:t xml:space="preserve"> Yolanda Muñoz Diosdada (</w:t>
      </w:r>
      <w:r w:rsidRPr="00104227">
        <w:rPr>
          <w:color w:val="000000" w:themeColor="text1"/>
        </w:rPr>
        <w:t>evidence file</w:t>
      </w:r>
      <w:r w:rsidR="00C41CD3" w:rsidRPr="00104227">
        <w:rPr>
          <w:color w:val="000000" w:themeColor="text1"/>
        </w:rPr>
        <w:t>, folios 717</w:t>
      </w:r>
      <w:r w:rsidR="00BF5241" w:rsidRPr="00104227">
        <w:rPr>
          <w:color w:val="000000" w:themeColor="text1"/>
        </w:rPr>
        <w:t xml:space="preserve"> and </w:t>
      </w:r>
      <w:r w:rsidR="00C41CD3" w:rsidRPr="00104227">
        <w:rPr>
          <w:color w:val="000000" w:themeColor="text1"/>
        </w:rPr>
        <w:t>718),</w:t>
      </w:r>
      <w:r w:rsidR="00BF5241" w:rsidRPr="00104227">
        <w:rPr>
          <w:color w:val="000000" w:themeColor="text1"/>
        </w:rPr>
        <w:t xml:space="preserve"> and </w:t>
      </w:r>
      <w:r w:rsidR="00410260" w:rsidRPr="00104227">
        <w:rPr>
          <w:color w:val="000000" w:themeColor="text1"/>
        </w:rPr>
        <w:t>affidavit made</w:t>
      </w:r>
      <w:r w:rsidRPr="00104227">
        <w:rPr>
          <w:color w:val="000000" w:themeColor="text1"/>
        </w:rPr>
        <w:t xml:space="preserve"> by</w:t>
      </w:r>
      <w:r w:rsidR="00C41CD3" w:rsidRPr="00104227">
        <w:rPr>
          <w:color w:val="000000" w:themeColor="text1"/>
        </w:rPr>
        <w:t xml:space="preserve"> Yolanda Muñoz Diosdada </w:t>
      </w:r>
      <w:r w:rsidR="00E31E41" w:rsidRPr="00104227">
        <w:rPr>
          <w:color w:val="000000" w:themeColor="text1"/>
        </w:rPr>
        <w:t>on October 31,</w:t>
      </w:r>
      <w:r w:rsidR="00C41CD3" w:rsidRPr="00104227">
        <w:rPr>
          <w:color w:val="000000" w:themeColor="text1"/>
        </w:rPr>
        <w:t xml:space="preserve"> 2017 (</w:t>
      </w:r>
      <w:r w:rsidRPr="00104227">
        <w:rPr>
          <w:color w:val="000000" w:themeColor="text1"/>
        </w:rPr>
        <w:t>evidence file</w:t>
      </w:r>
      <w:r w:rsidR="00C41CD3" w:rsidRPr="00104227">
        <w:rPr>
          <w:color w:val="000000" w:themeColor="text1"/>
        </w:rPr>
        <w:t xml:space="preserve">, folios 37164 </w:t>
      </w:r>
      <w:r w:rsidR="00410260" w:rsidRPr="00104227">
        <w:rPr>
          <w:color w:val="000000" w:themeColor="text1"/>
        </w:rPr>
        <w:t>to</w:t>
      </w:r>
      <w:r w:rsidR="00C41CD3" w:rsidRPr="00104227">
        <w:rPr>
          <w:color w:val="000000" w:themeColor="text1"/>
        </w:rPr>
        <w:t xml:space="preserve"> 37171)</w:t>
      </w:r>
      <w:r w:rsidR="007F46AC" w:rsidRPr="00104227">
        <w:rPr>
          <w:color w:val="000000" w:themeColor="text1"/>
        </w:rPr>
        <w:t>.</w:t>
      </w:r>
    </w:p>
    <w:p w14:paraId="23CADEA3" w14:textId="77777777" w:rsidR="00C41CD3" w:rsidRPr="00104227" w:rsidRDefault="00C41CD3" w:rsidP="00E4619F">
      <w:pPr>
        <w:tabs>
          <w:tab w:val="left" w:pos="567"/>
        </w:tabs>
        <w:rPr>
          <w:b/>
          <w:color w:val="000000" w:themeColor="text1"/>
        </w:rPr>
      </w:pPr>
    </w:p>
    <w:p w14:paraId="2857F8E5" w14:textId="7F031422" w:rsidR="00C41CD3" w:rsidRPr="00104227" w:rsidRDefault="004617E1" w:rsidP="00E4619F">
      <w:pPr>
        <w:tabs>
          <w:tab w:val="left" w:pos="567"/>
        </w:tabs>
        <w:rPr>
          <w:color w:val="000000" w:themeColor="text1"/>
          <w:u w:val="single"/>
        </w:rPr>
      </w:pPr>
      <w:r w:rsidRPr="00104227">
        <w:rPr>
          <w:color w:val="000000" w:themeColor="text1"/>
          <w:u w:val="single"/>
        </w:rPr>
        <w:t>Evidence of the facts relating to</w:t>
      </w:r>
      <w:r w:rsidR="00C41CD3" w:rsidRPr="00104227">
        <w:rPr>
          <w:color w:val="000000" w:themeColor="text1"/>
          <w:u w:val="single"/>
        </w:rPr>
        <w:t xml:space="preserve"> Norma Aidé Jiménez Osorio</w:t>
      </w:r>
    </w:p>
    <w:p w14:paraId="3DA133BD" w14:textId="77777777" w:rsidR="00C41CD3" w:rsidRPr="00104227" w:rsidRDefault="00C41CD3" w:rsidP="00E4619F">
      <w:pPr>
        <w:tabs>
          <w:tab w:val="left" w:pos="567"/>
        </w:tabs>
        <w:rPr>
          <w:b/>
          <w:color w:val="000000" w:themeColor="text1"/>
        </w:rPr>
      </w:pPr>
    </w:p>
    <w:p w14:paraId="38CBCE69" w14:textId="4D55B8D9" w:rsidR="00C41CD3" w:rsidRPr="00104227" w:rsidRDefault="004617E1" w:rsidP="00E4619F">
      <w:pPr>
        <w:tabs>
          <w:tab w:val="left" w:pos="567"/>
        </w:tabs>
        <w:rPr>
          <w:b/>
          <w:color w:val="000000" w:themeColor="text1"/>
        </w:rPr>
      </w:pPr>
      <w:r w:rsidRPr="00104227">
        <w:rPr>
          <w:color w:val="000000" w:themeColor="text1"/>
        </w:rPr>
        <w:t>The description of what happened to</w:t>
      </w:r>
      <w:r w:rsidR="00C41CD3" w:rsidRPr="00104227">
        <w:rPr>
          <w:color w:val="000000" w:themeColor="text1"/>
        </w:rPr>
        <w:t xml:space="preserve"> Norma Aidé Jiménez Osorio </w:t>
      </w:r>
      <w:r w:rsidRPr="00104227">
        <w:rPr>
          <w:color w:val="000000" w:themeColor="text1"/>
        </w:rPr>
        <w:t>can be found in the following evidence</w:t>
      </w:r>
      <w:r w:rsidR="00C41CD3" w:rsidRPr="00104227">
        <w:rPr>
          <w:color w:val="000000" w:themeColor="text1"/>
        </w:rPr>
        <w:t xml:space="preserve">, </w:t>
      </w:r>
      <w:r w:rsidRPr="00104227">
        <w:rPr>
          <w:color w:val="000000" w:themeColor="text1"/>
        </w:rPr>
        <w:t>unless otherwise specifically indicated</w:t>
      </w:r>
      <w:r w:rsidR="00C41CD3" w:rsidRPr="00104227">
        <w:rPr>
          <w:color w:val="000000" w:themeColor="text1"/>
        </w:rPr>
        <w:t xml:space="preserve">: </w:t>
      </w:r>
      <w:r w:rsidR="00D0136A" w:rsidRPr="00104227">
        <w:rPr>
          <w:color w:val="000000" w:themeColor="text1"/>
        </w:rPr>
        <w:t>Entry medical report of</w:t>
      </w:r>
      <w:r w:rsidR="00C41CD3" w:rsidRPr="00104227">
        <w:rPr>
          <w:color w:val="000000" w:themeColor="text1"/>
        </w:rPr>
        <w:t xml:space="preserve"> Norma </w:t>
      </w:r>
      <w:r w:rsidR="00B14263" w:rsidRPr="00104227">
        <w:rPr>
          <w:color w:val="000000" w:themeColor="text1"/>
        </w:rPr>
        <w:t xml:space="preserve">Aidé </w:t>
      </w:r>
      <w:r w:rsidR="00C41CD3" w:rsidRPr="00104227">
        <w:rPr>
          <w:color w:val="000000" w:themeColor="text1"/>
        </w:rPr>
        <w:t xml:space="preserve">Jiménez Osorio </w:t>
      </w:r>
      <w:r w:rsidR="00B851FA" w:rsidRPr="00104227">
        <w:rPr>
          <w:color w:val="000000" w:themeColor="text1"/>
        </w:rPr>
        <w:t>of May 4,</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folios 723</w:t>
      </w:r>
      <w:r w:rsidR="00BF5241" w:rsidRPr="00104227">
        <w:rPr>
          <w:color w:val="000000" w:themeColor="text1"/>
        </w:rPr>
        <w:t xml:space="preserve"> and </w:t>
      </w:r>
      <w:r w:rsidR="00C41CD3" w:rsidRPr="00104227">
        <w:rPr>
          <w:color w:val="000000" w:themeColor="text1"/>
        </w:rPr>
        <w:t xml:space="preserve">724); </w:t>
      </w:r>
      <w:r w:rsidR="00410260" w:rsidRPr="00104227">
        <w:rPr>
          <w:color w:val="000000" w:themeColor="text1"/>
        </w:rPr>
        <w:t>birth certificate of</w:t>
      </w:r>
      <w:r w:rsidR="00C41CD3" w:rsidRPr="00104227">
        <w:rPr>
          <w:color w:val="000000" w:themeColor="text1"/>
        </w:rPr>
        <w:t xml:space="preserve"> Norma Aidé Jiménez Osorio (</w:t>
      </w:r>
      <w:r w:rsidRPr="00104227">
        <w:rPr>
          <w:color w:val="000000" w:themeColor="text1"/>
        </w:rPr>
        <w:t>evidence file</w:t>
      </w:r>
      <w:r w:rsidR="00C41CD3" w:rsidRPr="00104227">
        <w:rPr>
          <w:color w:val="000000" w:themeColor="text1"/>
        </w:rPr>
        <w:t xml:space="preserve">, folio 14191); </w:t>
      </w:r>
      <w:r w:rsidR="00410260" w:rsidRPr="00104227">
        <w:rPr>
          <w:color w:val="000000" w:themeColor="text1"/>
        </w:rPr>
        <w:t>medical certificate of injuries to</w:t>
      </w:r>
      <w:r w:rsidR="00C41CD3" w:rsidRPr="00104227">
        <w:rPr>
          <w:color w:val="000000" w:themeColor="text1"/>
        </w:rPr>
        <w:t xml:space="preserve"> Norma </w:t>
      </w:r>
      <w:r w:rsidR="00B14263" w:rsidRPr="00104227">
        <w:rPr>
          <w:color w:val="000000" w:themeColor="text1"/>
        </w:rPr>
        <w:t xml:space="preserve">Aidé </w:t>
      </w:r>
      <w:r w:rsidR="00C41CD3" w:rsidRPr="00104227">
        <w:rPr>
          <w:color w:val="000000" w:themeColor="text1"/>
        </w:rPr>
        <w:t xml:space="preserve">Jiménez Osorio, </w:t>
      </w:r>
      <w:r w:rsidR="00410260" w:rsidRPr="00104227">
        <w:rPr>
          <w:color w:val="000000" w:themeColor="text1"/>
        </w:rPr>
        <w:t>issued by the</w:t>
      </w:r>
      <w:r w:rsidR="00C41CD3" w:rsidRPr="00104227">
        <w:rPr>
          <w:color w:val="000000" w:themeColor="text1"/>
        </w:rPr>
        <w:t xml:space="preserve"> CNDH </w:t>
      </w:r>
      <w:r w:rsidR="00410260" w:rsidRPr="00104227">
        <w:rPr>
          <w:color w:val="000000" w:themeColor="text1"/>
        </w:rPr>
        <w:t>on May 6,</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folios 808</w:t>
      </w:r>
      <w:r w:rsidR="00BF5241" w:rsidRPr="00104227">
        <w:rPr>
          <w:color w:val="000000" w:themeColor="text1"/>
        </w:rPr>
        <w:t xml:space="preserve"> and </w:t>
      </w:r>
      <w:r w:rsidR="00C41CD3" w:rsidRPr="00104227">
        <w:rPr>
          <w:color w:val="000000" w:themeColor="text1"/>
        </w:rPr>
        <w:t xml:space="preserve">809); </w:t>
      </w:r>
      <w:r w:rsidR="00581EFB" w:rsidRPr="00104227">
        <w:rPr>
          <w:color w:val="000000" w:themeColor="text1"/>
        </w:rPr>
        <w:t>CNDH report of August 31</w:t>
      </w:r>
      <w:r w:rsidR="00E31E41" w:rsidRPr="00104227">
        <w:rPr>
          <w:color w:val="000000" w:themeColor="text1"/>
        </w:rPr>
        <w:t>,</w:t>
      </w:r>
      <w:r w:rsidR="00C41CD3" w:rsidRPr="00104227">
        <w:rPr>
          <w:color w:val="000000" w:themeColor="text1"/>
        </w:rPr>
        <w:t xml:space="preserve"> </w:t>
      </w:r>
      <w:r w:rsidR="008C6D02" w:rsidRPr="00104227">
        <w:rPr>
          <w:color w:val="000000" w:themeColor="text1"/>
        </w:rPr>
        <w:t xml:space="preserve">2006, </w:t>
      </w:r>
      <w:r w:rsidR="00E31E41" w:rsidRPr="00104227">
        <w:rPr>
          <w:color w:val="000000" w:themeColor="text1"/>
        </w:rPr>
        <w:t>recording the application</w:t>
      </w:r>
      <w:r w:rsidRPr="00104227">
        <w:rPr>
          <w:color w:val="000000" w:themeColor="text1"/>
        </w:rPr>
        <w:t xml:space="preserve"> of the Istanbul Protocol to</w:t>
      </w:r>
      <w:r w:rsidR="00C41CD3" w:rsidRPr="00104227">
        <w:rPr>
          <w:color w:val="000000" w:themeColor="text1"/>
        </w:rPr>
        <w:t xml:space="preserve"> Norma Aidé Jiménez Osorio (</w:t>
      </w:r>
      <w:r w:rsidRPr="00104227">
        <w:rPr>
          <w:color w:val="000000" w:themeColor="text1"/>
        </w:rPr>
        <w:t>evidence file</w:t>
      </w:r>
      <w:r w:rsidR="00C41CD3" w:rsidRPr="00104227">
        <w:rPr>
          <w:color w:val="000000" w:themeColor="text1"/>
        </w:rPr>
        <w:t xml:space="preserve">, folios 726, 730 </w:t>
      </w:r>
      <w:r w:rsidR="00410260" w:rsidRPr="00104227">
        <w:rPr>
          <w:color w:val="000000" w:themeColor="text1"/>
        </w:rPr>
        <w:t>to</w:t>
      </w:r>
      <w:r w:rsidR="00C41CD3" w:rsidRPr="00104227">
        <w:rPr>
          <w:color w:val="000000" w:themeColor="text1"/>
        </w:rPr>
        <w:t xml:space="preserve"> 733, 736, 739, 740</w:t>
      </w:r>
      <w:r w:rsidR="00BF5241" w:rsidRPr="00104227">
        <w:rPr>
          <w:color w:val="000000" w:themeColor="text1"/>
        </w:rPr>
        <w:t xml:space="preserve"> and </w:t>
      </w:r>
      <w:r w:rsidR="00C41CD3" w:rsidRPr="00104227">
        <w:rPr>
          <w:color w:val="000000" w:themeColor="text1"/>
        </w:rPr>
        <w:t xml:space="preserve">743); </w:t>
      </w:r>
      <w:r w:rsidR="00410260" w:rsidRPr="00104227">
        <w:rPr>
          <w:color w:val="000000" w:themeColor="text1"/>
        </w:rPr>
        <w:t>a</w:t>
      </w:r>
      <w:r w:rsidRPr="00104227">
        <w:rPr>
          <w:color w:val="000000" w:themeColor="text1"/>
        </w:rPr>
        <w:t>pplication of the Istanbul Protocol to</w:t>
      </w:r>
      <w:r w:rsidR="00C41CD3" w:rsidRPr="00104227">
        <w:rPr>
          <w:color w:val="000000" w:themeColor="text1"/>
        </w:rPr>
        <w:t xml:space="preserve"> Norma Aidé Jiménez Osorio </w:t>
      </w:r>
      <w:r w:rsidRPr="00104227">
        <w:rPr>
          <w:color w:val="000000" w:themeColor="text1"/>
        </w:rPr>
        <w:t>by the</w:t>
      </w:r>
      <w:r w:rsidR="00C41CD3" w:rsidRPr="00104227">
        <w:rPr>
          <w:color w:val="000000" w:themeColor="text1"/>
        </w:rPr>
        <w:t xml:space="preserve"> </w:t>
      </w:r>
      <w:r w:rsidR="00C41CD3" w:rsidRPr="00104227">
        <w:rPr>
          <w:i/>
          <w:iCs/>
          <w:color w:val="000000" w:themeColor="text1"/>
        </w:rPr>
        <w:t xml:space="preserve">Colectivo </w:t>
      </w:r>
      <w:r w:rsidR="00E31E41" w:rsidRPr="00104227">
        <w:rPr>
          <w:i/>
          <w:iCs/>
          <w:color w:val="000000" w:themeColor="text1"/>
        </w:rPr>
        <w:t>contra la Tortura y la</w:t>
      </w:r>
      <w:r w:rsidR="00C41CD3" w:rsidRPr="00104227">
        <w:rPr>
          <w:i/>
          <w:iCs/>
          <w:color w:val="000000" w:themeColor="text1"/>
        </w:rPr>
        <w:t xml:space="preserve"> Impunidad</w:t>
      </w:r>
      <w:r w:rsidR="00C41CD3" w:rsidRPr="00104227">
        <w:rPr>
          <w:color w:val="000000" w:themeColor="text1"/>
        </w:rPr>
        <w:t xml:space="preserve"> (</w:t>
      </w:r>
      <w:r w:rsidRPr="00104227">
        <w:rPr>
          <w:color w:val="000000" w:themeColor="text1"/>
        </w:rPr>
        <w:t>evidence file</w:t>
      </w:r>
      <w:r w:rsidR="00C41CD3" w:rsidRPr="00104227">
        <w:rPr>
          <w:color w:val="000000" w:themeColor="text1"/>
        </w:rPr>
        <w:t xml:space="preserve">, folios 750, 755 </w:t>
      </w:r>
      <w:r w:rsidR="00410260" w:rsidRPr="00104227">
        <w:rPr>
          <w:color w:val="000000" w:themeColor="text1"/>
        </w:rPr>
        <w:t>to</w:t>
      </w:r>
      <w:r w:rsidR="00C41CD3" w:rsidRPr="00104227">
        <w:rPr>
          <w:color w:val="000000" w:themeColor="text1"/>
        </w:rPr>
        <w:t xml:space="preserve"> 766, 790</w:t>
      </w:r>
      <w:r w:rsidR="00BF5241" w:rsidRPr="00104227">
        <w:rPr>
          <w:color w:val="000000" w:themeColor="text1"/>
        </w:rPr>
        <w:t xml:space="preserve"> and </w:t>
      </w:r>
      <w:r w:rsidR="00C41CD3" w:rsidRPr="00104227">
        <w:rPr>
          <w:color w:val="000000" w:themeColor="text1"/>
        </w:rPr>
        <w:t xml:space="preserve">791); </w:t>
      </w:r>
      <w:r w:rsidRPr="00104227">
        <w:rPr>
          <w:color w:val="000000" w:themeColor="text1"/>
        </w:rPr>
        <w:t>statement by</w:t>
      </w:r>
      <w:r w:rsidR="00C41CD3" w:rsidRPr="00104227">
        <w:rPr>
          <w:color w:val="000000" w:themeColor="text1"/>
        </w:rPr>
        <w:t xml:space="preserve"> Norma Aidé Jiménez Osorio </w:t>
      </w:r>
      <w:r w:rsidRPr="00104227">
        <w:rPr>
          <w:color w:val="000000" w:themeColor="text1"/>
        </w:rPr>
        <w:t>before the</w:t>
      </w:r>
      <w:r w:rsidR="00C41CD3" w:rsidRPr="00104227">
        <w:rPr>
          <w:color w:val="000000" w:themeColor="text1"/>
        </w:rPr>
        <w:t xml:space="preserve"> FEVIM </w:t>
      </w:r>
      <w:r w:rsidR="00E31E41" w:rsidRPr="00104227">
        <w:rPr>
          <w:color w:val="000000" w:themeColor="text1"/>
        </w:rPr>
        <w:t>on May 25</w:t>
      </w:r>
      <w:r w:rsidR="006F5741" w:rsidRPr="00104227">
        <w:rPr>
          <w:color w:val="000000" w:themeColor="text1"/>
        </w:rPr>
        <w:t>,</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folios 803</w:t>
      </w:r>
      <w:r w:rsidR="00BF5241" w:rsidRPr="00104227">
        <w:rPr>
          <w:color w:val="000000" w:themeColor="text1"/>
        </w:rPr>
        <w:t xml:space="preserve"> and </w:t>
      </w:r>
      <w:r w:rsidR="00C41CD3" w:rsidRPr="00104227">
        <w:rPr>
          <w:color w:val="000000" w:themeColor="text1"/>
        </w:rPr>
        <w:t xml:space="preserve">804); </w:t>
      </w:r>
      <w:r w:rsidR="00977636" w:rsidRPr="00104227">
        <w:rPr>
          <w:color w:val="000000" w:themeColor="text1"/>
        </w:rPr>
        <w:t>d</w:t>
      </w:r>
      <w:r w:rsidR="00410260" w:rsidRPr="00104227">
        <w:rPr>
          <w:color w:val="000000" w:themeColor="text1"/>
        </w:rPr>
        <w:t>etailed record</w:t>
      </w:r>
      <w:r w:rsidR="00C41CD3" w:rsidRPr="00104227">
        <w:rPr>
          <w:color w:val="000000" w:themeColor="text1"/>
        </w:rPr>
        <w:t xml:space="preserve"> </w:t>
      </w:r>
      <w:r w:rsidR="00581EFB" w:rsidRPr="00104227">
        <w:rPr>
          <w:color w:val="000000" w:themeColor="text1"/>
        </w:rPr>
        <w:t>of the</w:t>
      </w:r>
      <w:r w:rsidR="00C41CD3" w:rsidRPr="00104227">
        <w:rPr>
          <w:color w:val="000000" w:themeColor="text1"/>
        </w:rPr>
        <w:t xml:space="preserve"> </w:t>
      </w:r>
      <w:r w:rsidR="00D0136A" w:rsidRPr="00104227">
        <w:rPr>
          <w:color w:val="000000" w:themeColor="text1"/>
        </w:rPr>
        <w:t>Deputy Inspector</w:t>
      </w:r>
      <w:r w:rsidR="00BF5241" w:rsidRPr="00104227">
        <w:rPr>
          <w:color w:val="000000" w:themeColor="text1"/>
        </w:rPr>
        <w:t xml:space="preserve"> of the </w:t>
      </w:r>
      <w:r w:rsidR="00F12946" w:rsidRPr="00104227">
        <w:rPr>
          <w:color w:val="000000" w:themeColor="text1"/>
        </w:rPr>
        <w:t>National Human Rights Commission</w:t>
      </w:r>
      <w:r w:rsidR="00C41CD3" w:rsidRPr="00104227">
        <w:rPr>
          <w:color w:val="000000" w:themeColor="text1"/>
        </w:rPr>
        <w:t xml:space="preserve"> </w:t>
      </w:r>
      <w:r w:rsidR="00E31E41" w:rsidRPr="00104227">
        <w:rPr>
          <w:color w:val="000000" w:themeColor="text1"/>
        </w:rPr>
        <w:t>of May 6,</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xml:space="preserve">, folio 798); </w:t>
      </w:r>
      <w:r w:rsidR="00E31E41" w:rsidRPr="00104227">
        <w:rPr>
          <w:color w:val="000000" w:themeColor="text1"/>
        </w:rPr>
        <w:t>video of the</w:t>
      </w:r>
      <w:r w:rsidR="00C41CD3" w:rsidRPr="00104227">
        <w:rPr>
          <w:color w:val="000000" w:themeColor="text1"/>
        </w:rPr>
        <w:t xml:space="preserve"> </w:t>
      </w:r>
      <w:r w:rsidRPr="00104227">
        <w:rPr>
          <w:color w:val="000000" w:themeColor="text1"/>
        </w:rPr>
        <w:t xml:space="preserve">statement </w:t>
      </w:r>
      <w:r w:rsidR="00581EFB" w:rsidRPr="00104227">
        <w:rPr>
          <w:color w:val="000000" w:themeColor="text1"/>
        </w:rPr>
        <w:t xml:space="preserve">made </w:t>
      </w:r>
      <w:r w:rsidRPr="00104227">
        <w:rPr>
          <w:color w:val="000000" w:themeColor="text1"/>
        </w:rPr>
        <w:t>by</w:t>
      </w:r>
      <w:r w:rsidR="00C41CD3" w:rsidRPr="00104227">
        <w:rPr>
          <w:color w:val="000000" w:themeColor="text1"/>
        </w:rPr>
        <w:t xml:space="preserve"> Norma Aidé Jiménez Osorio (</w:t>
      </w:r>
      <w:r w:rsidRPr="00104227">
        <w:rPr>
          <w:color w:val="000000" w:themeColor="text1"/>
        </w:rPr>
        <w:t>evidence file</w:t>
      </w:r>
      <w:r w:rsidR="00C41CD3" w:rsidRPr="00104227">
        <w:rPr>
          <w:color w:val="000000" w:themeColor="text1"/>
        </w:rPr>
        <w:t>, folios 799 a</w:t>
      </w:r>
      <w:r w:rsidR="00410260" w:rsidRPr="00104227">
        <w:rPr>
          <w:color w:val="000000" w:themeColor="text1"/>
        </w:rPr>
        <w:t>nd</w:t>
      </w:r>
      <w:r w:rsidR="00C41CD3" w:rsidRPr="00104227">
        <w:rPr>
          <w:color w:val="000000" w:themeColor="text1"/>
        </w:rPr>
        <w:t xml:space="preserve"> 800); </w:t>
      </w:r>
      <w:r w:rsidRPr="00104227">
        <w:rPr>
          <w:color w:val="000000" w:themeColor="text1"/>
        </w:rPr>
        <w:t>statement by</w:t>
      </w:r>
      <w:r w:rsidR="00C41CD3" w:rsidRPr="00104227">
        <w:rPr>
          <w:color w:val="000000" w:themeColor="text1"/>
        </w:rPr>
        <w:t xml:space="preserve"> Norma Aidé Jiménez Osorio </w:t>
      </w:r>
      <w:r w:rsidRPr="00104227">
        <w:rPr>
          <w:color w:val="000000" w:themeColor="text1"/>
        </w:rPr>
        <w:t>during the public hearing before this Court</w:t>
      </w:r>
      <w:r w:rsidR="00410260" w:rsidRPr="00104227">
        <w:rPr>
          <w:color w:val="000000" w:themeColor="text1"/>
        </w:rPr>
        <w:t>,</w:t>
      </w:r>
      <w:r w:rsidR="00BF5241" w:rsidRPr="00104227">
        <w:rPr>
          <w:b/>
          <w:color w:val="000000" w:themeColor="text1"/>
        </w:rPr>
        <w:t xml:space="preserve"> </w:t>
      </w:r>
      <w:r w:rsidR="00BF5241" w:rsidRPr="00104227">
        <w:rPr>
          <w:bCs/>
          <w:color w:val="000000" w:themeColor="text1"/>
        </w:rPr>
        <w:t>and</w:t>
      </w:r>
      <w:r w:rsidR="00BF5241" w:rsidRPr="00104227">
        <w:rPr>
          <w:b/>
          <w:color w:val="000000" w:themeColor="text1"/>
        </w:rPr>
        <w:t xml:space="preserve"> </w:t>
      </w:r>
      <w:r w:rsidR="00E31E41" w:rsidRPr="00104227">
        <w:rPr>
          <w:color w:val="000000" w:themeColor="text1"/>
        </w:rPr>
        <w:t>CNDH Recommendation 38/2006</w:t>
      </w:r>
      <w:r w:rsidR="00B14263" w:rsidRPr="00104227">
        <w:rPr>
          <w:color w:val="000000" w:themeColor="text1"/>
        </w:rPr>
        <w:t xml:space="preserve"> </w:t>
      </w:r>
      <w:r w:rsidR="00E31E41" w:rsidRPr="00104227">
        <w:rPr>
          <w:color w:val="000000" w:themeColor="text1"/>
        </w:rPr>
        <w:t>of May 6,</w:t>
      </w:r>
      <w:r w:rsidR="00B14263" w:rsidRPr="00104227">
        <w:rPr>
          <w:color w:val="000000" w:themeColor="text1"/>
        </w:rPr>
        <w:t xml:space="preserve"> 2006.</w:t>
      </w:r>
      <w:r w:rsidR="00C41CD3" w:rsidRPr="00104227">
        <w:rPr>
          <w:color w:val="000000" w:themeColor="text1"/>
        </w:rPr>
        <w:t xml:space="preserve"> </w:t>
      </w:r>
      <w:r w:rsidR="00E31E41" w:rsidRPr="00104227">
        <w:rPr>
          <w:color w:val="000000" w:themeColor="text1"/>
        </w:rPr>
        <w:t>Section on</w:t>
      </w:r>
      <w:r w:rsidR="00C41CD3" w:rsidRPr="00104227">
        <w:rPr>
          <w:color w:val="000000" w:themeColor="text1"/>
        </w:rPr>
        <w:t xml:space="preserve"> Norma Aidé Jiménez Osorio (</w:t>
      </w:r>
      <w:r w:rsidRPr="00104227">
        <w:rPr>
          <w:color w:val="000000" w:themeColor="text1"/>
        </w:rPr>
        <w:t>evidence file</w:t>
      </w:r>
      <w:r w:rsidR="00C41CD3" w:rsidRPr="00104227">
        <w:rPr>
          <w:color w:val="000000" w:themeColor="text1"/>
        </w:rPr>
        <w:t>, folios 818, 819, 821, 822 a</w:t>
      </w:r>
      <w:r w:rsidR="00410260" w:rsidRPr="00104227">
        <w:rPr>
          <w:color w:val="000000" w:themeColor="text1"/>
        </w:rPr>
        <w:t>nd</w:t>
      </w:r>
      <w:r w:rsidR="00C41CD3" w:rsidRPr="00104227">
        <w:rPr>
          <w:color w:val="000000" w:themeColor="text1"/>
        </w:rPr>
        <w:t xml:space="preserve"> 823).</w:t>
      </w:r>
    </w:p>
    <w:p w14:paraId="7DBA58A6" w14:textId="77777777" w:rsidR="00C41CD3" w:rsidRPr="00104227" w:rsidRDefault="00C41CD3" w:rsidP="00E4619F">
      <w:pPr>
        <w:tabs>
          <w:tab w:val="left" w:pos="567"/>
        </w:tabs>
        <w:rPr>
          <w:b/>
          <w:color w:val="000000" w:themeColor="text1"/>
        </w:rPr>
      </w:pPr>
    </w:p>
    <w:p w14:paraId="2D7FEB31" w14:textId="09C178CA" w:rsidR="00C41CD3" w:rsidRPr="00104227" w:rsidRDefault="004617E1" w:rsidP="00E4619F">
      <w:pPr>
        <w:tabs>
          <w:tab w:val="left" w:pos="567"/>
        </w:tabs>
        <w:rPr>
          <w:color w:val="000000" w:themeColor="text1"/>
          <w:u w:val="single"/>
        </w:rPr>
      </w:pPr>
      <w:r w:rsidRPr="00104227">
        <w:rPr>
          <w:color w:val="000000" w:themeColor="text1"/>
          <w:u w:val="single"/>
        </w:rPr>
        <w:t>Evidence of the facts relating to</w:t>
      </w:r>
      <w:r w:rsidR="00C41CD3" w:rsidRPr="00104227">
        <w:rPr>
          <w:color w:val="000000" w:themeColor="text1"/>
          <w:u w:val="single"/>
        </w:rPr>
        <w:t xml:space="preserve"> María Patricia Romero Hernández</w:t>
      </w:r>
    </w:p>
    <w:p w14:paraId="03106E17" w14:textId="77777777" w:rsidR="00C41CD3" w:rsidRPr="00104227" w:rsidRDefault="00C41CD3" w:rsidP="00E4619F">
      <w:pPr>
        <w:tabs>
          <w:tab w:val="left" w:pos="567"/>
        </w:tabs>
        <w:rPr>
          <w:b/>
          <w:color w:val="000000" w:themeColor="text1"/>
        </w:rPr>
      </w:pPr>
    </w:p>
    <w:p w14:paraId="70E7D595" w14:textId="4FBF3975" w:rsidR="00C41CD3" w:rsidRPr="00104227" w:rsidRDefault="004617E1" w:rsidP="00E4619F">
      <w:pPr>
        <w:tabs>
          <w:tab w:val="left" w:pos="567"/>
        </w:tabs>
        <w:rPr>
          <w:b/>
          <w:color w:val="000000" w:themeColor="text1"/>
        </w:rPr>
      </w:pPr>
      <w:r w:rsidRPr="00104227">
        <w:rPr>
          <w:color w:val="000000" w:themeColor="text1"/>
        </w:rPr>
        <w:t>The description of what happened to</w:t>
      </w:r>
      <w:r w:rsidR="00C41CD3" w:rsidRPr="00104227">
        <w:rPr>
          <w:color w:val="000000" w:themeColor="text1"/>
        </w:rPr>
        <w:t xml:space="preserve"> María Patricia Romero Hernández </w:t>
      </w:r>
      <w:r w:rsidRPr="00104227">
        <w:rPr>
          <w:color w:val="000000" w:themeColor="text1"/>
        </w:rPr>
        <w:t>can be found in the following evidence</w:t>
      </w:r>
      <w:r w:rsidR="00C41CD3" w:rsidRPr="00104227">
        <w:rPr>
          <w:color w:val="000000" w:themeColor="text1"/>
        </w:rPr>
        <w:t xml:space="preserve">, </w:t>
      </w:r>
      <w:r w:rsidRPr="00104227">
        <w:rPr>
          <w:color w:val="000000" w:themeColor="text1"/>
        </w:rPr>
        <w:t>unless otherwise specifically indicated</w:t>
      </w:r>
      <w:r w:rsidR="00B14263" w:rsidRPr="00104227">
        <w:rPr>
          <w:color w:val="000000" w:themeColor="text1"/>
        </w:rPr>
        <w:t xml:space="preserve">: </w:t>
      </w:r>
      <w:r w:rsidR="00581EFB" w:rsidRPr="00104227">
        <w:rPr>
          <w:color w:val="000000" w:themeColor="text1"/>
        </w:rPr>
        <w:t>Entry medical report</w:t>
      </w:r>
      <w:r w:rsidR="00C41CD3" w:rsidRPr="00104227">
        <w:rPr>
          <w:color w:val="000000" w:themeColor="text1"/>
        </w:rPr>
        <w:t xml:space="preserve"> </w:t>
      </w:r>
      <w:r w:rsidR="00B851FA" w:rsidRPr="00104227">
        <w:rPr>
          <w:color w:val="000000" w:themeColor="text1"/>
        </w:rPr>
        <w:t>of May 4,</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folios 831</w:t>
      </w:r>
      <w:r w:rsidR="00BF5241" w:rsidRPr="00104227">
        <w:rPr>
          <w:color w:val="000000" w:themeColor="text1"/>
        </w:rPr>
        <w:t xml:space="preserve"> and </w:t>
      </w:r>
      <w:r w:rsidR="00C41CD3" w:rsidRPr="00104227">
        <w:rPr>
          <w:color w:val="000000" w:themeColor="text1"/>
        </w:rPr>
        <w:t xml:space="preserve">832); </w:t>
      </w:r>
      <w:r w:rsidR="00977636" w:rsidRPr="00104227">
        <w:rPr>
          <w:color w:val="000000" w:themeColor="text1"/>
        </w:rPr>
        <w:t>d</w:t>
      </w:r>
      <w:r w:rsidR="00410260" w:rsidRPr="00104227">
        <w:rPr>
          <w:color w:val="000000" w:themeColor="text1"/>
        </w:rPr>
        <w:t>etailed record</w:t>
      </w:r>
      <w:r w:rsidR="00C41CD3" w:rsidRPr="00104227">
        <w:rPr>
          <w:color w:val="000000" w:themeColor="text1"/>
        </w:rPr>
        <w:t xml:space="preserve"> </w:t>
      </w:r>
      <w:r w:rsidR="00410260" w:rsidRPr="00104227">
        <w:rPr>
          <w:color w:val="000000" w:themeColor="text1"/>
        </w:rPr>
        <w:t>of the</w:t>
      </w:r>
      <w:r w:rsidR="00C41CD3" w:rsidRPr="00104227">
        <w:rPr>
          <w:color w:val="000000" w:themeColor="text1"/>
        </w:rPr>
        <w:t xml:space="preserve"> CNDH </w:t>
      </w:r>
      <w:r w:rsidR="00E31E41" w:rsidRPr="00104227">
        <w:rPr>
          <w:color w:val="000000" w:themeColor="text1"/>
        </w:rPr>
        <w:t>of May 6,</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folios 834 a</w:t>
      </w:r>
      <w:r w:rsidR="00410260" w:rsidRPr="00104227">
        <w:rPr>
          <w:color w:val="000000" w:themeColor="text1"/>
        </w:rPr>
        <w:t>nd</w:t>
      </w:r>
      <w:r w:rsidR="00C41CD3" w:rsidRPr="00104227">
        <w:rPr>
          <w:color w:val="000000" w:themeColor="text1"/>
        </w:rPr>
        <w:t xml:space="preserve"> 835); </w:t>
      </w:r>
      <w:r w:rsidR="00E31E41" w:rsidRPr="00104227">
        <w:rPr>
          <w:color w:val="000000" w:themeColor="text1"/>
        </w:rPr>
        <w:t>detailed record of the</w:t>
      </w:r>
      <w:r w:rsidR="00C41CD3" w:rsidRPr="00104227">
        <w:rPr>
          <w:color w:val="000000" w:themeColor="text1"/>
        </w:rPr>
        <w:t xml:space="preserve"> </w:t>
      </w:r>
      <w:r w:rsidR="00581EFB" w:rsidRPr="00104227">
        <w:rPr>
          <w:color w:val="000000" w:themeColor="text1"/>
        </w:rPr>
        <w:t>Deputy Inspector</w:t>
      </w:r>
      <w:r w:rsidR="00E31E41" w:rsidRPr="00104227">
        <w:rPr>
          <w:color w:val="000000" w:themeColor="text1"/>
        </w:rPr>
        <w:t xml:space="preserve"> of May</w:t>
      </w:r>
      <w:r w:rsidR="00335431" w:rsidRPr="00104227">
        <w:rPr>
          <w:color w:val="000000" w:themeColor="text1"/>
        </w:rPr>
        <w:t xml:space="preserve"> 26,</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 841</w:t>
      </w:r>
      <w:r w:rsidR="00BF5241" w:rsidRPr="00104227">
        <w:rPr>
          <w:color w:val="000000" w:themeColor="text1"/>
        </w:rPr>
        <w:t xml:space="preserve"> and </w:t>
      </w:r>
      <w:r w:rsidR="00C41CD3" w:rsidRPr="00104227">
        <w:rPr>
          <w:color w:val="000000" w:themeColor="text1"/>
        </w:rPr>
        <w:t xml:space="preserve">842); </w:t>
      </w:r>
      <w:r w:rsidR="00581EFB" w:rsidRPr="00104227">
        <w:rPr>
          <w:color w:val="000000" w:themeColor="text1"/>
        </w:rPr>
        <w:t>CNDH report of August 31</w:t>
      </w:r>
      <w:r w:rsidR="00E31E41" w:rsidRPr="00104227">
        <w:rPr>
          <w:color w:val="000000" w:themeColor="text1"/>
        </w:rPr>
        <w:t>,</w:t>
      </w:r>
      <w:r w:rsidR="00C41CD3" w:rsidRPr="00104227">
        <w:rPr>
          <w:color w:val="000000" w:themeColor="text1"/>
        </w:rPr>
        <w:t xml:space="preserve"> </w:t>
      </w:r>
      <w:r w:rsidR="008C6D02" w:rsidRPr="00104227">
        <w:rPr>
          <w:color w:val="000000" w:themeColor="text1"/>
        </w:rPr>
        <w:t xml:space="preserve">2006, </w:t>
      </w:r>
      <w:r w:rsidR="00E31E41" w:rsidRPr="00104227">
        <w:rPr>
          <w:color w:val="000000" w:themeColor="text1"/>
        </w:rPr>
        <w:t>recording the application</w:t>
      </w:r>
      <w:r w:rsidRPr="00104227">
        <w:rPr>
          <w:color w:val="000000" w:themeColor="text1"/>
        </w:rPr>
        <w:t xml:space="preserve"> of the Istanbul Protocol to</w:t>
      </w:r>
      <w:r w:rsidR="00C41CD3" w:rsidRPr="00104227">
        <w:rPr>
          <w:color w:val="000000" w:themeColor="text1"/>
        </w:rPr>
        <w:t xml:space="preserve"> María Patricia Romero Hernández (</w:t>
      </w:r>
      <w:r w:rsidRPr="00104227">
        <w:rPr>
          <w:color w:val="000000" w:themeColor="text1"/>
        </w:rPr>
        <w:t>evidence file</w:t>
      </w:r>
      <w:r w:rsidR="00C41CD3" w:rsidRPr="00104227">
        <w:rPr>
          <w:color w:val="000000" w:themeColor="text1"/>
        </w:rPr>
        <w:t xml:space="preserve">, folios 851 </w:t>
      </w:r>
      <w:r w:rsidR="00410260" w:rsidRPr="00104227">
        <w:rPr>
          <w:color w:val="000000" w:themeColor="text1"/>
        </w:rPr>
        <w:t>to</w:t>
      </w:r>
      <w:r w:rsidR="00C41CD3" w:rsidRPr="00104227">
        <w:rPr>
          <w:color w:val="000000" w:themeColor="text1"/>
        </w:rPr>
        <w:t xml:space="preserve"> 853, 856</w:t>
      </w:r>
      <w:r w:rsidR="00BF5241" w:rsidRPr="00104227">
        <w:rPr>
          <w:color w:val="000000" w:themeColor="text1"/>
        </w:rPr>
        <w:t xml:space="preserve"> and </w:t>
      </w:r>
      <w:r w:rsidR="00C41CD3" w:rsidRPr="00104227">
        <w:rPr>
          <w:color w:val="000000" w:themeColor="text1"/>
        </w:rPr>
        <w:t xml:space="preserve">861); </w:t>
      </w:r>
      <w:r w:rsidR="00410260" w:rsidRPr="00104227">
        <w:rPr>
          <w:color w:val="000000" w:themeColor="text1"/>
        </w:rPr>
        <w:t>a</w:t>
      </w:r>
      <w:r w:rsidRPr="00104227">
        <w:rPr>
          <w:color w:val="000000" w:themeColor="text1"/>
        </w:rPr>
        <w:t>pplication of the Istanbul Protocol to</w:t>
      </w:r>
      <w:r w:rsidR="00C41CD3" w:rsidRPr="00104227">
        <w:rPr>
          <w:color w:val="000000" w:themeColor="text1"/>
        </w:rPr>
        <w:t xml:space="preserve"> María Patricia Romero Hernández </w:t>
      </w:r>
      <w:r w:rsidRPr="00104227">
        <w:rPr>
          <w:color w:val="000000" w:themeColor="text1"/>
        </w:rPr>
        <w:t>by the</w:t>
      </w:r>
      <w:r w:rsidR="00C41CD3" w:rsidRPr="00104227">
        <w:rPr>
          <w:color w:val="000000" w:themeColor="text1"/>
        </w:rPr>
        <w:t xml:space="preserve"> </w:t>
      </w:r>
      <w:r w:rsidR="00C41CD3" w:rsidRPr="00104227">
        <w:rPr>
          <w:i/>
          <w:iCs/>
          <w:color w:val="000000" w:themeColor="text1"/>
        </w:rPr>
        <w:t xml:space="preserve">Colectivo </w:t>
      </w:r>
      <w:r w:rsidR="00E31E41" w:rsidRPr="00104227">
        <w:rPr>
          <w:i/>
          <w:iCs/>
          <w:color w:val="000000" w:themeColor="text1"/>
        </w:rPr>
        <w:t>contra la Tortura y la</w:t>
      </w:r>
      <w:r w:rsidR="00C41CD3" w:rsidRPr="00104227">
        <w:rPr>
          <w:i/>
          <w:iCs/>
          <w:color w:val="000000" w:themeColor="text1"/>
        </w:rPr>
        <w:t xml:space="preserve"> Impunidad</w:t>
      </w:r>
      <w:r w:rsidR="00C41CD3" w:rsidRPr="00104227">
        <w:rPr>
          <w:color w:val="000000" w:themeColor="text1"/>
        </w:rPr>
        <w:t xml:space="preserve"> (</w:t>
      </w:r>
      <w:r w:rsidRPr="00104227">
        <w:rPr>
          <w:color w:val="000000" w:themeColor="text1"/>
        </w:rPr>
        <w:t>evidence file</w:t>
      </w:r>
      <w:r w:rsidR="00C41CD3" w:rsidRPr="00104227">
        <w:rPr>
          <w:color w:val="000000" w:themeColor="text1"/>
        </w:rPr>
        <w:t>, folios 871, 872, 873, 875, 876, 888, 892</w:t>
      </w:r>
      <w:r w:rsidR="00BF5241" w:rsidRPr="00104227">
        <w:rPr>
          <w:color w:val="000000" w:themeColor="text1"/>
        </w:rPr>
        <w:t xml:space="preserve"> and </w:t>
      </w:r>
      <w:r w:rsidR="00C41CD3" w:rsidRPr="00104227">
        <w:rPr>
          <w:color w:val="000000" w:themeColor="text1"/>
        </w:rPr>
        <w:t xml:space="preserve">893); </w:t>
      </w:r>
      <w:r w:rsidR="00E31E41" w:rsidRPr="00104227">
        <w:rPr>
          <w:color w:val="000000" w:themeColor="text1"/>
        </w:rPr>
        <w:t>detailed record of the</w:t>
      </w:r>
      <w:r w:rsidR="00C41CD3" w:rsidRPr="00104227">
        <w:rPr>
          <w:color w:val="000000" w:themeColor="text1"/>
        </w:rPr>
        <w:t xml:space="preserve"> </w:t>
      </w:r>
      <w:r w:rsidR="00D0136A" w:rsidRPr="00104227">
        <w:rPr>
          <w:color w:val="000000" w:themeColor="text1"/>
        </w:rPr>
        <w:t>Deputy Inspector</w:t>
      </w:r>
      <w:r w:rsidR="00C41CD3" w:rsidRPr="00104227">
        <w:rPr>
          <w:color w:val="000000" w:themeColor="text1"/>
        </w:rPr>
        <w:t xml:space="preserve"> </w:t>
      </w:r>
      <w:r w:rsidR="00E31E41" w:rsidRPr="00104227">
        <w:rPr>
          <w:color w:val="000000" w:themeColor="text1"/>
        </w:rPr>
        <w:t>of October 31,</w:t>
      </w:r>
      <w:r w:rsidR="00C41CD3" w:rsidRPr="00104227">
        <w:rPr>
          <w:color w:val="000000" w:themeColor="text1"/>
        </w:rPr>
        <w:t xml:space="preserve"> 2017</w:t>
      </w:r>
      <w:r w:rsidR="00410260" w:rsidRPr="00104227">
        <w:rPr>
          <w:color w:val="000000" w:themeColor="text1"/>
        </w:rPr>
        <w:t>,</w:t>
      </w:r>
      <w:r w:rsidR="00C41CD3" w:rsidRPr="00104227">
        <w:rPr>
          <w:color w:val="000000" w:themeColor="text1"/>
        </w:rPr>
        <w:t xml:space="preserve"> </w:t>
      </w:r>
      <w:r w:rsidR="00E31E41" w:rsidRPr="00104227">
        <w:rPr>
          <w:color w:val="000000" w:themeColor="text1"/>
        </w:rPr>
        <w:t>with regard to</w:t>
      </w:r>
      <w:r w:rsidR="00C41CD3" w:rsidRPr="00104227">
        <w:rPr>
          <w:color w:val="000000" w:themeColor="text1"/>
        </w:rPr>
        <w:t xml:space="preserve"> María Patricia Romero Hernández (</w:t>
      </w:r>
      <w:r w:rsidRPr="00104227">
        <w:rPr>
          <w:color w:val="000000" w:themeColor="text1"/>
        </w:rPr>
        <w:t>evidence file</w:t>
      </w:r>
      <w:r w:rsidR="00C41CD3" w:rsidRPr="00104227">
        <w:rPr>
          <w:color w:val="000000" w:themeColor="text1"/>
        </w:rPr>
        <w:t xml:space="preserve">, folios 37059 </w:t>
      </w:r>
      <w:r w:rsidR="00410260" w:rsidRPr="00104227">
        <w:rPr>
          <w:color w:val="000000" w:themeColor="text1"/>
        </w:rPr>
        <w:t>to</w:t>
      </w:r>
      <w:r w:rsidR="00C41CD3" w:rsidRPr="00104227">
        <w:rPr>
          <w:color w:val="000000" w:themeColor="text1"/>
        </w:rPr>
        <w:t xml:space="preserve"> 37061); </w:t>
      </w:r>
      <w:r w:rsidRPr="00104227">
        <w:rPr>
          <w:color w:val="000000" w:themeColor="text1"/>
        </w:rPr>
        <w:t>statement by</w:t>
      </w:r>
      <w:r w:rsidR="00C41CD3" w:rsidRPr="00104227">
        <w:rPr>
          <w:color w:val="000000" w:themeColor="text1"/>
        </w:rPr>
        <w:t xml:space="preserve"> María Patricia Romero Hernández </w:t>
      </w:r>
      <w:r w:rsidRPr="00104227">
        <w:rPr>
          <w:color w:val="000000" w:themeColor="text1"/>
        </w:rPr>
        <w:t>before the</w:t>
      </w:r>
      <w:r w:rsidR="00C41CD3" w:rsidRPr="00104227">
        <w:rPr>
          <w:color w:val="000000" w:themeColor="text1"/>
        </w:rPr>
        <w:t xml:space="preserve"> FEVIM </w:t>
      </w:r>
      <w:r w:rsidR="00E31E41" w:rsidRPr="00104227">
        <w:rPr>
          <w:color w:val="000000" w:themeColor="text1"/>
        </w:rPr>
        <w:t>on May 25</w:t>
      </w:r>
      <w:r w:rsidR="006F5741" w:rsidRPr="00104227">
        <w:rPr>
          <w:color w:val="000000" w:themeColor="text1"/>
        </w:rPr>
        <w:t>,</w:t>
      </w:r>
      <w:r w:rsidR="00C41CD3" w:rsidRPr="00104227">
        <w:rPr>
          <w:color w:val="000000" w:themeColor="text1"/>
        </w:rPr>
        <w:t xml:space="preserve"> 2008 (</w:t>
      </w:r>
      <w:r w:rsidRPr="00104227">
        <w:rPr>
          <w:color w:val="000000" w:themeColor="text1"/>
        </w:rPr>
        <w:t>evidence file</w:t>
      </w:r>
      <w:r w:rsidR="00C41CD3" w:rsidRPr="00104227">
        <w:rPr>
          <w:color w:val="000000" w:themeColor="text1"/>
        </w:rPr>
        <w:t xml:space="preserve"> folios 906</w:t>
      </w:r>
      <w:r w:rsidR="00BF5241" w:rsidRPr="00104227">
        <w:rPr>
          <w:color w:val="000000" w:themeColor="text1"/>
        </w:rPr>
        <w:t xml:space="preserve"> and </w:t>
      </w:r>
      <w:r w:rsidR="00C41CD3" w:rsidRPr="00104227">
        <w:rPr>
          <w:color w:val="000000" w:themeColor="text1"/>
        </w:rPr>
        <w:t xml:space="preserve">907); </w:t>
      </w:r>
      <w:r w:rsidR="00410260" w:rsidRPr="00104227">
        <w:rPr>
          <w:color w:val="000000" w:themeColor="text1"/>
        </w:rPr>
        <w:t>medical certificate of injuries to</w:t>
      </w:r>
      <w:r w:rsidR="00B14263" w:rsidRPr="00104227">
        <w:rPr>
          <w:color w:val="000000" w:themeColor="text1"/>
        </w:rPr>
        <w:t xml:space="preserve"> Marí</w:t>
      </w:r>
      <w:r w:rsidR="00C41CD3" w:rsidRPr="00104227">
        <w:rPr>
          <w:color w:val="000000" w:themeColor="text1"/>
        </w:rPr>
        <w:t xml:space="preserve">a Patricia Romero Hernández </w:t>
      </w:r>
      <w:r w:rsidR="00410260" w:rsidRPr="00104227">
        <w:rPr>
          <w:color w:val="000000" w:themeColor="text1"/>
        </w:rPr>
        <w:t>issued by the</w:t>
      </w:r>
      <w:r w:rsidR="00C41CD3" w:rsidRPr="00104227">
        <w:rPr>
          <w:color w:val="000000" w:themeColor="text1"/>
        </w:rPr>
        <w:t xml:space="preserve"> CNDH </w:t>
      </w:r>
      <w:r w:rsidR="00E31E41" w:rsidRPr="00104227">
        <w:rPr>
          <w:color w:val="000000" w:themeColor="text1"/>
        </w:rPr>
        <w:t>o</w:t>
      </w:r>
      <w:r w:rsidR="00410260" w:rsidRPr="00104227">
        <w:rPr>
          <w:color w:val="000000" w:themeColor="text1"/>
        </w:rPr>
        <w:t>n</w:t>
      </w:r>
      <w:r w:rsidR="00E31E41" w:rsidRPr="00104227">
        <w:rPr>
          <w:color w:val="000000" w:themeColor="text1"/>
        </w:rPr>
        <w:t xml:space="preserve"> May 6,</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folios 910</w:t>
      </w:r>
      <w:r w:rsidR="00BF5241" w:rsidRPr="00104227">
        <w:rPr>
          <w:color w:val="000000" w:themeColor="text1"/>
        </w:rPr>
        <w:t xml:space="preserve"> and </w:t>
      </w:r>
      <w:r w:rsidR="00C41CD3" w:rsidRPr="00104227">
        <w:rPr>
          <w:color w:val="000000" w:themeColor="text1"/>
        </w:rPr>
        <w:lastRenderedPageBreak/>
        <w:t xml:space="preserve">911); </w:t>
      </w:r>
      <w:r w:rsidR="00E31E41" w:rsidRPr="00104227">
        <w:rPr>
          <w:color w:val="000000" w:themeColor="text1"/>
        </w:rPr>
        <w:t>CNDH Recommendation 38/2006</w:t>
      </w:r>
      <w:r w:rsidR="00B14263" w:rsidRPr="00104227">
        <w:rPr>
          <w:color w:val="000000" w:themeColor="text1"/>
        </w:rPr>
        <w:t xml:space="preserve">. </w:t>
      </w:r>
      <w:r w:rsidR="00E31E41" w:rsidRPr="00104227">
        <w:rPr>
          <w:color w:val="000000" w:themeColor="text1"/>
        </w:rPr>
        <w:t>Section on</w:t>
      </w:r>
      <w:r w:rsidR="00B14263" w:rsidRPr="00104227">
        <w:rPr>
          <w:color w:val="000000" w:themeColor="text1"/>
        </w:rPr>
        <w:t xml:space="preserve"> Marí</w:t>
      </w:r>
      <w:r w:rsidR="00C41CD3" w:rsidRPr="00104227">
        <w:rPr>
          <w:color w:val="000000" w:themeColor="text1"/>
        </w:rPr>
        <w:t xml:space="preserve">a Patricia Romero Hernández, </w:t>
      </w:r>
      <w:r w:rsidR="00E31E41" w:rsidRPr="00104227">
        <w:rPr>
          <w:color w:val="000000" w:themeColor="text1"/>
        </w:rPr>
        <w:t>identified as</w:t>
      </w:r>
      <w:r w:rsidR="00C41CD3" w:rsidRPr="00104227">
        <w:rPr>
          <w:color w:val="000000" w:themeColor="text1"/>
        </w:rPr>
        <w:t xml:space="preserve"> A157 (</w:t>
      </w:r>
      <w:r w:rsidRPr="00104227">
        <w:rPr>
          <w:color w:val="000000" w:themeColor="text1"/>
        </w:rPr>
        <w:t>evidence file</w:t>
      </w:r>
      <w:r w:rsidR="00C41CD3" w:rsidRPr="00104227">
        <w:rPr>
          <w:color w:val="000000" w:themeColor="text1"/>
        </w:rPr>
        <w:t xml:space="preserve">, folios 29761 </w:t>
      </w:r>
      <w:r w:rsidR="00410260" w:rsidRPr="00104227">
        <w:rPr>
          <w:color w:val="000000" w:themeColor="text1"/>
        </w:rPr>
        <w:t>to</w:t>
      </w:r>
      <w:r w:rsidR="00C41CD3" w:rsidRPr="00104227">
        <w:rPr>
          <w:color w:val="000000" w:themeColor="text1"/>
        </w:rPr>
        <w:t xml:space="preserve"> 29763),</w:t>
      </w:r>
      <w:r w:rsidR="00BF5241" w:rsidRPr="00104227">
        <w:rPr>
          <w:color w:val="000000" w:themeColor="text1"/>
        </w:rPr>
        <w:t xml:space="preserve"> and </w:t>
      </w:r>
      <w:r w:rsidR="00410260" w:rsidRPr="00104227">
        <w:rPr>
          <w:color w:val="000000" w:themeColor="text1"/>
        </w:rPr>
        <w:t>affidavit</w:t>
      </w:r>
      <w:r w:rsidRPr="00104227">
        <w:rPr>
          <w:color w:val="000000" w:themeColor="text1"/>
        </w:rPr>
        <w:t xml:space="preserve"> made by</w:t>
      </w:r>
      <w:r w:rsidR="00C41CD3" w:rsidRPr="00104227">
        <w:rPr>
          <w:color w:val="000000" w:themeColor="text1"/>
        </w:rPr>
        <w:t xml:space="preserve"> María Patricia Romero Hernández </w:t>
      </w:r>
      <w:r w:rsidR="00E31E41" w:rsidRPr="00104227">
        <w:rPr>
          <w:color w:val="000000" w:themeColor="text1"/>
        </w:rPr>
        <w:t>on October 31,</w:t>
      </w:r>
      <w:r w:rsidR="00C41CD3" w:rsidRPr="00104227">
        <w:rPr>
          <w:color w:val="000000" w:themeColor="text1"/>
        </w:rPr>
        <w:t xml:space="preserve"> 2017 (</w:t>
      </w:r>
      <w:r w:rsidRPr="00104227">
        <w:rPr>
          <w:color w:val="000000" w:themeColor="text1"/>
        </w:rPr>
        <w:t>evidence file</w:t>
      </w:r>
      <w:r w:rsidR="00C41CD3" w:rsidRPr="00104227">
        <w:rPr>
          <w:color w:val="000000" w:themeColor="text1"/>
        </w:rPr>
        <w:t xml:space="preserve">, folios 37058 </w:t>
      </w:r>
      <w:r w:rsidR="00410260" w:rsidRPr="00104227">
        <w:rPr>
          <w:color w:val="000000" w:themeColor="text1"/>
        </w:rPr>
        <w:t>to</w:t>
      </w:r>
      <w:r w:rsidR="00C41CD3" w:rsidRPr="00104227">
        <w:rPr>
          <w:color w:val="000000" w:themeColor="text1"/>
        </w:rPr>
        <w:t xml:space="preserve"> 37063).</w:t>
      </w:r>
    </w:p>
    <w:p w14:paraId="08F9A9F2" w14:textId="77777777" w:rsidR="00C41CD3" w:rsidRPr="00104227" w:rsidRDefault="00C41CD3" w:rsidP="00E4619F">
      <w:pPr>
        <w:tabs>
          <w:tab w:val="left" w:pos="567"/>
        </w:tabs>
        <w:rPr>
          <w:b/>
          <w:color w:val="000000" w:themeColor="text1"/>
        </w:rPr>
      </w:pPr>
    </w:p>
    <w:p w14:paraId="376C080F" w14:textId="624CABC1" w:rsidR="00C41CD3" w:rsidRPr="00104227" w:rsidRDefault="004617E1" w:rsidP="00E4619F">
      <w:pPr>
        <w:tabs>
          <w:tab w:val="left" w:pos="567"/>
        </w:tabs>
        <w:rPr>
          <w:color w:val="000000" w:themeColor="text1"/>
          <w:u w:val="single"/>
        </w:rPr>
      </w:pPr>
      <w:r w:rsidRPr="00104227">
        <w:rPr>
          <w:color w:val="000000" w:themeColor="text1"/>
          <w:u w:val="single"/>
        </w:rPr>
        <w:t>Evidence of the facts relating to</w:t>
      </w:r>
      <w:r w:rsidR="00C41CD3" w:rsidRPr="00104227">
        <w:rPr>
          <w:color w:val="000000" w:themeColor="text1"/>
          <w:u w:val="single"/>
        </w:rPr>
        <w:t xml:space="preserve"> Mariana Selvas Gómez </w:t>
      </w:r>
    </w:p>
    <w:p w14:paraId="6BB21B11" w14:textId="77777777" w:rsidR="00C41CD3" w:rsidRPr="00104227" w:rsidRDefault="00C41CD3" w:rsidP="00E4619F">
      <w:pPr>
        <w:tabs>
          <w:tab w:val="left" w:pos="567"/>
        </w:tabs>
        <w:rPr>
          <w:color w:val="000000" w:themeColor="text1"/>
        </w:rPr>
      </w:pPr>
    </w:p>
    <w:p w14:paraId="6CF96348" w14:textId="24ED22C3" w:rsidR="00C41CD3" w:rsidRPr="00104227" w:rsidRDefault="004617E1" w:rsidP="00E4619F">
      <w:pPr>
        <w:tabs>
          <w:tab w:val="left" w:pos="567"/>
        </w:tabs>
        <w:rPr>
          <w:b/>
          <w:color w:val="000000" w:themeColor="text1"/>
        </w:rPr>
      </w:pPr>
      <w:r w:rsidRPr="00104227">
        <w:rPr>
          <w:color w:val="000000" w:themeColor="text1"/>
        </w:rPr>
        <w:t>The description of what happened to</w:t>
      </w:r>
      <w:r w:rsidR="00C41CD3" w:rsidRPr="00104227">
        <w:rPr>
          <w:color w:val="000000" w:themeColor="text1"/>
        </w:rPr>
        <w:t xml:space="preserve"> Mariana Selvas Gómez </w:t>
      </w:r>
      <w:r w:rsidRPr="00104227">
        <w:rPr>
          <w:color w:val="000000" w:themeColor="text1"/>
        </w:rPr>
        <w:t>can be found in the following evidence</w:t>
      </w:r>
      <w:r w:rsidR="00C41CD3" w:rsidRPr="00104227">
        <w:rPr>
          <w:color w:val="000000" w:themeColor="text1"/>
        </w:rPr>
        <w:t xml:space="preserve">, </w:t>
      </w:r>
      <w:r w:rsidRPr="00104227">
        <w:rPr>
          <w:color w:val="000000" w:themeColor="text1"/>
        </w:rPr>
        <w:t>unless otherwise specifically indicated</w:t>
      </w:r>
      <w:r w:rsidR="00C41CD3" w:rsidRPr="00104227">
        <w:rPr>
          <w:color w:val="000000" w:themeColor="text1"/>
        </w:rPr>
        <w:t xml:space="preserve">: </w:t>
      </w:r>
      <w:r w:rsidR="00D0136A" w:rsidRPr="00104227">
        <w:rPr>
          <w:color w:val="000000" w:themeColor="text1"/>
        </w:rPr>
        <w:t>Entry medical report of</w:t>
      </w:r>
      <w:r w:rsidR="00C41CD3" w:rsidRPr="00104227">
        <w:rPr>
          <w:color w:val="000000" w:themeColor="text1"/>
        </w:rPr>
        <w:t xml:space="preserve"> Mariana Selvas Gómez </w:t>
      </w:r>
      <w:r w:rsidR="00B851FA" w:rsidRPr="00104227">
        <w:rPr>
          <w:color w:val="000000" w:themeColor="text1"/>
        </w:rPr>
        <w:t>of May 4,</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xml:space="preserve">, folio 920); </w:t>
      </w:r>
      <w:r w:rsidR="00410260" w:rsidRPr="00104227">
        <w:rPr>
          <w:color w:val="000000" w:themeColor="text1"/>
        </w:rPr>
        <w:t>birth certificate of</w:t>
      </w:r>
      <w:r w:rsidR="00C41CD3" w:rsidRPr="00104227">
        <w:rPr>
          <w:color w:val="000000" w:themeColor="text1"/>
        </w:rPr>
        <w:t xml:space="preserve"> Mariana Selvas Gómez (</w:t>
      </w:r>
      <w:r w:rsidRPr="00104227">
        <w:rPr>
          <w:color w:val="000000" w:themeColor="text1"/>
        </w:rPr>
        <w:t>evidence file</w:t>
      </w:r>
      <w:r w:rsidR="00C41CD3" w:rsidRPr="00104227">
        <w:rPr>
          <w:color w:val="000000" w:themeColor="text1"/>
        </w:rPr>
        <w:t xml:space="preserve">, folio 14188); </w:t>
      </w:r>
      <w:r w:rsidR="00410260" w:rsidRPr="00104227">
        <w:rPr>
          <w:color w:val="000000" w:themeColor="text1"/>
        </w:rPr>
        <w:t>medical certificate of injuries to</w:t>
      </w:r>
      <w:r w:rsidR="00C41CD3" w:rsidRPr="00104227">
        <w:rPr>
          <w:color w:val="000000" w:themeColor="text1"/>
        </w:rPr>
        <w:t xml:space="preserve"> Mariana Selvas Gómez </w:t>
      </w:r>
      <w:r w:rsidR="00410260" w:rsidRPr="00104227">
        <w:rPr>
          <w:color w:val="000000" w:themeColor="text1"/>
        </w:rPr>
        <w:t>issued by the</w:t>
      </w:r>
      <w:r w:rsidR="00C41CD3" w:rsidRPr="00104227">
        <w:rPr>
          <w:color w:val="000000" w:themeColor="text1"/>
        </w:rPr>
        <w:t xml:space="preserve"> CNDH </w:t>
      </w:r>
      <w:r w:rsidR="000777FE" w:rsidRPr="00104227">
        <w:rPr>
          <w:color w:val="000000" w:themeColor="text1"/>
        </w:rPr>
        <w:t>on May 17,</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folios 924</w:t>
      </w:r>
      <w:r w:rsidR="00BF5241" w:rsidRPr="00104227">
        <w:rPr>
          <w:color w:val="000000" w:themeColor="text1"/>
        </w:rPr>
        <w:t xml:space="preserve"> and </w:t>
      </w:r>
      <w:r w:rsidR="00C41CD3" w:rsidRPr="00104227">
        <w:rPr>
          <w:color w:val="000000" w:themeColor="text1"/>
        </w:rPr>
        <w:t xml:space="preserve">925); </w:t>
      </w:r>
      <w:r w:rsidR="00410260" w:rsidRPr="00104227">
        <w:rPr>
          <w:color w:val="000000" w:themeColor="text1"/>
        </w:rPr>
        <w:t>a</w:t>
      </w:r>
      <w:r w:rsidRPr="00104227">
        <w:rPr>
          <w:color w:val="000000" w:themeColor="text1"/>
        </w:rPr>
        <w:t>pplication of the Istanbul Protocol to</w:t>
      </w:r>
      <w:r w:rsidR="00C41CD3" w:rsidRPr="00104227">
        <w:rPr>
          <w:color w:val="000000" w:themeColor="text1"/>
        </w:rPr>
        <w:t xml:space="preserve"> Mariana Selvas Gómez </w:t>
      </w:r>
      <w:r w:rsidRPr="00104227">
        <w:rPr>
          <w:color w:val="000000" w:themeColor="text1"/>
        </w:rPr>
        <w:t>by the</w:t>
      </w:r>
      <w:r w:rsidR="00C41CD3" w:rsidRPr="00104227">
        <w:rPr>
          <w:color w:val="000000" w:themeColor="text1"/>
        </w:rPr>
        <w:t xml:space="preserve"> </w:t>
      </w:r>
      <w:r w:rsidR="00C41CD3" w:rsidRPr="00104227">
        <w:rPr>
          <w:i/>
          <w:iCs/>
          <w:color w:val="000000" w:themeColor="text1"/>
        </w:rPr>
        <w:t xml:space="preserve">Colectivo contra </w:t>
      </w:r>
      <w:r w:rsidR="00410260" w:rsidRPr="00104227">
        <w:rPr>
          <w:i/>
          <w:iCs/>
          <w:color w:val="000000" w:themeColor="text1"/>
        </w:rPr>
        <w:t>la Tortura y la Impunidad</w:t>
      </w:r>
      <w:r w:rsidR="00C41CD3" w:rsidRPr="00104227">
        <w:rPr>
          <w:color w:val="000000" w:themeColor="text1"/>
        </w:rPr>
        <w:t xml:space="preserve"> (</w:t>
      </w:r>
      <w:r w:rsidRPr="00104227">
        <w:rPr>
          <w:color w:val="000000" w:themeColor="text1"/>
        </w:rPr>
        <w:t>evidence file</w:t>
      </w:r>
      <w:r w:rsidR="00C41CD3" w:rsidRPr="00104227">
        <w:rPr>
          <w:color w:val="000000" w:themeColor="text1"/>
        </w:rPr>
        <w:t xml:space="preserve">, folios 963, 967 </w:t>
      </w:r>
      <w:r w:rsidR="00410260" w:rsidRPr="00104227">
        <w:rPr>
          <w:color w:val="000000" w:themeColor="text1"/>
        </w:rPr>
        <w:t>to</w:t>
      </w:r>
      <w:r w:rsidR="00C41CD3" w:rsidRPr="00104227">
        <w:rPr>
          <w:color w:val="000000" w:themeColor="text1"/>
        </w:rPr>
        <w:t xml:space="preserve"> 971, 986, 994</w:t>
      </w:r>
      <w:r w:rsidR="00BF5241" w:rsidRPr="00104227">
        <w:rPr>
          <w:color w:val="000000" w:themeColor="text1"/>
        </w:rPr>
        <w:t xml:space="preserve"> and </w:t>
      </w:r>
      <w:r w:rsidR="00C41CD3" w:rsidRPr="00104227">
        <w:rPr>
          <w:color w:val="000000" w:themeColor="text1"/>
        </w:rPr>
        <w:t xml:space="preserve">996); </w:t>
      </w:r>
      <w:r w:rsidR="00581EFB" w:rsidRPr="00104227">
        <w:rPr>
          <w:color w:val="000000" w:themeColor="text1"/>
        </w:rPr>
        <w:t>CNDH report of August 31</w:t>
      </w:r>
      <w:r w:rsidR="00E31E41" w:rsidRPr="00104227">
        <w:rPr>
          <w:color w:val="000000" w:themeColor="text1"/>
        </w:rPr>
        <w:t>,</w:t>
      </w:r>
      <w:r w:rsidR="00C41CD3" w:rsidRPr="00104227">
        <w:rPr>
          <w:color w:val="000000" w:themeColor="text1"/>
        </w:rPr>
        <w:t xml:space="preserve"> </w:t>
      </w:r>
      <w:r w:rsidR="008C6D02" w:rsidRPr="00104227">
        <w:rPr>
          <w:color w:val="000000" w:themeColor="text1"/>
        </w:rPr>
        <w:t xml:space="preserve">2006, </w:t>
      </w:r>
      <w:r w:rsidR="00E31E41" w:rsidRPr="00104227">
        <w:rPr>
          <w:color w:val="000000" w:themeColor="text1"/>
        </w:rPr>
        <w:t>recording the application</w:t>
      </w:r>
      <w:r w:rsidRPr="00104227">
        <w:rPr>
          <w:color w:val="000000" w:themeColor="text1"/>
        </w:rPr>
        <w:t xml:space="preserve"> of the Istanbul Protocol to</w:t>
      </w:r>
      <w:r w:rsidR="00C41CD3" w:rsidRPr="00104227">
        <w:rPr>
          <w:color w:val="000000" w:themeColor="text1"/>
        </w:rPr>
        <w:t xml:space="preserve"> Mariana Selvas Gómez (</w:t>
      </w:r>
      <w:r w:rsidRPr="00104227">
        <w:rPr>
          <w:color w:val="000000" w:themeColor="text1"/>
        </w:rPr>
        <w:t>evidence file</w:t>
      </w:r>
      <w:r w:rsidR="00C41CD3" w:rsidRPr="00104227">
        <w:rPr>
          <w:color w:val="000000" w:themeColor="text1"/>
        </w:rPr>
        <w:t>, folio</w:t>
      </w:r>
      <w:r w:rsidR="00B14263" w:rsidRPr="00104227">
        <w:rPr>
          <w:color w:val="000000" w:themeColor="text1"/>
        </w:rPr>
        <w:t>s</w:t>
      </w:r>
      <w:r w:rsidR="00C41CD3" w:rsidRPr="00104227">
        <w:rPr>
          <w:color w:val="000000" w:themeColor="text1"/>
        </w:rPr>
        <w:t xml:space="preserve"> 938 </w:t>
      </w:r>
      <w:r w:rsidR="00410260" w:rsidRPr="00104227">
        <w:rPr>
          <w:color w:val="000000" w:themeColor="text1"/>
        </w:rPr>
        <w:t>to</w:t>
      </w:r>
      <w:r w:rsidR="00C41CD3" w:rsidRPr="00104227">
        <w:rPr>
          <w:color w:val="000000" w:themeColor="text1"/>
        </w:rPr>
        <w:t xml:space="preserve"> 940, 947</w:t>
      </w:r>
      <w:r w:rsidR="00BF5241" w:rsidRPr="00104227">
        <w:rPr>
          <w:color w:val="000000" w:themeColor="text1"/>
        </w:rPr>
        <w:t xml:space="preserve"> and </w:t>
      </w:r>
      <w:r w:rsidR="00C41CD3" w:rsidRPr="00104227">
        <w:rPr>
          <w:color w:val="000000" w:themeColor="text1"/>
        </w:rPr>
        <w:t xml:space="preserve">949); </w:t>
      </w:r>
      <w:r w:rsidR="00410260" w:rsidRPr="00104227">
        <w:rPr>
          <w:color w:val="000000" w:themeColor="text1"/>
        </w:rPr>
        <w:t xml:space="preserve">Detailed record </w:t>
      </w:r>
      <w:r w:rsidR="00E31E41" w:rsidRPr="00104227">
        <w:rPr>
          <w:color w:val="000000" w:themeColor="text1"/>
        </w:rPr>
        <w:t>of the</w:t>
      </w:r>
      <w:r w:rsidR="00C41CD3" w:rsidRPr="00104227">
        <w:rPr>
          <w:color w:val="000000" w:themeColor="text1"/>
        </w:rPr>
        <w:t xml:space="preserve"> </w:t>
      </w:r>
      <w:r w:rsidR="00D0136A" w:rsidRPr="00104227">
        <w:rPr>
          <w:color w:val="000000" w:themeColor="text1"/>
        </w:rPr>
        <w:t>Deputy Inspector</w:t>
      </w:r>
      <w:r w:rsidR="00BF5241" w:rsidRPr="00104227">
        <w:rPr>
          <w:color w:val="000000" w:themeColor="text1"/>
        </w:rPr>
        <w:t xml:space="preserve"> of the </w:t>
      </w:r>
      <w:r w:rsidR="00F12946" w:rsidRPr="00104227">
        <w:rPr>
          <w:color w:val="000000" w:themeColor="text1"/>
        </w:rPr>
        <w:t>National Human Rights Commission</w:t>
      </w:r>
      <w:r w:rsidR="00E31E41" w:rsidRPr="00104227">
        <w:rPr>
          <w:color w:val="000000" w:themeColor="text1"/>
        </w:rPr>
        <w:t xml:space="preserve"> of May</w:t>
      </w:r>
      <w:r w:rsidR="006F5741" w:rsidRPr="00104227">
        <w:rPr>
          <w:color w:val="000000" w:themeColor="text1"/>
        </w:rPr>
        <w:t xml:space="preserve"> 5,</w:t>
      </w:r>
      <w:r w:rsidR="00C41CD3" w:rsidRPr="00104227">
        <w:rPr>
          <w:color w:val="000000" w:themeColor="text1"/>
        </w:rPr>
        <w:t xml:space="preserve"> 2006</w:t>
      </w:r>
      <w:r w:rsidR="00410260" w:rsidRPr="00104227">
        <w:rPr>
          <w:color w:val="000000" w:themeColor="text1"/>
        </w:rPr>
        <w:t>,</w:t>
      </w:r>
      <w:r w:rsidR="00C41CD3" w:rsidRPr="00104227">
        <w:rPr>
          <w:color w:val="000000" w:themeColor="text1"/>
        </w:rPr>
        <w:t xml:space="preserve"> </w:t>
      </w:r>
      <w:r w:rsidR="00E31E41" w:rsidRPr="00104227">
        <w:rPr>
          <w:color w:val="000000" w:themeColor="text1"/>
        </w:rPr>
        <w:t>with regard to</w:t>
      </w:r>
      <w:r w:rsidR="00C41CD3" w:rsidRPr="00104227">
        <w:rPr>
          <w:color w:val="000000" w:themeColor="text1"/>
        </w:rPr>
        <w:t xml:space="preserve"> Mariana Selvas Gómez (</w:t>
      </w:r>
      <w:r w:rsidRPr="00104227">
        <w:rPr>
          <w:color w:val="000000" w:themeColor="text1"/>
        </w:rPr>
        <w:t>evidence file</w:t>
      </w:r>
      <w:r w:rsidR="00C41CD3" w:rsidRPr="00104227">
        <w:rPr>
          <w:color w:val="000000" w:themeColor="text1"/>
        </w:rPr>
        <w:t xml:space="preserve">, folios 953 </w:t>
      </w:r>
      <w:r w:rsidR="00410260" w:rsidRPr="00104227">
        <w:rPr>
          <w:color w:val="000000" w:themeColor="text1"/>
        </w:rPr>
        <w:t>to</w:t>
      </w:r>
      <w:r w:rsidR="00C41CD3" w:rsidRPr="00104227">
        <w:rPr>
          <w:color w:val="000000" w:themeColor="text1"/>
        </w:rPr>
        <w:t xml:space="preserve"> 955); </w:t>
      </w:r>
      <w:r w:rsidR="00E31E41" w:rsidRPr="00104227">
        <w:rPr>
          <w:color w:val="000000" w:themeColor="text1"/>
        </w:rPr>
        <w:t>detailed record of the</w:t>
      </w:r>
      <w:r w:rsidR="00C41CD3" w:rsidRPr="00104227">
        <w:rPr>
          <w:color w:val="000000" w:themeColor="text1"/>
        </w:rPr>
        <w:t xml:space="preserve"> </w:t>
      </w:r>
      <w:r w:rsidR="00581EFB" w:rsidRPr="00104227">
        <w:rPr>
          <w:color w:val="000000" w:themeColor="text1"/>
        </w:rPr>
        <w:t>Deputy Inspector</w:t>
      </w:r>
      <w:r w:rsidR="00C41CD3" w:rsidRPr="00104227">
        <w:rPr>
          <w:color w:val="000000" w:themeColor="text1"/>
        </w:rPr>
        <w:t xml:space="preserve"> </w:t>
      </w:r>
      <w:r w:rsidR="00E31E41" w:rsidRPr="00104227">
        <w:rPr>
          <w:color w:val="000000" w:themeColor="text1"/>
        </w:rPr>
        <w:t>of May 24</w:t>
      </w:r>
      <w:r w:rsidR="00856FE0" w:rsidRPr="00104227">
        <w:rPr>
          <w:color w:val="000000" w:themeColor="text1"/>
        </w:rPr>
        <w:t>,</w:t>
      </w:r>
      <w:r w:rsidR="00C41CD3" w:rsidRPr="00104227">
        <w:rPr>
          <w:color w:val="000000" w:themeColor="text1"/>
        </w:rPr>
        <w:t xml:space="preserve"> 2006</w:t>
      </w:r>
      <w:r w:rsidR="00581EFB" w:rsidRPr="00104227">
        <w:rPr>
          <w:color w:val="000000" w:themeColor="text1"/>
        </w:rPr>
        <w:t>,</w:t>
      </w:r>
      <w:r w:rsidR="00C41CD3" w:rsidRPr="00104227">
        <w:rPr>
          <w:color w:val="000000" w:themeColor="text1"/>
        </w:rPr>
        <w:t xml:space="preserve"> </w:t>
      </w:r>
      <w:r w:rsidR="00E31E41" w:rsidRPr="00104227">
        <w:rPr>
          <w:color w:val="000000" w:themeColor="text1"/>
        </w:rPr>
        <w:t>with regard to</w:t>
      </w:r>
      <w:r w:rsidR="00C41CD3" w:rsidRPr="00104227">
        <w:rPr>
          <w:color w:val="000000" w:themeColor="text1"/>
        </w:rPr>
        <w:t xml:space="preserve"> </w:t>
      </w:r>
      <w:r w:rsidR="00E31E41" w:rsidRPr="00104227">
        <w:rPr>
          <w:color w:val="000000" w:themeColor="text1"/>
        </w:rPr>
        <w:t>several persons on hunger strike</w:t>
      </w:r>
      <w:r w:rsidR="00C41CD3" w:rsidRPr="00104227">
        <w:rPr>
          <w:color w:val="000000" w:themeColor="text1"/>
        </w:rPr>
        <w:t xml:space="preserve"> (</w:t>
      </w:r>
      <w:r w:rsidRPr="00104227">
        <w:rPr>
          <w:color w:val="000000" w:themeColor="text1"/>
        </w:rPr>
        <w:t>evidence file</w:t>
      </w:r>
      <w:r w:rsidR="00C41CD3" w:rsidRPr="00104227">
        <w:rPr>
          <w:color w:val="000000" w:themeColor="text1"/>
        </w:rPr>
        <w:t xml:space="preserve">, folios 1596 </w:t>
      </w:r>
      <w:r w:rsidR="00410260" w:rsidRPr="00104227">
        <w:rPr>
          <w:color w:val="000000" w:themeColor="text1"/>
        </w:rPr>
        <w:t>to</w:t>
      </w:r>
      <w:r w:rsidR="00C41CD3" w:rsidRPr="00104227">
        <w:rPr>
          <w:color w:val="000000" w:themeColor="text1"/>
        </w:rPr>
        <w:t xml:space="preserve"> 1599); </w:t>
      </w:r>
      <w:r w:rsidR="00E31E41" w:rsidRPr="00104227">
        <w:rPr>
          <w:color w:val="000000" w:themeColor="text1"/>
        </w:rPr>
        <w:t>detailed record of the</w:t>
      </w:r>
      <w:r w:rsidR="00C41CD3" w:rsidRPr="00104227">
        <w:rPr>
          <w:color w:val="000000" w:themeColor="text1"/>
        </w:rPr>
        <w:t xml:space="preserve"> </w:t>
      </w:r>
      <w:r w:rsidR="00D0136A" w:rsidRPr="00104227">
        <w:rPr>
          <w:color w:val="000000" w:themeColor="text1"/>
        </w:rPr>
        <w:t>Deputy Inspector</w:t>
      </w:r>
      <w:r w:rsidR="00BF5241" w:rsidRPr="00104227">
        <w:rPr>
          <w:color w:val="000000" w:themeColor="text1"/>
        </w:rPr>
        <w:t xml:space="preserve"> and </w:t>
      </w:r>
      <w:r w:rsidR="00E31E41" w:rsidRPr="00104227">
        <w:rPr>
          <w:color w:val="000000" w:themeColor="text1"/>
        </w:rPr>
        <w:t>CNDH health professionals</w:t>
      </w:r>
      <w:r w:rsidR="00C41CD3" w:rsidRPr="00104227">
        <w:rPr>
          <w:color w:val="000000" w:themeColor="text1"/>
        </w:rPr>
        <w:t xml:space="preserve"> </w:t>
      </w:r>
      <w:r w:rsidR="00E31E41" w:rsidRPr="00104227">
        <w:rPr>
          <w:color w:val="000000" w:themeColor="text1"/>
        </w:rPr>
        <w:t>of June 1,</w:t>
      </w:r>
      <w:r w:rsidR="00C41CD3" w:rsidRPr="00104227">
        <w:rPr>
          <w:color w:val="000000" w:themeColor="text1"/>
        </w:rPr>
        <w:t xml:space="preserve"> 2006</w:t>
      </w:r>
      <w:r w:rsidR="00410260" w:rsidRPr="00104227">
        <w:rPr>
          <w:color w:val="000000" w:themeColor="text1"/>
        </w:rPr>
        <w:t>,</w:t>
      </w:r>
      <w:r w:rsidR="00C41CD3" w:rsidRPr="00104227">
        <w:rPr>
          <w:color w:val="000000" w:themeColor="text1"/>
        </w:rPr>
        <w:t xml:space="preserve"> </w:t>
      </w:r>
      <w:r w:rsidR="00E31E41" w:rsidRPr="00104227">
        <w:rPr>
          <w:color w:val="000000" w:themeColor="text1"/>
        </w:rPr>
        <w:t>with regard to psychological support to</w:t>
      </w:r>
      <w:r w:rsidR="00C41CD3" w:rsidRPr="00104227">
        <w:rPr>
          <w:color w:val="000000" w:themeColor="text1"/>
        </w:rPr>
        <w:t xml:space="preserve"> </w:t>
      </w:r>
      <w:r w:rsidR="00410260" w:rsidRPr="00104227">
        <w:rPr>
          <w:color w:val="000000" w:themeColor="text1"/>
        </w:rPr>
        <w:t>several detainees</w:t>
      </w:r>
      <w:r w:rsidR="00C41CD3" w:rsidRPr="00104227">
        <w:rPr>
          <w:color w:val="000000" w:themeColor="text1"/>
        </w:rPr>
        <w:t xml:space="preserve"> (</w:t>
      </w:r>
      <w:r w:rsidRPr="00104227">
        <w:rPr>
          <w:color w:val="000000" w:themeColor="text1"/>
        </w:rPr>
        <w:t>evidence file</w:t>
      </w:r>
      <w:r w:rsidR="00C41CD3" w:rsidRPr="00104227">
        <w:rPr>
          <w:color w:val="000000" w:themeColor="text1"/>
        </w:rPr>
        <w:t>, folios 1018</w:t>
      </w:r>
      <w:r w:rsidR="00BF5241" w:rsidRPr="00104227">
        <w:rPr>
          <w:color w:val="000000" w:themeColor="text1"/>
        </w:rPr>
        <w:t xml:space="preserve"> and </w:t>
      </w:r>
      <w:r w:rsidR="00C41CD3" w:rsidRPr="00104227">
        <w:rPr>
          <w:color w:val="000000" w:themeColor="text1"/>
        </w:rPr>
        <w:t xml:space="preserve">1019); </w:t>
      </w:r>
      <w:r w:rsidR="00E31E41" w:rsidRPr="00104227">
        <w:rPr>
          <w:color w:val="000000" w:themeColor="text1"/>
        </w:rPr>
        <w:t>detailed record of the</w:t>
      </w:r>
      <w:r w:rsidR="00C41CD3" w:rsidRPr="00104227">
        <w:rPr>
          <w:color w:val="000000" w:themeColor="text1"/>
        </w:rPr>
        <w:t xml:space="preserve"> </w:t>
      </w:r>
      <w:r w:rsidR="00D0136A" w:rsidRPr="00104227">
        <w:rPr>
          <w:color w:val="000000" w:themeColor="text1"/>
        </w:rPr>
        <w:t>Deputy Inspector</w:t>
      </w:r>
      <w:r w:rsidR="00C41CD3" w:rsidRPr="00104227">
        <w:rPr>
          <w:color w:val="000000" w:themeColor="text1"/>
        </w:rPr>
        <w:t xml:space="preserve"> </w:t>
      </w:r>
      <w:r w:rsidR="00E31E41" w:rsidRPr="00104227">
        <w:rPr>
          <w:color w:val="000000" w:themeColor="text1"/>
        </w:rPr>
        <w:t>of October 31,</w:t>
      </w:r>
      <w:r w:rsidR="00C41CD3" w:rsidRPr="00104227">
        <w:rPr>
          <w:color w:val="000000" w:themeColor="text1"/>
        </w:rPr>
        <w:t xml:space="preserve"> 2017</w:t>
      </w:r>
      <w:r w:rsidR="00410260" w:rsidRPr="00104227">
        <w:rPr>
          <w:color w:val="000000" w:themeColor="text1"/>
        </w:rPr>
        <w:t>,</w:t>
      </w:r>
      <w:r w:rsidR="00C41CD3" w:rsidRPr="00104227">
        <w:rPr>
          <w:color w:val="000000" w:themeColor="text1"/>
        </w:rPr>
        <w:t xml:space="preserve"> </w:t>
      </w:r>
      <w:r w:rsidR="00E31E41" w:rsidRPr="00104227">
        <w:rPr>
          <w:color w:val="000000" w:themeColor="text1"/>
        </w:rPr>
        <w:t>with regard to</w:t>
      </w:r>
      <w:r w:rsidR="00C41CD3" w:rsidRPr="00104227">
        <w:rPr>
          <w:color w:val="000000" w:themeColor="text1"/>
        </w:rPr>
        <w:t xml:space="preserve"> Mariana Selvas Gómez (</w:t>
      </w:r>
      <w:r w:rsidRPr="00104227">
        <w:rPr>
          <w:color w:val="000000" w:themeColor="text1"/>
        </w:rPr>
        <w:t>evidence file</w:t>
      </w:r>
      <w:r w:rsidR="00C41CD3" w:rsidRPr="00104227">
        <w:rPr>
          <w:color w:val="000000" w:themeColor="text1"/>
        </w:rPr>
        <w:t xml:space="preserve">, folios 37152 </w:t>
      </w:r>
      <w:r w:rsidR="00410260" w:rsidRPr="00104227">
        <w:rPr>
          <w:color w:val="000000" w:themeColor="text1"/>
        </w:rPr>
        <w:t>to</w:t>
      </w:r>
      <w:r w:rsidR="00C41CD3" w:rsidRPr="00104227">
        <w:rPr>
          <w:color w:val="000000" w:themeColor="text1"/>
        </w:rPr>
        <w:t xml:space="preserve"> 37154)</w:t>
      </w:r>
      <w:r w:rsidR="00B14263" w:rsidRPr="00104227">
        <w:rPr>
          <w:color w:val="000000" w:themeColor="text1"/>
        </w:rPr>
        <w:t>;</w:t>
      </w:r>
      <w:r w:rsidR="00C41CD3" w:rsidRPr="00104227">
        <w:rPr>
          <w:color w:val="000000" w:themeColor="text1"/>
        </w:rPr>
        <w:t xml:space="preserve"> </w:t>
      </w:r>
      <w:r w:rsidR="00E31E41" w:rsidRPr="00104227">
        <w:rPr>
          <w:color w:val="000000" w:themeColor="text1"/>
        </w:rPr>
        <w:t>video of the</w:t>
      </w:r>
      <w:r w:rsidR="00C41CD3" w:rsidRPr="00104227">
        <w:rPr>
          <w:color w:val="000000" w:themeColor="text1"/>
        </w:rPr>
        <w:t xml:space="preserve"> </w:t>
      </w:r>
      <w:r w:rsidRPr="00104227">
        <w:rPr>
          <w:color w:val="000000" w:themeColor="text1"/>
        </w:rPr>
        <w:t xml:space="preserve">statement </w:t>
      </w:r>
      <w:r w:rsidR="00581EFB" w:rsidRPr="00104227">
        <w:rPr>
          <w:color w:val="000000" w:themeColor="text1"/>
        </w:rPr>
        <w:t xml:space="preserve">made </w:t>
      </w:r>
      <w:r w:rsidRPr="00104227">
        <w:rPr>
          <w:color w:val="000000" w:themeColor="text1"/>
        </w:rPr>
        <w:t>by</w:t>
      </w:r>
      <w:r w:rsidR="00C41CD3" w:rsidRPr="00104227">
        <w:rPr>
          <w:color w:val="000000" w:themeColor="text1"/>
        </w:rPr>
        <w:t xml:space="preserve"> Mariana Selvas Gómez (</w:t>
      </w:r>
      <w:r w:rsidRPr="00104227">
        <w:rPr>
          <w:color w:val="000000" w:themeColor="text1"/>
        </w:rPr>
        <w:t>evidence file</w:t>
      </w:r>
      <w:r w:rsidR="00C41CD3" w:rsidRPr="00104227">
        <w:rPr>
          <w:color w:val="000000" w:themeColor="text1"/>
        </w:rPr>
        <w:t>, folios 1009 a</w:t>
      </w:r>
      <w:r w:rsidR="00410260" w:rsidRPr="00104227">
        <w:rPr>
          <w:color w:val="000000" w:themeColor="text1"/>
        </w:rPr>
        <w:t>nd</w:t>
      </w:r>
      <w:r w:rsidR="00C41CD3" w:rsidRPr="00104227">
        <w:rPr>
          <w:color w:val="000000" w:themeColor="text1"/>
        </w:rPr>
        <w:t xml:space="preserve"> 1010); </w:t>
      </w:r>
      <w:r w:rsidRPr="00104227">
        <w:rPr>
          <w:color w:val="000000" w:themeColor="text1"/>
        </w:rPr>
        <w:t>statement by</w:t>
      </w:r>
      <w:r w:rsidR="00C41CD3" w:rsidRPr="00104227">
        <w:rPr>
          <w:color w:val="000000" w:themeColor="text1"/>
        </w:rPr>
        <w:t xml:space="preserve"> Mariana Selvas Gómez </w:t>
      </w:r>
      <w:r w:rsidRPr="00104227">
        <w:rPr>
          <w:color w:val="000000" w:themeColor="text1"/>
        </w:rPr>
        <w:t>before the</w:t>
      </w:r>
      <w:r w:rsidR="00C41CD3" w:rsidRPr="00104227">
        <w:rPr>
          <w:color w:val="000000" w:themeColor="text1"/>
        </w:rPr>
        <w:t xml:space="preserve"> FEVIM </w:t>
      </w:r>
      <w:r w:rsidR="00E31E41" w:rsidRPr="00104227">
        <w:rPr>
          <w:color w:val="000000" w:themeColor="text1"/>
        </w:rPr>
        <w:t>on May 25</w:t>
      </w:r>
      <w:r w:rsidR="006F5741" w:rsidRPr="00104227">
        <w:rPr>
          <w:color w:val="000000" w:themeColor="text1"/>
        </w:rPr>
        <w:t>,</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w:t>
      </w:r>
      <w:r w:rsidR="00B14263" w:rsidRPr="00104227">
        <w:rPr>
          <w:color w:val="000000" w:themeColor="text1"/>
        </w:rPr>
        <w:t>s</w:t>
      </w:r>
      <w:r w:rsidR="00C41CD3" w:rsidRPr="00104227">
        <w:rPr>
          <w:color w:val="000000" w:themeColor="text1"/>
        </w:rPr>
        <w:t xml:space="preserve"> 1014 </w:t>
      </w:r>
      <w:r w:rsidR="00410260" w:rsidRPr="00104227">
        <w:rPr>
          <w:color w:val="000000" w:themeColor="text1"/>
        </w:rPr>
        <w:t>to</w:t>
      </w:r>
      <w:r w:rsidR="00C41CD3" w:rsidRPr="00104227">
        <w:rPr>
          <w:color w:val="000000" w:themeColor="text1"/>
        </w:rPr>
        <w:t xml:space="preserve"> 1016); </w:t>
      </w:r>
      <w:r w:rsidR="00E31E41" w:rsidRPr="00104227">
        <w:rPr>
          <w:color w:val="000000" w:themeColor="text1"/>
        </w:rPr>
        <w:t>CNDH Recommendation 38/2006</w:t>
      </w:r>
      <w:r w:rsidR="00C41CD3" w:rsidRPr="00104227">
        <w:rPr>
          <w:color w:val="000000" w:themeColor="text1"/>
        </w:rPr>
        <w:t xml:space="preserve">. </w:t>
      </w:r>
      <w:r w:rsidR="00E31E41" w:rsidRPr="00104227">
        <w:rPr>
          <w:color w:val="000000" w:themeColor="text1"/>
        </w:rPr>
        <w:t>Section on</w:t>
      </w:r>
      <w:r w:rsidR="00C41CD3" w:rsidRPr="00104227">
        <w:rPr>
          <w:color w:val="000000" w:themeColor="text1"/>
        </w:rPr>
        <w:t xml:space="preserve"> Mariana Selvas Gómez, </w:t>
      </w:r>
      <w:r w:rsidR="00E31E41" w:rsidRPr="00104227">
        <w:rPr>
          <w:color w:val="000000" w:themeColor="text1"/>
        </w:rPr>
        <w:t>identified as</w:t>
      </w:r>
      <w:r w:rsidR="00C41CD3" w:rsidRPr="00104227">
        <w:rPr>
          <w:color w:val="000000" w:themeColor="text1"/>
        </w:rPr>
        <w:t xml:space="preserve"> A179 (</w:t>
      </w:r>
      <w:r w:rsidRPr="00104227">
        <w:rPr>
          <w:color w:val="000000" w:themeColor="text1"/>
        </w:rPr>
        <w:t>evidence file</w:t>
      </w:r>
      <w:r w:rsidR="00C41CD3" w:rsidRPr="00104227">
        <w:rPr>
          <w:color w:val="000000" w:themeColor="text1"/>
        </w:rPr>
        <w:t xml:space="preserve">, folios 1025 </w:t>
      </w:r>
      <w:r w:rsidR="00581EFB" w:rsidRPr="00104227">
        <w:rPr>
          <w:color w:val="000000" w:themeColor="text1"/>
        </w:rPr>
        <w:t>to</w:t>
      </w:r>
      <w:r w:rsidR="00C41CD3" w:rsidRPr="00104227">
        <w:rPr>
          <w:color w:val="000000" w:themeColor="text1"/>
        </w:rPr>
        <w:t xml:space="preserve"> 1028),</w:t>
      </w:r>
      <w:r w:rsidR="00BF5241" w:rsidRPr="00104227">
        <w:rPr>
          <w:color w:val="000000" w:themeColor="text1"/>
        </w:rPr>
        <w:t xml:space="preserve"> and </w:t>
      </w:r>
      <w:r w:rsidR="00410260" w:rsidRPr="00104227">
        <w:rPr>
          <w:color w:val="000000" w:themeColor="text1"/>
        </w:rPr>
        <w:t>affidavit</w:t>
      </w:r>
      <w:r w:rsidRPr="00104227">
        <w:rPr>
          <w:color w:val="000000" w:themeColor="text1"/>
        </w:rPr>
        <w:t xml:space="preserve"> made by</w:t>
      </w:r>
      <w:r w:rsidR="00C41CD3" w:rsidRPr="00104227">
        <w:rPr>
          <w:color w:val="000000" w:themeColor="text1"/>
        </w:rPr>
        <w:t xml:space="preserve"> Mariana Selvas Gómez </w:t>
      </w:r>
      <w:r w:rsidR="00E31E41" w:rsidRPr="00104227">
        <w:rPr>
          <w:color w:val="000000" w:themeColor="text1"/>
        </w:rPr>
        <w:t>on October 31,</w:t>
      </w:r>
      <w:r w:rsidR="00C41CD3" w:rsidRPr="00104227">
        <w:rPr>
          <w:color w:val="000000" w:themeColor="text1"/>
        </w:rPr>
        <w:t xml:space="preserve"> 2017 (</w:t>
      </w:r>
      <w:r w:rsidRPr="00104227">
        <w:rPr>
          <w:color w:val="000000" w:themeColor="text1"/>
        </w:rPr>
        <w:t>evidence file</w:t>
      </w:r>
      <w:r w:rsidR="00C41CD3" w:rsidRPr="00104227">
        <w:rPr>
          <w:color w:val="000000" w:themeColor="text1"/>
        </w:rPr>
        <w:t xml:space="preserve">, folios 37151 </w:t>
      </w:r>
      <w:r w:rsidR="00410260" w:rsidRPr="00104227">
        <w:rPr>
          <w:color w:val="000000" w:themeColor="text1"/>
        </w:rPr>
        <w:t>to</w:t>
      </w:r>
      <w:r w:rsidR="00C41CD3" w:rsidRPr="00104227">
        <w:rPr>
          <w:color w:val="000000" w:themeColor="text1"/>
        </w:rPr>
        <w:t xml:space="preserve"> 37157).</w:t>
      </w:r>
    </w:p>
    <w:p w14:paraId="3662AE1A" w14:textId="77777777" w:rsidR="00C41CD3" w:rsidRPr="00104227" w:rsidRDefault="00C41CD3" w:rsidP="00E4619F">
      <w:pPr>
        <w:tabs>
          <w:tab w:val="left" w:pos="567"/>
        </w:tabs>
        <w:rPr>
          <w:b/>
          <w:color w:val="000000" w:themeColor="text1"/>
        </w:rPr>
      </w:pPr>
    </w:p>
    <w:p w14:paraId="480A30F7" w14:textId="0CE47599" w:rsidR="00C41CD3" w:rsidRPr="00104227" w:rsidRDefault="004617E1" w:rsidP="00E4619F">
      <w:pPr>
        <w:tabs>
          <w:tab w:val="left" w:pos="567"/>
        </w:tabs>
        <w:rPr>
          <w:color w:val="000000" w:themeColor="text1"/>
          <w:u w:val="single"/>
        </w:rPr>
      </w:pPr>
      <w:r w:rsidRPr="00104227">
        <w:rPr>
          <w:color w:val="000000" w:themeColor="text1"/>
          <w:u w:val="single"/>
        </w:rPr>
        <w:t>Evidence of the facts relating to</w:t>
      </w:r>
      <w:r w:rsidR="00DA23B8" w:rsidRPr="00104227">
        <w:rPr>
          <w:color w:val="000000" w:themeColor="text1"/>
          <w:u w:val="single"/>
        </w:rPr>
        <w:t xml:space="preserve"> Georgina Edith Rosales</w:t>
      </w:r>
      <w:r w:rsidR="00C41CD3" w:rsidRPr="00104227">
        <w:rPr>
          <w:color w:val="000000" w:themeColor="text1"/>
          <w:u w:val="single"/>
        </w:rPr>
        <w:t xml:space="preserve"> Gutiérrez </w:t>
      </w:r>
    </w:p>
    <w:p w14:paraId="51F9E515" w14:textId="77777777" w:rsidR="00C41CD3" w:rsidRPr="00104227" w:rsidRDefault="00C41CD3" w:rsidP="00E4619F">
      <w:pPr>
        <w:tabs>
          <w:tab w:val="left" w:pos="567"/>
        </w:tabs>
        <w:rPr>
          <w:b/>
          <w:color w:val="000000" w:themeColor="text1"/>
        </w:rPr>
      </w:pPr>
    </w:p>
    <w:p w14:paraId="02BDF956" w14:textId="385B6B2E" w:rsidR="00C41CD3" w:rsidRPr="00104227" w:rsidRDefault="004617E1" w:rsidP="00E4619F">
      <w:pPr>
        <w:tabs>
          <w:tab w:val="left" w:pos="567"/>
        </w:tabs>
        <w:rPr>
          <w:b/>
          <w:color w:val="000000" w:themeColor="text1"/>
        </w:rPr>
      </w:pPr>
      <w:r w:rsidRPr="00104227">
        <w:rPr>
          <w:color w:val="000000" w:themeColor="text1"/>
        </w:rPr>
        <w:t>The description of what happened to</w:t>
      </w:r>
      <w:r w:rsidR="00C41CD3" w:rsidRPr="00104227">
        <w:rPr>
          <w:color w:val="000000" w:themeColor="text1"/>
        </w:rPr>
        <w:t xml:space="preserve"> Georgina Edith </w:t>
      </w:r>
      <w:r w:rsidR="00DA23B8" w:rsidRPr="00104227">
        <w:rPr>
          <w:color w:val="000000" w:themeColor="text1"/>
        </w:rPr>
        <w:t>Rosales</w:t>
      </w:r>
      <w:r w:rsidR="00C41CD3" w:rsidRPr="00104227">
        <w:rPr>
          <w:color w:val="000000" w:themeColor="text1"/>
        </w:rPr>
        <w:t xml:space="preserve"> Gutiérrez </w:t>
      </w:r>
      <w:r w:rsidRPr="00104227">
        <w:rPr>
          <w:color w:val="000000" w:themeColor="text1"/>
        </w:rPr>
        <w:t>can be found in the following evidence</w:t>
      </w:r>
      <w:r w:rsidR="00C41CD3" w:rsidRPr="00104227">
        <w:rPr>
          <w:color w:val="000000" w:themeColor="text1"/>
        </w:rPr>
        <w:t xml:space="preserve">, </w:t>
      </w:r>
      <w:r w:rsidRPr="00104227">
        <w:rPr>
          <w:color w:val="000000" w:themeColor="text1"/>
        </w:rPr>
        <w:t>unless otherwise specifically indicated</w:t>
      </w:r>
      <w:r w:rsidR="00C41CD3" w:rsidRPr="00104227">
        <w:rPr>
          <w:color w:val="000000" w:themeColor="text1"/>
        </w:rPr>
        <w:t xml:space="preserve">: </w:t>
      </w:r>
      <w:r w:rsidR="00D0136A" w:rsidRPr="00104227">
        <w:rPr>
          <w:color w:val="000000" w:themeColor="text1"/>
        </w:rPr>
        <w:t>Entry medical report of</w:t>
      </w:r>
      <w:r w:rsidR="00C41CD3" w:rsidRPr="00104227">
        <w:rPr>
          <w:color w:val="000000" w:themeColor="text1"/>
        </w:rPr>
        <w:t xml:space="preserve"> Georgina Edith Rosales Gutiérrez </w:t>
      </w:r>
      <w:r w:rsidR="00B851FA" w:rsidRPr="00104227">
        <w:rPr>
          <w:color w:val="000000" w:themeColor="text1"/>
        </w:rPr>
        <w:t>of May 4,</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s, folios 1038</w:t>
      </w:r>
      <w:r w:rsidR="00BF5241" w:rsidRPr="00104227">
        <w:rPr>
          <w:color w:val="000000" w:themeColor="text1"/>
        </w:rPr>
        <w:t xml:space="preserve"> and </w:t>
      </w:r>
      <w:r w:rsidR="00C41CD3" w:rsidRPr="00104227">
        <w:rPr>
          <w:color w:val="000000" w:themeColor="text1"/>
        </w:rPr>
        <w:t xml:space="preserve">1039); </w:t>
      </w:r>
      <w:r w:rsidR="00E31E41" w:rsidRPr="00104227">
        <w:rPr>
          <w:color w:val="000000" w:themeColor="text1"/>
        </w:rPr>
        <w:t>video of the</w:t>
      </w:r>
      <w:r w:rsidR="00C41CD3" w:rsidRPr="00104227">
        <w:rPr>
          <w:color w:val="000000" w:themeColor="text1"/>
        </w:rPr>
        <w:t xml:space="preserve"> </w:t>
      </w:r>
      <w:r w:rsidRPr="00104227">
        <w:rPr>
          <w:color w:val="000000" w:themeColor="text1"/>
        </w:rPr>
        <w:t>statement by</w:t>
      </w:r>
      <w:r w:rsidR="00C41CD3" w:rsidRPr="00104227">
        <w:rPr>
          <w:color w:val="000000" w:themeColor="text1"/>
        </w:rPr>
        <w:t xml:space="preserve"> Georgina Edith </w:t>
      </w:r>
      <w:r w:rsidR="00DA23B8" w:rsidRPr="00104227">
        <w:rPr>
          <w:color w:val="000000" w:themeColor="text1"/>
        </w:rPr>
        <w:t>Rosales</w:t>
      </w:r>
      <w:r w:rsidR="00C41CD3" w:rsidRPr="00104227">
        <w:rPr>
          <w:color w:val="000000" w:themeColor="text1"/>
        </w:rPr>
        <w:t xml:space="preserve"> Gutiérrez (</w:t>
      </w:r>
      <w:r w:rsidRPr="00104227">
        <w:rPr>
          <w:color w:val="000000" w:themeColor="text1"/>
        </w:rPr>
        <w:t>evidence file</w:t>
      </w:r>
      <w:r w:rsidR="00C41CD3" w:rsidRPr="00104227">
        <w:rPr>
          <w:color w:val="000000" w:themeColor="text1"/>
        </w:rPr>
        <w:t>, folios 1111 a</w:t>
      </w:r>
      <w:r w:rsidR="00410260" w:rsidRPr="00104227">
        <w:rPr>
          <w:color w:val="000000" w:themeColor="text1"/>
        </w:rPr>
        <w:t>nd</w:t>
      </w:r>
      <w:r w:rsidR="00C41CD3" w:rsidRPr="00104227">
        <w:rPr>
          <w:color w:val="000000" w:themeColor="text1"/>
        </w:rPr>
        <w:t xml:space="preserve"> 1112); </w:t>
      </w:r>
      <w:r w:rsidR="00E31E41" w:rsidRPr="00104227">
        <w:rPr>
          <w:color w:val="000000" w:themeColor="text1"/>
        </w:rPr>
        <w:t>CNDH medical certificate of the injuries of</w:t>
      </w:r>
      <w:r w:rsidR="00C41CD3" w:rsidRPr="00104227">
        <w:rPr>
          <w:color w:val="000000" w:themeColor="text1"/>
        </w:rPr>
        <w:t xml:space="preserve"> Georgina Edith Rosales Gutiérrez </w:t>
      </w:r>
      <w:r w:rsidR="00410260" w:rsidRPr="00104227">
        <w:rPr>
          <w:color w:val="000000" w:themeColor="text1"/>
        </w:rPr>
        <w:t>of May 19,</w:t>
      </w:r>
      <w:r w:rsidR="00C41CD3" w:rsidRPr="00104227">
        <w:rPr>
          <w:color w:val="000000" w:themeColor="text1"/>
        </w:rPr>
        <w:t xml:space="preserve"> 2006 (</w:t>
      </w:r>
      <w:r w:rsidRPr="00104227">
        <w:rPr>
          <w:color w:val="000000" w:themeColor="text1"/>
        </w:rPr>
        <w:t>evidence file</w:t>
      </w:r>
      <w:r w:rsidR="00451BA7" w:rsidRPr="00104227">
        <w:rPr>
          <w:color w:val="000000" w:themeColor="text1"/>
        </w:rPr>
        <w:t>, folios 1121</w:t>
      </w:r>
      <w:r w:rsidR="00BF5241" w:rsidRPr="00104227">
        <w:rPr>
          <w:color w:val="000000" w:themeColor="text1"/>
        </w:rPr>
        <w:t xml:space="preserve"> and </w:t>
      </w:r>
      <w:r w:rsidR="00451BA7" w:rsidRPr="00104227">
        <w:rPr>
          <w:color w:val="000000" w:themeColor="text1"/>
        </w:rPr>
        <w:t xml:space="preserve">1122); </w:t>
      </w:r>
      <w:r w:rsidR="00E31E41" w:rsidRPr="00104227">
        <w:rPr>
          <w:color w:val="000000" w:themeColor="text1"/>
        </w:rPr>
        <w:t>detailed record of the</w:t>
      </w:r>
      <w:r w:rsidR="00C41CD3" w:rsidRPr="00104227">
        <w:rPr>
          <w:color w:val="000000" w:themeColor="text1"/>
        </w:rPr>
        <w:t xml:space="preserve"> </w:t>
      </w:r>
      <w:r w:rsidR="00D0136A" w:rsidRPr="00104227">
        <w:rPr>
          <w:color w:val="000000" w:themeColor="text1"/>
        </w:rPr>
        <w:t>Deputy Inspector</w:t>
      </w:r>
      <w:r w:rsidR="00E31E41" w:rsidRPr="00104227">
        <w:rPr>
          <w:color w:val="000000" w:themeColor="text1"/>
        </w:rPr>
        <w:t xml:space="preserve"> of May</w:t>
      </w:r>
      <w:r w:rsidR="006F5741" w:rsidRPr="00104227">
        <w:rPr>
          <w:color w:val="000000" w:themeColor="text1"/>
        </w:rPr>
        <w:t xml:space="preserve"> 5,</w:t>
      </w:r>
      <w:r w:rsidR="00C41CD3" w:rsidRPr="00104227">
        <w:rPr>
          <w:color w:val="000000" w:themeColor="text1"/>
        </w:rPr>
        <w:t xml:space="preserve"> 2006 </w:t>
      </w:r>
      <w:r w:rsidR="00E31E41" w:rsidRPr="00104227">
        <w:rPr>
          <w:color w:val="000000" w:themeColor="text1"/>
        </w:rPr>
        <w:t>with regard to</w:t>
      </w:r>
      <w:r w:rsidR="00C41CD3" w:rsidRPr="00104227">
        <w:rPr>
          <w:color w:val="000000" w:themeColor="text1"/>
        </w:rPr>
        <w:t xml:space="preserve"> Georgina Edith Rosales Gutiérrez (</w:t>
      </w:r>
      <w:r w:rsidRPr="00104227">
        <w:rPr>
          <w:color w:val="000000" w:themeColor="text1"/>
        </w:rPr>
        <w:t>evidence file</w:t>
      </w:r>
      <w:r w:rsidR="00C41CD3" w:rsidRPr="00104227">
        <w:rPr>
          <w:color w:val="000000" w:themeColor="text1"/>
        </w:rPr>
        <w:t xml:space="preserve">, folio 1041); </w:t>
      </w:r>
      <w:r w:rsidR="00581EFB" w:rsidRPr="00104227">
        <w:rPr>
          <w:color w:val="000000" w:themeColor="text1"/>
        </w:rPr>
        <w:t>CNDH report of August 31</w:t>
      </w:r>
      <w:r w:rsidR="00E31E41" w:rsidRPr="00104227">
        <w:rPr>
          <w:color w:val="000000" w:themeColor="text1"/>
        </w:rPr>
        <w:t>,</w:t>
      </w:r>
      <w:r w:rsidR="00C41CD3" w:rsidRPr="00104227">
        <w:rPr>
          <w:color w:val="000000" w:themeColor="text1"/>
        </w:rPr>
        <w:t xml:space="preserve"> 2006</w:t>
      </w:r>
      <w:r w:rsidR="00410260" w:rsidRPr="00104227">
        <w:rPr>
          <w:color w:val="000000" w:themeColor="text1"/>
        </w:rPr>
        <w:t>,</w:t>
      </w:r>
      <w:r w:rsidR="00C41CD3" w:rsidRPr="00104227">
        <w:rPr>
          <w:color w:val="000000" w:themeColor="text1"/>
        </w:rPr>
        <w:t xml:space="preserve"> </w:t>
      </w:r>
      <w:r w:rsidR="00410260" w:rsidRPr="00104227">
        <w:rPr>
          <w:color w:val="000000" w:themeColor="text1"/>
        </w:rPr>
        <w:t>recording the application</w:t>
      </w:r>
      <w:r w:rsidRPr="00104227">
        <w:rPr>
          <w:color w:val="000000" w:themeColor="text1"/>
        </w:rPr>
        <w:t xml:space="preserve"> of the Istanbul Protocol to</w:t>
      </w:r>
      <w:r w:rsidR="00C41CD3" w:rsidRPr="00104227">
        <w:rPr>
          <w:color w:val="000000" w:themeColor="text1"/>
        </w:rPr>
        <w:t xml:space="preserve"> Georgina Edith Rosales Gutiérrez (</w:t>
      </w:r>
      <w:r w:rsidRPr="00104227">
        <w:rPr>
          <w:color w:val="000000" w:themeColor="text1"/>
        </w:rPr>
        <w:t>evidence file</w:t>
      </w:r>
      <w:r w:rsidR="00C41CD3" w:rsidRPr="00104227">
        <w:rPr>
          <w:color w:val="000000" w:themeColor="text1"/>
        </w:rPr>
        <w:t>, folios 1048, 1050, 1051, 1058</w:t>
      </w:r>
      <w:r w:rsidR="00BF5241" w:rsidRPr="00104227">
        <w:rPr>
          <w:color w:val="000000" w:themeColor="text1"/>
        </w:rPr>
        <w:t xml:space="preserve"> and </w:t>
      </w:r>
      <w:r w:rsidR="00C41CD3" w:rsidRPr="00104227">
        <w:rPr>
          <w:color w:val="000000" w:themeColor="text1"/>
        </w:rPr>
        <w:t xml:space="preserve">1060); </w:t>
      </w:r>
      <w:r w:rsidR="00410260" w:rsidRPr="00104227">
        <w:rPr>
          <w:color w:val="000000" w:themeColor="text1"/>
        </w:rPr>
        <w:t>a</w:t>
      </w:r>
      <w:r w:rsidRPr="00104227">
        <w:rPr>
          <w:color w:val="000000" w:themeColor="text1"/>
        </w:rPr>
        <w:t>pplication of the Istanbul Protocol to</w:t>
      </w:r>
      <w:r w:rsidR="00C41CD3" w:rsidRPr="00104227">
        <w:rPr>
          <w:color w:val="000000" w:themeColor="text1"/>
        </w:rPr>
        <w:t xml:space="preserve"> Georgina Edith Rosales Gutiérrez </w:t>
      </w:r>
      <w:r w:rsidRPr="00104227">
        <w:rPr>
          <w:color w:val="000000" w:themeColor="text1"/>
        </w:rPr>
        <w:t>by the</w:t>
      </w:r>
      <w:r w:rsidR="00C41CD3" w:rsidRPr="00104227">
        <w:rPr>
          <w:color w:val="000000" w:themeColor="text1"/>
        </w:rPr>
        <w:t xml:space="preserve"> </w:t>
      </w:r>
      <w:r w:rsidR="00C41CD3" w:rsidRPr="00104227">
        <w:rPr>
          <w:i/>
          <w:iCs/>
          <w:color w:val="000000" w:themeColor="text1"/>
        </w:rPr>
        <w:t xml:space="preserve">Colectivo contra la </w:t>
      </w:r>
      <w:r w:rsidR="00BC5201" w:rsidRPr="00104227">
        <w:rPr>
          <w:i/>
          <w:iCs/>
          <w:color w:val="000000" w:themeColor="text1"/>
        </w:rPr>
        <w:t>Tortur</w:t>
      </w:r>
      <w:r w:rsidR="00410260" w:rsidRPr="00104227">
        <w:rPr>
          <w:i/>
          <w:iCs/>
          <w:color w:val="000000" w:themeColor="text1"/>
        </w:rPr>
        <w:t>a</w:t>
      </w:r>
      <w:r w:rsidR="00C41CD3" w:rsidRPr="00104227">
        <w:rPr>
          <w:i/>
          <w:iCs/>
          <w:color w:val="000000" w:themeColor="text1"/>
        </w:rPr>
        <w:t xml:space="preserve"> </w:t>
      </w:r>
      <w:r w:rsidR="00410260" w:rsidRPr="00104227">
        <w:rPr>
          <w:i/>
          <w:iCs/>
          <w:color w:val="000000" w:themeColor="text1"/>
        </w:rPr>
        <w:t>y la</w:t>
      </w:r>
      <w:r w:rsidR="00C41CD3" w:rsidRPr="00104227">
        <w:rPr>
          <w:i/>
          <w:iCs/>
          <w:color w:val="000000" w:themeColor="text1"/>
        </w:rPr>
        <w:t xml:space="preserve"> Impunidad</w:t>
      </w:r>
      <w:r w:rsidR="00C41CD3" w:rsidRPr="00104227">
        <w:rPr>
          <w:color w:val="000000" w:themeColor="text1"/>
        </w:rPr>
        <w:t xml:space="preserve"> (</w:t>
      </w:r>
      <w:r w:rsidRPr="00104227">
        <w:rPr>
          <w:color w:val="000000" w:themeColor="text1"/>
        </w:rPr>
        <w:t>evidence file</w:t>
      </w:r>
      <w:r w:rsidR="00C41CD3" w:rsidRPr="00104227">
        <w:rPr>
          <w:color w:val="000000" w:themeColor="text1"/>
        </w:rPr>
        <w:t xml:space="preserve">, folios 1076, 1078 </w:t>
      </w:r>
      <w:r w:rsidR="00410260" w:rsidRPr="00104227">
        <w:rPr>
          <w:color w:val="000000" w:themeColor="text1"/>
        </w:rPr>
        <w:t>to</w:t>
      </w:r>
      <w:r w:rsidR="00C41CD3" w:rsidRPr="00104227">
        <w:rPr>
          <w:color w:val="000000" w:themeColor="text1"/>
        </w:rPr>
        <w:t xml:space="preserve"> 1081, 1103</w:t>
      </w:r>
      <w:r w:rsidR="00BF5241" w:rsidRPr="00104227">
        <w:rPr>
          <w:color w:val="000000" w:themeColor="text1"/>
        </w:rPr>
        <w:t xml:space="preserve"> and </w:t>
      </w:r>
      <w:r w:rsidR="00C41CD3" w:rsidRPr="00104227">
        <w:rPr>
          <w:color w:val="000000" w:themeColor="text1"/>
        </w:rPr>
        <w:t xml:space="preserve">1104); </w:t>
      </w:r>
      <w:r w:rsidRPr="00104227">
        <w:rPr>
          <w:color w:val="000000" w:themeColor="text1"/>
        </w:rPr>
        <w:t>statement by</w:t>
      </w:r>
      <w:r w:rsidR="00C41CD3" w:rsidRPr="00104227">
        <w:rPr>
          <w:color w:val="000000" w:themeColor="text1"/>
        </w:rPr>
        <w:t xml:space="preserve"> Georgina Edith Rosales Gutiérrez </w:t>
      </w:r>
      <w:r w:rsidRPr="00104227">
        <w:rPr>
          <w:color w:val="000000" w:themeColor="text1"/>
        </w:rPr>
        <w:t>before the</w:t>
      </w:r>
      <w:r w:rsidR="00C41CD3" w:rsidRPr="00104227">
        <w:rPr>
          <w:color w:val="000000" w:themeColor="text1"/>
        </w:rPr>
        <w:t xml:space="preserve"> FEVIM </w:t>
      </w:r>
      <w:r w:rsidR="00E31E41" w:rsidRPr="00104227">
        <w:rPr>
          <w:color w:val="000000" w:themeColor="text1"/>
        </w:rPr>
        <w:t>on May 25</w:t>
      </w:r>
      <w:r w:rsidR="006F5741" w:rsidRPr="00104227">
        <w:rPr>
          <w:color w:val="000000" w:themeColor="text1"/>
        </w:rPr>
        <w:t>,</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xml:space="preserve">, folios 1115 </w:t>
      </w:r>
      <w:r w:rsidR="00410260" w:rsidRPr="00104227">
        <w:rPr>
          <w:color w:val="000000" w:themeColor="text1"/>
        </w:rPr>
        <w:t>to</w:t>
      </w:r>
      <w:r w:rsidR="00C41CD3" w:rsidRPr="00104227">
        <w:rPr>
          <w:color w:val="000000" w:themeColor="text1"/>
        </w:rPr>
        <w:t xml:space="preserve"> 1117); </w:t>
      </w:r>
      <w:r w:rsidR="00E31E41" w:rsidRPr="00104227">
        <w:rPr>
          <w:color w:val="000000" w:themeColor="text1"/>
        </w:rPr>
        <w:t>detailed record of the</w:t>
      </w:r>
      <w:r w:rsidR="00C41CD3" w:rsidRPr="00104227">
        <w:rPr>
          <w:color w:val="000000" w:themeColor="text1"/>
        </w:rPr>
        <w:t xml:space="preserve"> </w:t>
      </w:r>
      <w:r w:rsidR="00D0136A" w:rsidRPr="00104227">
        <w:rPr>
          <w:color w:val="000000" w:themeColor="text1"/>
        </w:rPr>
        <w:t>Deputy Inspector</w:t>
      </w:r>
      <w:r w:rsidR="00C41CD3" w:rsidRPr="00104227">
        <w:rPr>
          <w:color w:val="000000" w:themeColor="text1"/>
        </w:rPr>
        <w:t xml:space="preserve"> </w:t>
      </w:r>
      <w:r w:rsidR="00E31E41" w:rsidRPr="00104227">
        <w:rPr>
          <w:color w:val="000000" w:themeColor="text1"/>
        </w:rPr>
        <w:t>of October 31,</w:t>
      </w:r>
      <w:r w:rsidR="00C41CD3" w:rsidRPr="00104227">
        <w:rPr>
          <w:color w:val="000000" w:themeColor="text1"/>
        </w:rPr>
        <w:t xml:space="preserve"> 2017</w:t>
      </w:r>
      <w:r w:rsidR="00581EFB" w:rsidRPr="00104227">
        <w:rPr>
          <w:color w:val="000000" w:themeColor="text1"/>
        </w:rPr>
        <w:t>,</w:t>
      </w:r>
      <w:r w:rsidR="00C41CD3" w:rsidRPr="00104227">
        <w:rPr>
          <w:color w:val="000000" w:themeColor="text1"/>
        </w:rPr>
        <w:t xml:space="preserve"> </w:t>
      </w:r>
      <w:r w:rsidR="00E31E41" w:rsidRPr="00104227">
        <w:rPr>
          <w:color w:val="000000" w:themeColor="text1"/>
        </w:rPr>
        <w:t>with regard to</w:t>
      </w:r>
      <w:r w:rsidR="00C41CD3" w:rsidRPr="00104227">
        <w:rPr>
          <w:color w:val="000000" w:themeColor="text1"/>
        </w:rPr>
        <w:t xml:space="preserve"> Georgina Edith Rosales Gutiérrez (</w:t>
      </w:r>
      <w:r w:rsidRPr="00104227">
        <w:rPr>
          <w:color w:val="000000" w:themeColor="text1"/>
        </w:rPr>
        <w:t>evidence file</w:t>
      </w:r>
      <w:r w:rsidR="00C41CD3" w:rsidRPr="00104227">
        <w:rPr>
          <w:color w:val="000000" w:themeColor="text1"/>
        </w:rPr>
        <w:t xml:space="preserve">, folios 37065 </w:t>
      </w:r>
      <w:r w:rsidR="00410260" w:rsidRPr="00104227">
        <w:rPr>
          <w:color w:val="000000" w:themeColor="text1"/>
        </w:rPr>
        <w:t>to</w:t>
      </w:r>
      <w:r w:rsidR="00C41CD3" w:rsidRPr="00104227">
        <w:rPr>
          <w:color w:val="000000" w:themeColor="text1"/>
        </w:rPr>
        <w:t xml:space="preserve"> 37069); </w:t>
      </w:r>
      <w:r w:rsidR="00E31E41" w:rsidRPr="00104227">
        <w:rPr>
          <w:color w:val="000000" w:themeColor="text1"/>
        </w:rPr>
        <w:t>detailed record of the</w:t>
      </w:r>
      <w:r w:rsidR="00C41CD3" w:rsidRPr="00104227">
        <w:rPr>
          <w:color w:val="000000" w:themeColor="text1"/>
        </w:rPr>
        <w:t xml:space="preserve"> </w:t>
      </w:r>
      <w:r w:rsidR="00581EFB" w:rsidRPr="00104227">
        <w:rPr>
          <w:color w:val="000000" w:themeColor="text1"/>
        </w:rPr>
        <w:t>Deputy Inspector</w:t>
      </w:r>
      <w:r w:rsidR="00C41CD3" w:rsidRPr="00104227">
        <w:rPr>
          <w:color w:val="000000" w:themeColor="text1"/>
        </w:rPr>
        <w:t xml:space="preserve"> </w:t>
      </w:r>
      <w:r w:rsidR="00E31E41" w:rsidRPr="00104227">
        <w:rPr>
          <w:color w:val="000000" w:themeColor="text1"/>
        </w:rPr>
        <w:t>of May 24</w:t>
      </w:r>
      <w:r w:rsidR="00856FE0" w:rsidRPr="00104227">
        <w:rPr>
          <w:color w:val="000000" w:themeColor="text1"/>
        </w:rPr>
        <w:t>,</w:t>
      </w:r>
      <w:r w:rsidR="00C41CD3" w:rsidRPr="00104227">
        <w:rPr>
          <w:color w:val="000000" w:themeColor="text1"/>
        </w:rPr>
        <w:t xml:space="preserve"> 2006</w:t>
      </w:r>
      <w:r w:rsidR="00410260" w:rsidRPr="00104227">
        <w:rPr>
          <w:color w:val="000000" w:themeColor="text1"/>
        </w:rPr>
        <w:t>,</w:t>
      </w:r>
      <w:r w:rsidR="00C41CD3" w:rsidRPr="00104227">
        <w:rPr>
          <w:color w:val="000000" w:themeColor="text1"/>
        </w:rPr>
        <w:t xml:space="preserve"> </w:t>
      </w:r>
      <w:r w:rsidR="00E31E41" w:rsidRPr="00104227">
        <w:rPr>
          <w:color w:val="000000" w:themeColor="text1"/>
        </w:rPr>
        <w:t>with regard to</w:t>
      </w:r>
      <w:r w:rsidR="00C41CD3" w:rsidRPr="00104227">
        <w:rPr>
          <w:color w:val="000000" w:themeColor="text1"/>
        </w:rPr>
        <w:t xml:space="preserve"> </w:t>
      </w:r>
      <w:r w:rsidR="00E31E41" w:rsidRPr="00104227">
        <w:rPr>
          <w:color w:val="000000" w:themeColor="text1"/>
        </w:rPr>
        <w:t>several persons on hunger strike</w:t>
      </w:r>
      <w:r w:rsidR="00C41CD3" w:rsidRPr="00104227">
        <w:rPr>
          <w:color w:val="000000" w:themeColor="text1"/>
        </w:rPr>
        <w:t xml:space="preserve"> (</w:t>
      </w:r>
      <w:r w:rsidRPr="00104227">
        <w:rPr>
          <w:color w:val="000000" w:themeColor="text1"/>
        </w:rPr>
        <w:t>evidence file</w:t>
      </w:r>
      <w:r w:rsidR="00C41CD3" w:rsidRPr="00104227">
        <w:rPr>
          <w:color w:val="000000" w:themeColor="text1"/>
        </w:rPr>
        <w:t xml:space="preserve">, folios 1596 </w:t>
      </w:r>
      <w:r w:rsidR="00410260" w:rsidRPr="00104227">
        <w:rPr>
          <w:color w:val="000000" w:themeColor="text1"/>
        </w:rPr>
        <w:t>to</w:t>
      </w:r>
      <w:r w:rsidR="00C41CD3" w:rsidRPr="00104227">
        <w:rPr>
          <w:color w:val="000000" w:themeColor="text1"/>
        </w:rPr>
        <w:t xml:space="preserve"> 1599); </w:t>
      </w:r>
      <w:r w:rsidR="00E31E41" w:rsidRPr="00104227">
        <w:rPr>
          <w:color w:val="000000" w:themeColor="text1"/>
        </w:rPr>
        <w:t>detailed record of the</w:t>
      </w:r>
      <w:r w:rsidR="00C41CD3" w:rsidRPr="00104227">
        <w:rPr>
          <w:color w:val="000000" w:themeColor="text1"/>
        </w:rPr>
        <w:t xml:space="preserve"> </w:t>
      </w:r>
      <w:r w:rsidR="00D0136A" w:rsidRPr="00104227">
        <w:rPr>
          <w:color w:val="000000" w:themeColor="text1"/>
        </w:rPr>
        <w:t>Deputy Inspector</w:t>
      </w:r>
      <w:r w:rsidR="00BF5241" w:rsidRPr="00104227">
        <w:rPr>
          <w:color w:val="000000" w:themeColor="text1"/>
        </w:rPr>
        <w:t xml:space="preserve"> and </w:t>
      </w:r>
      <w:r w:rsidR="00E31E41" w:rsidRPr="00104227">
        <w:rPr>
          <w:color w:val="000000" w:themeColor="text1"/>
        </w:rPr>
        <w:t>CNDH health professionals</w:t>
      </w:r>
      <w:r w:rsidR="00C41CD3" w:rsidRPr="00104227">
        <w:rPr>
          <w:color w:val="000000" w:themeColor="text1"/>
        </w:rPr>
        <w:t xml:space="preserve"> </w:t>
      </w:r>
      <w:r w:rsidR="00E31E41" w:rsidRPr="00104227">
        <w:rPr>
          <w:color w:val="000000" w:themeColor="text1"/>
        </w:rPr>
        <w:t>of June 1,</w:t>
      </w:r>
      <w:r w:rsidR="00C41CD3" w:rsidRPr="00104227">
        <w:rPr>
          <w:color w:val="000000" w:themeColor="text1"/>
        </w:rPr>
        <w:t xml:space="preserve"> 2006</w:t>
      </w:r>
      <w:r w:rsidR="00410260" w:rsidRPr="00104227">
        <w:rPr>
          <w:color w:val="000000" w:themeColor="text1"/>
        </w:rPr>
        <w:t>,</w:t>
      </w:r>
      <w:r w:rsidR="00C41CD3" w:rsidRPr="00104227">
        <w:rPr>
          <w:color w:val="000000" w:themeColor="text1"/>
        </w:rPr>
        <w:t xml:space="preserve"> </w:t>
      </w:r>
      <w:r w:rsidR="00E31E41" w:rsidRPr="00104227">
        <w:rPr>
          <w:color w:val="000000" w:themeColor="text1"/>
        </w:rPr>
        <w:t>with regard to psychological support to</w:t>
      </w:r>
      <w:r w:rsidR="00C41CD3" w:rsidRPr="00104227">
        <w:rPr>
          <w:color w:val="000000" w:themeColor="text1"/>
        </w:rPr>
        <w:t xml:space="preserve"> Georgina Edith Rosales Gutiérrez (</w:t>
      </w:r>
      <w:r w:rsidRPr="00104227">
        <w:rPr>
          <w:color w:val="000000" w:themeColor="text1"/>
        </w:rPr>
        <w:t>evidence file</w:t>
      </w:r>
      <w:r w:rsidR="00C41CD3" w:rsidRPr="00104227">
        <w:rPr>
          <w:color w:val="000000" w:themeColor="text1"/>
        </w:rPr>
        <w:t xml:space="preserve">, folio 1128); </w:t>
      </w:r>
      <w:r w:rsidR="00E31E41" w:rsidRPr="00104227">
        <w:rPr>
          <w:color w:val="000000" w:themeColor="text1"/>
        </w:rPr>
        <w:t>CNDH Recommendation 38/2006</w:t>
      </w:r>
      <w:r w:rsidR="00C41CD3" w:rsidRPr="00104227">
        <w:rPr>
          <w:color w:val="000000" w:themeColor="text1"/>
        </w:rPr>
        <w:t xml:space="preserve">. </w:t>
      </w:r>
      <w:r w:rsidR="00E31E41" w:rsidRPr="00104227">
        <w:rPr>
          <w:color w:val="000000" w:themeColor="text1"/>
        </w:rPr>
        <w:t>Section on</w:t>
      </w:r>
      <w:r w:rsidR="00C41CD3" w:rsidRPr="00104227">
        <w:rPr>
          <w:color w:val="000000" w:themeColor="text1"/>
        </w:rPr>
        <w:t xml:space="preserve"> Georgina Edith Rosales Gutiérrez, </w:t>
      </w:r>
      <w:r w:rsidR="00E31E41" w:rsidRPr="00104227">
        <w:rPr>
          <w:color w:val="000000" w:themeColor="text1"/>
        </w:rPr>
        <w:t>identified as</w:t>
      </w:r>
      <w:r w:rsidR="00C41CD3" w:rsidRPr="00104227">
        <w:rPr>
          <w:color w:val="000000" w:themeColor="text1"/>
        </w:rPr>
        <w:t xml:space="preserve"> A160 (</w:t>
      </w:r>
      <w:r w:rsidRPr="00104227">
        <w:rPr>
          <w:color w:val="000000" w:themeColor="text1"/>
        </w:rPr>
        <w:t>evidence file</w:t>
      </w:r>
      <w:r w:rsidR="00C41CD3" w:rsidRPr="00104227">
        <w:rPr>
          <w:color w:val="000000" w:themeColor="text1"/>
        </w:rPr>
        <w:t>, folios 1132</w:t>
      </w:r>
      <w:r w:rsidR="00410260" w:rsidRPr="00104227">
        <w:rPr>
          <w:color w:val="000000" w:themeColor="text1"/>
        </w:rPr>
        <w:t xml:space="preserve"> to</w:t>
      </w:r>
      <w:r w:rsidR="00C41CD3" w:rsidRPr="00104227">
        <w:rPr>
          <w:color w:val="000000" w:themeColor="text1"/>
        </w:rPr>
        <w:t xml:space="preserve"> 1137),</w:t>
      </w:r>
      <w:r w:rsidR="00BF5241" w:rsidRPr="00104227">
        <w:rPr>
          <w:color w:val="000000" w:themeColor="text1"/>
        </w:rPr>
        <w:t xml:space="preserve"> and </w:t>
      </w:r>
      <w:r w:rsidR="00410260" w:rsidRPr="00104227">
        <w:rPr>
          <w:color w:val="000000" w:themeColor="text1"/>
        </w:rPr>
        <w:t>affidavit</w:t>
      </w:r>
      <w:r w:rsidRPr="00104227">
        <w:rPr>
          <w:color w:val="000000" w:themeColor="text1"/>
        </w:rPr>
        <w:t xml:space="preserve"> made by</w:t>
      </w:r>
      <w:r w:rsidR="00C41CD3" w:rsidRPr="00104227">
        <w:rPr>
          <w:color w:val="000000" w:themeColor="text1"/>
        </w:rPr>
        <w:t xml:space="preserve"> Georgina Edith Rosales Gutiérrez </w:t>
      </w:r>
      <w:r w:rsidR="00E31E41" w:rsidRPr="00104227">
        <w:rPr>
          <w:color w:val="000000" w:themeColor="text1"/>
        </w:rPr>
        <w:t>on October 31,</w:t>
      </w:r>
      <w:r w:rsidR="00C41CD3" w:rsidRPr="00104227">
        <w:rPr>
          <w:color w:val="000000" w:themeColor="text1"/>
        </w:rPr>
        <w:t xml:space="preserve"> 2017 (</w:t>
      </w:r>
      <w:r w:rsidRPr="00104227">
        <w:rPr>
          <w:color w:val="000000" w:themeColor="text1"/>
        </w:rPr>
        <w:t>evidence file</w:t>
      </w:r>
      <w:r w:rsidR="00C41CD3" w:rsidRPr="00104227">
        <w:rPr>
          <w:color w:val="000000" w:themeColor="text1"/>
        </w:rPr>
        <w:t xml:space="preserve">, folios 37064 </w:t>
      </w:r>
      <w:r w:rsidR="00410260" w:rsidRPr="00104227">
        <w:rPr>
          <w:color w:val="000000" w:themeColor="text1"/>
        </w:rPr>
        <w:t>to</w:t>
      </w:r>
      <w:r w:rsidR="00C41CD3" w:rsidRPr="00104227">
        <w:rPr>
          <w:color w:val="000000" w:themeColor="text1"/>
        </w:rPr>
        <w:t xml:space="preserve"> 37150).</w:t>
      </w:r>
    </w:p>
    <w:p w14:paraId="7B570043" w14:textId="77777777" w:rsidR="00C41CD3" w:rsidRPr="00104227" w:rsidRDefault="00C41CD3" w:rsidP="00E4619F">
      <w:pPr>
        <w:tabs>
          <w:tab w:val="left" w:pos="567"/>
        </w:tabs>
        <w:rPr>
          <w:b/>
          <w:color w:val="000000" w:themeColor="text1"/>
        </w:rPr>
      </w:pPr>
    </w:p>
    <w:p w14:paraId="5CF517F2" w14:textId="549097AA" w:rsidR="00C41CD3" w:rsidRPr="00104227" w:rsidRDefault="004617E1" w:rsidP="00E4619F">
      <w:pPr>
        <w:tabs>
          <w:tab w:val="left" w:pos="567"/>
        </w:tabs>
        <w:rPr>
          <w:color w:val="000000" w:themeColor="text1"/>
          <w:u w:val="single"/>
        </w:rPr>
      </w:pPr>
      <w:r w:rsidRPr="00104227">
        <w:rPr>
          <w:color w:val="000000" w:themeColor="text1"/>
          <w:u w:val="single"/>
        </w:rPr>
        <w:t>Evidence of the facts relating to</w:t>
      </w:r>
      <w:r w:rsidR="00C41CD3" w:rsidRPr="00104227">
        <w:rPr>
          <w:color w:val="000000" w:themeColor="text1"/>
          <w:u w:val="single"/>
        </w:rPr>
        <w:t xml:space="preserve"> Ana María Velasco Rodríguez </w:t>
      </w:r>
    </w:p>
    <w:p w14:paraId="3A8CA08E" w14:textId="77777777" w:rsidR="00C41CD3" w:rsidRPr="00104227" w:rsidRDefault="00C41CD3" w:rsidP="00E4619F">
      <w:pPr>
        <w:tabs>
          <w:tab w:val="left" w:pos="567"/>
        </w:tabs>
        <w:rPr>
          <w:b/>
          <w:color w:val="000000" w:themeColor="text1"/>
        </w:rPr>
      </w:pPr>
    </w:p>
    <w:p w14:paraId="6C625E49" w14:textId="4A750ACB" w:rsidR="00C41CD3" w:rsidRPr="00104227" w:rsidRDefault="004617E1" w:rsidP="00E4619F">
      <w:pPr>
        <w:tabs>
          <w:tab w:val="left" w:pos="567"/>
        </w:tabs>
        <w:rPr>
          <w:b/>
          <w:color w:val="000000" w:themeColor="text1"/>
        </w:rPr>
      </w:pPr>
      <w:r w:rsidRPr="00104227">
        <w:rPr>
          <w:color w:val="000000" w:themeColor="text1"/>
        </w:rPr>
        <w:lastRenderedPageBreak/>
        <w:t>The description of what happened to</w:t>
      </w:r>
      <w:r w:rsidR="00C41CD3" w:rsidRPr="00104227">
        <w:rPr>
          <w:color w:val="000000" w:themeColor="text1"/>
        </w:rPr>
        <w:t xml:space="preserve"> Ana María Velasco Rodríguez </w:t>
      </w:r>
      <w:r w:rsidRPr="00104227">
        <w:rPr>
          <w:color w:val="000000" w:themeColor="text1"/>
        </w:rPr>
        <w:t>can be found in the following evidence</w:t>
      </w:r>
      <w:r w:rsidR="00C41CD3" w:rsidRPr="00104227">
        <w:rPr>
          <w:color w:val="000000" w:themeColor="text1"/>
        </w:rPr>
        <w:t xml:space="preserve">, </w:t>
      </w:r>
      <w:r w:rsidRPr="00104227">
        <w:rPr>
          <w:color w:val="000000" w:themeColor="text1"/>
        </w:rPr>
        <w:t>unless otherwise specifically indicated</w:t>
      </w:r>
      <w:r w:rsidR="00C41CD3" w:rsidRPr="00104227">
        <w:rPr>
          <w:color w:val="000000" w:themeColor="text1"/>
        </w:rPr>
        <w:t xml:space="preserve">: </w:t>
      </w:r>
      <w:r w:rsidR="00D0136A" w:rsidRPr="00104227">
        <w:rPr>
          <w:color w:val="000000" w:themeColor="text1"/>
        </w:rPr>
        <w:t>Entry medical report of</w:t>
      </w:r>
      <w:r w:rsidR="00C41CD3" w:rsidRPr="00104227">
        <w:rPr>
          <w:color w:val="000000" w:themeColor="text1"/>
        </w:rPr>
        <w:t xml:space="preserve"> Ana María Velasco Rodríguez </w:t>
      </w:r>
      <w:r w:rsidR="00B851FA" w:rsidRPr="00104227">
        <w:rPr>
          <w:color w:val="000000" w:themeColor="text1"/>
        </w:rPr>
        <w:t>of May 4,</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folios 1145</w:t>
      </w:r>
      <w:r w:rsidR="00BF5241" w:rsidRPr="00104227">
        <w:rPr>
          <w:color w:val="000000" w:themeColor="text1"/>
        </w:rPr>
        <w:t xml:space="preserve"> and </w:t>
      </w:r>
      <w:r w:rsidR="00C41CD3" w:rsidRPr="00104227">
        <w:rPr>
          <w:color w:val="000000" w:themeColor="text1"/>
        </w:rPr>
        <w:t xml:space="preserve">1146); </w:t>
      </w:r>
      <w:r w:rsidR="00977636" w:rsidRPr="00104227">
        <w:rPr>
          <w:color w:val="000000" w:themeColor="text1"/>
        </w:rPr>
        <w:t>d</w:t>
      </w:r>
      <w:r w:rsidR="00410260" w:rsidRPr="00104227">
        <w:rPr>
          <w:color w:val="000000" w:themeColor="text1"/>
        </w:rPr>
        <w:t>etailed record</w:t>
      </w:r>
      <w:r w:rsidR="00C41CD3" w:rsidRPr="00104227">
        <w:rPr>
          <w:color w:val="000000" w:themeColor="text1"/>
        </w:rPr>
        <w:t xml:space="preserve"> </w:t>
      </w:r>
      <w:r w:rsidR="00581EFB" w:rsidRPr="00104227">
        <w:rPr>
          <w:color w:val="000000" w:themeColor="text1"/>
        </w:rPr>
        <w:t>of the Deputy</w:t>
      </w:r>
      <w:r w:rsidR="00D0136A" w:rsidRPr="00104227">
        <w:rPr>
          <w:color w:val="000000" w:themeColor="text1"/>
        </w:rPr>
        <w:t xml:space="preserve"> Inspector</w:t>
      </w:r>
      <w:r w:rsidR="00BF5241" w:rsidRPr="00104227">
        <w:rPr>
          <w:color w:val="000000" w:themeColor="text1"/>
        </w:rPr>
        <w:t xml:space="preserve"> of the </w:t>
      </w:r>
      <w:r w:rsidR="00F12946" w:rsidRPr="00104227">
        <w:rPr>
          <w:color w:val="000000" w:themeColor="text1"/>
        </w:rPr>
        <w:t>National Human Rights Commission</w:t>
      </w:r>
      <w:r w:rsidR="00E31E41" w:rsidRPr="00104227">
        <w:rPr>
          <w:color w:val="000000" w:themeColor="text1"/>
        </w:rPr>
        <w:t xml:space="preserve"> of May</w:t>
      </w:r>
      <w:r w:rsidR="000777FE" w:rsidRPr="00104227">
        <w:rPr>
          <w:color w:val="000000" w:themeColor="text1"/>
        </w:rPr>
        <w:t xml:space="preserve"> 12</w:t>
      </w:r>
      <w:r w:rsidR="009075C6" w:rsidRPr="00104227">
        <w:rPr>
          <w:color w:val="000000" w:themeColor="text1"/>
        </w:rPr>
        <w:t>,</w:t>
      </w:r>
      <w:r w:rsidR="00C41CD3" w:rsidRPr="00104227">
        <w:rPr>
          <w:color w:val="000000" w:themeColor="text1"/>
        </w:rPr>
        <w:t xml:space="preserve"> 2006</w:t>
      </w:r>
      <w:r w:rsidR="00410260" w:rsidRPr="00104227">
        <w:rPr>
          <w:color w:val="000000" w:themeColor="text1"/>
        </w:rPr>
        <w:t>,</w:t>
      </w:r>
      <w:r w:rsidR="00C41CD3" w:rsidRPr="00104227">
        <w:rPr>
          <w:color w:val="000000" w:themeColor="text1"/>
        </w:rPr>
        <w:t xml:space="preserve"> </w:t>
      </w:r>
      <w:r w:rsidR="00E31E41" w:rsidRPr="00104227">
        <w:rPr>
          <w:color w:val="000000" w:themeColor="text1"/>
        </w:rPr>
        <w:t>with regard to</w:t>
      </w:r>
      <w:r w:rsidR="00C41CD3" w:rsidRPr="00104227">
        <w:rPr>
          <w:color w:val="000000" w:themeColor="text1"/>
        </w:rPr>
        <w:t xml:space="preserve"> Ana María Velasco Rodríguez (</w:t>
      </w:r>
      <w:r w:rsidRPr="00104227">
        <w:rPr>
          <w:color w:val="000000" w:themeColor="text1"/>
        </w:rPr>
        <w:t>evidence file</w:t>
      </w:r>
      <w:r w:rsidR="00C41CD3" w:rsidRPr="00104227">
        <w:rPr>
          <w:color w:val="000000" w:themeColor="text1"/>
        </w:rPr>
        <w:t>, folios 1149</w:t>
      </w:r>
      <w:r w:rsidR="00BF5241" w:rsidRPr="00104227">
        <w:rPr>
          <w:color w:val="000000" w:themeColor="text1"/>
        </w:rPr>
        <w:t xml:space="preserve"> and </w:t>
      </w:r>
      <w:r w:rsidR="00C41CD3" w:rsidRPr="00104227">
        <w:rPr>
          <w:color w:val="000000" w:themeColor="text1"/>
        </w:rPr>
        <w:t xml:space="preserve">1150); </w:t>
      </w:r>
      <w:r w:rsidR="00E31E41" w:rsidRPr="00104227">
        <w:rPr>
          <w:color w:val="000000" w:themeColor="text1"/>
        </w:rPr>
        <w:t>detailed record of the</w:t>
      </w:r>
      <w:r w:rsidR="00C41CD3" w:rsidRPr="00104227">
        <w:rPr>
          <w:color w:val="000000" w:themeColor="text1"/>
        </w:rPr>
        <w:t xml:space="preserve"> </w:t>
      </w:r>
      <w:r w:rsidR="00D0136A" w:rsidRPr="00104227">
        <w:rPr>
          <w:color w:val="000000" w:themeColor="text1"/>
        </w:rPr>
        <w:t>Deputy Inspector</w:t>
      </w:r>
      <w:r w:rsidR="00E31E41" w:rsidRPr="00104227">
        <w:rPr>
          <w:color w:val="000000" w:themeColor="text1"/>
        </w:rPr>
        <w:t xml:space="preserve"> of May</w:t>
      </w:r>
      <w:r w:rsidR="006F5741" w:rsidRPr="00104227">
        <w:rPr>
          <w:color w:val="000000" w:themeColor="text1"/>
        </w:rPr>
        <w:t xml:space="preserve"> 5,</w:t>
      </w:r>
      <w:r w:rsidR="00C41CD3" w:rsidRPr="00104227">
        <w:rPr>
          <w:color w:val="000000" w:themeColor="text1"/>
        </w:rPr>
        <w:t xml:space="preserve"> 2006</w:t>
      </w:r>
      <w:r w:rsidR="00410260" w:rsidRPr="00104227">
        <w:rPr>
          <w:color w:val="000000" w:themeColor="text1"/>
        </w:rPr>
        <w:t xml:space="preserve">, </w:t>
      </w:r>
      <w:r w:rsidR="00E31E41" w:rsidRPr="00104227">
        <w:rPr>
          <w:color w:val="000000" w:themeColor="text1"/>
        </w:rPr>
        <w:t>with regard to</w:t>
      </w:r>
      <w:r w:rsidR="00C41CD3" w:rsidRPr="00104227">
        <w:rPr>
          <w:color w:val="000000" w:themeColor="text1"/>
        </w:rPr>
        <w:t xml:space="preserve"> Ana María Velasco Rodríguez (</w:t>
      </w:r>
      <w:r w:rsidRPr="00104227">
        <w:rPr>
          <w:color w:val="000000" w:themeColor="text1"/>
        </w:rPr>
        <w:t>evidence file</w:t>
      </w:r>
      <w:r w:rsidR="00C41CD3" w:rsidRPr="00104227">
        <w:rPr>
          <w:color w:val="000000" w:themeColor="text1"/>
        </w:rPr>
        <w:t xml:space="preserve">, folio 1153); </w:t>
      </w:r>
      <w:r w:rsidR="00E31E41" w:rsidRPr="00104227">
        <w:rPr>
          <w:color w:val="000000" w:themeColor="text1"/>
        </w:rPr>
        <w:t>CNDH medical certificate of the injuries of</w:t>
      </w:r>
      <w:r w:rsidR="00C41CD3" w:rsidRPr="00104227">
        <w:rPr>
          <w:color w:val="000000" w:themeColor="text1"/>
        </w:rPr>
        <w:t xml:space="preserve"> Ana María Velasco Rodríguez</w:t>
      </w:r>
      <w:r w:rsidR="00E31E41" w:rsidRPr="00104227">
        <w:rPr>
          <w:color w:val="000000" w:themeColor="text1"/>
        </w:rPr>
        <w:t xml:space="preserve"> of May</w:t>
      </w:r>
      <w:r w:rsidR="006F5741" w:rsidRPr="00104227">
        <w:rPr>
          <w:color w:val="000000" w:themeColor="text1"/>
        </w:rPr>
        <w:t xml:space="preserve"> 5,</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folios 1156</w:t>
      </w:r>
      <w:r w:rsidR="00BF5241" w:rsidRPr="00104227">
        <w:rPr>
          <w:color w:val="000000" w:themeColor="text1"/>
        </w:rPr>
        <w:t xml:space="preserve"> and </w:t>
      </w:r>
      <w:r w:rsidR="00C41CD3" w:rsidRPr="00104227">
        <w:rPr>
          <w:color w:val="000000" w:themeColor="text1"/>
        </w:rPr>
        <w:t xml:space="preserve">1157); </w:t>
      </w:r>
      <w:r w:rsidR="00581EFB" w:rsidRPr="00104227">
        <w:rPr>
          <w:color w:val="000000" w:themeColor="text1"/>
        </w:rPr>
        <w:t>CNDH report of August 31</w:t>
      </w:r>
      <w:r w:rsidR="00E31E41" w:rsidRPr="00104227">
        <w:rPr>
          <w:color w:val="000000" w:themeColor="text1"/>
        </w:rPr>
        <w:t>,</w:t>
      </w:r>
      <w:r w:rsidR="00C41CD3" w:rsidRPr="00104227">
        <w:rPr>
          <w:color w:val="000000" w:themeColor="text1"/>
        </w:rPr>
        <w:t xml:space="preserve"> </w:t>
      </w:r>
      <w:r w:rsidR="008C6D02" w:rsidRPr="00104227">
        <w:rPr>
          <w:color w:val="000000" w:themeColor="text1"/>
        </w:rPr>
        <w:t xml:space="preserve">2006, </w:t>
      </w:r>
      <w:r w:rsidR="00E31E41" w:rsidRPr="00104227">
        <w:rPr>
          <w:color w:val="000000" w:themeColor="text1"/>
        </w:rPr>
        <w:t>recording the application</w:t>
      </w:r>
      <w:r w:rsidRPr="00104227">
        <w:rPr>
          <w:color w:val="000000" w:themeColor="text1"/>
        </w:rPr>
        <w:t xml:space="preserve"> of the Istanbul Protocol to</w:t>
      </w:r>
      <w:r w:rsidR="00C41CD3" w:rsidRPr="00104227">
        <w:rPr>
          <w:color w:val="000000" w:themeColor="text1"/>
        </w:rPr>
        <w:t xml:space="preserve"> Ana María Velasco Rodríguez (</w:t>
      </w:r>
      <w:r w:rsidRPr="00104227">
        <w:rPr>
          <w:color w:val="000000" w:themeColor="text1"/>
        </w:rPr>
        <w:t>evidence file</w:t>
      </w:r>
      <w:r w:rsidR="00C41CD3" w:rsidRPr="00104227">
        <w:rPr>
          <w:color w:val="000000" w:themeColor="text1"/>
        </w:rPr>
        <w:t xml:space="preserve">, folios 1171 </w:t>
      </w:r>
      <w:r w:rsidR="00410260" w:rsidRPr="00104227">
        <w:rPr>
          <w:color w:val="000000" w:themeColor="text1"/>
        </w:rPr>
        <w:t>to</w:t>
      </w:r>
      <w:r w:rsidR="00C41CD3" w:rsidRPr="00104227">
        <w:rPr>
          <w:color w:val="000000" w:themeColor="text1"/>
        </w:rPr>
        <w:t xml:space="preserve"> 1173); </w:t>
      </w:r>
      <w:r w:rsidR="00E31E41" w:rsidRPr="00104227">
        <w:rPr>
          <w:color w:val="000000" w:themeColor="text1"/>
        </w:rPr>
        <w:t>video of the</w:t>
      </w:r>
      <w:r w:rsidR="00C41CD3" w:rsidRPr="00104227">
        <w:rPr>
          <w:color w:val="000000" w:themeColor="text1"/>
        </w:rPr>
        <w:t xml:space="preserve"> </w:t>
      </w:r>
      <w:r w:rsidRPr="00104227">
        <w:rPr>
          <w:color w:val="000000" w:themeColor="text1"/>
        </w:rPr>
        <w:t>statement by</w:t>
      </w:r>
      <w:r w:rsidR="00C41CD3" w:rsidRPr="00104227">
        <w:rPr>
          <w:color w:val="000000" w:themeColor="text1"/>
        </w:rPr>
        <w:t xml:space="preserve"> Ana María Velasco Rodríguez (</w:t>
      </w:r>
      <w:r w:rsidRPr="00104227">
        <w:rPr>
          <w:color w:val="000000" w:themeColor="text1"/>
        </w:rPr>
        <w:t>evidence file</w:t>
      </w:r>
      <w:r w:rsidR="00C41CD3" w:rsidRPr="00104227">
        <w:rPr>
          <w:color w:val="000000" w:themeColor="text1"/>
        </w:rPr>
        <w:t>, folios 1210 a</w:t>
      </w:r>
      <w:r w:rsidR="00410260" w:rsidRPr="00104227">
        <w:rPr>
          <w:color w:val="000000" w:themeColor="text1"/>
        </w:rPr>
        <w:t>nd</w:t>
      </w:r>
      <w:r w:rsidR="00C41CD3" w:rsidRPr="00104227">
        <w:rPr>
          <w:color w:val="000000" w:themeColor="text1"/>
        </w:rPr>
        <w:t xml:space="preserve"> 1211); </w:t>
      </w:r>
      <w:r w:rsidRPr="00104227">
        <w:rPr>
          <w:color w:val="000000" w:themeColor="text1"/>
        </w:rPr>
        <w:t>statement by</w:t>
      </w:r>
      <w:r w:rsidR="00C41CD3" w:rsidRPr="00104227">
        <w:rPr>
          <w:color w:val="000000" w:themeColor="text1"/>
        </w:rPr>
        <w:t xml:space="preserve"> Ana María Velasco </w:t>
      </w:r>
      <w:r w:rsidR="0014761B" w:rsidRPr="00104227">
        <w:rPr>
          <w:color w:val="000000" w:themeColor="text1"/>
        </w:rPr>
        <w:t xml:space="preserve">Rodríguez </w:t>
      </w:r>
      <w:r w:rsidR="00E31E41" w:rsidRPr="00104227">
        <w:rPr>
          <w:color w:val="000000" w:themeColor="text1"/>
        </w:rPr>
        <w:t>during the preliminary inquiry</w:t>
      </w:r>
      <w:r w:rsidR="00410260" w:rsidRPr="00104227">
        <w:rPr>
          <w:color w:val="000000" w:themeColor="text1"/>
        </w:rPr>
        <w:t xml:space="preserve"> </w:t>
      </w:r>
      <w:r w:rsidR="00C41CD3" w:rsidRPr="00104227">
        <w:rPr>
          <w:color w:val="000000" w:themeColor="text1"/>
        </w:rPr>
        <w:t>TOL/DR/I/466/2006 (</w:t>
      </w:r>
      <w:r w:rsidRPr="00104227">
        <w:rPr>
          <w:color w:val="000000" w:themeColor="text1"/>
        </w:rPr>
        <w:t>evidence file</w:t>
      </w:r>
      <w:r w:rsidR="00C41CD3" w:rsidRPr="00104227">
        <w:rPr>
          <w:color w:val="000000" w:themeColor="text1"/>
        </w:rPr>
        <w:t>, folios 1213</w:t>
      </w:r>
      <w:r w:rsidR="00BF5241" w:rsidRPr="00104227">
        <w:rPr>
          <w:color w:val="000000" w:themeColor="text1"/>
        </w:rPr>
        <w:t xml:space="preserve"> and </w:t>
      </w:r>
      <w:r w:rsidR="00C41CD3" w:rsidRPr="00104227">
        <w:rPr>
          <w:color w:val="000000" w:themeColor="text1"/>
        </w:rPr>
        <w:t xml:space="preserve">1214); </w:t>
      </w:r>
      <w:r w:rsidR="00E31E41" w:rsidRPr="00104227">
        <w:rPr>
          <w:color w:val="000000" w:themeColor="text1"/>
        </w:rPr>
        <w:t>detailed record of the</w:t>
      </w:r>
      <w:r w:rsidR="00C41CD3" w:rsidRPr="00104227">
        <w:rPr>
          <w:color w:val="000000" w:themeColor="text1"/>
        </w:rPr>
        <w:t xml:space="preserve"> </w:t>
      </w:r>
      <w:r w:rsidR="00D0136A" w:rsidRPr="00104227">
        <w:rPr>
          <w:color w:val="000000" w:themeColor="text1"/>
        </w:rPr>
        <w:t>Deputy Inspector</w:t>
      </w:r>
      <w:r w:rsidR="00C41CD3" w:rsidRPr="00104227">
        <w:rPr>
          <w:color w:val="000000" w:themeColor="text1"/>
        </w:rPr>
        <w:t xml:space="preserve"> </w:t>
      </w:r>
      <w:r w:rsidR="00E31E41" w:rsidRPr="00104227">
        <w:rPr>
          <w:color w:val="000000" w:themeColor="text1"/>
        </w:rPr>
        <w:t>of October 31,</w:t>
      </w:r>
      <w:r w:rsidR="00C41CD3" w:rsidRPr="00104227">
        <w:rPr>
          <w:color w:val="000000" w:themeColor="text1"/>
        </w:rPr>
        <w:t xml:space="preserve"> 2017</w:t>
      </w:r>
      <w:r w:rsidR="00410260" w:rsidRPr="00104227">
        <w:rPr>
          <w:color w:val="000000" w:themeColor="text1"/>
        </w:rPr>
        <w:t>,</w:t>
      </w:r>
      <w:r w:rsidR="00C41CD3" w:rsidRPr="00104227">
        <w:rPr>
          <w:color w:val="000000" w:themeColor="text1"/>
        </w:rPr>
        <w:t xml:space="preserve"> </w:t>
      </w:r>
      <w:r w:rsidR="00E31E41" w:rsidRPr="00104227">
        <w:rPr>
          <w:color w:val="000000" w:themeColor="text1"/>
        </w:rPr>
        <w:t>with regard to</w:t>
      </w:r>
      <w:r w:rsidR="00C41CD3" w:rsidRPr="00104227">
        <w:rPr>
          <w:color w:val="000000" w:themeColor="text1"/>
        </w:rPr>
        <w:t xml:space="preserve"> </w:t>
      </w:r>
      <w:r w:rsidR="0014761B" w:rsidRPr="00104227">
        <w:rPr>
          <w:color w:val="000000" w:themeColor="text1"/>
        </w:rPr>
        <w:t xml:space="preserve">Ana María Velasco Rodríguez </w:t>
      </w:r>
      <w:r w:rsidR="00C41CD3" w:rsidRPr="00104227">
        <w:rPr>
          <w:color w:val="000000" w:themeColor="text1"/>
        </w:rPr>
        <w:t>(</w:t>
      </w:r>
      <w:r w:rsidRPr="00104227">
        <w:rPr>
          <w:color w:val="000000" w:themeColor="text1"/>
        </w:rPr>
        <w:t>evidence file</w:t>
      </w:r>
      <w:r w:rsidR="00C41CD3" w:rsidRPr="00104227">
        <w:rPr>
          <w:color w:val="000000" w:themeColor="text1"/>
        </w:rPr>
        <w:t>, folios 3715</w:t>
      </w:r>
      <w:r w:rsidR="0014761B" w:rsidRPr="00104227">
        <w:rPr>
          <w:color w:val="000000" w:themeColor="text1"/>
        </w:rPr>
        <w:t>8</w:t>
      </w:r>
      <w:r w:rsidR="00C41CD3" w:rsidRPr="00104227">
        <w:rPr>
          <w:color w:val="000000" w:themeColor="text1"/>
        </w:rPr>
        <w:t xml:space="preserve"> </w:t>
      </w:r>
      <w:r w:rsidR="00410260" w:rsidRPr="00104227">
        <w:rPr>
          <w:color w:val="000000" w:themeColor="text1"/>
        </w:rPr>
        <w:t>to</w:t>
      </w:r>
      <w:r w:rsidR="00C41CD3" w:rsidRPr="00104227">
        <w:rPr>
          <w:color w:val="000000" w:themeColor="text1"/>
        </w:rPr>
        <w:t xml:space="preserve"> 37161); </w:t>
      </w:r>
      <w:r w:rsidR="00410260" w:rsidRPr="00104227">
        <w:rPr>
          <w:color w:val="000000" w:themeColor="text1"/>
        </w:rPr>
        <w:t>statement</w:t>
      </w:r>
      <w:r w:rsidR="00BF5241" w:rsidRPr="00104227">
        <w:rPr>
          <w:color w:val="000000" w:themeColor="text1"/>
        </w:rPr>
        <w:t xml:space="preserve"> and </w:t>
      </w:r>
      <w:r w:rsidR="00E31E41" w:rsidRPr="00104227">
        <w:rPr>
          <w:color w:val="000000" w:themeColor="text1"/>
        </w:rPr>
        <w:t>expansion of the complaint made by</w:t>
      </w:r>
      <w:r w:rsidR="00C41CD3" w:rsidRPr="00104227">
        <w:rPr>
          <w:color w:val="000000" w:themeColor="text1"/>
        </w:rPr>
        <w:t xml:space="preserve"> Ana María Velasco Rodríguez </w:t>
      </w:r>
      <w:r w:rsidRPr="00104227">
        <w:rPr>
          <w:color w:val="000000" w:themeColor="text1"/>
        </w:rPr>
        <w:t>before the</w:t>
      </w:r>
      <w:r w:rsidR="00C41CD3" w:rsidRPr="00104227">
        <w:rPr>
          <w:color w:val="000000" w:themeColor="text1"/>
        </w:rPr>
        <w:t xml:space="preserve"> FEVIM </w:t>
      </w:r>
      <w:r w:rsidR="00E31E41" w:rsidRPr="00104227">
        <w:rPr>
          <w:color w:val="000000" w:themeColor="text1"/>
        </w:rPr>
        <w:t>on June 15,</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folios 1222</w:t>
      </w:r>
      <w:r w:rsidR="00BF5241" w:rsidRPr="00104227">
        <w:rPr>
          <w:color w:val="000000" w:themeColor="text1"/>
        </w:rPr>
        <w:t xml:space="preserve"> and </w:t>
      </w:r>
      <w:r w:rsidR="00C41CD3" w:rsidRPr="00104227">
        <w:rPr>
          <w:color w:val="000000" w:themeColor="text1"/>
        </w:rPr>
        <w:t xml:space="preserve">1224); </w:t>
      </w:r>
      <w:r w:rsidR="00410260" w:rsidRPr="00104227">
        <w:rPr>
          <w:color w:val="000000" w:themeColor="text1"/>
        </w:rPr>
        <w:t xml:space="preserve">report of the Forensic Medicine Service of the Federal District Superior Court of Justice </w:t>
      </w:r>
      <w:r w:rsidR="00E31E41" w:rsidRPr="00104227">
        <w:rPr>
          <w:color w:val="000000" w:themeColor="text1"/>
        </w:rPr>
        <w:t>of May</w:t>
      </w:r>
      <w:r w:rsidR="000777FE" w:rsidRPr="00104227">
        <w:rPr>
          <w:color w:val="000000" w:themeColor="text1"/>
        </w:rPr>
        <w:t xml:space="preserve"> 12</w:t>
      </w:r>
      <w:r w:rsidR="009075C6" w:rsidRPr="00104227">
        <w:rPr>
          <w:color w:val="000000" w:themeColor="text1"/>
        </w:rPr>
        <w:t>,</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xml:space="preserve">, folio 1228); </w:t>
      </w:r>
      <w:r w:rsidR="00E31E41" w:rsidRPr="00104227">
        <w:rPr>
          <w:color w:val="000000" w:themeColor="text1"/>
        </w:rPr>
        <w:t>CNDH Recommendation 38/2006</w:t>
      </w:r>
      <w:r w:rsidR="00C41CD3" w:rsidRPr="00104227">
        <w:rPr>
          <w:color w:val="000000" w:themeColor="text1"/>
        </w:rPr>
        <w:t xml:space="preserve">. </w:t>
      </w:r>
      <w:r w:rsidR="00E31E41" w:rsidRPr="00104227">
        <w:rPr>
          <w:color w:val="000000" w:themeColor="text1"/>
        </w:rPr>
        <w:t>Section on</w:t>
      </w:r>
      <w:r w:rsidR="00C41CD3" w:rsidRPr="00104227">
        <w:rPr>
          <w:color w:val="000000" w:themeColor="text1"/>
        </w:rPr>
        <w:t xml:space="preserve"> Ana María Velasco Rodríguez, </w:t>
      </w:r>
      <w:r w:rsidR="00E31E41" w:rsidRPr="00104227">
        <w:rPr>
          <w:color w:val="000000" w:themeColor="text1"/>
        </w:rPr>
        <w:t>identified as</w:t>
      </w:r>
      <w:r w:rsidR="00C41CD3" w:rsidRPr="00104227">
        <w:rPr>
          <w:color w:val="000000" w:themeColor="text1"/>
        </w:rPr>
        <w:t xml:space="preserve"> A199 (</w:t>
      </w:r>
      <w:r w:rsidRPr="00104227">
        <w:rPr>
          <w:color w:val="000000" w:themeColor="text1"/>
        </w:rPr>
        <w:t>evidence file</w:t>
      </w:r>
      <w:r w:rsidR="00C41CD3" w:rsidRPr="00104227">
        <w:rPr>
          <w:color w:val="000000" w:themeColor="text1"/>
        </w:rPr>
        <w:t xml:space="preserve">, folios 1234 </w:t>
      </w:r>
      <w:r w:rsidR="00410260" w:rsidRPr="00104227">
        <w:rPr>
          <w:color w:val="000000" w:themeColor="text1"/>
        </w:rPr>
        <w:t>to</w:t>
      </w:r>
      <w:r w:rsidR="00C41CD3" w:rsidRPr="00104227">
        <w:rPr>
          <w:color w:val="000000" w:themeColor="text1"/>
        </w:rPr>
        <w:t xml:space="preserve"> 1238),</w:t>
      </w:r>
      <w:r w:rsidR="00BF5241" w:rsidRPr="00104227">
        <w:rPr>
          <w:color w:val="000000" w:themeColor="text1"/>
        </w:rPr>
        <w:t xml:space="preserve"> and </w:t>
      </w:r>
      <w:r w:rsidR="00410260" w:rsidRPr="00104227">
        <w:rPr>
          <w:color w:val="000000" w:themeColor="text1"/>
        </w:rPr>
        <w:t>affidavit</w:t>
      </w:r>
      <w:r w:rsidRPr="00104227">
        <w:rPr>
          <w:color w:val="000000" w:themeColor="text1"/>
        </w:rPr>
        <w:t xml:space="preserve"> made by</w:t>
      </w:r>
      <w:r w:rsidR="00C41CD3" w:rsidRPr="00104227">
        <w:rPr>
          <w:color w:val="000000" w:themeColor="text1"/>
        </w:rPr>
        <w:t xml:space="preserve"> Ana María Velasco Rodríguez </w:t>
      </w:r>
      <w:r w:rsidR="00E31E41" w:rsidRPr="00104227">
        <w:rPr>
          <w:color w:val="000000" w:themeColor="text1"/>
        </w:rPr>
        <w:t>on October 31,</w:t>
      </w:r>
      <w:r w:rsidR="00C41CD3" w:rsidRPr="00104227">
        <w:rPr>
          <w:color w:val="000000" w:themeColor="text1"/>
        </w:rPr>
        <w:t xml:space="preserve"> 2017 (</w:t>
      </w:r>
      <w:r w:rsidRPr="00104227">
        <w:rPr>
          <w:color w:val="000000" w:themeColor="text1"/>
        </w:rPr>
        <w:t>evidence file</w:t>
      </w:r>
      <w:r w:rsidR="00C41CD3" w:rsidRPr="00104227">
        <w:rPr>
          <w:color w:val="000000" w:themeColor="text1"/>
        </w:rPr>
        <w:t xml:space="preserve">, folios 37158 </w:t>
      </w:r>
      <w:r w:rsidR="00410260" w:rsidRPr="00104227">
        <w:rPr>
          <w:color w:val="000000" w:themeColor="text1"/>
        </w:rPr>
        <w:t>to</w:t>
      </w:r>
      <w:r w:rsidR="00C41CD3" w:rsidRPr="00104227">
        <w:rPr>
          <w:color w:val="000000" w:themeColor="text1"/>
        </w:rPr>
        <w:t xml:space="preserve"> 37163).</w:t>
      </w:r>
    </w:p>
    <w:p w14:paraId="14C80FFB" w14:textId="77777777" w:rsidR="00C41CD3" w:rsidRPr="00104227" w:rsidRDefault="00C41CD3" w:rsidP="00E4619F">
      <w:pPr>
        <w:tabs>
          <w:tab w:val="left" w:pos="567"/>
        </w:tabs>
        <w:rPr>
          <w:b/>
          <w:color w:val="000000" w:themeColor="text1"/>
        </w:rPr>
      </w:pPr>
    </w:p>
    <w:p w14:paraId="22027072" w14:textId="78BC3A39" w:rsidR="00C41CD3" w:rsidRPr="00104227" w:rsidRDefault="004617E1" w:rsidP="00E4619F">
      <w:pPr>
        <w:tabs>
          <w:tab w:val="left" w:pos="567"/>
        </w:tabs>
        <w:rPr>
          <w:color w:val="000000" w:themeColor="text1"/>
          <w:u w:val="single"/>
        </w:rPr>
      </w:pPr>
      <w:r w:rsidRPr="00104227">
        <w:rPr>
          <w:color w:val="000000" w:themeColor="text1"/>
          <w:u w:val="single"/>
        </w:rPr>
        <w:t>Evidence of the facts relating to</w:t>
      </w:r>
      <w:r w:rsidR="00C41CD3" w:rsidRPr="00104227">
        <w:rPr>
          <w:color w:val="000000" w:themeColor="text1"/>
          <w:u w:val="single"/>
        </w:rPr>
        <w:t xml:space="preserve"> Suhelen Gabriela Cuevas Jaramillo</w:t>
      </w:r>
    </w:p>
    <w:p w14:paraId="44BDC149" w14:textId="77777777" w:rsidR="00C41CD3" w:rsidRPr="00104227" w:rsidRDefault="00C41CD3" w:rsidP="00E4619F">
      <w:pPr>
        <w:tabs>
          <w:tab w:val="left" w:pos="567"/>
        </w:tabs>
        <w:rPr>
          <w:b/>
          <w:color w:val="000000" w:themeColor="text1"/>
        </w:rPr>
      </w:pPr>
    </w:p>
    <w:p w14:paraId="5A19D498" w14:textId="3B51AC4D" w:rsidR="00C41CD3" w:rsidRPr="00104227" w:rsidRDefault="004617E1" w:rsidP="00E4619F">
      <w:pPr>
        <w:tabs>
          <w:tab w:val="left" w:pos="567"/>
        </w:tabs>
        <w:rPr>
          <w:b/>
          <w:color w:val="000000" w:themeColor="text1"/>
        </w:rPr>
      </w:pPr>
      <w:r w:rsidRPr="00104227">
        <w:rPr>
          <w:color w:val="000000" w:themeColor="text1"/>
        </w:rPr>
        <w:t>The description of what happened to</w:t>
      </w:r>
      <w:r w:rsidR="00C41CD3" w:rsidRPr="00104227">
        <w:rPr>
          <w:color w:val="000000" w:themeColor="text1"/>
        </w:rPr>
        <w:t xml:space="preserve"> Suhelen Gabriela Cuevas Jaramillo </w:t>
      </w:r>
      <w:r w:rsidRPr="00104227">
        <w:rPr>
          <w:color w:val="000000" w:themeColor="text1"/>
        </w:rPr>
        <w:t>can be found in the following evidence</w:t>
      </w:r>
      <w:r w:rsidR="00C41CD3" w:rsidRPr="00104227">
        <w:rPr>
          <w:color w:val="000000" w:themeColor="text1"/>
        </w:rPr>
        <w:t xml:space="preserve">, </w:t>
      </w:r>
      <w:r w:rsidRPr="00104227">
        <w:rPr>
          <w:color w:val="000000" w:themeColor="text1"/>
        </w:rPr>
        <w:t>unless otherwise specifically indicated</w:t>
      </w:r>
      <w:r w:rsidR="00C41CD3" w:rsidRPr="00104227">
        <w:rPr>
          <w:color w:val="000000" w:themeColor="text1"/>
        </w:rPr>
        <w:t xml:space="preserve">: </w:t>
      </w:r>
      <w:r w:rsidR="00D0136A" w:rsidRPr="00104227">
        <w:rPr>
          <w:color w:val="000000" w:themeColor="text1"/>
        </w:rPr>
        <w:t>Entry medical report of</w:t>
      </w:r>
      <w:r w:rsidR="00C41CD3" w:rsidRPr="00104227">
        <w:rPr>
          <w:color w:val="000000" w:themeColor="text1"/>
        </w:rPr>
        <w:t xml:space="preserve"> Suhelen Gabriela Cuevas Jaramillo </w:t>
      </w:r>
      <w:r w:rsidR="00B851FA" w:rsidRPr="00104227">
        <w:rPr>
          <w:color w:val="000000" w:themeColor="text1"/>
        </w:rPr>
        <w:t>of May 4,</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folios 1244</w:t>
      </w:r>
      <w:r w:rsidR="00BF5241" w:rsidRPr="00104227">
        <w:rPr>
          <w:color w:val="000000" w:themeColor="text1"/>
        </w:rPr>
        <w:t xml:space="preserve"> and </w:t>
      </w:r>
      <w:r w:rsidR="00C41CD3" w:rsidRPr="00104227">
        <w:rPr>
          <w:color w:val="000000" w:themeColor="text1"/>
        </w:rPr>
        <w:t xml:space="preserve">1245); </w:t>
      </w:r>
      <w:r w:rsidR="00E31E41" w:rsidRPr="00104227">
        <w:rPr>
          <w:color w:val="000000" w:themeColor="text1"/>
        </w:rPr>
        <w:t>CNDH medical certificate of the injuries of</w:t>
      </w:r>
      <w:r w:rsidR="00C41CD3" w:rsidRPr="00104227">
        <w:rPr>
          <w:color w:val="000000" w:themeColor="text1"/>
        </w:rPr>
        <w:t xml:space="preserve"> Suhelen Gabriela Cuevas Jaramillo</w:t>
      </w:r>
      <w:r w:rsidR="00E31E41" w:rsidRPr="00104227">
        <w:rPr>
          <w:color w:val="000000" w:themeColor="text1"/>
        </w:rPr>
        <w:t xml:space="preserve"> of May</w:t>
      </w:r>
      <w:r w:rsidR="000777FE" w:rsidRPr="00104227">
        <w:rPr>
          <w:color w:val="000000" w:themeColor="text1"/>
        </w:rPr>
        <w:t xml:space="preserve"> 17,</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folios 1250</w:t>
      </w:r>
      <w:r w:rsidR="00BF5241" w:rsidRPr="00104227">
        <w:rPr>
          <w:color w:val="000000" w:themeColor="text1"/>
        </w:rPr>
        <w:t xml:space="preserve"> and </w:t>
      </w:r>
      <w:r w:rsidR="00C41CD3" w:rsidRPr="00104227">
        <w:rPr>
          <w:color w:val="000000" w:themeColor="text1"/>
        </w:rPr>
        <w:t xml:space="preserve">1251); </w:t>
      </w:r>
      <w:r w:rsidR="00977636" w:rsidRPr="00104227">
        <w:rPr>
          <w:color w:val="000000" w:themeColor="text1"/>
        </w:rPr>
        <w:t>d</w:t>
      </w:r>
      <w:r w:rsidR="00410260" w:rsidRPr="00104227">
        <w:rPr>
          <w:color w:val="000000" w:themeColor="text1"/>
        </w:rPr>
        <w:t>etailed record</w:t>
      </w:r>
      <w:r w:rsidR="00C41CD3" w:rsidRPr="00104227">
        <w:rPr>
          <w:color w:val="000000" w:themeColor="text1"/>
        </w:rPr>
        <w:t xml:space="preserve"> </w:t>
      </w:r>
      <w:r w:rsidR="00581EFB" w:rsidRPr="00104227">
        <w:rPr>
          <w:color w:val="000000" w:themeColor="text1"/>
        </w:rPr>
        <w:t>of the Deputy</w:t>
      </w:r>
      <w:r w:rsidR="00D0136A" w:rsidRPr="00104227">
        <w:rPr>
          <w:color w:val="000000" w:themeColor="text1"/>
        </w:rPr>
        <w:t xml:space="preserve"> Inspector</w:t>
      </w:r>
      <w:r w:rsidR="00BF5241" w:rsidRPr="00104227">
        <w:rPr>
          <w:color w:val="000000" w:themeColor="text1"/>
        </w:rPr>
        <w:t xml:space="preserve"> of the </w:t>
      </w:r>
      <w:r w:rsidR="00F12946" w:rsidRPr="00104227">
        <w:rPr>
          <w:color w:val="000000" w:themeColor="text1"/>
        </w:rPr>
        <w:t>National Human Rights Commission</w:t>
      </w:r>
      <w:r w:rsidR="00E31E41" w:rsidRPr="00104227">
        <w:rPr>
          <w:color w:val="000000" w:themeColor="text1"/>
        </w:rPr>
        <w:t xml:space="preserve"> of May</w:t>
      </w:r>
      <w:r w:rsidR="006F5741" w:rsidRPr="00104227">
        <w:rPr>
          <w:color w:val="000000" w:themeColor="text1"/>
        </w:rPr>
        <w:t xml:space="preserve"> 5,</w:t>
      </w:r>
      <w:r w:rsidR="00C41CD3" w:rsidRPr="00104227">
        <w:rPr>
          <w:color w:val="000000" w:themeColor="text1"/>
        </w:rPr>
        <w:t xml:space="preserve"> 2006</w:t>
      </w:r>
      <w:r w:rsidR="00E31E41" w:rsidRPr="00104227">
        <w:rPr>
          <w:color w:val="000000" w:themeColor="text1"/>
        </w:rPr>
        <w:t>,</w:t>
      </w:r>
      <w:r w:rsidR="00C41CD3" w:rsidRPr="00104227">
        <w:rPr>
          <w:color w:val="000000" w:themeColor="text1"/>
        </w:rPr>
        <w:t xml:space="preserve"> </w:t>
      </w:r>
      <w:r w:rsidR="00E31E41" w:rsidRPr="00104227">
        <w:rPr>
          <w:color w:val="000000" w:themeColor="text1"/>
        </w:rPr>
        <w:t>with regard to</w:t>
      </w:r>
      <w:r w:rsidR="00C41CD3" w:rsidRPr="00104227">
        <w:rPr>
          <w:color w:val="000000" w:themeColor="text1"/>
        </w:rPr>
        <w:t xml:space="preserve"> Suhelen Gabriela Cuevas Jaramillo (</w:t>
      </w:r>
      <w:r w:rsidRPr="00104227">
        <w:rPr>
          <w:color w:val="000000" w:themeColor="text1"/>
        </w:rPr>
        <w:t>evidence file</w:t>
      </w:r>
      <w:r w:rsidR="00C41CD3" w:rsidRPr="00104227">
        <w:rPr>
          <w:color w:val="000000" w:themeColor="text1"/>
        </w:rPr>
        <w:t xml:space="preserve">, folio 1247); </w:t>
      </w:r>
      <w:r w:rsidR="00E31E41" w:rsidRPr="00104227">
        <w:rPr>
          <w:color w:val="000000" w:themeColor="text1"/>
        </w:rPr>
        <w:t>detailed record of the</w:t>
      </w:r>
      <w:r w:rsidR="00C41CD3" w:rsidRPr="00104227">
        <w:rPr>
          <w:color w:val="000000" w:themeColor="text1"/>
        </w:rPr>
        <w:t xml:space="preserve"> </w:t>
      </w:r>
      <w:r w:rsidR="00581EFB" w:rsidRPr="00104227">
        <w:rPr>
          <w:color w:val="000000" w:themeColor="text1"/>
        </w:rPr>
        <w:t xml:space="preserve">CNDH </w:t>
      </w:r>
      <w:r w:rsidR="00D0136A" w:rsidRPr="00104227">
        <w:rPr>
          <w:color w:val="000000" w:themeColor="text1"/>
        </w:rPr>
        <w:t>Deputy Inspector</w:t>
      </w:r>
      <w:r w:rsidR="00C41CD3" w:rsidRPr="00104227">
        <w:rPr>
          <w:color w:val="000000" w:themeColor="text1"/>
        </w:rPr>
        <w:t xml:space="preserve"> </w:t>
      </w:r>
      <w:r w:rsidR="00E31E41" w:rsidRPr="00104227">
        <w:rPr>
          <w:color w:val="000000" w:themeColor="text1"/>
        </w:rPr>
        <w:t>of June 8,</w:t>
      </w:r>
      <w:r w:rsidR="00C41CD3" w:rsidRPr="00104227">
        <w:rPr>
          <w:color w:val="000000" w:themeColor="text1"/>
        </w:rPr>
        <w:t xml:space="preserve"> 2006</w:t>
      </w:r>
      <w:r w:rsidR="00E31E41" w:rsidRPr="00104227">
        <w:rPr>
          <w:color w:val="000000" w:themeColor="text1"/>
        </w:rPr>
        <w:t>,</w:t>
      </w:r>
      <w:r w:rsidR="00C41CD3" w:rsidRPr="00104227">
        <w:rPr>
          <w:color w:val="000000" w:themeColor="text1"/>
        </w:rPr>
        <w:t xml:space="preserve"> </w:t>
      </w:r>
      <w:r w:rsidR="00E31E41" w:rsidRPr="00104227">
        <w:rPr>
          <w:color w:val="000000" w:themeColor="text1"/>
        </w:rPr>
        <w:t>with regard to</w:t>
      </w:r>
      <w:r w:rsidR="00C41CD3" w:rsidRPr="00104227">
        <w:rPr>
          <w:color w:val="000000" w:themeColor="text1"/>
        </w:rPr>
        <w:t xml:space="preserve"> Suhelen Gabriela Cuevas Jaramillo (</w:t>
      </w:r>
      <w:r w:rsidRPr="00104227">
        <w:rPr>
          <w:color w:val="000000" w:themeColor="text1"/>
        </w:rPr>
        <w:t>evidence file</w:t>
      </w:r>
      <w:r w:rsidR="00C41CD3" w:rsidRPr="00104227">
        <w:rPr>
          <w:color w:val="000000" w:themeColor="text1"/>
        </w:rPr>
        <w:t xml:space="preserve">, folios 1254 </w:t>
      </w:r>
      <w:r w:rsidR="00E31E41" w:rsidRPr="00104227">
        <w:rPr>
          <w:color w:val="000000" w:themeColor="text1"/>
        </w:rPr>
        <w:t>to</w:t>
      </w:r>
      <w:r w:rsidR="00C41CD3" w:rsidRPr="00104227">
        <w:rPr>
          <w:color w:val="000000" w:themeColor="text1"/>
        </w:rPr>
        <w:t xml:space="preserve"> 1256); </w:t>
      </w:r>
      <w:r w:rsidR="00581EFB" w:rsidRPr="00104227">
        <w:rPr>
          <w:color w:val="000000" w:themeColor="text1"/>
        </w:rPr>
        <w:t>CNDH report of August 31</w:t>
      </w:r>
      <w:r w:rsidR="00E31E41" w:rsidRPr="00104227">
        <w:rPr>
          <w:color w:val="000000" w:themeColor="text1"/>
        </w:rPr>
        <w:t>,</w:t>
      </w:r>
      <w:r w:rsidR="00C41CD3" w:rsidRPr="00104227">
        <w:rPr>
          <w:color w:val="000000" w:themeColor="text1"/>
        </w:rPr>
        <w:t xml:space="preserve"> </w:t>
      </w:r>
      <w:r w:rsidR="008C6D02" w:rsidRPr="00104227">
        <w:rPr>
          <w:color w:val="000000" w:themeColor="text1"/>
        </w:rPr>
        <w:t xml:space="preserve">2006, </w:t>
      </w:r>
      <w:r w:rsidR="00E31E41" w:rsidRPr="00104227">
        <w:rPr>
          <w:color w:val="000000" w:themeColor="text1"/>
        </w:rPr>
        <w:t>recording the application</w:t>
      </w:r>
      <w:r w:rsidRPr="00104227">
        <w:rPr>
          <w:color w:val="000000" w:themeColor="text1"/>
        </w:rPr>
        <w:t xml:space="preserve"> of the Istanbul Protocol to</w:t>
      </w:r>
      <w:r w:rsidR="00C41CD3" w:rsidRPr="00104227">
        <w:rPr>
          <w:color w:val="000000" w:themeColor="text1"/>
        </w:rPr>
        <w:t xml:space="preserve"> Suhelen Gabriela Cuevas Jaramillo (</w:t>
      </w:r>
      <w:r w:rsidRPr="00104227">
        <w:rPr>
          <w:color w:val="000000" w:themeColor="text1"/>
        </w:rPr>
        <w:t>evidence file</w:t>
      </w:r>
      <w:r w:rsidR="00C41CD3" w:rsidRPr="00104227">
        <w:rPr>
          <w:color w:val="000000" w:themeColor="text1"/>
        </w:rPr>
        <w:t>, folios 1264</w:t>
      </w:r>
      <w:r w:rsidR="00BF5241" w:rsidRPr="00104227">
        <w:rPr>
          <w:color w:val="000000" w:themeColor="text1"/>
        </w:rPr>
        <w:t xml:space="preserve"> and </w:t>
      </w:r>
      <w:r w:rsidR="00C41CD3" w:rsidRPr="00104227">
        <w:rPr>
          <w:color w:val="000000" w:themeColor="text1"/>
        </w:rPr>
        <w:t>1265, 1269</w:t>
      </w:r>
      <w:r w:rsidR="00BF5241" w:rsidRPr="00104227">
        <w:rPr>
          <w:color w:val="000000" w:themeColor="text1"/>
        </w:rPr>
        <w:t xml:space="preserve"> and </w:t>
      </w:r>
      <w:r w:rsidR="00C41CD3" w:rsidRPr="00104227">
        <w:rPr>
          <w:color w:val="000000" w:themeColor="text1"/>
        </w:rPr>
        <w:t xml:space="preserve">1277); </w:t>
      </w:r>
      <w:r w:rsidRPr="00104227">
        <w:rPr>
          <w:color w:val="000000" w:themeColor="text1"/>
        </w:rPr>
        <w:t>statement by</w:t>
      </w:r>
      <w:r w:rsidR="00C41CD3" w:rsidRPr="00104227">
        <w:rPr>
          <w:color w:val="000000" w:themeColor="text1"/>
        </w:rPr>
        <w:t xml:space="preserve"> Suhelen Gabriela Cuevas Jaramillo </w:t>
      </w:r>
      <w:r w:rsidRPr="00104227">
        <w:rPr>
          <w:color w:val="000000" w:themeColor="text1"/>
        </w:rPr>
        <w:t>before the</w:t>
      </w:r>
      <w:r w:rsidR="00C41CD3" w:rsidRPr="00104227">
        <w:rPr>
          <w:color w:val="000000" w:themeColor="text1"/>
        </w:rPr>
        <w:t xml:space="preserve"> FEVIM </w:t>
      </w:r>
      <w:r w:rsidR="00E31E41" w:rsidRPr="00104227">
        <w:rPr>
          <w:color w:val="000000" w:themeColor="text1"/>
        </w:rPr>
        <w:t>on May 25</w:t>
      </w:r>
      <w:r w:rsidR="006F5741" w:rsidRPr="00104227">
        <w:rPr>
          <w:color w:val="000000" w:themeColor="text1"/>
        </w:rPr>
        <w:t>,</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folios 1285</w:t>
      </w:r>
      <w:r w:rsidR="00BF5241" w:rsidRPr="00104227">
        <w:rPr>
          <w:color w:val="000000" w:themeColor="text1"/>
        </w:rPr>
        <w:t xml:space="preserve"> and </w:t>
      </w:r>
      <w:r w:rsidR="00C41CD3" w:rsidRPr="00104227">
        <w:rPr>
          <w:color w:val="000000" w:themeColor="text1"/>
        </w:rPr>
        <w:t xml:space="preserve">1286); </w:t>
      </w:r>
      <w:r w:rsidR="00581EFB" w:rsidRPr="00104227">
        <w:rPr>
          <w:color w:val="000000" w:themeColor="text1"/>
        </w:rPr>
        <w:t>a</w:t>
      </w:r>
      <w:r w:rsidRPr="00104227">
        <w:rPr>
          <w:color w:val="000000" w:themeColor="text1"/>
        </w:rPr>
        <w:t>pplication of the Istanbul Protocol to</w:t>
      </w:r>
      <w:r w:rsidR="00C41CD3" w:rsidRPr="00104227">
        <w:rPr>
          <w:color w:val="000000" w:themeColor="text1"/>
        </w:rPr>
        <w:t xml:space="preserve"> Suhelen Gabriela Cuevas Jaramillo </w:t>
      </w:r>
      <w:r w:rsidRPr="00104227">
        <w:rPr>
          <w:color w:val="000000" w:themeColor="text1"/>
        </w:rPr>
        <w:t>by the</w:t>
      </w:r>
      <w:r w:rsidR="00C41CD3" w:rsidRPr="00104227">
        <w:rPr>
          <w:color w:val="000000" w:themeColor="text1"/>
        </w:rPr>
        <w:t xml:space="preserve"> </w:t>
      </w:r>
      <w:r w:rsidR="00C41CD3" w:rsidRPr="00104227">
        <w:rPr>
          <w:i/>
          <w:iCs/>
          <w:color w:val="000000" w:themeColor="text1"/>
        </w:rPr>
        <w:t xml:space="preserve">Colectivo </w:t>
      </w:r>
      <w:r w:rsidR="00E31E41" w:rsidRPr="00104227">
        <w:rPr>
          <w:i/>
          <w:iCs/>
          <w:color w:val="000000" w:themeColor="text1"/>
        </w:rPr>
        <w:t>contra la Tortura y la</w:t>
      </w:r>
      <w:r w:rsidR="00C41CD3" w:rsidRPr="00104227">
        <w:rPr>
          <w:i/>
          <w:iCs/>
          <w:color w:val="000000" w:themeColor="text1"/>
        </w:rPr>
        <w:t xml:space="preserve"> Impunidad</w:t>
      </w:r>
      <w:r w:rsidR="00C41CD3" w:rsidRPr="00104227">
        <w:rPr>
          <w:color w:val="000000" w:themeColor="text1"/>
        </w:rPr>
        <w:t xml:space="preserve"> (</w:t>
      </w:r>
      <w:r w:rsidRPr="00104227">
        <w:rPr>
          <w:color w:val="000000" w:themeColor="text1"/>
        </w:rPr>
        <w:t>evidence file</w:t>
      </w:r>
      <w:r w:rsidR="00C41CD3" w:rsidRPr="00104227">
        <w:rPr>
          <w:color w:val="000000" w:themeColor="text1"/>
        </w:rPr>
        <w:t xml:space="preserve"> folios 1303 </w:t>
      </w:r>
      <w:r w:rsidR="00E31E41" w:rsidRPr="00104227">
        <w:rPr>
          <w:color w:val="000000" w:themeColor="text1"/>
        </w:rPr>
        <w:t>to</w:t>
      </w:r>
      <w:r w:rsidR="00C41CD3" w:rsidRPr="00104227">
        <w:rPr>
          <w:color w:val="000000" w:themeColor="text1"/>
        </w:rPr>
        <w:t xml:space="preserve"> 1306, 1330</w:t>
      </w:r>
      <w:r w:rsidR="00BF5241" w:rsidRPr="00104227">
        <w:rPr>
          <w:color w:val="000000" w:themeColor="text1"/>
        </w:rPr>
        <w:t xml:space="preserve"> and </w:t>
      </w:r>
      <w:r w:rsidR="00C41CD3" w:rsidRPr="00104227">
        <w:rPr>
          <w:color w:val="000000" w:themeColor="text1"/>
        </w:rPr>
        <w:t xml:space="preserve">1331); </w:t>
      </w:r>
      <w:r w:rsidR="00E31E41" w:rsidRPr="00104227">
        <w:rPr>
          <w:color w:val="000000" w:themeColor="text1"/>
        </w:rPr>
        <w:t>detailed record of the</w:t>
      </w:r>
      <w:r w:rsidR="00C41CD3" w:rsidRPr="00104227">
        <w:rPr>
          <w:color w:val="000000" w:themeColor="text1"/>
        </w:rPr>
        <w:t xml:space="preserve"> </w:t>
      </w:r>
      <w:r w:rsidR="00581EFB" w:rsidRPr="00104227">
        <w:rPr>
          <w:color w:val="000000" w:themeColor="text1"/>
        </w:rPr>
        <w:t>Deputy Inspector</w:t>
      </w:r>
      <w:r w:rsidR="00C41CD3" w:rsidRPr="00104227">
        <w:rPr>
          <w:color w:val="000000" w:themeColor="text1"/>
        </w:rPr>
        <w:t xml:space="preserve"> </w:t>
      </w:r>
      <w:r w:rsidR="00E31E41" w:rsidRPr="00104227">
        <w:rPr>
          <w:color w:val="000000" w:themeColor="text1"/>
        </w:rPr>
        <w:t>of May 24</w:t>
      </w:r>
      <w:r w:rsidR="00856FE0" w:rsidRPr="00104227">
        <w:rPr>
          <w:color w:val="000000" w:themeColor="text1"/>
        </w:rPr>
        <w:t>,</w:t>
      </w:r>
      <w:r w:rsidR="00C41CD3" w:rsidRPr="00104227">
        <w:rPr>
          <w:color w:val="000000" w:themeColor="text1"/>
        </w:rPr>
        <w:t xml:space="preserve"> 2006</w:t>
      </w:r>
      <w:r w:rsidR="00E31E41" w:rsidRPr="00104227">
        <w:rPr>
          <w:color w:val="000000" w:themeColor="text1"/>
        </w:rPr>
        <w:t>,</w:t>
      </w:r>
      <w:r w:rsidR="00C41CD3" w:rsidRPr="00104227">
        <w:rPr>
          <w:color w:val="000000" w:themeColor="text1"/>
        </w:rPr>
        <w:t xml:space="preserve"> </w:t>
      </w:r>
      <w:r w:rsidR="00E31E41" w:rsidRPr="00104227">
        <w:rPr>
          <w:color w:val="000000" w:themeColor="text1"/>
        </w:rPr>
        <w:t>with regard to</w:t>
      </w:r>
      <w:r w:rsidR="00C41CD3" w:rsidRPr="00104227">
        <w:rPr>
          <w:color w:val="000000" w:themeColor="text1"/>
        </w:rPr>
        <w:t xml:space="preserve"> </w:t>
      </w:r>
      <w:r w:rsidR="00E31E41" w:rsidRPr="00104227">
        <w:rPr>
          <w:color w:val="000000" w:themeColor="text1"/>
        </w:rPr>
        <w:t>several persons on hunger strike</w:t>
      </w:r>
      <w:r w:rsidR="00C41CD3" w:rsidRPr="00104227">
        <w:rPr>
          <w:color w:val="000000" w:themeColor="text1"/>
        </w:rPr>
        <w:t xml:space="preserve"> (</w:t>
      </w:r>
      <w:r w:rsidRPr="00104227">
        <w:rPr>
          <w:color w:val="000000" w:themeColor="text1"/>
        </w:rPr>
        <w:t>evidence file</w:t>
      </w:r>
      <w:r w:rsidR="00C41CD3" w:rsidRPr="00104227">
        <w:rPr>
          <w:color w:val="000000" w:themeColor="text1"/>
        </w:rPr>
        <w:t xml:space="preserve">, folios 1596 </w:t>
      </w:r>
      <w:r w:rsidR="00E31E41" w:rsidRPr="00104227">
        <w:rPr>
          <w:color w:val="000000" w:themeColor="text1"/>
        </w:rPr>
        <w:t>to</w:t>
      </w:r>
      <w:r w:rsidR="00C41CD3" w:rsidRPr="00104227">
        <w:rPr>
          <w:color w:val="000000" w:themeColor="text1"/>
        </w:rPr>
        <w:t xml:space="preserve"> 1599); </w:t>
      </w:r>
      <w:r w:rsidR="00E31E41" w:rsidRPr="00104227">
        <w:rPr>
          <w:color w:val="000000" w:themeColor="text1"/>
        </w:rPr>
        <w:t>detailed record of the</w:t>
      </w:r>
      <w:r w:rsidR="00C41CD3" w:rsidRPr="00104227">
        <w:rPr>
          <w:color w:val="000000" w:themeColor="text1"/>
        </w:rPr>
        <w:t xml:space="preserve"> </w:t>
      </w:r>
      <w:r w:rsidR="00581EFB" w:rsidRPr="00104227">
        <w:rPr>
          <w:color w:val="000000" w:themeColor="text1"/>
        </w:rPr>
        <w:t xml:space="preserve">CNDH </w:t>
      </w:r>
      <w:r w:rsidR="00D0136A" w:rsidRPr="00104227">
        <w:rPr>
          <w:color w:val="000000" w:themeColor="text1"/>
        </w:rPr>
        <w:t>Deputy Inspector</w:t>
      </w:r>
      <w:r w:rsidR="00BF5241" w:rsidRPr="00104227">
        <w:rPr>
          <w:color w:val="000000" w:themeColor="text1"/>
        </w:rPr>
        <w:t xml:space="preserve"> and</w:t>
      </w:r>
      <w:r w:rsidR="00E31E41" w:rsidRPr="00104227">
        <w:rPr>
          <w:color w:val="000000" w:themeColor="text1"/>
        </w:rPr>
        <w:t xml:space="preserve"> health professionals</w:t>
      </w:r>
      <w:r w:rsidR="00C41CD3" w:rsidRPr="00104227">
        <w:rPr>
          <w:color w:val="000000" w:themeColor="text1"/>
        </w:rPr>
        <w:t xml:space="preserve"> </w:t>
      </w:r>
      <w:r w:rsidR="00E31E41" w:rsidRPr="00104227">
        <w:rPr>
          <w:color w:val="000000" w:themeColor="text1"/>
        </w:rPr>
        <w:t>of June 1,</w:t>
      </w:r>
      <w:r w:rsidR="00C41CD3" w:rsidRPr="00104227">
        <w:rPr>
          <w:color w:val="000000" w:themeColor="text1"/>
        </w:rPr>
        <w:t xml:space="preserve"> 2006</w:t>
      </w:r>
      <w:r w:rsidR="00E31E41" w:rsidRPr="00104227">
        <w:rPr>
          <w:color w:val="000000" w:themeColor="text1"/>
        </w:rPr>
        <w:t>,</w:t>
      </w:r>
      <w:r w:rsidR="00C41CD3" w:rsidRPr="00104227">
        <w:rPr>
          <w:color w:val="000000" w:themeColor="text1"/>
        </w:rPr>
        <w:t xml:space="preserve"> </w:t>
      </w:r>
      <w:r w:rsidR="00E31E41" w:rsidRPr="00104227">
        <w:rPr>
          <w:color w:val="000000" w:themeColor="text1"/>
        </w:rPr>
        <w:t>regarding psychological support for</w:t>
      </w:r>
      <w:r w:rsidR="00C41CD3" w:rsidRPr="00104227">
        <w:rPr>
          <w:color w:val="000000" w:themeColor="text1"/>
        </w:rPr>
        <w:t xml:space="preserve"> Suhelen Gabriela Cuevas Jaramillo (</w:t>
      </w:r>
      <w:r w:rsidRPr="00104227">
        <w:rPr>
          <w:color w:val="000000" w:themeColor="text1"/>
        </w:rPr>
        <w:t>evidence file</w:t>
      </w:r>
      <w:r w:rsidR="00C41CD3" w:rsidRPr="00104227">
        <w:rPr>
          <w:color w:val="000000" w:themeColor="text1"/>
        </w:rPr>
        <w:t xml:space="preserve">, folio 1289); </w:t>
      </w:r>
      <w:r w:rsidR="00E31E41" w:rsidRPr="00104227">
        <w:rPr>
          <w:color w:val="000000" w:themeColor="text1"/>
        </w:rPr>
        <w:t>CNDH Recommendation 38/2006</w:t>
      </w:r>
      <w:r w:rsidR="00C41CD3" w:rsidRPr="00104227">
        <w:rPr>
          <w:color w:val="000000" w:themeColor="text1"/>
        </w:rPr>
        <w:t xml:space="preserve">. </w:t>
      </w:r>
      <w:r w:rsidR="00E31E41" w:rsidRPr="00104227">
        <w:rPr>
          <w:color w:val="000000" w:themeColor="text1"/>
        </w:rPr>
        <w:t>Section on</w:t>
      </w:r>
      <w:r w:rsidR="00C41CD3" w:rsidRPr="00104227">
        <w:rPr>
          <w:color w:val="000000" w:themeColor="text1"/>
        </w:rPr>
        <w:t xml:space="preserve"> Suhelen Gabriela Cuevas Jaramillo, </w:t>
      </w:r>
      <w:r w:rsidR="00E31E41" w:rsidRPr="00104227">
        <w:rPr>
          <w:color w:val="000000" w:themeColor="text1"/>
        </w:rPr>
        <w:t>identified as</w:t>
      </w:r>
      <w:r w:rsidR="00C41CD3" w:rsidRPr="00104227">
        <w:rPr>
          <w:color w:val="000000" w:themeColor="text1"/>
        </w:rPr>
        <w:t xml:space="preserve"> A45 (</w:t>
      </w:r>
      <w:r w:rsidRPr="00104227">
        <w:rPr>
          <w:color w:val="000000" w:themeColor="text1"/>
        </w:rPr>
        <w:t>evidence file</w:t>
      </w:r>
      <w:r w:rsidR="00C41CD3" w:rsidRPr="00104227">
        <w:rPr>
          <w:color w:val="000000" w:themeColor="text1"/>
        </w:rPr>
        <w:t xml:space="preserve">, folios 1345 </w:t>
      </w:r>
      <w:r w:rsidR="00E31E41" w:rsidRPr="00104227">
        <w:rPr>
          <w:color w:val="000000" w:themeColor="text1"/>
        </w:rPr>
        <w:t>to</w:t>
      </w:r>
      <w:r w:rsidR="00C41CD3" w:rsidRPr="00104227">
        <w:rPr>
          <w:color w:val="000000" w:themeColor="text1"/>
        </w:rPr>
        <w:t xml:space="preserve"> 1349),</w:t>
      </w:r>
      <w:r w:rsidR="00BF5241" w:rsidRPr="00104227">
        <w:rPr>
          <w:color w:val="000000" w:themeColor="text1"/>
        </w:rPr>
        <w:t xml:space="preserve"> and </w:t>
      </w:r>
      <w:r w:rsidRPr="00104227">
        <w:rPr>
          <w:color w:val="000000" w:themeColor="text1"/>
        </w:rPr>
        <w:t>statement by</w:t>
      </w:r>
      <w:r w:rsidR="00C41CD3" w:rsidRPr="00104227">
        <w:rPr>
          <w:color w:val="000000" w:themeColor="text1"/>
        </w:rPr>
        <w:t xml:space="preserve"> Suhelen Gabriela Cuevas Jaramillo </w:t>
      </w:r>
      <w:r w:rsidRPr="00104227">
        <w:rPr>
          <w:color w:val="000000" w:themeColor="text1"/>
        </w:rPr>
        <w:t>during the public hearing before this Court</w:t>
      </w:r>
      <w:r w:rsidR="00C41CD3" w:rsidRPr="00104227">
        <w:rPr>
          <w:color w:val="000000" w:themeColor="text1"/>
        </w:rPr>
        <w:t xml:space="preserve">. </w:t>
      </w:r>
    </w:p>
    <w:p w14:paraId="22BFC74A" w14:textId="77777777" w:rsidR="00C41CD3" w:rsidRPr="00104227" w:rsidRDefault="00C41CD3" w:rsidP="00E4619F">
      <w:pPr>
        <w:tabs>
          <w:tab w:val="left" w:pos="567"/>
        </w:tabs>
        <w:rPr>
          <w:b/>
          <w:color w:val="000000" w:themeColor="text1"/>
        </w:rPr>
      </w:pPr>
    </w:p>
    <w:p w14:paraId="5942213B" w14:textId="2A71271E" w:rsidR="00C41CD3" w:rsidRPr="00104227" w:rsidRDefault="004617E1" w:rsidP="00E4619F">
      <w:pPr>
        <w:tabs>
          <w:tab w:val="left" w:pos="567"/>
        </w:tabs>
        <w:rPr>
          <w:color w:val="000000" w:themeColor="text1"/>
          <w:u w:val="single"/>
        </w:rPr>
      </w:pPr>
      <w:r w:rsidRPr="00104227">
        <w:rPr>
          <w:color w:val="000000" w:themeColor="text1"/>
          <w:u w:val="single"/>
        </w:rPr>
        <w:t>Evidence of the facts relating to</w:t>
      </w:r>
      <w:r w:rsidR="00C41CD3" w:rsidRPr="00104227">
        <w:rPr>
          <w:color w:val="000000" w:themeColor="text1"/>
          <w:u w:val="single"/>
        </w:rPr>
        <w:t xml:space="preserve"> Bárbara Italia Méndez Moreno</w:t>
      </w:r>
    </w:p>
    <w:p w14:paraId="7CC78A57" w14:textId="77777777" w:rsidR="00C41CD3" w:rsidRPr="00104227" w:rsidRDefault="00C41CD3" w:rsidP="00E4619F">
      <w:pPr>
        <w:tabs>
          <w:tab w:val="left" w:pos="567"/>
        </w:tabs>
        <w:rPr>
          <w:b/>
          <w:color w:val="000000" w:themeColor="text1"/>
        </w:rPr>
      </w:pPr>
    </w:p>
    <w:p w14:paraId="3BC36CDB" w14:textId="3594D63F" w:rsidR="00C41CD3" w:rsidRPr="00104227" w:rsidRDefault="004617E1" w:rsidP="00E4619F">
      <w:pPr>
        <w:tabs>
          <w:tab w:val="left" w:pos="567"/>
        </w:tabs>
        <w:rPr>
          <w:color w:val="000000" w:themeColor="text1"/>
        </w:rPr>
      </w:pPr>
      <w:r w:rsidRPr="00104227">
        <w:rPr>
          <w:color w:val="000000" w:themeColor="text1"/>
        </w:rPr>
        <w:t>The description of what happened to</w:t>
      </w:r>
      <w:r w:rsidR="00C41CD3" w:rsidRPr="00104227">
        <w:rPr>
          <w:color w:val="000000" w:themeColor="text1"/>
        </w:rPr>
        <w:t xml:space="preserve"> Bárbara Italia Méndez Moreno </w:t>
      </w:r>
      <w:r w:rsidRPr="00104227">
        <w:rPr>
          <w:color w:val="000000" w:themeColor="text1"/>
        </w:rPr>
        <w:t>can be found in the following evidence</w:t>
      </w:r>
      <w:r w:rsidR="00C41CD3" w:rsidRPr="00104227">
        <w:rPr>
          <w:color w:val="000000" w:themeColor="text1"/>
        </w:rPr>
        <w:t xml:space="preserve">, </w:t>
      </w:r>
      <w:r w:rsidRPr="00104227">
        <w:rPr>
          <w:color w:val="000000" w:themeColor="text1"/>
        </w:rPr>
        <w:t>unless otherwise specifically indicated</w:t>
      </w:r>
      <w:r w:rsidR="00C41CD3" w:rsidRPr="00104227">
        <w:rPr>
          <w:color w:val="000000" w:themeColor="text1"/>
        </w:rPr>
        <w:t xml:space="preserve">: </w:t>
      </w:r>
      <w:r w:rsidR="00D0136A" w:rsidRPr="00104227">
        <w:rPr>
          <w:color w:val="000000" w:themeColor="text1"/>
        </w:rPr>
        <w:t>Entry medical report of</w:t>
      </w:r>
      <w:r w:rsidR="00C41CD3" w:rsidRPr="00104227">
        <w:rPr>
          <w:color w:val="000000" w:themeColor="text1"/>
        </w:rPr>
        <w:t xml:space="preserve"> Bárbara Italia Méndez Moreno </w:t>
      </w:r>
      <w:r w:rsidR="00B851FA" w:rsidRPr="00104227">
        <w:rPr>
          <w:color w:val="000000" w:themeColor="text1"/>
        </w:rPr>
        <w:t>of May 4,</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folios 1358</w:t>
      </w:r>
      <w:r w:rsidR="00BF5241" w:rsidRPr="00104227">
        <w:rPr>
          <w:color w:val="000000" w:themeColor="text1"/>
        </w:rPr>
        <w:t xml:space="preserve"> and </w:t>
      </w:r>
      <w:r w:rsidR="00C41CD3" w:rsidRPr="00104227">
        <w:rPr>
          <w:color w:val="000000" w:themeColor="text1"/>
        </w:rPr>
        <w:t xml:space="preserve">1359); </w:t>
      </w:r>
      <w:r w:rsidR="00E31E41" w:rsidRPr="00104227">
        <w:rPr>
          <w:color w:val="000000" w:themeColor="text1"/>
        </w:rPr>
        <w:t>detailed record of the</w:t>
      </w:r>
      <w:r w:rsidR="00C41CD3" w:rsidRPr="00104227">
        <w:rPr>
          <w:color w:val="000000" w:themeColor="text1"/>
        </w:rPr>
        <w:t xml:space="preserve"> </w:t>
      </w:r>
      <w:r w:rsidR="00581EFB" w:rsidRPr="00104227">
        <w:rPr>
          <w:color w:val="000000" w:themeColor="text1"/>
        </w:rPr>
        <w:t xml:space="preserve">CNDH </w:t>
      </w:r>
      <w:r w:rsidR="00D0136A" w:rsidRPr="00104227">
        <w:rPr>
          <w:color w:val="000000" w:themeColor="text1"/>
        </w:rPr>
        <w:t>Deputy Inspector</w:t>
      </w:r>
      <w:r w:rsidR="00C41CD3" w:rsidRPr="00104227">
        <w:rPr>
          <w:color w:val="000000" w:themeColor="text1"/>
        </w:rPr>
        <w:t xml:space="preserve"> </w:t>
      </w:r>
      <w:r w:rsidR="00E31E41" w:rsidRPr="00104227">
        <w:rPr>
          <w:color w:val="000000" w:themeColor="text1"/>
        </w:rPr>
        <w:t>of May</w:t>
      </w:r>
      <w:r w:rsidR="006F5741" w:rsidRPr="00104227">
        <w:rPr>
          <w:color w:val="000000" w:themeColor="text1"/>
        </w:rPr>
        <w:t xml:space="preserve"> 5,</w:t>
      </w:r>
      <w:r w:rsidR="00C41CD3" w:rsidRPr="00104227">
        <w:rPr>
          <w:color w:val="000000" w:themeColor="text1"/>
        </w:rPr>
        <w:t xml:space="preserve"> 2006</w:t>
      </w:r>
      <w:r w:rsidR="00581EFB" w:rsidRPr="00104227">
        <w:rPr>
          <w:color w:val="000000" w:themeColor="text1"/>
        </w:rPr>
        <w:t xml:space="preserve">, </w:t>
      </w:r>
      <w:r w:rsidR="00E31E41" w:rsidRPr="00104227">
        <w:rPr>
          <w:color w:val="000000" w:themeColor="text1"/>
        </w:rPr>
        <w:t>with regard to</w:t>
      </w:r>
      <w:r w:rsidR="00C41CD3" w:rsidRPr="00104227">
        <w:rPr>
          <w:color w:val="000000" w:themeColor="text1"/>
        </w:rPr>
        <w:t xml:space="preserve"> Bárbara Italia Méndez Moreno (</w:t>
      </w:r>
      <w:r w:rsidRPr="00104227">
        <w:rPr>
          <w:color w:val="000000" w:themeColor="text1"/>
        </w:rPr>
        <w:t>evidence file</w:t>
      </w:r>
      <w:r w:rsidR="00C41CD3" w:rsidRPr="00104227">
        <w:rPr>
          <w:color w:val="000000" w:themeColor="text1"/>
        </w:rPr>
        <w:t>, folio</w:t>
      </w:r>
      <w:r w:rsidR="001738B6" w:rsidRPr="00104227">
        <w:rPr>
          <w:color w:val="000000" w:themeColor="text1"/>
        </w:rPr>
        <w:t>s</w:t>
      </w:r>
      <w:r w:rsidR="00C41CD3" w:rsidRPr="00104227">
        <w:rPr>
          <w:color w:val="000000" w:themeColor="text1"/>
        </w:rPr>
        <w:t xml:space="preserve"> 1361 </w:t>
      </w:r>
      <w:r w:rsidR="00E31E41" w:rsidRPr="00104227">
        <w:rPr>
          <w:color w:val="000000" w:themeColor="text1"/>
        </w:rPr>
        <w:t>to</w:t>
      </w:r>
      <w:r w:rsidR="00C41CD3" w:rsidRPr="00104227">
        <w:rPr>
          <w:color w:val="000000" w:themeColor="text1"/>
        </w:rPr>
        <w:t xml:space="preserve"> 1363); </w:t>
      </w:r>
      <w:r w:rsidR="00E31E41" w:rsidRPr="00104227">
        <w:rPr>
          <w:color w:val="000000" w:themeColor="text1"/>
        </w:rPr>
        <w:t>detailed record of the</w:t>
      </w:r>
      <w:r w:rsidR="00C41CD3" w:rsidRPr="00104227">
        <w:rPr>
          <w:color w:val="000000" w:themeColor="text1"/>
        </w:rPr>
        <w:t xml:space="preserve"> </w:t>
      </w:r>
      <w:r w:rsidR="00581EFB" w:rsidRPr="00104227">
        <w:rPr>
          <w:color w:val="000000" w:themeColor="text1"/>
        </w:rPr>
        <w:t xml:space="preserve">CNDH </w:t>
      </w:r>
      <w:r w:rsidR="00D0136A" w:rsidRPr="00104227">
        <w:rPr>
          <w:color w:val="000000" w:themeColor="text1"/>
        </w:rPr>
        <w:t>Deputy Inspector</w:t>
      </w:r>
      <w:r w:rsidR="00C41CD3" w:rsidRPr="00104227">
        <w:rPr>
          <w:color w:val="000000" w:themeColor="text1"/>
        </w:rPr>
        <w:t xml:space="preserve"> </w:t>
      </w:r>
      <w:r w:rsidR="00E31E41" w:rsidRPr="00104227">
        <w:rPr>
          <w:color w:val="000000" w:themeColor="text1"/>
        </w:rPr>
        <w:t>of May</w:t>
      </w:r>
      <w:r w:rsidR="006F5741" w:rsidRPr="00104227">
        <w:rPr>
          <w:color w:val="000000" w:themeColor="text1"/>
        </w:rPr>
        <w:t xml:space="preserve"> 5,</w:t>
      </w:r>
      <w:r w:rsidR="00C41CD3" w:rsidRPr="00104227">
        <w:rPr>
          <w:color w:val="000000" w:themeColor="text1"/>
        </w:rPr>
        <w:t xml:space="preserve"> 2006</w:t>
      </w:r>
      <w:r w:rsidR="00581EFB" w:rsidRPr="00104227">
        <w:rPr>
          <w:color w:val="000000" w:themeColor="text1"/>
        </w:rPr>
        <w:t>, regarding</w:t>
      </w:r>
      <w:r w:rsidR="00C41CD3" w:rsidRPr="00104227">
        <w:rPr>
          <w:color w:val="000000" w:themeColor="text1"/>
        </w:rPr>
        <w:t xml:space="preserve"> </w:t>
      </w:r>
      <w:r w:rsidR="00E31E41" w:rsidRPr="00104227">
        <w:rPr>
          <w:color w:val="000000" w:themeColor="text1"/>
        </w:rPr>
        <w:t>gynecological examination of</w:t>
      </w:r>
      <w:r w:rsidR="00C41CD3" w:rsidRPr="00104227">
        <w:rPr>
          <w:color w:val="000000" w:themeColor="text1"/>
        </w:rPr>
        <w:t xml:space="preserve"> Bárbara Italia Méndez Moreno (</w:t>
      </w:r>
      <w:r w:rsidRPr="00104227">
        <w:rPr>
          <w:color w:val="000000" w:themeColor="text1"/>
        </w:rPr>
        <w:t>evidence file</w:t>
      </w:r>
      <w:r w:rsidR="00C41CD3" w:rsidRPr="00104227">
        <w:rPr>
          <w:color w:val="000000" w:themeColor="text1"/>
        </w:rPr>
        <w:t xml:space="preserve">, folio 1445); </w:t>
      </w:r>
      <w:r w:rsidR="00E31E41" w:rsidRPr="00104227">
        <w:rPr>
          <w:color w:val="000000" w:themeColor="text1"/>
        </w:rPr>
        <w:t>CNDH medical certificate of the injuries of</w:t>
      </w:r>
      <w:r w:rsidR="00C41CD3" w:rsidRPr="00104227">
        <w:rPr>
          <w:color w:val="000000" w:themeColor="text1"/>
        </w:rPr>
        <w:t xml:space="preserve"> Bárbara Italia Méndez Moreno</w:t>
      </w:r>
      <w:r w:rsidR="00E31E41" w:rsidRPr="00104227">
        <w:rPr>
          <w:color w:val="000000" w:themeColor="text1"/>
        </w:rPr>
        <w:t xml:space="preserve"> of May</w:t>
      </w:r>
      <w:r w:rsidR="006F5741" w:rsidRPr="00104227">
        <w:rPr>
          <w:color w:val="000000" w:themeColor="text1"/>
        </w:rPr>
        <w:t xml:space="preserve"> 5,</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folios 1366</w:t>
      </w:r>
      <w:r w:rsidR="00BF5241" w:rsidRPr="00104227">
        <w:rPr>
          <w:color w:val="000000" w:themeColor="text1"/>
        </w:rPr>
        <w:t xml:space="preserve"> and </w:t>
      </w:r>
      <w:r w:rsidR="00C41CD3" w:rsidRPr="00104227">
        <w:rPr>
          <w:color w:val="000000" w:themeColor="text1"/>
        </w:rPr>
        <w:t xml:space="preserve">1367); </w:t>
      </w:r>
      <w:r w:rsidR="00E31E41" w:rsidRPr="00104227">
        <w:rPr>
          <w:color w:val="000000" w:themeColor="text1"/>
        </w:rPr>
        <w:t>a</w:t>
      </w:r>
      <w:r w:rsidRPr="00104227">
        <w:rPr>
          <w:color w:val="000000" w:themeColor="text1"/>
        </w:rPr>
        <w:t>pplication of the Istanbul Protocol to</w:t>
      </w:r>
      <w:r w:rsidR="00C41CD3" w:rsidRPr="00104227">
        <w:rPr>
          <w:color w:val="000000" w:themeColor="text1"/>
        </w:rPr>
        <w:t xml:space="preserve"> Bárbara Italia Méndez Moreno </w:t>
      </w:r>
      <w:r w:rsidRPr="00104227">
        <w:rPr>
          <w:color w:val="000000" w:themeColor="text1"/>
        </w:rPr>
        <w:t>by the</w:t>
      </w:r>
      <w:r w:rsidR="00C41CD3" w:rsidRPr="00104227">
        <w:rPr>
          <w:color w:val="000000" w:themeColor="text1"/>
        </w:rPr>
        <w:t xml:space="preserve"> </w:t>
      </w:r>
      <w:r w:rsidR="00C41CD3" w:rsidRPr="00104227">
        <w:rPr>
          <w:i/>
          <w:iCs/>
          <w:color w:val="000000" w:themeColor="text1"/>
        </w:rPr>
        <w:t xml:space="preserve">Colectivo </w:t>
      </w:r>
      <w:r w:rsidR="00E31E41" w:rsidRPr="00104227">
        <w:rPr>
          <w:i/>
          <w:iCs/>
          <w:color w:val="000000" w:themeColor="text1"/>
        </w:rPr>
        <w:lastRenderedPageBreak/>
        <w:t>contra la Tortura y la</w:t>
      </w:r>
      <w:r w:rsidR="00C41CD3" w:rsidRPr="00104227">
        <w:rPr>
          <w:i/>
          <w:iCs/>
          <w:color w:val="000000" w:themeColor="text1"/>
        </w:rPr>
        <w:t xml:space="preserve"> Impunidad</w:t>
      </w:r>
      <w:r w:rsidR="00C41CD3" w:rsidRPr="00104227">
        <w:rPr>
          <w:color w:val="000000" w:themeColor="text1"/>
        </w:rPr>
        <w:t xml:space="preserve"> (</w:t>
      </w:r>
      <w:r w:rsidRPr="00104227">
        <w:rPr>
          <w:color w:val="000000" w:themeColor="text1"/>
        </w:rPr>
        <w:t>evidence file</w:t>
      </w:r>
      <w:r w:rsidR="00C41CD3" w:rsidRPr="00104227">
        <w:rPr>
          <w:color w:val="000000" w:themeColor="text1"/>
        </w:rPr>
        <w:t xml:space="preserve">, folios 1391 </w:t>
      </w:r>
      <w:r w:rsidR="00581EFB" w:rsidRPr="00104227">
        <w:rPr>
          <w:color w:val="000000" w:themeColor="text1"/>
        </w:rPr>
        <w:t>to</w:t>
      </w:r>
      <w:r w:rsidR="00C41CD3" w:rsidRPr="00104227">
        <w:rPr>
          <w:color w:val="000000" w:themeColor="text1"/>
        </w:rPr>
        <w:t xml:space="preserve"> 1393, 1397, 1402 </w:t>
      </w:r>
      <w:r w:rsidR="00E31E41" w:rsidRPr="00104227">
        <w:rPr>
          <w:color w:val="000000" w:themeColor="text1"/>
        </w:rPr>
        <w:t>to</w:t>
      </w:r>
      <w:r w:rsidR="00C41CD3" w:rsidRPr="00104227">
        <w:rPr>
          <w:color w:val="000000" w:themeColor="text1"/>
        </w:rPr>
        <w:t xml:space="preserve"> 1405</w:t>
      </w:r>
      <w:r w:rsidR="00BF5241" w:rsidRPr="00104227">
        <w:rPr>
          <w:color w:val="000000" w:themeColor="text1"/>
        </w:rPr>
        <w:t xml:space="preserve"> and </w:t>
      </w:r>
      <w:r w:rsidR="00C41CD3" w:rsidRPr="00104227">
        <w:rPr>
          <w:color w:val="000000" w:themeColor="text1"/>
        </w:rPr>
        <w:t xml:space="preserve">1428 </w:t>
      </w:r>
      <w:r w:rsidR="00E31E41" w:rsidRPr="00104227">
        <w:rPr>
          <w:color w:val="000000" w:themeColor="text1"/>
        </w:rPr>
        <w:t>to</w:t>
      </w:r>
      <w:r w:rsidR="00C41CD3" w:rsidRPr="00104227">
        <w:rPr>
          <w:color w:val="000000" w:themeColor="text1"/>
        </w:rPr>
        <w:t xml:space="preserve"> 1430); </w:t>
      </w:r>
      <w:r w:rsidR="00E31E41" w:rsidRPr="00104227">
        <w:rPr>
          <w:color w:val="000000" w:themeColor="text1"/>
        </w:rPr>
        <w:t>video of the</w:t>
      </w:r>
      <w:r w:rsidR="00C41CD3" w:rsidRPr="00104227">
        <w:rPr>
          <w:color w:val="000000" w:themeColor="text1"/>
        </w:rPr>
        <w:t xml:space="preserve"> </w:t>
      </w:r>
      <w:r w:rsidRPr="00104227">
        <w:rPr>
          <w:color w:val="000000" w:themeColor="text1"/>
        </w:rPr>
        <w:t xml:space="preserve">statement </w:t>
      </w:r>
      <w:r w:rsidR="00581EFB" w:rsidRPr="00104227">
        <w:rPr>
          <w:color w:val="000000" w:themeColor="text1"/>
        </w:rPr>
        <w:t xml:space="preserve">made </w:t>
      </w:r>
      <w:r w:rsidRPr="00104227">
        <w:rPr>
          <w:color w:val="000000" w:themeColor="text1"/>
        </w:rPr>
        <w:t>by</w:t>
      </w:r>
      <w:r w:rsidR="00C41CD3" w:rsidRPr="00104227">
        <w:rPr>
          <w:color w:val="000000" w:themeColor="text1"/>
        </w:rPr>
        <w:t xml:space="preserve"> Bárbara Italia Méndez Moreno (</w:t>
      </w:r>
      <w:r w:rsidR="00E31E41" w:rsidRPr="00104227">
        <w:rPr>
          <w:color w:val="000000" w:themeColor="text1"/>
        </w:rPr>
        <w:t xml:space="preserve">annex to the </w:t>
      </w:r>
      <w:r w:rsidR="00F27D61" w:rsidRPr="00104227">
        <w:rPr>
          <w:color w:val="000000" w:themeColor="text1"/>
        </w:rPr>
        <w:t>initial</w:t>
      </w:r>
      <w:r w:rsidR="00E31E41" w:rsidRPr="00104227">
        <w:rPr>
          <w:color w:val="000000" w:themeColor="text1"/>
        </w:rPr>
        <w:t xml:space="preserve"> petition</w:t>
      </w:r>
      <w:r w:rsidR="00C41CD3" w:rsidRPr="00104227">
        <w:rPr>
          <w:color w:val="000000" w:themeColor="text1"/>
        </w:rPr>
        <w:t xml:space="preserve"> </w:t>
      </w:r>
      <w:r w:rsidR="00E31E41" w:rsidRPr="00104227">
        <w:rPr>
          <w:color w:val="000000" w:themeColor="text1"/>
        </w:rPr>
        <w:t>of April 29,</w:t>
      </w:r>
      <w:r w:rsidR="00C41CD3" w:rsidRPr="00104227">
        <w:rPr>
          <w:color w:val="000000" w:themeColor="text1"/>
        </w:rPr>
        <w:t xml:space="preserve"> 2008 (</w:t>
      </w:r>
      <w:r w:rsidRPr="00104227">
        <w:rPr>
          <w:color w:val="000000" w:themeColor="text1"/>
        </w:rPr>
        <w:t>evidence file</w:t>
      </w:r>
      <w:r w:rsidR="00C41CD3" w:rsidRPr="00104227">
        <w:rPr>
          <w:color w:val="000000" w:themeColor="text1"/>
        </w:rPr>
        <w:t xml:space="preserve">, folio 1435); </w:t>
      </w:r>
      <w:r w:rsidR="00E31E41" w:rsidRPr="00104227">
        <w:rPr>
          <w:color w:val="000000" w:themeColor="text1"/>
        </w:rPr>
        <w:t>statement made during</w:t>
      </w:r>
      <w:r w:rsidRPr="00104227">
        <w:rPr>
          <w:color w:val="000000" w:themeColor="text1"/>
        </w:rPr>
        <w:t xml:space="preserve"> the</w:t>
      </w:r>
      <w:r w:rsidR="00C41CD3" w:rsidRPr="00104227">
        <w:rPr>
          <w:color w:val="000000" w:themeColor="text1"/>
        </w:rPr>
        <w:t xml:space="preserve"> </w:t>
      </w:r>
      <w:r w:rsidR="00AA3133" w:rsidRPr="00104227">
        <w:rPr>
          <w:color w:val="000000" w:themeColor="text1"/>
        </w:rPr>
        <w:t>public hearing</w:t>
      </w:r>
      <w:r w:rsidR="00C41CD3" w:rsidRPr="00104227">
        <w:rPr>
          <w:color w:val="000000" w:themeColor="text1"/>
        </w:rPr>
        <w:t xml:space="preserve"> </w:t>
      </w:r>
      <w:r w:rsidR="00E31E41" w:rsidRPr="00104227">
        <w:rPr>
          <w:color w:val="000000" w:themeColor="text1"/>
        </w:rPr>
        <w:t>held before</w:t>
      </w:r>
      <w:r w:rsidR="00C41CD3" w:rsidRPr="00104227">
        <w:rPr>
          <w:color w:val="000000" w:themeColor="text1"/>
        </w:rPr>
        <w:t xml:space="preserve"> </w:t>
      </w:r>
      <w:r w:rsidR="00BF5241" w:rsidRPr="00104227">
        <w:rPr>
          <w:color w:val="000000" w:themeColor="text1"/>
        </w:rPr>
        <w:t>the Inter-American Commission</w:t>
      </w:r>
      <w:r w:rsidR="00C41CD3" w:rsidRPr="00104227">
        <w:rPr>
          <w:color w:val="000000" w:themeColor="text1"/>
        </w:rPr>
        <w:t xml:space="preserve"> </w:t>
      </w:r>
      <w:r w:rsidR="00E31E41" w:rsidRPr="00104227">
        <w:rPr>
          <w:color w:val="000000" w:themeColor="text1"/>
        </w:rPr>
        <w:t>on March 6,</w:t>
      </w:r>
      <w:r w:rsidR="00C41CD3" w:rsidRPr="00104227">
        <w:rPr>
          <w:color w:val="000000" w:themeColor="text1"/>
        </w:rPr>
        <w:t xml:space="preserve"> 2013 (</w:t>
      </w:r>
      <w:r w:rsidRPr="00104227">
        <w:rPr>
          <w:color w:val="000000" w:themeColor="text1"/>
        </w:rPr>
        <w:t>evidence file</w:t>
      </w:r>
      <w:r w:rsidR="00C41CD3" w:rsidRPr="00104227">
        <w:rPr>
          <w:color w:val="000000" w:themeColor="text1"/>
        </w:rPr>
        <w:t xml:space="preserve">, folio 1437); </w:t>
      </w:r>
      <w:r w:rsidR="00E31E41" w:rsidRPr="00104227">
        <w:rPr>
          <w:color w:val="000000" w:themeColor="text1"/>
        </w:rPr>
        <w:t>expansion of the complaint made by</w:t>
      </w:r>
      <w:r w:rsidR="00C41CD3" w:rsidRPr="00104227">
        <w:rPr>
          <w:color w:val="000000" w:themeColor="text1"/>
        </w:rPr>
        <w:t xml:space="preserve"> Bárbara Italia Méndez Moreno </w:t>
      </w:r>
      <w:r w:rsidRPr="00104227">
        <w:rPr>
          <w:color w:val="000000" w:themeColor="text1"/>
        </w:rPr>
        <w:t>before the</w:t>
      </w:r>
      <w:r w:rsidR="00C41CD3" w:rsidRPr="00104227">
        <w:rPr>
          <w:color w:val="000000" w:themeColor="text1"/>
        </w:rPr>
        <w:t xml:space="preserve"> FEVIM </w:t>
      </w:r>
      <w:r w:rsidR="00E31E41" w:rsidRPr="00104227">
        <w:rPr>
          <w:color w:val="000000" w:themeColor="text1"/>
        </w:rPr>
        <w:t>on June</w:t>
      </w:r>
      <w:r w:rsidR="006F5741" w:rsidRPr="00104227">
        <w:rPr>
          <w:color w:val="000000" w:themeColor="text1"/>
        </w:rPr>
        <w:t xml:space="preserve"> 14,</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xml:space="preserve">, folios 1439 </w:t>
      </w:r>
      <w:r w:rsidR="00E31E41" w:rsidRPr="00104227">
        <w:rPr>
          <w:color w:val="000000" w:themeColor="text1"/>
        </w:rPr>
        <w:t>to</w:t>
      </w:r>
      <w:r w:rsidR="00C41CD3" w:rsidRPr="00104227">
        <w:rPr>
          <w:color w:val="000000" w:themeColor="text1"/>
        </w:rPr>
        <w:t xml:space="preserve"> 1443); </w:t>
      </w:r>
      <w:r w:rsidR="00E31E41" w:rsidRPr="00104227">
        <w:rPr>
          <w:color w:val="000000" w:themeColor="text1"/>
        </w:rPr>
        <w:t>detailed record of the</w:t>
      </w:r>
      <w:r w:rsidR="00C41CD3" w:rsidRPr="00104227">
        <w:rPr>
          <w:color w:val="000000" w:themeColor="text1"/>
        </w:rPr>
        <w:t xml:space="preserve"> </w:t>
      </w:r>
      <w:r w:rsidR="00D0136A" w:rsidRPr="00104227">
        <w:rPr>
          <w:color w:val="000000" w:themeColor="text1"/>
        </w:rPr>
        <w:t>Deputy Inspector</w:t>
      </w:r>
      <w:r w:rsidR="00BF5241" w:rsidRPr="00104227">
        <w:rPr>
          <w:color w:val="000000" w:themeColor="text1"/>
        </w:rPr>
        <w:t xml:space="preserve"> of the </w:t>
      </w:r>
      <w:r w:rsidR="00F12946" w:rsidRPr="00104227">
        <w:rPr>
          <w:color w:val="000000" w:themeColor="text1"/>
        </w:rPr>
        <w:t>National Human Rights Commission</w:t>
      </w:r>
      <w:r w:rsidR="00E31E41" w:rsidRPr="00104227">
        <w:rPr>
          <w:color w:val="000000" w:themeColor="text1"/>
        </w:rPr>
        <w:t xml:space="preserve"> of May</w:t>
      </w:r>
      <w:r w:rsidR="006F5741" w:rsidRPr="00104227">
        <w:rPr>
          <w:color w:val="000000" w:themeColor="text1"/>
        </w:rPr>
        <w:t xml:space="preserve"> 16,</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folios 1601 a</w:t>
      </w:r>
      <w:r w:rsidR="00E31E41" w:rsidRPr="00104227">
        <w:rPr>
          <w:color w:val="000000" w:themeColor="text1"/>
        </w:rPr>
        <w:t>nd</w:t>
      </w:r>
      <w:r w:rsidR="00C41CD3" w:rsidRPr="00104227">
        <w:rPr>
          <w:color w:val="000000" w:themeColor="text1"/>
        </w:rPr>
        <w:t xml:space="preserve"> 1602); </w:t>
      </w:r>
      <w:r w:rsidR="00E31E41" w:rsidRPr="00104227">
        <w:rPr>
          <w:color w:val="000000" w:themeColor="text1"/>
        </w:rPr>
        <w:t>CNDH Recommendation 38/2006</w:t>
      </w:r>
      <w:r w:rsidR="00C41CD3" w:rsidRPr="00104227">
        <w:rPr>
          <w:color w:val="000000" w:themeColor="text1"/>
        </w:rPr>
        <w:t xml:space="preserve">. </w:t>
      </w:r>
      <w:r w:rsidR="00E31E41" w:rsidRPr="00104227">
        <w:rPr>
          <w:color w:val="000000" w:themeColor="text1"/>
        </w:rPr>
        <w:t>Section on</w:t>
      </w:r>
      <w:r w:rsidR="00C41CD3" w:rsidRPr="00104227">
        <w:rPr>
          <w:color w:val="000000" w:themeColor="text1"/>
        </w:rPr>
        <w:t xml:space="preserve"> Bárbara Italia Méndez Moreno, </w:t>
      </w:r>
      <w:r w:rsidR="00E31E41" w:rsidRPr="00104227">
        <w:rPr>
          <w:color w:val="000000" w:themeColor="text1"/>
        </w:rPr>
        <w:t>identified as</w:t>
      </w:r>
      <w:r w:rsidR="00C41CD3" w:rsidRPr="00104227">
        <w:rPr>
          <w:color w:val="000000" w:themeColor="text1"/>
        </w:rPr>
        <w:t xml:space="preserve"> A108 (</w:t>
      </w:r>
      <w:r w:rsidRPr="00104227">
        <w:rPr>
          <w:color w:val="000000" w:themeColor="text1"/>
        </w:rPr>
        <w:t>evidence file</w:t>
      </w:r>
      <w:r w:rsidR="00C41CD3" w:rsidRPr="00104227">
        <w:rPr>
          <w:color w:val="000000" w:themeColor="text1"/>
        </w:rPr>
        <w:t xml:space="preserve">, folios 1454 </w:t>
      </w:r>
      <w:r w:rsidR="00E31E41" w:rsidRPr="00104227">
        <w:rPr>
          <w:color w:val="000000" w:themeColor="text1"/>
        </w:rPr>
        <w:t>to</w:t>
      </w:r>
      <w:r w:rsidR="00C41CD3" w:rsidRPr="00104227">
        <w:rPr>
          <w:color w:val="000000" w:themeColor="text1"/>
        </w:rPr>
        <w:t xml:space="preserve"> 1457),</w:t>
      </w:r>
      <w:r w:rsidR="00BF5241" w:rsidRPr="00104227">
        <w:rPr>
          <w:color w:val="000000" w:themeColor="text1"/>
        </w:rPr>
        <w:t xml:space="preserve"> and </w:t>
      </w:r>
      <w:r w:rsidRPr="00104227">
        <w:rPr>
          <w:color w:val="000000" w:themeColor="text1"/>
        </w:rPr>
        <w:t>statement by</w:t>
      </w:r>
      <w:r w:rsidR="00C41CD3" w:rsidRPr="00104227">
        <w:rPr>
          <w:color w:val="000000" w:themeColor="text1"/>
        </w:rPr>
        <w:t xml:space="preserve"> Bárbara Italia Méndez Moreno </w:t>
      </w:r>
      <w:r w:rsidRPr="00104227">
        <w:rPr>
          <w:color w:val="000000" w:themeColor="text1"/>
        </w:rPr>
        <w:t>during the public hearing before this Court</w:t>
      </w:r>
      <w:r w:rsidR="00C41CD3" w:rsidRPr="00104227">
        <w:rPr>
          <w:color w:val="000000" w:themeColor="text1"/>
        </w:rPr>
        <w:t>.</w:t>
      </w:r>
    </w:p>
    <w:p w14:paraId="5333E3BA" w14:textId="77777777" w:rsidR="00C41CD3" w:rsidRPr="00104227" w:rsidRDefault="00C41CD3" w:rsidP="00E4619F">
      <w:pPr>
        <w:tabs>
          <w:tab w:val="left" w:pos="567"/>
        </w:tabs>
        <w:rPr>
          <w:b/>
          <w:color w:val="000000" w:themeColor="text1"/>
        </w:rPr>
      </w:pPr>
    </w:p>
    <w:p w14:paraId="03F2AA8B" w14:textId="7811E7E0" w:rsidR="00C41CD3" w:rsidRPr="00104227" w:rsidRDefault="004617E1" w:rsidP="00E4619F">
      <w:pPr>
        <w:tabs>
          <w:tab w:val="left" w:pos="567"/>
        </w:tabs>
        <w:rPr>
          <w:color w:val="000000" w:themeColor="text1"/>
          <w:u w:val="single"/>
        </w:rPr>
      </w:pPr>
      <w:r w:rsidRPr="00104227">
        <w:rPr>
          <w:color w:val="000000" w:themeColor="text1"/>
          <w:u w:val="single"/>
        </w:rPr>
        <w:t>Evidence of the facts relating to</w:t>
      </w:r>
      <w:r w:rsidR="00C41CD3" w:rsidRPr="00104227">
        <w:rPr>
          <w:color w:val="000000" w:themeColor="text1"/>
          <w:u w:val="single"/>
        </w:rPr>
        <w:t xml:space="preserve"> María Cristina Sánchez Hernández</w:t>
      </w:r>
    </w:p>
    <w:p w14:paraId="58599E8D" w14:textId="77777777" w:rsidR="00C41CD3" w:rsidRPr="00104227" w:rsidRDefault="00C41CD3" w:rsidP="00E4619F">
      <w:pPr>
        <w:tabs>
          <w:tab w:val="left" w:pos="567"/>
        </w:tabs>
        <w:rPr>
          <w:color w:val="000000" w:themeColor="text1"/>
        </w:rPr>
      </w:pPr>
    </w:p>
    <w:p w14:paraId="08B42C11" w14:textId="67ACA27E" w:rsidR="00C41CD3" w:rsidRPr="00104227" w:rsidRDefault="004617E1" w:rsidP="00E4619F">
      <w:pPr>
        <w:tabs>
          <w:tab w:val="left" w:pos="567"/>
        </w:tabs>
        <w:rPr>
          <w:b/>
          <w:color w:val="000000" w:themeColor="text1"/>
        </w:rPr>
      </w:pPr>
      <w:r w:rsidRPr="00104227">
        <w:rPr>
          <w:color w:val="000000" w:themeColor="text1"/>
        </w:rPr>
        <w:t>The description of what happened to</w:t>
      </w:r>
      <w:r w:rsidR="00C41CD3" w:rsidRPr="00104227">
        <w:rPr>
          <w:color w:val="000000" w:themeColor="text1"/>
        </w:rPr>
        <w:t xml:space="preserve"> </w:t>
      </w:r>
      <w:r w:rsidR="0053506B" w:rsidRPr="00104227">
        <w:rPr>
          <w:color w:val="000000" w:themeColor="text1"/>
        </w:rPr>
        <w:t xml:space="preserve">María </w:t>
      </w:r>
      <w:r w:rsidR="00C41CD3" w:rsidRPr="00104227">
        <w:rPr>
          <w:color w:val="000000" w:themeColor="text1"/>
        </w:rPr>
        <w:t xml:space="preserve">Cristina Sánchez Hernández </w:t>
      </w:r>
      <w:r w:rsidRPr="00104227">
        <w:rPr>
          <w:color w:val="000000" w:themeColor="text1"/>
        </w:rPr>
        <w:t>can be found in the following evidence</w:t>
      </w:r>
      <w:r w:rsidR="00C41CD3" w:rsidRPr="00104227">
        <w:rPr>
          <w:color w:val="000000" w:themeColor="text1"/>
        </w:rPr>
        <w:t xml:space="preserve">, </w:t>
      </w:r>
      <w:r w:rsidRPr="00104227">
        <w:rPr>
          <w:color w:val="000000" w:themeColor="text1"/>
        </w:rPr>
        <w:t>unless otherwise specifically indicated</w:t>
      </w:r>
      <w:r w:rsidR="00C41CD3" w:rsidRPr="00104227">
        <w:rPr>
          <w:color w:val="000000" w:themeColor="text1"/>
        </w:rPr>
        <w:t xml:space="preserve">: </w:t>
      </w:r>
      <w:r w:rsidR="00D0136A" w:rsidRPr="00104227">
        <w:rPr>
          <w:color w:val="000000" w:themeColor="text1"/>
        </w:rPr>
        <w:t>Entry medical report of</w:t>
      </w:r>
      <w:r w:rsidR="00C41CD3" w:rsidRPr="00104227">
        <w:rPr>
          <w:color w:val="000000" w:themeColor="text1"/>
        </w:rPr>
        <w:t xml:space="preserve"> </w:t>
      </w:r>
      <w:r w:rsidR="0053506B" w:rsidRPr="00104227">
        <w:rPr>
          <w:color w:val="000000" w:themeColor="text1"/>
        </w:rPr>
        <w:t xml:space="preserve">María </w:t>
      </w:r>
      <w:r w:rsidR="00C41CD3" w:rsidRPr="00104227">
        <w:rPr>
          <w:color w:val="000000" w:themeColor="text1"/>
        </w:rPr>
        <w:t xml:space="preserve">Cristina Sánchez Hernández </w:t>
      </w:r>
      <w:r w:rsidR="00B851FA" w:rsidRPr="00104227">
        <w:rPr>
          <w:color w:val="000000" w:themeColor="text1"/>
        </w:rPr>
        <w:t>of May 4,</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folios 1463</w:t>
      </w:r>
      <w:r w:rsidR="00BF5241" w:rsidRPr="00104227">
        <w:rPr>
          <w:color w:val="000000" w:themeColor="text1"/>
        </w:rPr>
        <w:t xml:space="preserve"> and </w:t>
      </w:r>
      <w:r w:rsidR="00C41CD3" w:rsidRPr="00104227">
        <w:rPr>
          <w:color w:val="000000" w:themeColor="text1"/>
        </w:rPr>
        <w:t xml:space="preserve">1464); </w:t>
      </w:r>
      <w:r w:rsidRPr="00104227">
        <w:rPr>
          <w:color w:val="000000" w:themeColor="text1"/>
        </w:rPr>
        <w:t>statement by</w:t>
      </w:r>
      <w:r w:rsidR="00C41CD3" w:rsidRPr="00104227">
        <w:rPr>
          <w:color w:val="000000" w:themeColor="text1"/>
        </w:rPr>
        <w:t xml:space="preserve"> </w:t>
      </w:r>
      <w:r w:rsidR="0053506B" w:rsidRPr="00104227">
        <w:rPr>
          <w:color w:val="000000" w:themeColor="text1"/>
        </w:rPr>
        <w:t xml:space="preserve">María </w:t>
      </w:r>
      <w:r w:rsidR="00C41CD3" w:rsidRPr="00104227">
        <w:rPr>
          <w:color w:val="000000" w:themeColor="text1"/>
        </w:rPr>
        <w:t xml:space="preserve">Cristina Sánchez Hernández </w:t>
      </w:r>
      <w:r w:rsidRPr="00104227">
        <w:rPr>
          <w:color w:val="000000" w:themeColor="text1"/>
        </w:rPr>
        <w:t>before the</w:t>
      </w:r>
      <w:r w:rsidR="00C41CD3" w:rsidRPr="00104227">
        <w:rPr>
          <w:color w:val="000000" w:themeColor="text1"/>
        </w:rPr>
        <w:t xml:space="preserve"> FEVIM </w:t>
      </w:r>
      <w:r w:rsidR="00E31E41" w:rsidRPr="00104227">
        <w:rPr>
          <w:color w:val="000000" w:themeColor="text1"/>
        </w:rPr>
        <w:t>on June 15,</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folios 1466</w:t>
      </w:r>
      <w:r w:rsidR="00BF5241" w:rsidRPr="00104227">
        <w:rPr>
          <w:color w:val="000000" w:themeColor="text1"/>
        </w:rPr>
        <w:t xml:space="preserve"> and </w:t>
      </w:r>
      <w:r w:rsidR="00C41CD3" w:rsidRPr="00104227">
        <w:rPr>
          <w:color w:val="000000" w:themeColor="text1"/>
        </w:rPr>
        <w:t xml:space="preserve">1468); </w:t>
      </w:r>
      <w:r w:rsidR="00E31E41" w:rsidRPr="00104227">
        <w:rPr>
          <w:color w:val="000000" w:themeColor="text1"/>
        </w:rPr>
        <w:t>CNDH medical certificate of the injuries of</w:t>
      </w:r>
      <w:r w:rsidR="00C41CD3" w:rsidRPr="00104227">
        <w:rPr>
          <w:color w:val="000000" w:themeColor="text1"/>
        </w:rPr>
        <w:t xml:space="preserve"> </w:t>
      </w:r>
      <w:r w:rsidR="0053506B" w:rsidRPr="00104227">
        <w:rPr>
          <w:color w:val="000000" w:themeColor="text1"/>
        </w:rPr>
        <w:t xml:space="preserve">María </w:t>
      </w:r>
      <w:r w:rsidR="00C41CD3" w:rsidRPr="00104227">
        <w:rPr>
          <w:color w:val="000000" w:themeColor="text1"/>
        </w:rPr>
        <w:t>Cristina Sánchez Hernández</w:t>
      </w:r>
      <w:r w:rsidR="00E31E41" w:rsidRPr="00104227">
        <w:rPr>
          <w:color w:val="000000" w:themeColor="text1"/>
        </w:rPr>
        <w:t xml:space="preserve"> of May</w:t>
      </w:r>
      <w:r w:rsidR="000777FE" w:rsidRPr="00104227">
        <w:rPr>
          <w:color w:val="000000" w:themeColor="text1"/>
        </w:rPr>
        <w:t xml:space="preserve"> 17,</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folios 1471</w:t>
      </w:r>
      <w:r w:rsidR="00BF5241" w:rsidRPr="00104227">
        <w:rPr>
          <w:color w:val="000000" w:themeColor="text1"/>
        </w:rPr>
        <w:t xml:space="preserve"> and </w:t>
      </w:r>
      <w:r w:rsidR="00C41CD3" w:rsidRPr="00104227">
        <w:rPr>
          <w:color w:val="000000" w:themeColor="text1"/>
        </w:rPr>
        <w:t xml:space="preserve">1472); </w:t>
      </w:r>
      <w:r w:rsidR="00E31E41" w:rsidRPr="00104227">
        <w:rPr>
          <w:color w:val="000000" w:themeColor="text1"/>
        </w:rPr>
        <w:t>detailed record of the</w:t>
      </w:r>
      <w:r w:rsidR="00C41CD3" w:rsidRPr="00104227">
        <w:rPr>
          <w:color w:val="000000" w:themeColor="text1"/>
        </w:rPr>
        <w:t xml:space="preserve"> </w:t>
      </w:r>
      <w:r w:rsidR="00581EFB" w:rsidRPr="00104227">
        <w:rPr>
          <w:color w:val="000000" w:themeColor="text1"/>
        </w:rPr>
        <w:t xml:space="preserve">CNDH </w:t>
      </w:r>
      <w:r w:rsidR="00D0136A" w:rsidRPr="00104227">
        <w:rPr>
          <w:color w:val="000000" w:themeColor="text1"/>
        </w:rPr>
        <w:t>Deputy Inspector</w:t>
      </w:r>
      <w:r w:rsidR="00C41CD3" w:rsidRPr="00104227">
        <w:rPr>
          <w:color w:val="000000" w:themeColor="text1"/>
        </w:rPr>
        <w:t xml:space="preserve"> </w:t>
      </w:r>
      <w:r w:rsidR="00E31E41" w:rsidRPr="00104227">
        <w:rPr>
          <w:color w:val="000000" w:themeColor="text1"/>
        </w:rPr>
        <w:t>of May</w:t>
      </w:r>
      <w:r w:rsidR="006F5741" w:rsidRPr="00104227">
        <w:rPr>
          <w:color w:val="000000" w:themeColor="text1"/>
        </w:rPr>
        <w:t xml:space="preserve"> 5,</w:t>
      </w:r>
      <w:r w:rsidR="00C41CD3" w:rsidRPr="00104227">
        <w:rPr>
          <w:color w:val="000000" w:themeColor="text1"/>
        </w:rPr>
        <w:t xml:space="preserve"> 2006</w:t>
      </w:r>
      <w:r w:rsidR="00E31E41" w:rsidRPr="00104227">
        <w:rPr>
          <w:color w:val="000000" w:themeColor="text1"/>
        </w:rPr>
        <w:t>,</w:t>
      </w:r>
      <w:r w:rsidR="00C41CD3" w:rsidRPr="00104227">
        <w:rPr>
          <w:color w:val="000000" w:themeColor="text1"/>
        </w:rPr>
        <w:t xml:space="preserve"> </w:t>
      </w:r>
      <w:r w:rsidR="00E31E41" w:rsidRPr="00104227">
        <w:rPr>
          <w:color w:val="000000" w:themeColor="text1"/>
        </w:rPr>
        <w:t>with regard to</w:t>
      </w:r>
      <w:r w:rsidR="00C41CD3" w:rsidRPr="00104227">
        <w:rPr>
          <w:color w:val="000000" w:themeColor="text1"/>
        </w:rPr>
        <w:t xml:space="preserve"> </w:t>
      </w:r>
      <w:r w:rsidR="0053506B" w:rsidRPr="00104227">
        <w:rPr>
          <w:color w:val="000000" w:themeColor="text1"/>
        </w:rPr>
        <w:t xml:space="preserve">María </w:t>
      </w:r>
      <w:r w:rsidR="00C41CD3" w:rsidRPr="00104227">
        <w:rPr>
          <w:color w:val="000000" w:themeColor="text1"/>
        </w:rPr>
        <w:t>Cristina Sánchez Hernández (</w:t>
      </w:r>
      <w:r w:rsidRPr="00104227">
        <w:rPr>
          <w:color w:val="000000" w:themeColor="text1"/>
        </w:rPr>
        <w:t>evidence file</w:t>
      </w:r>
      <w:r w:rsidR="00C41CD3" w:rsidRPr="00104227">
        <w:rPr>
          <w:color w:val="000000" w:themeColor="text1"/>
        </w:rPr>
        <w:t xml:space="preserve">, folio 1466); </w:t>
      </w:r>
      <w:r w:rsidR="00E31E41" w:rsidRPr="00104227">
        <w:rPr>
          <w:color w:val="000000" w:themeColor="text1"/>
        </w:rPr>
        <w:t>detailed record of the</w:t>
      </w:r>
      <w:r w:rsidR="00C41CD3" w:rsidRPr="00104227">
        <w:rPr>
          <w:color w:val="000000" w:themeColor="text1"/>
        </w:rPr>
        <w:t xml:space="preserve"> </w:t>
      </w:r>
      <w:r w:rsidR="00D0136A" w:rsidRPr="00104227">
        <w:rPr>
          <w:color w:val="000000" w:themeColor="text1"/>
        </w:rPr>
        <w:t>Deputy Inspector</w:t>
      </w:r>
      <w:r w:rsidR="00C41CD3" w:rsidRPr="00104227">
        <w:rPr>
          <w:color w:val="000000" w:themeColor="text1"/>
        </w:rPr>
        <w:t xml:space="preserve"> </w:t>
      </w:r>
      <w:r w:rsidR="00E31E41" w:rsidRPr="00104227">
        <w:rPr>
          <w:color w:val="000000" w:themeColor="text1"/>
        </w:rPr>
        <w:t>of October 31,</w:t>
      </w:r>
      <w:r w:rsidR="00C41CD3" w:rsidRPr="00104227">
        <w:rPr>
          <w:color w:val="000000" w:themeColor="text1"/>
        </w:rPr>
        <w:t xml:space="preserve"> 2017</w:t>
      </w:r>
      <w:r w:rsidR="00E31E41" w:rsidRPr="00104227">
        <w:rPr>
          <w:color w:val="000000" w:themeColor="text1"/>
        </w:rPr>
        <w:t>,</w:t>
      </w:r>
      <w:r w:rsidR="00C41CD3" w:rsidRPr="00104227">
        <w:rPr>
          <w:color w:val="000000" w:themeColor="text1"/>
        </w:rPr>
        <w:t xml:space="preserve"> </w:t>
      </w:r>
      <w:r w:rsidR="00E31E41" w:rsidRPr="00104227">
        <w:rPr>
          <w:color w:val="000000" w:themeColor="text1"/>
        </w:rPr>
        <w:t>with regard to</w:t>
      </w:r>
      <w:r w:rsidR="00C41CD3" w:rsidRPr="00104227">
        <w:rPr>
          <w:color w:val="000000" w:themeColor="text1"/>
        </w:rPr>
        <w:t xml:space="preserve"> María Cristina Sánchez Hernández (</w:t>
      </w:r>
      <w:r w:rsidRPr="00104227">
        <w:rPr>
          <w:color w:val="000000" w:themeColor="text1"/>
        </w:rPr>
        <w:t>evidence file</w:t>
      </w:r>
      <w:r w:rsidR="00C41CD3" w:rsidRPr="00104227">
        <w:rPr>
          <w:color w:val="000000" w:themeColor="text1"/>
        </w:rPr>
        <w:t>, folios 37173</w:t>
      </w:r>
      <w:r w:rsidR="00BF5241" w:rsidRPr="00104227">
        <w:rPr>
          <w:color w:val="000000" w:themeColor="text1"/>
        </w:rPr>
        <w:t xml:space="preserve"> and </w:t>
      </w:r>
      <w:r w:rsidR="00C41CD3" w:rsidRPr="00104227">
        <w:rPr>
          <w:color w:val="000000" w:themeColor="text1"/>
        </w:rPr>
        <w:t xml:space="preserve">37174); </w:t>
      </w:r>
      <w:r w:rsidR="00E31E41" w:rsidRPr="00104227">
        <w:rPr>
          <w:color w:val="000000" w:themeColor="text1"/>
        </w:rPr>
        <w:t>preliminary statement by</w:t>
      </w:r>
      <w:r w:rsidR="00C41CD3" w:rsidRPr="00104227">
        <w:rPr>
          <w:color w:val="000000" w:themeColor="text1"/>
        </w:rPr>
        <w:t xml:space="preserve"> </w:t>
      </w:r>
      <w:r w:rsidR="0053506B" w:rsidRPr="00104227">
        <w:rPr>
          <w:color w:val="000000" w:themeColor="text1"/>
        </w:rPr>
        <w:t xml:space="preserve">María </w:t>
      </w:r>
      <w:r w:rsidR="00C41CD3" w:rsidRPr="00104227">
        <w:rPr>
          <w:color w:val="000000" w:themeColor="text1"/>
        </w:rPr>
        <w:t xml:space="preserve">Cristina Sánchez Hernández </w:t>
      </w:r>
      <w:r w:rsidRPr="00104227">
        <w:rPr>
          <w:color w:val="000000" w:themeColor="text1"/>
        </w:rPr>
        <w:t>before the</w:t>
      </w:r>
      <w:r w:rsidR="00C41CD3" w:rsidRPr="00104227">
        <w:rPr>
          <w:color w:val="000000" w:themeColor="text1"/>
        </w:rPr>
        <w:t xml:space="preserve"> </w:t>
      </w:r>
      <w:r w:rsidRPr="00104227">
        <w:rPr>
          <w:color w:val="000000" w:themeColor="text1"/>
        </w:rPr>
        <w:t>Second Criminal Trial Court</w:t>
      </w:r>
      <w:r w:rsidR="00C41CD3" w:rsidRPr="00104227">
        <w:rPr>
          <w:color w:val="000000" w:themeColor="text1"/>
        </w:rPr>
        <w:t xml:space="preserve"> </w:t>
      </w:r>
      <w:r w:rsidRPr="00104227">
        <w:rPr>
          <w:color w:val="000000" w:themeColor="text1"/>
        </w:rPr>
        <w:t>of the Toluca Judicial District</w:t>
      </w:r>
      <w:r w:rsidR="00C41CD3" w:rsidRPr="00104227">
        <w:rPr>
          <w:color w:val="000000" w:themeColor="text1"/>
        </w:rPr>
        <w:t xml:space="preserve">, </w:t>
      </w:r>
      <w:r w:rsidR="008C6D02" w:rsidRPr="00104227">
        <w:rPr>
          <w:color w:val="000000" w:themeColor="text1"/>
        </w:rPr>
        <w:t>state of Mexico</w:t>
      </w:r>
      <w:r w:rsidR="00C41CD3" w:rsidRPr="00104227">
        <w:rPr>
          <w:color w:val="000000" w:themeColor="text1"/>
        </w:rPr>
        <w:t xml:space="preserve">, </w:t>
      </w:r>
      <w:r w:rsidR="00E31E41" w:rsidRPr="00104227">
        <w:rPr>
          <w:color w:val="000000" w:themeColor="text1"/>
        </w:rPr>
        <w:t>on May 10,</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xml:space="preserve">, folio 32380); </w:t>
      </w:r>
      <w:r w:rsidR="00E31E41" w:rsidRPr="00104227">
        <w:rPr>
          <w:color w:val="000000" w:themeColor="text1"/>
        </w:rPr>
        <w:t>CNDH Recommendation 38/2006</w:t>
      </w:r>
      <w:r w:rsidR="00C41CD3" w:rsidRPr="00104227">
        <w:rPr>
          <w:color w:val="000000" w:themeColor="text1"/>
        </w:rPr>
        <w:t xml:space="preserve">. </w:t>
      </w:r>
      <w:r w:rsidR="00E31E41" w:rsidRPr="00104227">
        <w:rPr>
          <w:color w:val="000000" w:themeColor="text1"/>
        </w:rPr>
        <w:t>Section on</w:t>
      </w:r>
      <w:r w:rsidR="00C41CD3" w:rsidRPr="00104227">
        <w:rPr>
          <w:color w:val="000000" w:themeColor="text1"/>
        </w:rPr>
        <w:t xml:space="preserve"> </w:t>
      </w:r>
      <w:r w:rsidR="0053506B" w:rsidRPr="00104227">
        <w:rPr>
          <w:color w:val="000000" w:themeColor="text1"/>
        </w:rPr>
        <w:t xml:space="preserve">María </w:t>
      </w:r>
      <w:r w:rsidR="00C41CD3" w:rsidRPr="00104227">
        <w:rPr>
          <w:color w:val="000000" w:themeColor="text1"/>
        </w:rPr>
        <w:t>Cristina Sánchez Hernández</w:t>
      </w:r>
      <w:r w:rsidR="00E31E41" w:rsidRPr="00104227">
        <w:rPr>
          <w:color w:val="000000" w:themeColor="text1"/>
        </w:rPr>
        <w:t>,</w:t>
      </w:r>
      <w:r w:rsidR="00C41CD3" w:rsidRPr="00104227">
        <w:rPr>
          <w:color w:val="000000" w:themeColor="text1"/>
        </w:rPr>
        <w:t xml:space="preserve"> </w:t>
      </w:r>
      <w:r w:rsidR="00E31E41" w:rsidRPr="00104227">
        <w:rPr>
          <w:color w:val="000000" w:themeColor="text1"/>
        </w:rPr>
        <w:t>identified as</w:t>
      </w:r>
      <w:r w:rsidR="00C41CD3" w:rsidRPr="00104227">
        <w:rPr>
          <w:color w:val="000000" w:themeColor="text1"/>
        </w:rPr>
        <w:t xml:space="preserve"> A169 (</w:t>
      </w:r>
      <w:r w:rsidRPr="00104227">
        <w:rPr>
          <w:color w:val="000000" w:themeColor="text1"/>
        </w:rPr>
        <w:t>evidence file</w:t>
      </w:r>
      <w:r w:rsidR="00C41CD3" w:rsidRPr="00104227">
        <w:rPr>
          <w:color w:val="000000" w:themeColor="text1"/>
        </w:rPr>
        <w:t>, folios 1484 a 1486),</w:t>
      </w:r>
      <w:r w:rsidR="00BF5241" w:rsidRPr="00104227">
        <w:rPr>
          <w:color w:val="000000" w:themeColor="text1"/>
        </w:rPr>
        <w:t xml:space="preserve"> and </w:t>
      </w:r>
      <w:r w:rsidR="00E31E41" w:rsidRPr="00104227">
        <w:rPr>
          <w:color w:val="000000" w:themeColor="text1"/>
        </w:rPr>
        <w:t>affidavit</w:t>
      </w:r>
      <w:r w:rsidRPr="00104227">
        <w:rPr>
          <w:color w:val="000000" w:themeColor="text1"/>
        </w:rPr>
        <w:t xml:space="preserve"> made by</w:t>
      </w:r>
      <w:r w:rsidR="00C41CD3" w:rsidRPr="00104227">
        <w:rPr>
          <w:color w:val="000000" w:themeColor="text1"/>
        </w:rPr>
        <w:t xml:space="preserve"> </w:t>
      </w:r>
      <w:r w:rsidR="0053506B" w:rsidRPr="00104227">
        <w:rPr>
          <w:color w:val="000000" w:themeColor="text1"/>
        </w:rPr>
        <w:t xml:space="preserve">María Cristina Sánchez Hernández </w:t>
      </w:r>
      <w:r w:rsidR="00E31E41" w:rsidRPr="00104227">
        <w:rPr>
          <w:color w:val="000000" w:themeColor="text1"/>
        </w:rPr>
        <w:t>on October 31,</w:t>
      </w:r>
      <w:r w:rsidR="00C41CD3" w:rsidRPr="00104227">
        <w:rPr>
          <w:color w:val="000000" w:themeColor="text1"/>
        </w:rPr>
        <w:t xml:space="preserve"> 2017 (</w:t>
      </w:r>
      <w:r w:rsidRPr="00104227">
        <w:rPr>
          <w:color w:val="000000" w:themeColor="text1"/>
        </w:rPr>
        <w:t>evidence file</w:t>
      </w:r>
      <w:r w:rsidR="00C41CD3" w:rsidRPr="00104227">
        <w:rPr>
          <w:color w:val="000000" w:themeColor="text1"/>
        </w:rPr>
        <w:t xml:space="preserve">, folios 37172 </w:t>
      </w:r>
      <w:r w:rsidR="00E31E41" w:rsidRPr="00104227">
        <w:rPr>
          <w:color w:val="000000" w:themeColor="text1"/>
        </w:rPr>
        <w:t>to</w:t>
      </w:r>
      <w:r w:rsidR="00C41CD3" w:rsidRPr="00104227">
        <w:rPr>
          <w:color w:val="000000" w:themeColor="text1"/>
        </w:rPr>
        <w:t xml:space="preserve"> 37177).</w:t>
      </w:r>
    </w:p>
    <w:p w14:paraId="030B4552" w14:textId="77777777" w:rsidR="00C41CD3" w:rsidRPr="00104227" w:rsidRDefault="00C41CD3" w:rsidP="00E4619F">
      <w:pPr>
        <w:tabs>
          <w:tab w:val="left" w:pos="567"/>
        </w:tabs>
        <w:rPr>
          <w:b/>
          <w:color w:val="000000" w:themeColor="text1"/>
        </w:rPr>
      </w:pPr>
    </w:p>
    <w:p w14:paraId="77593F58" w14:textId="37C612A0" w:rsidR="00C41CD3" w:rsidRPr="00104227" w:rsidRDefault="004617E1" w:rsidP="00E4619F">
      <w:pPr>
        <w:tabs>
          <w:tab w:val="left" w:pos="567"/>
        </w:tabs>
        <w:rPr>
          <w:color w:val="000000" w:themeColor="text1"/>
          <w:u w:val="single"/>
        </w:rPr>
      </w:pPr>
      <w:r w:rsidRPr="00104227">
        <w:rPr>
          <w:color w:val="000000" w:themeColor="text1"/>
          <w:u w:val="single"/>
        </w:rPr>
        <w:t>Evidence of the facts relating to</w:t>
      </w:r>
      <w:r w:rsidR="00C41CD3" w:rsidRPr="00104227">
        <w:rPr>
          <w:color w:val="000000" w:themeColor="text1"/>
          <w:u w:val="single"/>
        </w:rPr>
        <w:t xml:space="preserve"> </w:t>
      </w:r>
      <w:r w:rsidR="0047539E" w:rsidRPr="00104227">
        <w:rPr>
          <w:color w:val="000000" w:themeColor="text1"/>
          <w:u w:val="single"/>
        </w:rPr>
        <w:t>Angélica Patricia Torres</w:t>
      </w:r>
      <w:r w:rsidR="00C41CD3" w:rsidRPr="00104227">
        <w:rPr>
          <w:color w:val="000000" w:themeColor="text1"/>
          <w:u w:val="single"/>
        </w:rPr>
        <w:t xml:space="preserve"> Linares</w:t>
      </w:r>
    </w:p>
    <w:p w14:paraId="473A3800" w14:textId="77777777" w:rsidR="00C41CD3" w:rsidRPr="00104227" w:rsidRDefault="00C41CD3" w:rsidP="00E4619F">
      <w:pPr>
        <w:tabs>
          <w:tab w:val="left" w:pos="567"/>
        </w:tabs>
        <w:rPr>
          <w:b/>
          <w:color w:val="000000" w:themeColor="text1"/>
        </w:rPr>
      </w:pPr>
    </w:p>
    <w:p w14:paraId="626F16A8" w14:textId="1FE06528" w:rsidR="00C41CD3" w:rsidRPr="00104227" w:rsidRDefault="004617E1" w:rsidP="00E4619F">
      <w:pPr>
        <w:tabs>
          <w:tab w:val="left" w:pos="567"/>
        </w:tabs>
        <w:rPr>
          <w:b/>
          <w:color w:val="000000" w:themeColor="text1"/>
        </w:rPr>
      </w:pPr>
      <w:r w:rsidRPr="00104227">
        <w:rPr>
          <w:color w:val="000000" w:themeColor="text1"/>
        </w:rPr>
        <w:t>The description of what happened to</w:t>
      </w:r>
      <w:r w:rsidR="00C41CD3" w:rsidRPr="00104227">
        <w:rPr>
          <w:color w:val="000000" w:themeColor="text1"/>
        </w:rPr>
        <w:t xml:space="preserve"> </w:t>
      </w:r>
      <w:r w:rsidR="0047539E" w:rsidRPr="00104227">
        <w:rPr>
          <w:color w:val="000000" w:themeColor="text1"/>
        </w:rPr>
        <w:t>Angélica Patricia Torres</w:t>
      </w:r>
      <w:r w:rsidR="00C41CD3" w:rsidRPr="00104227">
        <w:rPr>
          <w:color w:val="000000" w:themeColor="text1"/>
        </w:rPr>
        <w:t xml:space="preserve"> Linares </w:t>
      </w:r>
      <w:r w:rsidRPr="00104227">
        <w:rPr>
          <w:color w:val="000000" w:themeColor="text1"/>
        </w:rPr>
        <w:t>can be found in the following evidence</w:t>
      </w:r>
      <w:r w:rsidR="00C41CD3" w:rsidRPr="00104227">
        <w:rPr>
          <w:color w:val="000000" w:themeColor="text1"/>
        </w:rPr>
        <w:t xml:space="preserve">, </w:t>
      </w:r>
      <w:r w:rsidRPr="00104227">
        <w:rPr>
          <w:color w:val="000000" w:themeColor="text1"/>
        </w:rPr>
        <w:t>unless otherwise specifically indicated</w:t>
      </w:r>
      <w:r w:rsidR="00C41CD3" w:rsidRPr="00104227">
        <w:rPr>
          <w:color w:val="000000" w:themeColor="text1"/>
        </w:rPr>
        <w:t xml:space="preserve">: </w:t>
      </w:r>
      <w:r w:rsidR="00D0136A" w:rsidRPr="00104227">
        <w:rPr>
          <w:color w:val="000000" w:themeColor="text1"/>
        </w:rPr>
        <w:t>Entry medical report of</w:t>
      </w:r>
      <w:r w:rsidR="00C41CD3" w:rsidRPr="00104227">
        <w:rPr>
          <w:color w:val="000000" w:themeColor="text1"/>
        </w:rPr>
        <w:t xml:space="preserve"> </w:t>
      </w:r>
      <w:r w:rsidR="0047539E" w:rsidRPr="00104227">
        <w:rPr>
          <w:color w:val="000000" w:themeColor="text1"/>
        </w:rPr>
        <w:t>Angélica Patricia Torres</w:t>
      </w:r>
      <w:r w:rsidR="00C41CD3" w:rsidRPr="00104227">
        <w:rPr>
          <w:color w:val="000000" w:themeColor="text1"/>
        </w:rPr>
        <w:t xml:space="preserve"> Linares, </w:t>
      </w:r>
      <w:r w:rsidR="00E31E41" w:rsidRPr="00104227">
        <w:rPr>
          <w:color w:val="000000" w:themeColor="text1"/>
        </w:rPr>
        <w:t>initially identified as</w:t>
      </w:r>
      <w:r w:rsidR="00C41CD3" w:rsidRPr="00104227">
        <w:rPr>
          <w:color w:val="000000" w:themeColor="text1"/>
        </w:rPr>
        <w:t xml:space="preserve"> Marisol Larios Carvajal, </w:t>
      </w:r>
      <w:r w:rsidR="00B851FA" w:rsidRPr="00104227">
        <w:rPr>
          <w:color w:val="000000" w:themeColor="text1"/>
        </w:rPr>
        <w:t>of May 4,</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folios 1492</w:t>
      </w:r>
      <w:r w:rsidR="00BF5241" w:rsidRPr="00104227">
        <w:rPr>
          <w:color w:val="000000" w:themeColor="text1"/>
        </w:rPr>
        <w:t xml:space="preserve"> and </w:t>
      </w:r>
      <w:r w:rsidR="00C41CD3" w:rsidRPr="00104227">
        <w:rPr>
          <w:color w:val="000000" w:themeColor="text1"/>
        </w:rPr>
        <w:t xml:space="preserve">1493); </w:t>
      </w:r>
      <w:r w:rsidR="00E31E41" w:rsidRPr="00104227">
        <w:rPr>
          <w:color w:val="000000" w:themeColor="text1"/>
        </w:rPr>
        <w:t>detailed record of the</w:t>
      </w:r>
      <w:r w:rsidR="00C41CD3" w:rsidRPr="00104227">
        <w:rPr>
          <w:color w:val="000000" w:themeColor="text1"/>
        </w:rPr>
        <w:t xml:space="preserve"> </w:t>
      </w:r>
      <w:r w:rsidR="00D0136A" w:rsidRPr="00104227">
        <w:rPr>
          <w:color w:val="000000" w:themeColor="text1"/>
        </w:rPr>
        <w:t>Deputy Inspector</w:t>
      </w:r>
      <w:r w:rsidR="00BF5241" w:rsidRPr="00104227">
        <w:rPr>
          <w:color w:val="000000" w:themeColor="text1"/>
        </w:rPr>
        <w:t xml:space="preserve"> of the </w:t>
      </w:r>
      <w:r w:rsidR="00F12946" w:rsidRPr="00104227">
        <w:rPr>
          <w:color w:val="000000" w:themeColor="text1"/>
        </w:rPr>
        <w:t>National Human Rights Commission</w:t>
      </w:r>
      <w:r w:rsidR="00C41CD3" w:rsidRPr="00104227">
        <w:rPr>
          <w:color w:val="000000" w:themeColor="text1"/>
        </w:rPr>
        <w:t xml:space="preserve"> </w:t>
      </w:r>
      <w:r w:rsidR="00E31E41" w:rsidRPr="00104227">
        <w:rPr>
          <w:color w:val="000000" w:themeColor="text1"/>
        </w:rPr>
        <w:t>of May 6,</w:t>
      </w:r>
      <w:r w:rsidR="00C41CD3" w:rsidRPr="00104227">
        <w:rPr>
          <w:color w:val="000000" w:themeColor="text1"/>
        </w:rPr>
        <w:t xml:space="preserve"> 2006</w:t>
      </w:r>
      <w:r w:rsidR="00E31E41" w:rsidRPr="00104227">
        <w:rPr>
          <w:color w:val="000000" w:themeColor="text1"/>
        </w:rPr>
        <w:t>,</w:t>
      </w:r>
      <w:r w:rsidR="00C41CD3" w:rsidRPr="00104227">
        <w:rPr>
          <w:color w:val="000000" w:themeColor="text1"/>
        </w:rPr>
        <w:t xml:space="preserve"> </w:t>
      </w:r>
      <w:r w:rsidR="00E31E41" w:rsidRPr="00104227">
        <w:rPr>
          <w:color w:val="000000" w:themeColor="text1"/>
        </w:rPr>
        <w:t>with regard to</w:t>
      </w:r>
      <w:r w:rsidR="00C41CD3" w:rsidRPr="00104227">
        <w:rPr>
          <w:color w:val="000000" w:themeColor="text1"/>
        </w:rPr>
        <w:t xml:space="preserve"> </w:t>
      </w:r>
      <w:r w:rsidR="0047539E" w:rsidRPr="00104227">
        <w:rPr>
          <w:color w:val="000000" w:themeColor="text1"/>
        </w:rPr>
        <w:t>Angélica Patricia Torres</w:t>
      </w:r>
      <w:r w:rsidR="00C41CD3" w:rsidRPr="00104227">
        <w:rPr>
          <w:color w:val="000000" w:themeColor="text1"/>
        </w:rPr>
        <w:t xml:space="preserve"> Linares, </w:t>
      </w:r>
      <w:r w:rsidR="00E31E41" w:rsidRPr="00104227">
        <w:rPr>
          <w:color w:val="000000" w:themeColor="text1"/>
        </w:rPr>
        <w:t>initially identified as</w:t>
      </w:r>
      <w:r w:rsidR="00C41CD3" w:rsidRPr="00104227">
        <w:rPr>
          <w:color w:val="000000" w:themeColor="text1"/>
        </w:rPr>
        <w:t xml:space="preserve"> Marisol Larios Carvajal (</w:t>
      </w:r>
      <w:r w:rsidRPr="00104227">
        <w:rPr>
          <w:color w:val="000000" w:themeColor="text1"/>
        </w:rPr>
        <w:t>evidence file</w:t>
      </w:r>
      <w:r w:rsidR="00C41CD3" w:rsidRPr="00104227">
        <w:rPr>
          <w:color w:val="000000" w:themeColor="text1"/>
        </w:rPr>
        <w:t xml:space="preserve">, folios 1495 </w:t>
      </w:r>
      <w:r w:rsidR="00977636" w:rsidRPr="00104227">
        <w:rPr>
          <w:color w:val="000000" w:themeColor="text1"/>
        </w:rPr>
        <w:t>to</w:t>
      </w:r>
      <w:r w:rsidR="00C41CD3" w:rsidRPr="00104227">
        <w:rPr>
          <w:color w:val="000000" w:themeColor="text1"/>
        </w:rPr>
        <w:t xml:space="preserve"> 1497); </w:t>
      </w:r>
      <w:r w:rsidR="00E31E41" w:rsidRPr="00104227">
        <w:rPr>
          <w:color w:val="000000" w:themeColor="text1"/>
        </w:rPr>
        <w:t>CNDH medical certificate of the injuries of</w:t>
      </w:r>
      <w:r w:rsidR="00C41CD3" w:rsidRPr="00104227">
        <w:rPr>
          <w:color w:val="000000" w:themeColor="text1"/>
        </w:rPr>
        <w:t xml:space="preserve"> </w:t>
      </w:r>
      <w:r w:rsidR="0047539E" w:rsidRPr="00104227">
        <w:rPr>
          <w:color w:val="000000" w:themeColor="text1"/>
        </w:rPr>
        <w:t>Angélica Patricia Torres</w:t>
      </w:r>
      <w:r w:rsidR="00C41CD3" w:rsidRPr="00104227">
        <w:rPr>
          <w:color w:val="000000" w:themeColor="text1"/>
        </w:rPr>
        <w:t xml:space="preserve"> Linares, </w:t>
      </w:r>
      <w:r w:rsidR="00E31E41" w:rsidRPr="00104227">
        <w:rPr>
          <w:color w:val="000000" w:themeColor="text1"/>
        </w:rPr>
        <w:t>initially identified as</w:t>
      </w:r>
      <w:r w:rsidR="00C41CD3" w:rsidRPr="00104227">
        <w:rPr>
          <w:color w:val="000000" w:themeColor="text1"/>
        </w:rPr>
        <w:t xml:space="preserve"> Marisol Larios Carvajal </w:t>
      </w:r>
      <w:r w:rsidR="00E31E41" w:rsidRPr="00104227">
        <w:rPr>
          <w:color w:val="000000" w:themeColor="text1"/>
        </w:rPr>
        <w:t>of May 6,</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folios 1500</w:t>
      </w:r>
      <w:r w:rsidR="00BF5241" w:rsidRPr="00104227">
        <w:rPr>
          <w:color w:val="000000" w:themeColor="text1"/>
        </w:rPr>
        <w:t xml:space="preserve"> and </w:t>
      </w:r>
      <w:r w:rsidR="00C41CD3" w:rsidRPr="00104227">
        <w:rPr>
          <w:color w:val="000000" w:themeColor="text1"/>
        </w:rPr>
        <w:t xml:space="preserve">1501); </w:t>
      </w:r>
      <w:r w:rsidR="00E31E41" w:rsidRPr="00104227">
        <w:rPr>
          <w:color w:val="000000" w:themeColor="text1"/>
        </w:rPr>
        <w:t>detailed record of the</w:t>
      </w:r>
      <w:r w:rsidR="00C41CD3" w:rsidRPr="00104227">
        <w:rPr>
          <w:color w:val="000000" w:themeColor="text1"/>
        </w:rPr>
        <w:t xml:space="preserve"> </w:t>
      </w:r>
      <w:r w:rsidR="00581EFB" w:rsidRPr="00104227">
        <w:rPr>
          <w:color w:val="000000" w:themeColor="text1"/>
        </w:rPr>
        <w:t xml:space="preserve">CNDH </w:t>
      </w:r>
      <w:r w:rsidR="00D0136A" w:rsidRPr="00104227">
        <w:rPr>
          <w:color w:val="000000" w:themeColor="text1"/>
        </w:rPr>
        <w:t>Deputy Inspector</w:t>
      </w:r>
      <w:r w:rsidR="00C41CD3" w:rsidRPr="00104227">
        <w:rPr>
          <w:color w:val="000000" w:themeColor="text1"/>
        </w:rPr>
        <w:t xml:space="preserve"> </w:t>
      </w:r>
      <w:r w:rsidR="00E31E41" w:rsidRPr="00104227">
        <w:rPr>
          <w:color w:val="000000" w:themeColor="text1"/>
        </w:rPr>
        <w:t>of May</w:t>
      </w:r>
      <w:r w:rsidR="000777FE" w:rsidRPr="00104227">
        <w:rPr>
          <w:color w:val="000000" w:themeColor="text1"/>
        </w:rPr>
        <w:t xml:space="preserve"> 12</w:t>
      </w:r>
      <w:r w:rsidR="009075C6" w:rsidRPr="00104227">
        <w:rPr>
          <w:color w:val="000000" w:themeColor="text1"/>
        </w:rPr>
        <w:t>,</w:t>
      </w:r>
      <w:r w:rsidR="00C41CD3" w:rsidRPr="00104227">
        <w:rPr>
          <w:color w:val="000000" w:themeColor="text1"/>
        </w:rPr>
        <w:t xml:space="preserve"> 2006</w:t>
      </w:r>
      <w:r w:rsidR="00E31E41" w:rsidRPr="00104227">
        <w:rPr>
          <w:color w:val="000000" w:themeColor="text1"/>
        </w:rPr>
        <w:t>, regard</w:t>
      </w:r>
      <w:r w:rsidR="00581EFB" w:rsidRPr="00104227">
        <w:rPr>
          <w:color w:val="000000" w:themeColor="text1"/>
        </w:rPr>
        <w:t>ing</w:t>
      </w:r>
      <w:r w:rsidR="00C41CD3" w:rsidRPr="00104227">
        <w:rPr>
          <w:color w:val="000000" w:themeColor="text1"/>
        </w:rPr>
        <w:t xml:space="preserve"> </w:t>
      </w:r>
      <w:r w:rsidR="0047539E" w:rsidRPr="00104227">
        <w:rPr>
          <w:color w:val="000000" w:themeColor="text1"/>
        </w:rPr>
        <w:t>Angélica Patricia Torres</w:t>
      </w:r>
      <w:r w:rsidR="00C41CD3" w:rsidRPr="00104227">
        <w:rPr>
          <w:color w:val="000000" w:themeColor="text1"/>
        </w:rPr>
        <w:t xml:space="preserve"> Linares, </w:t>
      </w:r>
      <w:r w:rsidR="00E31E41" w:rsidRPr="00104227">
        <w:rPr>
          <w:color w:val="000000" w:themeColor="text1"/>
        </w:rPr>
        <w:t>initially identified as</w:t>
      </w:r>
      <w:r w:rsidR="00C41CD3" w:rsidRPr="00104227">
        <w:rPr>
          <w:color w:val="000000" w:themeColor="text1"/>
        </w:rPr>
        <w:t xml:space="preserve"> Marisol Larios Carvajal (</w:t>
      </w:r>
      <w:r w:rsidRPr="00104227">
        <w:rPr>
          <w:color w:val="000000" w:themeColor="text1"/>
        </w:rPr>
        <w:t>evidence file</w:t>
      </w:r>
      <w:r w:rsidR="00C41CD3" w:rsidRPr="00104227">
        <w:rPr>
          <w:color w:val="000000" w:themeColor="text1"/>
        </w:rPr>
        <w:t xml:space="preserve">, folio 1516); </w:t>
      </w:r>
      <w:r w:rsidRPr="00104227">
        <w:rPr>
          <w:color w:val="000000" w:themeColor="text1"/>
        </w:rPr>
        <w:t>statement by</w:t>
      </w:r>
      <w:r w:rsidR="00C41CD3" w:rsidRPr="00104227">
        <w:rPr>
          <w:color w:val="000000" w:themeColor="text1"/>
        </w:rPr>
        <w:t xml:space="preserve"> </w:t>
      </w:r>
      <w:r w:rsidR="0047539E" w:rsidRPr="00104227">
        <w:rPr>
          <w:color w:val="000000" w:themeColor="text1"/>
        </w:rPr>
        <w:t>Angélica Patricia Torres</w:t>
      </w:r>
      <w:r w:rsidR="00C41CD3" w:rsidRPr="00104227">
        <w:rPr>
          <w:color w:val="000000" w:themeColor="text1"/>
        </w:rPr>
        <w:t xml:space="preserve"> Linares </w:t>
      </w:r>
      <w:r w:rsidR="00E31E41" w:rsidRPr="00104227">
        <w:rPr>
          <w:color w:val="000000" w:themeColor="text1"/>
        </w:rPr>
        <w:t xml:space="preserve">during the preliminary inquiry </w:t>
      </w:r>
      <w:r w:rsidR="00C41CD3" w:rsidRPr="00104227">
        <w:rPr>
          <w:color w:val="000000" w:themeColor="text1"/>
        </w:rPr>
        <w:t>TOL/DR/I/466/2006 (</w:t>
      </w:r>
      <w:r w:rsidRPr="00104227">
        <w:rPr>
          <w:color w:val="000000" w:themeColor="text1"/>
        </w:rPr>
        <w:t>evidence file</w:t>
      </w:r>
      <w:r w:rsidR="00C41CD3" w:rsidRPr="00104227">
        <w:rPr>
          <w:color w:val="000000" w:themeColor="text1"/>
        </w:rPr>
        <w:t xml:space="preserve">, folios 1505 </w:t>
      </w:r>
      <w:r w:rsidRPr="00104227">
        <w:rPr>
          <w:color w:val="000000" w:themeColor="text1"/>
        </w:rPr>
        <w:t>to</w:t>
      </w:r>
      <w:r w:rsidR="00C41CD3" w:rsidRPr="00104227">
        <w:rPr>
          <w:color w:val="000000" w:themeColor="text1"/>
        </w:rPr>
        <w:t xml:space="preserve"> 1509); </w:t>
      </w:r>
      <w:r w:rsidRPr="00104227">
        <w:rPr>
          <w:color w:val="000000" w:themeColor="text1"/>
        </w:rPr>
        <w:t>statement by</w:t>
      </w:r>
      <w:r w:rsidR="00C41CD3" w:rsidRPr="00104227">
        <w:rPr>
          <w:color w:val="000000" w:themeColor="text1"/>
        </w:rPr>
        <w:t xml:space="preserve"> </w:t>
      </w:r>
      <w:r w:rsidR="0047539E" w:rsidRPr="00104227">
        <w:rPr>
          <w:color w:val="000000" w:themeColor="text1"/>
        </w:rPr>
        <w:t>Angélica Patricia Torres</w:t>
      </w:r>
      <w:r w:rsidR="00C41CD3" w:rsidRPr="00104227">
        <w:rPr>
          <w:color w:val="000000" w:themeColor="text1"/>
        </w:rPr>
        <w:t xml:space="preserve"> Linares </w:t>
      </w:r>
      <w:r w:rsidRPr="00104227">
        <w:rPr>
          <w:color w:val="000000" w:themeColor="text1"/>
        </w:rPr>
        <w:t>before the</w:t>
      </w:r>
      <w:r w:rsidR="00C41CD3" w:rsidRPr="00104227">
        <w:rPr>
          <w:color w:val="000000" w:themeColor="text1"/>
        </w:rPr>
        <w:t xml:space="preserve"> FEVIM </w:t>
      </w:r>
      <w:r w:rsidR="00E31E41" w:rsidRPr="00104227">
        <w:rPr>
          <w:color w:val="000000" w:themeColor="text1"/>
        </w:rPr>
        <w:t>on June</w:t>
      </w:r>
      <w:r w:rsidR="00335431" w:rsidRPr="00104227">
        <w:rPr>
          <w:color w:val="000000" w:themeColor="text1"/>
        </w:rPr>
        <w:t xml:space="preserve"> 19,</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xml:space="preserve">, folios 1511 </w:t>
      </w:r>
      <w:r w:rsidRPr="00104227">
        <w:rPr>
          <w:color w:val="000000" w:themeColor="text1"/>
        </w:rPr>
        <w:t>to</w:t>
      </w:r>
      <w:r w:rsidR="00C41CD3" w:rsidRPr="00104227">
        <w:rPr>
          <w:color w:val="000000" w:themeColor="text1"/>
        </w:rPr>
        <w:t xml:space="preserve"> 1514); </w:t>
      </w:r>
      <w:r w:rsidR="00E31E41" w:rsidRPr="00104227">
        <w:rPr>
          <w:color w:val="000000" w:themeColor="text1"/>
        </w:rPr>
        <w:t>CNDH Recommendation 38/2006</w:t>
      </w:r>
      <w:r w:rsidR="00C41CD3" w:rsidRPr="00104227">
        <w:rPr>
          <w:color w:val="000000" w:themeColor="text1"/>
        </w:rPr>
        <w:t xml:space="preserve">. </w:t>
      </w:r>
      <w:r w:rsidRPr="00104227">
        <w:rPr>
          <w:color w:val="000000" w:themeColor="text1"/>
        </w:rPr>
        <w:t>Section on</w:t>
      </w:r>
      <w:r w:rsidR="00C41CD3" w:rsidRPr="00104227">
        <w:rPr>
          <w:color w:val="000000" w:themeColor="text1"/>
        </w:rPr>
        <w:t xml:space="preserve"> </w:t>
      </w:r>
      <w:r w:rsidR="0047539E" w:rsidRPr="00104227">
        <w:rPr>
          <w:color w:val="000000" w:themeColor="text1"/>
        </w:rPr>
        <w:t>Angélica Patricia Torres</w:t>
      </w:r>
      <w:r w:rsidR="00C41CD3" w:rsidRPr="00104227">
        <w:rPr>
          <w:color w:val="000000" w:themeColor="text1"/>
        </w:rPr>
        <w:t xml:space="preserve"> Linares, </w:t>
      </w:r>
      <w:r w:rsidRPr="00104227">
        <w:rPr>
          <w:color w:val="000000" w:themeColor="text1"/>
        </w:rPr>
        <w:t>initially identified as</w:t>
      </w:r>
      <w:r w:rsidR="00C41CD3" w:rsidRPr="00104227">
        <w:rPr>
          <w:color w:val="000000" w:themeColor="text1"/>
        </w:rPr>
        <w:t xml:space="preserve"> Marisol Larios Carvajal</w:t>
      </w:r>
      <w:r w:rsidR="00E31E41" w:rsidRPr="00104227">
        <w:rPr>
          <w:color w:val="000000" w:themeColor="text1"/>
        </w:rPr>
        <w:t>,</w:t>
      </w:r>
      <w:r w:rsidR="00C41CD3" w:rsidRPr="00104227">
        <w:rPr>
          <w:color w:val="000000" w:themeColor="text1"/>
        </w:rPr>
        <w:t xml:space="preserve"> ide</w:t>
      </w:r>
      <w:r w:rsidRPr="00104227">
        <w:rPr>
          <w:color w:val="000000" w:themeColor="text1"/>
        </w:rPr>
        <w:t>ntified as</w:t>
      </w:r>
      <w:r w:rsidR="00C41CD3" w:rsidRPr="00104227">
        <w:rPr>
          <w:color w:val="000000" w:themeColor="text1"/>
        </w:rPr>
        <w:t xml:space="preserve"> A189 (</w:t>
      </w:r>
      <w:r w:rsidRPr="00104227">
        <w:rPr>
          <w:color w:val="000000" w:themeColor="text1"/>
        </w:rPr>
        <w:t>evidence file</w:t>
      </w:r>
      <w:r w:rsidR="00C41CD3" w:rsidRPr="00104227">
        <w:rPr>
          <w:color w:val="000000" w:themeColor="text1"/>
        </w:rPr>
        <w:t xml:space="preserve">, folios 1520 </w:t>
      </w:r>
      <w:r w:rsidRPr="00104227">
        <w:rPr>
          <w:color w:val="000000" w:themeColor="text1"/>
        </w:rPr>
        <w:t>to</w:t>
      </w:r>
      <w:r w:rsidR="00C41CD3" w:rsidRPr="00104227">
        <w:rPr>
          <w:color w:val="000000" w:themeColor="text1"/>
        </w:rPr>
        <w:t xml:space="preserve"> 1522),</w:t>
      </w:r>
      <w:r w:rsidR="00BF5241" w:rsidRPr="00104227">
        <w:rPr>
          <w:color w:val="000000" w:themeColor="text1"/>
        </w:rPr>
        <w:t xml:space="preserve"> and </w:t>
      </w:r>
      <w:r w:rsidRPr="00104227">
        <w:rPr>
          <w:color w:val="000000" w:themeColor="text1"/>
        </w:rPr>
        <w:t>statement by</w:t>
      </w:r>
      <w:r w:rsidR="00C41CD3" w:rsidRPr="00104227">
        <w:rPr>
          <w:color w:val="000000" w:themeColor="text1"/>
        </w:rPr>
        <w:t xml:space="preserve"> </w:t>
      </w:r>
      <w:r w:rsidR="0047539E" w:rsidRPr="00104227">
        <w:rPr>
          <w:color w:val="000000" w:themeColor="text1"/>
        </w:rPr>
        <w:t>Angélica Patricia Torres</w:t>
      </w:r>
      <w:r w:rsidR="00C41CD3" w:rsidRPr="00104227">
        <w:rPr>
          <w:color w:val="000000" w:themeColor="text1"/>
        </w:rPr>
        <w:t xml:space="preserve"> Linares </w:t>
      </w:r>
      <w:r w:rsidRPr="00104227">
        <w:rPr>
          <w:color w:val="000000" w:themeColor="text1"/>
        </w:rPr>
        <w:t>during the public hearing before this Court</w:t>
      </w:r>
      <w:r w:rsidR="00C41CD3" w:rsidRPr="00104227">
        <w:rPr>
          <w:color w:val="000000" w:themeColor="text1"/>
        </w:rPr>
        <w:t>.</w:t>
      </w:r>
    </w:p>
    <w:p w14:paraId="5AC509E4" w14:textId="77777777" w:rsidR="00C41CD3" w:rsidRPr="00104227" w:rsidRDefault="00C41CD3" w:rsidP="00E4619F">
      <w:pPr>
        <w:tabs>
          <w:tab w:val="left" w:pos="567"/>
        </w:tabs>
        <w:rPr>
          <w:b/>
          <w:color w:val="000000" w:themeColor="text1"/>
        </w:rPr>
      </w:pPr>
    </w:p>
    <w:p w14:paraId="7EC2AF41" w14:textId="154D72D5" w:rsidR="00C41CD3" w:rsidRPr="00104227" w:rsidRDefault="004617E1" w:rsidP="00E4619F">
      <w:pPr>
        <w:tabs>
          <w:tab w:val="left" w:pos="567"/>
        </w:tabs>
        <w:rPr>
          <w:color w:val="000000" w:themeColor="text1"/>
          <w:u w:val="single"/>
        </w:rPr>
      </w:pPr>
      <w:r w:rsidRPr="00104227">
        <w:rPr>
          <w:color w:val="000000" w:themeColor="text1"/>
          <w:u w:val="single"/>
        </w:rPr>
        <w:t>Evidence of the facts relating to</w:t>
      </w:r>
      <w:r w:rsidR="00C41CD3" w:rsidRPr="00104227">
        <w:rPr>
          <w:color w:val="000000" w:themeColor="text1"/>
          <w:u w:val="single"/>
        </w:rPr>
        <w:t xml:space="preserve"> Claudia Hernández Martínez</w:t>
      </w:r>
    </w:p>
    <w:p w14:paraId="47B13F74" w14:textId="77777777" w:rsidR="00C41CD3" w:rsidRPr="00104227" w:rsidRDefault="00C41CD3" w:rsidP="00E4619F">
      <w:pPr>
        <w:tabs>
          <w:tab w:val="left" w:pos="567"/>
        </w:tabs>
        <w:rPr>
          <w:b/>
          <w:color w:val="000000" w:themeColor="text1"/>
        </w:rPr>
      </w:pPr>
    </w:p>
    <w:p w14:paraId="54195F05" w14:textId="46DBB6F3" w:rsidR="00C41CD3" w:rsidRPr="00104227" w:rsidRDefault="004617E1" w:rsidP="00E4619F">
      <w:pPr>
        <w:tabs>
          <w:tab w:val="left" w:pos="567"/>
        </w:tabs>
        <w:rPr>
          <w:b/>
          <w:color w:val="000000" w:themeColor="text1"/>
        </w:rPr>
      </w:pPr>
      <w:r w:rsidRPr="00104227">
        <w:rPr>
          <w:color w:val="000000" w:themeColor="text1"/>
        </w:rPr>
        <w:t>The description of what happened to</w:t>
      </w:r>
      <w:r w:rsidR="00C41CD3" w:rsidRPr="00104227">
        <w:rPr>
          <w:color w:val="000000" w:themeColor="text1"/>
        </w:rPr>
        <w:t xml:space="preserve"> Claudia Hernández Martínez </w:t>
      </w:r>
      <w:r w:rsidRPr="00104227">
        <w:rPr>
          <w:color w:val="000000" w:themeColor="text1"/>
        </w:rPr>
        <w:t>can be found in the following evidence</w:t>
      </w:r>
      <w:r w:rsidR="00C41CD3" w:rsidRPr="00104227">
        <w:rPr>
          <w:color w:val="000000" w:themeColor="text1"/>
        </w:rPr>
        <w:t xml:space="preserve">, </w:t>
      </w:r>
      <w:r w:rsidRPr="00104227">
        <w:rPr>
          <w:color w:val="000000" w:themeColor="text1"/>
        </w:rPr>
        <w:t>unless otherwise specifically indicated</w:t>
      </w:r>
      <w:r w:rsidR="001738B6" w:rsidRPr="00104227">
        <w:rPr>
          <w:color w:val="000000" w:themeColor="text1"/>
        </w:rPr>
        <w:t xml:space="preserve">: </w:t>
      </w:r>
      <w:r w:rsidR="00E31E41" w:rsidRPr="00104227">
        <w:rPr>
          <w:color w:val="000000" w:themeColor="text1"/>
        </w:rPr>
        <w:t>a</w:t>
      </w:r>
      <w:r w:rsidRPr="00104227">
        <w:rPr>
          <w:color w:val="000000" w:themeColor="text1"/>
        </w:rPr>
        <w:t>pplication of the Istanbul Protocol to</w:t>
      </w:r>
      <w:r w:rsidR="00C41CD3" w:rsidRPr="00104227">
        <w:rPr>
          <w:color w:val="000000" w:themeColor="text1"/>
        </w:rPr>
        <w:t xml:space="preserve"> Claudia Hernández Martínez </w:t>
      </w:r>
      <w:r w:rsidRPr="00104227">
        <w:rPr>
          <w:color w:val="000000" w:themeColor="text1"/>
        </w:rPr>
        <w:t>by the</w:t>
      </w:r>
      <w:r w:rsidR="00C41CD3" w:rsidRPr="00104227">
        <w:rPr>
          <w:color w:val="000000" w:themeColor="text1"/>
        </w:rPr>
        <w:t xml:space="preserve"> </w:t>
      </w:r>
      <w:r w:rsidR="00C41CD3" w:rsidRPr="00104227">
        <w:rPr>
          <w:i/>
          <w:iCs/>
          <w:color w:val="000000" w:themeColor="text1"/>
        </w:rPr>
        <w:t xml:space="preserve">Colectivo contra la </w:t>
      </w:r>
      <w:r w:rsidR="00BC5201" w:rsidRPr="00104227">
        <w:rPr>
          <w:i/>
          <w:iCs/>
          <w:color w:val="000000" w:themeColor="text1"/>
        </w:rPr>
        <w:t>Tortur</w:t>
      </w:r>
      <w:r w:rsidR="00E31E41" w:rsidRPr="00104227">
        <w:rPr>
          <w:i/>
          <w:iCs/>
          <w:color w:val="000000" w:themeColor="text1"/>
        </w:rPr>
        <w:t>a</w:t>
      </w:r>
      <w:r w:rsidR="00C41CD3" w:rsidRPr="00104227">
        <w:rPr>
          <w:i/>
          <w:iCs/>
          <w:color w:val="000000" w:themeColor="text1"/>
        </w:rPr>
        <w:t xml:space="preserve"> </w:t>
      </w:r>
      <w:r w:rsidR="00E31E41" w:rsidRPr="00104227">
        <w:rPr>
          <w:i/>
          <w:iCs/>
          <w:color w:val="000000" w:themeColor="text1"/>
        </w:rPr>
        <w:t>y la</w:t>
      </w:r>
      <w:r w:rsidR="00C41CD3" w:rsidRPr="00104227">
        <w:rPr>
          <w:i/>
          <w:iCs/>
          <w:color w:val="000000" w:themeColor="text1"/>
        </w:rPr>
        <w:t xml:space="preserve"> Impunidad</w:t>
      </w:r>
      <w:r w:rsidR="00C41CD3" w:rsidRPr="00104227">
        <w:rPr>
          <w:color w:val="000000" w:themeColor="text1"/>
        </w:rPr>
        <w:t xml:space="preserve"> (</w:t>
      </w:r>
      <w:r w:rsidRPr="00104227">
        <w:rPr>
          <w:color w:val="000000" w:themeColor="text1"/>
        </w:rPr>
        <w:t>evidence file</w:t>
      </w:r>
      <w:r w:rsidR="00C41CD3" w:rsidRPr="00104227">
        <w:rPr>
          <w:color w:val="000000" w:themeColor="text1"/>
        </w:rPr>
        <w:t xml:space="preserve">, folios 1528, 1533 </w:t>
      </w:r>
      <w:r w:rsidRPr="00104227">
        <w:rPr>
          <w:color w:val="000000" w:themeColor="text1"/>
        </w:rPr>
        <w:t>to</w:t>
      </w:r>
      <w:r w:rsidR="00C41CD3" w:rsidRPr="00104227">
        <w:rPr>
          <w:color w:val="000000" w:themeColor="text1"/>
        </w:rPr>
        <w:t xml:space="preserve"> 1536, 1538 </w:t>
      </w:r>
      <w:r w:rsidRPr="00104227">
        <w:rPr>
          <w:color w:val="000000" w:themeColor="text1"/>
        </w:rPr>
        <w:t>to</w:t>
      </w:r>
      <w:r w:rsidR="00C41CD3" w:rsidRPr="00104227">
        <w:rPr>
          <w:color w:val="000000" w:themeColor="text1"/>
        </w:rPr>
        <w:t xml:space="preserve"> 1540 </w:t>
      </w:r>
      <w:r w:rsidRPr="00104227">
        <w:rPr>
          <w:color w:val="000000" w:themeColor="text1"/>
        </w:rPr>
        <w:t>to</w:t>
      </w:r>
      <w:r w:rsidR="00C41CD3" w:rsidRPr="00104227">
        <w:rPr>
          <w:color w:val="000000" w:themeColor="text1"/>
        </w:rPr>
        <w:t xml:space="preserve"> 1548, 1567, 1568</w:t>
      </w:r>
      <w:r w:rsidR="00BF5241" w:rsidRPr="00104227">
        <w:rPr>
          <w:color w:val="000000" w:themeColor="text1"/>
        </w:rPr>
        <w:t xml:space="preserve"> and </w:t>
      </w:r>
      <w:r w:rsidR="00C41CD3" w:rsidRPr="00104227">
        <w:rPr>
          <w:color w:val="000000" w:themeColor="text1"/>
        </w:rPr>
        <w:t xml:space="preserve">1578); </w:t>
      </w:r>
      <w:r w:rsidR="00E31E41" w:rsidRPr="00104227">
        <w:rPr>
          <w:color w:val="000000" w:themeColor="text1"/>
        </w:rPr>
        <w:t>expansion of the complaint filed by</w:t>
      </w:r>
      <w:r w:rsidR="00C41CD3" w:rsidRPr="00104227">
        <w:rPr>
          <w:color w:val="000000" w:themeColor="text1"/>
        </w:rPr>
        <w:t xml:space="preserve"> </w:t>
      </w:r>
      <w:r w:rsidR="00C41CD3" w:rsidRPr="00104227">
        <w:rPr>
          <w:color w:val="000000" w:themeColor="text1"/>
        </w:rPr>
        <w:lastRenderedPageBreak/>
        <w:t xml:space="preserve">Claudia Hernández Martínez </w:t>
      </w:r>
      <w:r w:rsidRPr="00104227">
        <w:rPr>
          <w:color w:val="000000" w:themeColor="text1"/>
        </w:rPr>
        <w:t>before the</w:t>
      </w:r>
      <w:r w:rsidR="00C41CD3" w:rsidRPr="00104227">
        <w:rPr>
          <w:color w:val="000000" w:themeColor="text1"/>
        </w:rPr>
        <w:t xml:space="preserve"> FEVIM </w:t>
      </w:r>
      <w:r w:rsidR="00E31E41" w:rsidRPr="00104227">
        <w:rPr>
          <w:color w:val="000000" w:themeColor="text1"/>
        </w:rPr>
        <w:t>on June</w:t>
      </w:r>
      <w:r w:rsidR="006F5741" w:rsidRPr="00104227">
        <w:rPr>
          <w:color w:val="000000" w:themeColor="text1"/>
        </w:rPr>
        <w:t xml:space="preserve"> 14,</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xml:space="preserve">, folios 1587 </w:t>
      </w:r>
      <w:r w:rsidRPr="00104227">
        <w:rPr>
          <w:color w:val="000000" w:themeColor="text1"/>
        </w:rPr>
        <w:t>to</w:t>
      </w:r>
      <w:r w:rsidR="00C41CD3" w:rsidRPr="00104227">
        <w:rPr>
          <w:color w:val="000000" w:themeColor="text1"/>
        </w:rPr>
        <w:t xml:space="preserve"> 1590); </w:t>
      </w:r>
      <w:r w:rsidR="00E31E41" w:rsidRPr="00104227">
        <w:rPr>
          <w:color w:val="000000" w:themeColor="text1"/>
        </w:rPr>
        <w:t>video of the</w:t>
      </w:r>
      <w:r w:rsidR="00C41CD3" w:rsidRPr="00104227">
        <w:rPr>
          <w:color w:val="000000" w:themeColor="text1"/>
        </w:rPr>
        <w:t xml:space="preserve"> </w:t>
      </w:r>
      <w:r w:rsidRPr="00104227">
        <w:rPr>
          <w:color w:val="000000" w:themeColor="text1"/>
        </w:rPr>
        <w:t xml:space="preserve">statement </w:t>
      </w:r>
      <w:r w:rsidR="00581EFB" w:rsidRPr="00104227">
        <w:rPr>
          <w:color w:val="000000" w:themeColor="text1"/>
        </w:rPr>
        <w:t xml:space="preserve">made </w:t>
      </w:r>
      <w:r w:rsidRPr="00104227">
        <w:rPr>
          <w:color w:val="000000" w:themeColor="text1"/>
        </w:rPr>
        <w:t>by</w:t>
      </w:r>
      <w:r w:rsidR="00C41CD3" w:rsidRPr="00104227">
        <w:rPr>
          <w:color w:val="000000" w:themeColor="text1"/>
        </w:rPr>
        <w:t xml:space="preserve"> Claudia Hernández Martínez (</w:t>
      </w:r>
      <w:r w:rsidRPr="00104227">
        <w:rPr>
          <w:color w:val="000000" w:themeColor="text1"/>
        </w:rPr>
        <w:t>evidence file</w:t>
      </w:r>
      <w:r w:rsidR="00C41CD3" w:rsidRPr="00104227">
        <w:rPr>
          <w:color w:val="000000" w:themeColor="text1"/>
        </w:rPr>
        <w:t xml:space="preserve">, folio 1585); </w:t>
      </w:r>
      <w:r w:rsidR="00E31E41" w:rsidRPr="00104227">
        <w:rPr>
          <w:color w:val="000000" w:themeColor="text1"/>
        </w:rPr>
        <w:t>preliminary statement by</w:t>
      </w:r>
      <w:r w:rsidR="00C41CD3" w:rsidRPr="00104227">
        <w:rPr>
          <w:color w:val="000000" w:themeColor="text1"/>
        </w:rPr>
        <w:t xml:space="preserve"> Claudia Hernández </w:t>
      </w:r>
      <w:r w:rsidR="001738B6" w:rsidRPr="00104227">
        <w:rPr>
          <w:color w:val="000000" w:themeColor="text1"/>
        </w:rPr>
        <w:t xml:space="preserve">Martínez </w:t>
      </w:r>
      <w:r w:rsidRPr="00104227">
        <w:rPr>
          <w:color w:val="000000" w:themeColor="text1"/>
        </w:rPr>
        <w:t>before the</w:t>
      </w:r>
      <w:r w:rsidR="00C41CD3" w:rsidRPr="00104227">
        <w:rPr>
          <w:color w:val="000000" w:themeColor="text1"/>
        </w:rPr>
        <w:t xml:space="preserve"> </w:t>
      </w:r>
      <w:r w:rsidRPr="00104227">
        <w:rPr>
          <w:color w:val="000000" w:themeColor="text1"/>
        </w:rPr>
        <w:t>Second Criminal Trial Court</w:t>
      </w:r>
      <w:r w:rsidR="00C41CD3" w:rsidRPr="00104227">
        <w:rPr>
          <w:color w:val="000000" w:themeColor="text1"/>
        </w:rPr>
        <w:t xml:space="preserve"> </w:t>
      </w:r>
      <w:r w:rsidRPr="00104227">
        <w:rPr>
          <w:color w:val="000000" w:themeColor="text1"/>
        </w:rPr>
        <w:t>of the Toluca Judicial District</w:t>
      </w:r>
      <w:r w:rsidR="00C41CD3" w:rsidRPr="00104227">
        <w:rPr>
          <w:color w:val="000000" w:themeColor="text1"/>
        </w:rPr>
        <w:t xml:space="preserve">, </w:t>
      </w:r>
      <w:r w:rsidR="008C6D02" w:rsidRPr="00104227">
        <w:rPr>
          <w:color w:val="000000" w:themeColor="text1"/>
        </w:rPr>
        <w:t>state of Mexico</w:t>
      </w:r>
      <w:r w:rsidR="00C41CD3" w:rsidRPr="00104227">
        <w:rPr>
          <w:color w:val="000000" w:themeColor="text1"/>
        </w:rPr>
        <w:t xml:space="preserve">, </w:t>
      </w:r>
      <w:r w:rsidR="00E31E41" w:rsidRPr="00104227">
        <w:rPr>
          <w:color w:val="000000" w:themeColor="text1"/>
        </w:rPr>
        <w:t>on May 10,</w:t>
      </w:r>
      <w:r w:rsidR="00C41CD3" w:rsidRPr="00104227">
        <w:rPr>
          <w:color w:val="000000" w:themeColor="text1"/>
        </w:rPr>
        <w:t xml:space="preserve"> 2006 (</w:t>
      </w:r>
      <w:r w:rsidRPr="00104227">
        <w:rPr>
          <w:color w:val="000000" w:themeColor="text1"/>
        </w:rPr>
        <w:t>evidence file</w:t>
      </w:r>
      <w:r w:rsidR="00C41CD3" w:rsidRPr="00104227">
        <w:rPr>
          <w:color w:val="000000" w:themeColor="text1"/>
        </w:rPr>
        <w:t>, folio 32321),</w:t>
      </w:r>
      <w:r w:rsidR="00BF5241" w:rsidRPr="00104227">
        <w:rPr>
          <w:color w:val="000000" w:themeColor="text1"/>
        </w:rPr>
        <w:t xml:space="preserve"> and </w:t>
      </w:r>
      <w:r w:rsidRPr="00104227">
        <w:rPr>
          <w:color w:val="000000" w:themeColor="text1"/>
        </w:rPr>
        <w:t>statement made by</w:t>
      </w:r>
      <w:r w:rsidR="00C41CD3" w:rsidRPr="00104227">
        <w:rPr>
          <w:color w:val="000000" w:themeColor="text1"/>
        </w:rPr>
        <w:t xml:space="preserve"> Claudia Hernández Martínez </w:t>
      </w:r>
      <w:r w:rsidRPr="00104227">
        <w:rPr>
          <w:color w:val="000000" w:themeColor="text1"/>
        </w:rPr>
        <w:t>during the public hearing before this Court</w:t>
      </w:r>
      <w:r w:rsidR="00C41CD3" w:rsidRPr="00104227">
        <w:rPr>
          <w:color w:val="000000" w:themeColor="text1"/>
        </w:rPr>
        <w:t xml:space="preserve">. </w:t>
      </w:r>
    </w:p>
    <w:p w14:paraId="6143D873" w14:textId="77777777" w:rsidR="00B8265B" w:rsidRPr="00104227" w:rsidRDefault="00B8265B" w:rsidP="00E4619F">
      <w:pPr>
        <w:tabs>
          <w:tab w:val="left" w:pos="567"/>
        </w:tabs>
        <w:rPr>
          <w:color w:val="000000" w:themeColor="text1"/>
        </w:rPr>
      </w:pPr>
    </w:p>
    <w:p w14:paraId="6224EC9E" w14:textId="77777777" w:rsidR="00AD6C09" w:rsidRPr="00104227" w:rsidRDefault="00AD6C09" w:rsidP="00E4619F">
      <w:pPr>
        <w:tabs>
          <w:tab w:val="left" w:pos="567"/>
        </w:tabs>
        <w:rPr>
          <w:color w:val="000000" w:themeColor="text1"/>
        </w:rPr>
      </w:pPr>
    </w:p>
    <w:p w14:paraId="3D964962" w14:textId="77777777" w:rsidR="00AD6C09" w:rsidRPr="00104227" w:rsidRDefault="00AD6C09" w:rsidP="00E4619F">
      <w:pPr>
        <w:tabs>
          <w:tab w:val="left" w:pos="567"/>
        </w:tabs>
        <w:rPr>
          <w:color w:val="000000" w:themeColor="text1"/>
        </w:rPr>
      </w:pPr>
    </w:p>
    <w:p w14:paraId="498A023A" w14:textId="77777777" w:rsidR="00AD6C09" w:rsidRPr="00104227" w:rsidRDefault="00AD6C09" w:rsidP="00E4619F">
      <w:pPr>
        <w:tabs>
          <w:tab w:val="left" w:pos="567"/>
        </w:tabs>
        <w:rPr>
          <w:color w:val="000000" w:themeColor="text1"/>
        </w:rPr>
      </w:pPr>
    </w:p>
    <w:p w14:paraId="4E844BCD" w14:textId="77777777" w:rsidR="00AD6C09" w:rsidRPr="00104227" w:rsidRDefault="00AD6C09" w:rsidP="00E4619F">
      <w:pPr>
        <w:tabs>
          <w:tab w:val="left" w:pos="567"/>
        </w:tabs>
        <w:rPr>
          <w:color w:val="000000" w:themeColor="text1"/>
        </w:rPr>
      </w:pPr>
    </w:p>
    <w:p w14:paraId="445CE46B" w14:textId="77777777" w:rsidR="00AD6C09" w:rsidRPr="00104227" w:rsidRDefault="00AD6C09" w:rsidP="00E4619F">
      <w:pPr>
        <w:tabs>
          <w:tab w:val="left" w:pos="567"/>
        </w:tabs>
        <w:rPr>
          <w:color w:val="000000" w:themeColor="text1"/>
        </w:rPr>
      </w:pPr>
    </w:p>
    <w:p w14:paraId="3AB3BAC2" w14:textId="77777777" w:rsidR="00AD6C09" w:rsidRPr="00104227" w:rsidRDefault="00AD6C09" w:rsidP="00E4619F">
      <w:pPr>
        <w:tabs>
          <w:tab w:val="left" w:pos="567"/>
        </w:tabs>
        <w:rPr>
          <w:color w:val="000000" w:themeColor="text1"/>
        </w:rPr>
      </w:pPr>
    </w:p>
    <w:p w14:paraId="1C106ECF" w14:textId="77777777" w:rsidR="00AD6C09" w:rsidRPr="00104227" w:rsidRDefault="00AD6C09" w:rsidP="00E4619F">
      <w:pPr>
        <w:tabs>
          <w:tab w:val="left" w:pos="567"/>
        </w:tabs>
        <w:rPr>
          <w:color w:val="000000" w:themeColor="text1"/>
        </w:rPr>
      </w:pPr>
    </w:p>
    <w:p w14:paraId="3D77B5DE" w14:textId="77777777" w:rsidR="00AD6C09" w:rsidRPr="00104227" w:rsidRDefault="00AD6C09" w:rsidP="00E4619F">
      <w:pPr>
        <w:tabs>
          <w:tab w:val="left" w:pos="567"/>
        </w:tabs>
        <w:rPr>
          <w:color w:val="000000" w:themeColor="text1"/>
        </w:rPr>
      </w:pPr>
    </w:p>
    <w:p w14:paraId="3488E81B" w14:textId="77777777" w:rsidR="00AD6C09" w:rsidRPr="00104227" w:rsidRDefault="00AD6C09" w:rsidP="00E4619F">
      <w:pPr>
        <w:tabs>
          <w:tab w:val="left" w:pos="567"/>
        </w:tabs>
        <w:rPr>
          <w:color w:val="000000" w:themeColor="text1"/>
        </w:rPr>
      </w:pPr>
    </w:p>
    <w:p w14:paraId="033D2137" w14:textId="77777777" w:rsidR="00AD6C09" w:rsidRPr="00104227" w:rsidRDefault="00AD6C09" w:rsidP="00E4619F">
      <w:pPr>
        <w:tabs>
          <w:tab w:val="left" w:pos="567"/>
        </w:tabs>
        <w:rPr>
          <w:color w:val="000000" w:themeColor="text1"/>
        </w:rPr>
      </w:pPr>
    </w:p>
    <w:p w14:paraId="5B2FE071" w14:textId="77777777" w:rsidR="00AD6C09" w:rsidRPr="00104227" w:rsidRDefault="00AD6C09" w:rsidP="00E4619F">
      <w:pPr>
        <w:tabs>
          <w:tab w:val="left" w:pos="567"/>
        </w:tabs>
        <w:rPr>
          <w:color w:val="000000" w:themeColor="text1"/>
        </w:rPr>
      </w:pPr>
    </w:p>
    <w:p w14:paraId="56C2485C" w14:textId="77777777" w:rsidR="00AD6C09" w:rsidRPr="00104227" w:rsidRDefault="00AD6C09" w:rsidP="00E4619F">
      <w:pPr>
        <w:tabs>
          <w:tab w:val="left" w:pos="567"/>
        </w:tabs>
        <w:rPr>
          <w:color w:val="000000" w:themeColor="text1"/>
        </w:rPr>
      </w:pPr>
    </w:p>
    <w:p w14:paraId="765EE52F" w14:textId="77777777" w:rsidR="00AD6C09" w:rsidRPr="00104227" w:rsidRDefault="00AD6C09" w:rsidP="00E4619F">
      <w:pPr>
        <w:tabs>
          <w:tab w:val="left" w:pos="567"/>
        </w:tabs>
        <w:rPr>
          <w:color w:val="000000" w:themeColor="text1"/>
        </w:rPr>
      </w:pPr>
    </w:p>
    <w:p w14:paraId="318B2E44" w14:textId="77777777" w:rsidR="00AD6C09" w:rsidRPr="00104227" w:rsidRDefault="00AD6C09" w:rsidP="00E4619F">
      <w:pPr>
        <w:tabs>
          <w:tab w:val="left" w:pos="567"/>
        </w:tabs>
        <w:rPr>
          <w:color w:val="000000" w:themeColor="text1"/>
        </w:rPr>
      </w:pPr>
    </w:p>
    <w:p w14:paraId="437AB9A6" w14:textId="77777777" w:rsidR="00AD6C09" w:rsidRPr="00104227" w:rsidRDefault="00AD6C09" w:rsidP="00E4619F">
      <w:pPr>
        <w:tabs>
          <w:tab w:val="left" w:pos="567"/>
        </w:tabs>
        <w:rPr>
          <w:color w:val="000000" w:themeColor="text1"/>
        </w:rPr>
      </w:pPr>
    </w:p>
    <w:p w14:paraId="5630F211" w14:textId="77777777" w:rsidR="00AD6C09" w:rsidRPr="00104227" w:rsidRDefault="00AD6C09" w:rsidP="00E4619F">
      <w:pPr>
        <w:tabs>
          <w:tab w:val="left" w:pos="567"/>
        </w:tabs>
        <w:rPr>
          <w:color w:val="000000" w:themeColor="text1"/>
        </w:rPr>
      </w:pPr>
    </w:p>
    <w:p w14:paraId="2EC34B12" w14:textId="77777777" w:rsidR="00AD6C09" w:rsidRPr="00104227" w:rsidRDefault="00AD6C09" w:rsidP="00E4619F">
      <w:pPr>
        <w:tabs>
          <w:tab w:val="left" w:pos="567"/>
        </w:tabs>
        <w:rPr>
          <w:color w:val="000000" w:themeColor="text1"/>
        </w:rPr>
      </w:pPr>
    </w:p>
    <w:p w14:paraId="1523C3AA" w14:textId="77777777" w:rsidR="00AD6C09" w:rsidRPr="00104227" w:rsidRDefault="00AD6C09" w:rsidP="00E4619F">
      <w:pPr>
        <w:tabs>
          <w:tab w:val="left" w:pos="567"/>
        </w:tabs>
        <w:rPr>
          <w:color w:val="000000" w:themeColor="text1"/>
        </w:rPr>
      </w:pPr>
    </w:p>
    <w:p w14:paraId="1816073C" w14:textId="77777777" w:rsidR="00AD6C09" w:rsidRPr="00104227" w:rsidRDefault="00AD6C09" w:rsidP="00E4619F">
      <w:pPr>
        <w:tabs>
          <w:tab w:val="left" w:pos="567"/>
        </w:tabs>
        <w:rPr>
          <w:color w:val="000000" w:themeColor="text1"/>
        </w:rPr>
      </w:pPr>
    </w:p>
    <w:p w14:paraId="20203E4C" w14:textId="77777777" w:rsidR="00AD6C09" w:rsidRPr="00104227" w:rsidRDefault="00AD6C09" w:rsidP="00E4619F">
      <w:pPr>
        <w:tabs>
          <w:tab w:val="left" w:pos="567"/>
        </w:tabs>
        <w:rPr>
          <w:color w:val="000000" w:themeColor="text1"/>
        </w:rPr>
      </w:pPr>
    </w:p>
    <w:p w14:paraId="1002B79D" w14:textId="77777777" w:rsidR="00AD6C09" w:rsidRPr="00104227" w:rsidRDefault="00AD6C09" w:rsidP="00E4619F">
      <w:pPr>
        <w:tabs>
          <w:tab w:val="left" w:pos="567"/>
        </w:tabs>
        <w:rPr>
          <w:color w:val="000000" w:themeColor="text1"/>
        </w:rPr>
      </w:pPr>
    </w:p>
    <w:p w14:paraId="534AB8E2" w14:textId="77777777" w:rsidR="00AD6C09" w:rsidRPr="00104227" w:rsidRDefault="00AD6C09" w:rsidP="00E4619F">
      <w:pPr>
        <w:tabs>
          <w:tab w:val="left" w:pos="567"/>
        </w:tabs>
        <w:rPr>
          <w:color w:val="000000" w:themeColor="text1"/>
        </w:rPr>
      </w:pPr>
    </w:p>
    <w:p w14:paraId="74A38E70" w14:textId="77777777" w:rsidR="00AD6C09" w:rsidRPr="00104227" w:rsidRDefault="00AD6C09" w:rsidP="00E4619F">
      <w:pPr>
        <w:tabs>
          <w:tab w:val="left" w:pos="567"/>
        </w:tabs>
        <w:rPr>
          <w:color w:val="000000" w:themeColor="text1"/>
        </w:rPr>
      </w:pPr>
    </w:p>
    <w:p w14:paraId="419C64CF" w14:textId="77777777" w:rsidR="00AD6C09" w:rsidRPr="00104227" w:rsidRDefault="00AD6C09" w:rsidP="00E4619F">
      <w:pPr>
        <w:tabs>
          <w:tab w:val="left" w:pos="567"/>
        </w:tabs>
        <w:rPr>
          <w:color w:val="000000" w:themeColor="text1"/>
        </w:rPr>
      </w:pPr>
    </w:p>
    <w:p w14:paraId="27D43849" w14:textId="77777777" w:rsidR="00AD6C09" w:rsidRPr="00104227" w:rsidRDefault="00AD6C09" w:rsidP="00E4619F">
      <w:pPr>
        <w:tabs>
          <w:tab w:val="left" w:pos="567"/>
        </w:tabs>
        <w:rPr>
          <w:color w:val="000000" w:themeColor="text1"/>
        </w:rPr>
      </w:pPr>
    </w:p>
    <w:p w14:paraId="13800F41" w14:textId="77777777" w:rsidR="00AD6C09" w:rsidRPr="00104227" w:rsidRDefault="00AD6C09" w:rsidP="00E4619F">
      <w:pPr>
        <w:tabs>
          <w:tab w:val="left" w:pos="567"/>
        </w:tabs>
        <w:rPr>
          <w:color w:val="000000" w:themeColor="text1"/>
        </w:rPr>
      </w:pPr>
    </w:p>
    <w:p w14:paraId="32D5F613" w14:textId="77777777" w:rsidR="00AD6C09" w:rsidRPr="00104227" w:rsidRDefault="00AD6C09" w:rsidP="00E4619F">
      <w:pPr>
        <w:tabs>
          <w:tab w:val="left" w:pos="567"/>
        </w:tabs>
        <w:rPr>
          <w:color w:val="000000" w:themeColor="text1"/>
        </w:rPr>
      </w:pPr>
    </w:p>
    <w:p w14:paraId="28817D12" w14:textId="77777777" w:rsidR="00E31E41" w:rsidRPr="00104227" w:rsidRDefault="00E31E41">
      <w:pPr>
        <w:spacing w:after="200" w:line="276" w:lineRule="auto"/>
        <w:jc w:val="left"/>
      </w:pPr>
      <w:r w:rsidRPr="00104227">
        <w:br w:type="page"/>
      </w:r>
    </w:p>
    <w:p w14:paraId="5DDD1F84" w14:textId="6089FB7B" w:rsidR="00AD6C09" w:rsidRPr="00104227" w:rsidRDefault="00BF5241" w:rsidP="00AD6C09">
      <w:pPr>
        <w:keepNext/>
        <w:outlineLvl w:val="0"/>
      </w:pPr>
      <w:bookmarkStart w:id="433" w:name="_Toc31290633"/>
      <w:r w:rsidRPr="00104227">
        <w:lastRenderedPageBreak/>
        <w:t>I/A Court HR</w:t>
      </w:r>
      <w:r w:rsidR="00AD6C09" w:rsidRPr="00104227">
        <w:t xml:space="preserve">. </w:t>
      </w:r>
      <w:r w:rsidR="00AD6C09" w:rsidRPr="00104227">
        <w:rPr>
          <w:i/>
        </w:rPr>
        <w:t>Cas</w:t>
      </w:r>
      <w:r w:rsidRPr="00104227">
        <w:rPr>
          <w:i/>
        </w:rPr>
        <w:t>e of Women Victims of Sexual Torture in Atenco v. Mexico</w:t>
      </w:r>
      <w:r w:rsidR="00AD6C09" w:rsidRPr="00104227">
        <w:rPr>
          <w:i/>
        </w:rPr>
        <w:t xml:space="preserve">. </w:t>
      </w:r>
      <w:r w:rsidRPr="00104227">
        <w:rPr>
          <w:i/>
        </w:rPr>
        <w:t>Preliminary objection, merits, reparations and costs</w:t>
      </w:r>
      <w:r w:rsidR="00AD6C09" w:rsidRPr="00104227">
        <w:t xml:space="preserve">. </w:t>
      </w:r>
      <w:r w:rsidRPr="00104227">
        <w:t>Judgment of</w:t>
      </w:r>
      <w:r w:rsidR="00AD6C09" w:rsidRPr="00104227">
        <w:t xml:space="preserve"> </w:t>
      </w:r>
      <w:r w:rsidRPr="00104227">
        <w:t>November 28,</w:t>
      </w:r>
      <w:r w:rsidR="00AD6C09" w:rsidRPr="00104227">
        <w:t xml:space="preserve"> 2018.</w:t>
      </w:r>
      <w:bookmarkEnd w:id="433"/>
    </w:p>
    <w:p w14:paraId="070EF92D" w14:textId="77777777" w:rsidR="00AD6C09" w:rsidRPr="00104227" w:rsidRDefault="00AD6C09" w:rsidP="00AD6C09">
      <w:pPr>
        <w:jc w:val="center"/>
      </w:pPr>
    </w:p>
    <w:p w14:paraId="6479EE3D" w14:textId="77777777" w:rsidR="00AD6C09" w:rsidRPr="00104227" w:rsidRDefault="00AD6C09" w:rsidP="00AD6C09">
      <w:pPr>
        <w:jc w:val="center"/>
      </w:pPr>
    </w:p>
    <w:p w14:paraId="34B59186" w14:textId="77777777" w:rsidR="00AD6C09" w:rsidRPr="00104227" w:rsidRDefault="00AD6C09" w:rsidP="00AD6C09">
      <w:pPr>
        <w:jc w:val="center"/>
      </w:pPr>
    </w:p>
    <w:p w14:paraId="734F99CB" w14:textId="77777777" w:rsidR="00AD6C09" w:rsidRPr="00104227" w:rsidRDefault="00AD6C09" w:rsidP="00DA1624"/>
    <w:p w14:paraId="4FCBEF7D" w14:textId="77777777" w:rsidR="00AD6C09" w:rsidRPr="00104227" w:rsidRDefault="00AD6C09" w:rsidP="00AD6C09">
      <w:pPr>
        <w:jc w:val="center"/>
      </w:pPr>
    </w:p>
    <w:p w14:paraId="5DAF7A15" w14:textId="77777777" w:rsidR="00AD6C09" w:rsidRPr="00104227" w:rsidRDefault="00AD6C09" w:rsidP="00AD6C09">
      <w:pPr>
        <w:jc w:val="center"/>
      </w:pPr>
      <w:r w:rsidRPr="00104227">
        <w:t xml:space="preserve">Eduardo Vio Grossi </w:t>
      </w:r>
    </w:p>
    <w:p w14:paraId="2FEB5225" w14:textId="02407534" w:rsidR="00AD6C09" w:rsidRPr="0080773E" w:rsidRDefault="0031540A" w:rsidP="00AD6C09">
      <w:pPr>
        <w:jc w:val="center"/>
        <w:rPr>
          <w:lang w:val="es-CR"/>
        </w:rPr>
      </w:pPr>
      <w:r w:rsidRPr="0080773E">
        <w:rPr>
          <w:lang w:val="es-CR"/>
        </w:rPr>
        <w:t>Acting President</w:t>
      </w:r>
    </w:p>
    <w:p w14:paraId="71BB1919" w14:textId="77777777" w:rsidR="00AD6C09" w:rsidRPr="0080773E" w:rsidRDefault="00AD6C09" w:rsidP="00AD6C09">
      <w:pPr>
        <w:rPr>
          <w:lang w:val="es-CR"/>
        </w:rPr>
      </w:pPr>
    </w:p>
    <w:p w14:paraId="31BED51C" w14:textId="77777777" w:rsidR="00AD6C09" w:rsidRPr="0080773E" w:rsidRDefault="00AD6C09" w:rsidP="00AD6C09">
      <w:pPr>
        <w:rPr>
          <w:lang w:val="es-CR"/>
        </w:rPr>
      </w:pPr>
    </w:p>
    <w:p w14:paraId="010264C6" w14:textId="77777777" w:rsidR="00AD6C09" w:rsidRPr="0080773E" w:rsidRDefault="00AD6C09" w:rsidP="00AD6C09">
      <w:pPr>
        <w:rPr>
          <w:lang w:val="es-CR"/>
        </w:rPr>
      </w:pPr>
    </w:p>
    <w:p w14:paraId="6D32DB41" w14:textId="77777777" w:rsidR="00AD6C09" w:rsidRPr="0080773E" w:rsidRDefault="00AD6C09" w:rsidP="00AD6C09">
      <w:pPr>
        <w:rPr>
          <w:lang w:val="es-CR"/>
        </w:rPr>
      </w:pPr>
    </w:p>
    <w:p w14:paraId="531249D1" w14:textId="77777777" w:rsidR="00AD6C09" w:rsidRPr="0080773E" w:rsidRDefault="00AD6C09" w:rsidP="00AD6C09">
      <w:pPr>
        <w:rPr>
          <w:lang w:val="es-CR"/>
        </w:rPr>
      </w:pPr>
    </w:p>
    <w:p w14:paraId="7FA6C4D8" w14:textId="77777777" w:rsidR="00AD6C09" w:rsidRPr="0080773E" w:rsidRDefault="00AD6C09" w:rsidP="00AD6C09">
      <w:pPr>
        <w:rPr>
          <w:lang w:val="es-CR"/>
        </w:rPr>
      </w:pPr>
      <w:r w:rsidRPr="0080773E">
        <w:rPr>
          <w:lang w:val="es-CR"/>
        </w:rPr>
        <w:t>Humberto A. Sierra Porto</w:t>
      </w:r>
      <w:r w:rsidRPr="0080773E">
        <w:rPr>
          <w:lang w:val="es-CR"/>
        </w:rPr>
        <w:tab/>
      </w:r>
      <w:r w:rsidRPr="0080773E">
        <w:rPr>
          <w:lang w:val="es-CR"/>
        </w:rPr>
        <w:tab/>
      </w:r>
      <w:r w:rsidRPr="0080773E">
        <w:rPr>
          <w:lang w:val="es-CR"/>
        </w:rPr>
        <w:tab/>
      </w:r>
      <w:r w:rsidRPr="0080773E">
        <w:rPr>
          <w:lang w:val="es-CR"/>
        </w:rPr>
        <w:tab/>
      </w:r>
      <w:r w:rsidRPr="0080773E">
        <w:rPr>
          <w:lang w:val="es-CR"/>
        </w:rPr>
        <w:tab/>
      </w:r>
      <w:r w:rsidRPr="0080773E">
        <w:rPr>
          <w:lang w:val="es-CR"/>
        </w:rPr>
        <w:tab/>
        <w:t xml:space="preserve">    Elizabeth Odio Benito</w:t>
      </w:r>
    </w:p>
    <w:p w14:paraId="3BDA7E37" w14:textId="77777777" w:rsidR="00AD6C09" w:rsidRPr="0080773E" w:rsidRDefault="00AD6C09" w:rsidP="00AD6C09">
      <w:pPr>
        <w:rPr>
          <w:lang w:val="es-CR"/>
        </w:rPr>
      </w:pPr>
    </w:p>
    <w:p w14:paraId="4828E576" w14:textId="77777777" w:rsidR="00AD6C09" w:rsidRPr="0080773E" w:rsidRDefault="00AD6C09" w:rsidP="00AD6C09">
      <w:pPr>
        <w:rPr>
          <w:lang w:val="es-CR"/>
        </w:rPr>
      </w:pPr>
    </w:p>
    <w:p w14:paraId="63F7C5C5" w14:textId="77777777" w:rsidR="00AD6C09" w:rsidRPr="0080773E" w:rsidRDefault="00AD6C09" w:rsidP="00AD6C09">
      <w:pPr>
        <w:rPr>
          <w:lang w:val="es-CR"/>
        </w:rPr>
      </w:pPr>
    </w:p>
    <w:p w14:paraId="28C39563" w14:textId="77777777" w:rsidR="00AD6C09" w:rsidRPr="0080773E" w:rsidRDefault="00AD6C09" w:rsidP="00AD6C09">
      <w:pPr>
        <w:rPr>
          <w:lang w:val="es-CR"/>
        </w:rPr>
      </w:pPr>
    </w:p>
    <w:p w14:paraId="7246B4C7" w14:textId="77777777" w:rsidR="00AD6C09" w:rsidRPr="0080773E" w:rsidRDefault="00AD6C09" w:rsidP="00AD6C09">
      <w:pPr>
        <w:rPr>
          <w:lang w:val="es-CR"/>
        </w:rPr>
      </w:pPr>
    </w:p>
    <w:p w14:paraId="1D9230E1" w14:textId="77777777" w:rsidR="00AD6C09" w:rsidRPr="0080773E" w:rsidRDefault="00AD6C09" w:rsidP="0031540A">
      <w:pPr>
        <w:rPr>
          <w:lang w:val="es-CR"/>
        </w:rPr>
      </w:pPr>
      <w:r w:rsidRPr="0080773E">
        <w:rPr>
          <w:lang w:val="es-CR"/>
        </w:rPr>
        <w:t>Eugenio Raúl Zaffaroni</w:t>
      </w:r>
      <w:r w:rsidRPr="0080773E">
        <w:rPr>
          <w:lang w:val="es-CR"/>
        </w:rPr>
        <w:tab/>
      </w:r>
      <w:r w:rsidRPr="0080773E">
        <w:rPr>
          <w:lang w:val="es-CR"/>
        </w:rPr>
        <w:tab/>
      </w:r>
      <w:r w:rsidRPr="0080773E">
        <w:rPr>
          <w:lang w:val="es-CR"/>
        </w:rPr>
        <w:tab/>
      </w:r>
      <w:r w:rsidRPr="0080773E">
        <w:rPr>
          <w:lang w:val="es-CR"/>
        </w:rPr>
        <w:tab/>
      </w:r>
      <w:r w:rsidRPr="0080773E">
        <w:rPr>
          <w:lang w:val="es-CR"/>
        </w:rPr>
        <w:tab/>
        <w:t xml:space="preserve">        L. Patricio Pazmiño Freire</w:t>
      </w:r>
    </w:p>
    <w:p w14:paraId="0C69E183" w14:textId="77777777" w:rsidR="00AD6C09" w:rsidRPr="0080773E" w:rsidRDefault="00AD6C09" w:rsidP="00AD6C09">
      <w:pPr>
        <w:rPr>
          <w:lang w:val="es-CR"/>
        </w:rPr>
      </w:pPr>
    </w:p>
    <w:p w14:paraId="54FD13CA" w14:textId="77777777" w:rsidR="00AD6C09" w:rsidRPr="0080773E" w:rsidRDefault="00AD6C09" w:rsidP="00AD6C09">
      <w:pPr>
        <w:rPr>
          <w:lang w:val="es-CR"/>
        </w:rPr>
      </w:pPr>
    </w:p>
    <w:p w14:paraId="1EE0CCB6" w14:textId="77777777" w:rsidR="00AD6C09" w:rsidRPr="0080773E" w:rsidRDefault="00AD6C09" w:rsidP="00AD6C09">
      <w:pPr>
        <w:rPr>
          <w:lang w:val="es-CR"/>
        </w:rPr>
      </w:pPr>
    </w:p>
    <w:p w14:paraId="311A1299" w14:textId="77777777" w:rsidR="00AD6C09" w:rsidRPr="0080773E" w:rsidRDefault="00AD6C09" w:rsidP="00AD6C09">
      <w:pPr>
        <w:rPr>
          <w:lang w:val="es-CR"/>
        </w:rPr>
      </w:pPr>
    </w:p>
    <w:p w14:paraId="50483F10" w14:textId="77777777" w:rsidR="00AD6C09" w:rsidRPr="0080773E" w:rsidRDefault="00AD6C09" w:rsidP="00AD6C09">
      <w:pPr>
        <w:rPr>
          <w:lang w:val="es-CR"/>
        </w:rPr>
      </w:pPr>
    </w:p>
    <w:p w14:paraId="7EA82D96" w14:textId="77777777" w:rsidR="00AD6C09" w:rsidRPr="00104227" w:rsidRDefault="00AD6C09" w:rsidP="00AD6C09">
      <w:pPr>
        <w:jc w:val="center"/>
      </w:pPr>
      <w:r w:rsidRPr="00104227">
        <w:t>Pablo Saavedra Alessandri</w:t>
      </w:r>
    </w:p>
    <w:p w14:paraId="14E9DF76" w14:textId="21F7F27B" w:rsidR="00AD6C09" w:rsidRPr="00104227" w:rsidRDefault="00BF5241" w:rsidP="00AD6C09">
      <w:pPr>
        <w:jc w:val="center"/>
      </w:pPr>
      <w:r w:rsidRPr="00104227">
        <w:t>Secretary</w:t>
      </w:r>
    </w:p>
    <w:p w14:paraId="6B2E7108" w14:textId="77777777" w:rsidR="00AD6C09" w:rsidRPr="00104227" w:rsidRDefault="00AD6C09" w:rsidP="00AD6C09"/>
    <w:p w14:paraId="6FB31E77" w14:textId="77777777" w:rsidR="00AD6C09" w:rsidRPr="00104227" w:rsidRDefault="00AD6C09" w:rsidP="00AD6C09">
      <w:pPr>
        <w:pStyle w:val="Textonotapie"/>
        <w:rPr>
          <w:lang w:val="en-US"/>
        </w:rPr>
      </w:pPr>
    </w:p>
    <w:p w14:paraId="45A49DE9" w14:textId="77777777" w:rsidR="00AD6C09" w:rsidRPr="00104227" w:rsidRDefault="00AD6C09" w:rsidP="00AD6C09">
      <w:pPr>
        <w:pStyle w:val="Textonotapie"/>
        <w:rPr>
          <w:lang w:val="en-US"/>
        </w:rPr>
      </w:pPr>
    </w:p>
    <w:p w14:paraId="6D0190F9" w14:textId="77777777" w:rsidR="00AD6C09" w:rsidRPr="00104227" w:rsidRDefault="00AD6C09" w:rsidP="00AD6C09">
      <w:pPr>
        <w:pStyle w:val="Textonotapie"/>
        <w:rPr>
          <w:lang w:val="en-US"/>
        </w:rPr>
      </w:pPr>
    </w:p>
    <w:p w14:paraId="702396C4" w14:textId="0CAFE94F" w:rsidR="00AD6C09" w:rsidRPr="00104227" w:rsidRDefault="0031540A" w:rsidP="00AD6C09">
      <w:r w:rsidRPr="00104227">
        <w:t>So ordered</w:t>
      </w:r>
      <w:r w:rsidR="00AD6C09" w:rsidRPr="00104227">
        <w:t>,</w:t>
      </w:r>
    </w:p>
    <w:p w14:paraId="205BD637" w14:textId="77777777" w:rsidR="00AD6C09" w:rsidRPr="00104227" w:rsidRDefault="00AD6C09" w:rsidP="00AD6C09"/>
    <w:p w14:paraId="7E35BCF1" w14:textId="77777777" w:rsidR="00AD6C09" w:rsidRPr="00104227" w:rsidRDefault="00AD6C09" w:rsidP="00AD6C09"/>
    <w:p w14:paraId="29647576" w14:textId="77777777" w:rsidR="00AD6C09" w:rsidRPr="00104227" w:rsidRDefault="00AD6C09" w:rsidP="00AD6C09"/>
    <w:p w14:paraId="0DFAEE83" w14:textId="77777777" w:rsidR="00AD6C09" w:rsidRPr="00104227" w:rsidRDefault="00AD6C09" w:rsidP="00AD6C09">
      <w:pPr>
        <w:ind w:left="4956"/>
        <w:jc w:val="center"/>
      </w:pPr>
      <w:r w:rsidRPr="00104227">
        <w:t>Eduardo Vio Grossi</w:t>
      </w:r>
    </w:p>
    <w:p w14:paraId="6E9CC55E" w14:textId="73535A4C" w:rsidR="00AD6C09" w:rsidRPr="00104227" w:rsidRDefault="0031540A" w:rsidP="00AD6C09">
      <w:pPr>
        <w:ind w:left="4956"/>
        <w:jc w:val="center"/>
      </w:pPr>
      <w:r w:rsidRPr="00104227">
        <w:t>Acting President</w:t>
      </w:r>
    </w:p>
    <w:p w14:paraId="0F4CA6AE" w14:textId="77777777" w:rsidR="00AD6C09" w:rsidRPr="00104227" w:rsidRDefault="00AD6C09" w:rsidP="00AD6C09"/>
    <w:p w14:paraId="0EE9FE89" w14:textId="77777777" w:rsidR="00AD6C09" w:rsidRPr="00104227" w:rsidRDefault="00AD6C09" w:rsidP="00AD6C09"/>
    <w:p w14:paraId="41D692DB" w14:textId="77777777" w:rsidR="00AD6C09" w:rsidRPr="00104227" w:rsidRDefault="00AD6C09" w:rsidP="00AD6C09"/>
    <w:p w14:paraId="5FCCA12A" w14:textId="77777777" w:rsidR="00AD6C09" w:rsidRPr="00104227" w:rsidRDefault="00AD6C09" w:rsidP="00AD6C09">
      <w:r w:rsidRPr="00104227">
        <w:t>Pablo Saavedra Alessandri</w:t>
      </w:r>
    </w:p>
    <w:p w14:paraId="484FBEA5" w14:textId="5DBC5BEF" w:rsidR="00AD6C09" w:rsidRPr="00104227" w:rsidRDefault="00AD6C09" w:rsidP="00AD6C09">
      <w:r w:rsidRPr="00104227">
        <w:tab/>
      </w:r>
      <w:r w:rsidR="00BF5241" w:rsidRPr="00104227">
        <w:t>Secretary</w:t>
      </w:r>
    </w:p>
    <w:p w14:paraId="554DF8FD" w14:textId="77777777" w:rsidR="00AD6C09" w:rsidRPr="00104227" w:rsidRDefault="00AD6C09" w:rsidP="00E4619F">
      <w:pPr>
        <w:tabs>
          <w:tab w:val="left" w:pos="567"/>
        </w:tabs>
        <w:rPr>
          <w:color w:val="000000" w:themeColor="text1"/>
        </w:rPr>
      </w:pPr>
    </w:p>
    <w:sectPr w:rsidR="00AD6C09" w:rsidRPr="00104227" w:rsidSect="00E8324F">
      <w:headerReference w:type="default" r:id="rId9"/>
      <w:pgSz w:w="12242" w:h="15842" w:code="1"/>
      <w:pgMar w:top="1701" w:right="117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49A97" w14:textId="77777777" w:rsidR="00F92438" w:rsidRDefault="00F92438" w:rsidP="00A46476">
      <w:r>
        <w:separator/>
      </w:r>
    </w:p>
  </w:endnote>
  <w:endnote w:type="continuationSeparator" w:id="0">
    <w:p w14:paraId="7EA5CAE3" w14:textId="77777777" w:rsidR="00F92438" w:rsidRDefault="00F92438" w:rsidP="00A46476">
      <w:r>
        <w:continuationSeparator/>
      </w:r>
    </w:p>
  </w:endnote>
  <w:endnote w:type="continuationNotice" w:id="1">
    <w:p w14:paraId="00A510F1" w14:textId="77777777" w:rsidR="00F92438" w:rsidRDefault="00F92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alatino-Italic">
    <w:altName w:val="Palatino Linotyp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Helvetica Neue">
    <w:charset w:val="00"/>
    <w:family w:val="auto"/>
    <w:pitch w:val="variable"/>
    <w:sig w:usb0="E50002FF" w:usb1="500079DB" w:usb2="00000010" w:usb3="00000000" w:csb0="00000001" w:csb1="00000000"/>
  </w:font>
  <w:font w:name="Verdana-Italic">
    <w:panose1 w:val="00000000000000000000"/>
    <w:charset w:val="4D"/>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ArialMT">
    <w:altName w:val="Times New Roman"/>
    <w:charset w:val="00"/>
    <w:family w:val="auto"/>
    <w:pitch w:val="variable"/>
    <w:sig w:usb0="00000000" w:usb1="C0007843"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90A70" w14:textId="77777777" w:rsidR="00F92438" w:rsidRDefault="00F92438" w:rsidP="00A46476">
      <w:r>
        <w:separator/>
      </w:r>
    </w:p>
  </w:footnote>
  <w:footnote w:type="continuationSeparator" w:id="0">
    <w:p w14:paraId="5B5D9746" w14:textId="77777777" w:rsidR="00F92438" w:rsidRDefault="00F92438" w:rsidP="00A46476">
      <w:r>
        <w:continuationSeparator/>
      </w:r>
    </w:p>
  </w:footnote>
  <w:footnote w:type="continuationNotice" w:id="1">
    <w:p w14:paraId="684A000A" w14:textId="77777777" w:rsidR="00F92438" w:rsidRDefault="00F92438"/>
  </w:footnote>
  <w:footnote w:id="2">
    <w:p w14:paraId="3C9E5710" w14:textId="06D94285" w:rsidR="0080773E" w:rsidRPr="00104227" w:rsidRDefault="0080773E" w:rsidP="00A456C5">
      <w:pPr>
        <w:tabs>
          <w:tab w:val="left" w:pos="426"/>
        </w:tabs>
        <w:spacing w:before="120" w:after="120"/>
        <w:rPr>
          <w:sz w:val="16"/>
          <w:szCs w:val="16"/>
        </w:rPr>
      </w:pPr>
      <w:r w:rsidRPr="00104227">
        <w:rPr>
          <w:rStyle w:val="Refdenotaalpie"/>
        </w:rPr>
        <w:t>*</w:t>
      </w:r>
      <w:r w:rsidRPr="00104227">
        <w:rPr>
          <w:sz w:val="16"/>
          <w:szCs w:val="16"/>
        </w:rPr>
        <w:t xml:space="preserve"> </w:t>
      </w:r>
      <w:r w:rsidRPr="00104227">
        <w:rPr>
          <w:sz w:val="16"/>
          <w:szCs w:val="16"/>
        </w:rPr>
        <w:tab/>
        <w:t>Judge Eduardo Ferrer Mac-Gregor Poisot, a Mexican national, did not take part in the deliberation of this judgment, in accordance with the provisions of Articles 19(2) of the Court’s Statute and 19(1) of its Rules of Procedure.</w:t>
      </w:r>
    </w:p>
  </w:footnote>
  <w:footnote w:id="3">
    <w:p w14:paraId="72619165" w14:textId="0EB00DAF" w:rsidR="0080773E" w:rsidRPr="00104227" w:rsidRDefault="0080773E" w:rsidP="00A456C5">
      <w:pPr>
        <w:pStyle w:val="Textonotapie"/>
        <w:tabs>
          <w:tab w:val="clear" w:pos="567"/>
          <w:tab w:val="left" w:pos="450"/>
        </w:tabs>
        <w:rPr>
          <w:lang w:val="en-US"/>
        </w:rPr>
      </w:pPr>
      <w:r w:rsidRPr="00104227">
        <w:rPr>
          <w:rStyle w:val="Refdenotaalpie"/>
          <w:lang w:val="en-US"/>
        </w:rPr>
        <w:t>**</w:t>
      </w:r>
      <w:r w:rsidRPr="00104227">
        <w:rPr>
          <w:lang w:val="en-US"/>
        </w:rPr>
        <w:t xml:space="preserve"> </w:t>
      </w:r>
      <w:r w:rsidRPr="00104227">
        <w:rPr>
          <w:lang w:val="en-US"/>
        </w:rPr>
        <w:tab/>
        <w:t>The case was processed before the Inter-American Commission on Human Rights, as well as during the proceedings in the contentious case before the Inter-American Court of Human Rights, under the title “</w:t>
      </w:r>
      <w:r w:rsidRPr="00104227">
        <w:rPr>
          <w:i/>
          <w:lang w:val="en-US"/>
        </w:rPr>
        <w:t>Selvas Gómez et al. v. Mexico.”</w:t>
      </w:r>
      <w:r w:rsidRPr="00104227">
        <w:rPr>
          <w:lang w:val="en-US"/>
        </w:rPr>
        <w:t xml:space="preserve"> At the request of the representatives of the victims and by a decision of the full Court, this judgment is handed down with the name </w:t>
      </w:r>
      <w:r w:rsidRPr="00104227">
        <w:rPr>
          <w:i/>
          <w:lang w:val="en-US"/>
        </w:rPr>
        <w:t>Women Victims of Sexual Torture in Atenco v. Mexico</w:t>
      </w:r>
      <w:r w:rsidRPr="00104227">
        <w:rPr>
          <w:lang w:val="en-US"/>
        </w:rPr>
        <w:t>.</w:t>
      </w:r>
    </w:p>
  </w:footnote>
  <w:footnote w:id="4">
    <w:p w14:paraId="3E31E64B" w14:textId="0AAE222A" w:rsidR="0080773E" w:rsidRPr="00104227" w:rsidRDefault="0080773E" w:rsidP="002755DF">
      <w:pPr>
        <w:pStyle w:val="Textonotapie"/>
        <w:tabs>
          <w:tab w:val="left" w:pos="426"/>
        </w:tabs>
        <w:spacing w:before="120" w:after="120"/>
        <w:rPr>
          <w:b/>
          <w:lang w:val="en-US"/>
        </w:rPr>
      </w:pPr>
      <w:r w:rsidRPr="00104227">
        <w:rPr>
          <w:rStyle w:val="Refdenotaalpie"/>
          <w:lang w:val="en-US"/>
        </w:rPr>
        <w:footnoteRef/>
      </w:r>
      <w:r w:rsidRPr="00104227">
        <w:rPr>
          <w:lang w:val="en-US"/>
        </w:rPr>
        <w:t xml:space="preserve"> </w:t>
      </w:r>
      <w:r w:rsidRPr="00104227">
        <w:rPr>
          <w:lang w:val="en-US"/>
        </w:rPr>
        <w:tab/>
        <w:t xml:space="preserve">The Court notes that some documents refer to “Claudia Hernández Martínez.” While others refer to “Claudia Hernández García.” The Court also notes that there is no dispute between the parties that both names refer to the same person and it will refer to her as “Claudia Hernández Martínez” because this is the name that appears on the birth certificate presented, in the Commission’s report, and in the brief with motions, pleadings and evidence. </w:t>
      </w:r>
    </w:p>
  </w:footnote>
  <w:footnote w:id="5">
    <w:p w14:paraId="401D3D9F" w14:textId="7D4852CD" w:rsidR="0080773E" w:rsidRPr="00104227" w:rsidRDefault="0080773E" w:rsidP="009E0044">
      <w:pPr>
        <w:tabs>
          <w:tab w:val="left" w:pos="426"/>
        </w:tabs>
        <w:spacing w:before="120" w:after="120"/>
        <w:rPr>
          <w:rFonts w:eastAsia="Times New Roman" w:cs="Times New Roman"/>
          <w:sz w:val="16"/>
          <w:szCs w:val="16"/>
          <w:lang w:eastAsia="es-ES_tradnl"/>
        </w:rPr>
      </w:pPr>
      <w:r w:rsidRPr="00104227">
        <w:rPr>
          <w:rStyle w:val="Refdenotaalpie"/>
        </w:rPr>
        <w:footnoteRef/>
      </w:r>
      <w:r w:rsidRPr="00104227">
        <w:rPr>
          <w:sz w:val="16"/>
          <w:szCs w:val="16"/>
        </w:rPr>
        <w:t xml:space="preserve"> </w:t>
      </w:r>
      <w:r w:rsidRPr="00104227">
        <w:rPr>
          <w:sz w:val="16"/>
          <w:szCs w:val="16"/>
        </w:rPr>
        <w:tab/>
      </w:r>
      <w:r w:rsidRPr="00104227">
        <w:rPr>
          <w:rFonts w:cs="Times New Roman"/>
          <w:sz w:val="16"/>
          <w:szCs w:val="16"/>
        </w:rPr>
        <w:t xml:space="preserve">IACHR, Report No. 158/11, Petition 512-08, Admissibility, Mariana Selvas Gómez et al., Mexico, November 2, 2011. </w:t>
      </w:r>
    </w:p>
  </w:footnote>
  <w:footnote w:id="6">
    <w:p w14:paraId="1C4C2E94" w14:textId="7932EECD"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The Commission concluded that the State was responsible for: </w:t>
      </w:r>
    </w:p>
    <w:p w14:paraId="1818AEB5" w14:textId="4757576C" w:rsidR="0080773E" w:rsidRPr="00104227" w:rsidRDefault="0080773E" w:rsidP="002755DF">
      <w:pPr>
        <w:pStyle w:val="Textonotapie"/>
        <w:numPr>
          <w:ilvl w:val="0"/>
          <w:numId w:val="61"/>
        </w:numPr>
        <w:tabs>
          <w:tab w:val="clear" w:pos="567"/>
          <w:tab w:val="left" w:pos="426"/>
          <w:tab w:val="left" w:pos="720"/>
        </w:tabs>
        <w:spacing w:before="120" w:after="120"/>
        <w:ind w:left="720"/>
        <w:rPr>
          <w:lang w:val="en-US"/>
        </w:rPr>
      </w:pPr>
      <w:r w:rsidRPr="00104227">
        <w:rPr>
          <w:lang w:val="en-US"/>
        </w:rPr>
        <w:t>The violation of the rights to personal liberty and judicial guarantees established in Articles 7(1), 7(2), 7(3), 7(4), 8(2)(b), 8(2)(d) and 8(2)(e) of the American Convention, in relation to Article 1(1) of this instrument, to the detriment of Mariana Selvas Gómez, Georgina Edith Rosales Gutiérrez, María Patricia Romero Hernández, Norma Aidé Jiménez Osorio, Claudia Hernández Martínez, Bárbara Italia Méndez Moreno, Ana María Velasco Rodríguez, Yolanda Muñoz Diosdada, Cristina Sánchez Hernández, Angélica Patricia Torres Linares and Suhelen Gabriela Cuevas Jaramillo.</w:t>
      </w:r>
    </w:p>
    <w:p w14:paraId="5690BB4C" w14:textId="2589DFB5" w:rsidR="0080773E" w:rsidRPr="00104227" w:rsidRDefault="0080773E" w:rsidP="002755DF">
      <w:pPr>
        <w:pStyle w:val="Textonotapie"/>
        <w:numPr>
          <w:ilvl w:val="0"/>
          <w:numId w:val="61"/>
        </w:numPr>
        <w:tabs>
          <w:tab w:val="clear" w:pos="567"/>
          <w:tab w:val="left" w:pos="426"/>
          <w:tab w:val="left" w:pos="720"/>
        </w:tabs>
        <w:spacing w:before="120" w:after="120"/>
        <w:ind w:left="720"/>
        <w:rPr>
          <w:lang w:val="en-US"/>
        </w:rPr>
      </w:pPr>
      <w:r w:rsidRPr="00104227">
        <w:rPr>
          <w:lang w:val="en-US"/>
        </w:rPr>
        <w:t>The violation of the rights to personal integrity, privacy, autonomy and dignity, equality and non-discrimination, not to be tortured, and to live free of violence established in Articles 5(1), 5(2), 11 and 24 of the American Convention in relation to Article 1(1) of this instrument, Articles 1 and 6 of the Inter-American Convention to Prevent and Punish Torture and Article 7(a) of the Convention of Belém do Pará to the detriment of Mariana Selvas Gómez, Georgina Edith Rosales Gutiérrez, María Patricia Romero Hernández, Norma Aidé Jiménez Osorio, Claudia Hernández Martínez, Bárbara Italia Méndez Moreno, Ana María Velasco Rodríguez, Yolanda Muñoz Diosdada, Cristina Sánchez Hernández, Angélica Patricia Torres Linares and Suhelen Gabriela Cuevas Jaramillo.</w:t>
      </w:r>
    </w:p>
    <w:p w14:paraId="625B8D12" w14:textId="2CFCA032" w:rsidR="0080773E" w:rsidRPr="00104227" w:rsidRDefault="0080773E" w:rsidP="002755DF">
      <w:pPr>
        <w:pStyle w:val="Textonotapie"/>
        <w:numPr>
          <w:ilvl w:val="0"/>
          <w:numId w:val="61"/>
        </w:numPr>
        <w:tabs>
          <w:tab w:val="clear" w:pos="567"/>
          <w:tab w:val="left" w:pos="426"/>
          <w:tab w:val="left" w:pos="720"/>
        </w:tabs>
        <w:spacing w:before="120" w:after="120"/>
        <w:ind w:left="720"/>
        <w:rPr>
          <w:lang w:val="en-US"/>
        </w:rPr>
      </w:pPr>
      <w:r w:rsidRPr="00104227">
        <w:rPr>
          <w:lang w:val="en-US"/>
        </w:rPr>
        <w:t>The violation of the rights to judicial guarantees and judicial protection established in Articles 8(1) and 25(1) of the American Convention in relation to Article 1(1) of this instrument; the rights established in Articles 1, 6 and 8 of the Inter-American Convention to Prevent and Punish Torture and 7 of the Convention of Belém do Pará to the detriment of Mariana Selvas Gómez, Georgina Edith Rosales Gutiérrez, María Patricia Romero Hernández, Norma Aidé Jiménez Osorio, Claudia Hernández Martínez, Bárbara Italia Méndez Moreno, Ana María Velasco Rodríguez, Yolanda Muñoz Diosdada, Cristina Sánchez Hernández, Angélica Patricia Torres Linares and Suhelen Gabriela Cuevas Jaramillo.</w:t>
      </w:r>
    </w:p>
    <w:p w14:paraId="50663C05" w14:textId="0202DDA1" w:rsidR="0080773E" w:rsidRPr="00104227" w:rsidRDefault="0080773E" w:rsidP="002755DF">
      <w:pPr>
        <w:pStyle w:val="Textonotapie"/>
        <w:numPr>
          <w:ilvl w:val="0"/>
          <w:numId w:val="61"/>
        </w:numPr>
        <w:tabs>
          <w:tab w:val="clear" w:pos="567"/>
          <w:tab w:val="left" w:pos="426"/>
          <w:tab w:val="left" w:pos="720"/>
        </w:tabs>
        <w:spacing w:before="120" w:after="120"/>
        <w:ind w:left="720"/>
        <w:rPr>
          <w:lang w:val="en-US"/>
        </w:rPr>
      </w:pPr>
      <w:r w:rsidRPr="00104227">
        <w:rPr>
          <w:lang w:val="en-US"/>
        </w:rPr>
        <w:t>The violation of the right to personal integrity established in Article 5(1) of the American Convention in relation to Article 1(1) of this instrument, to the detriment of the next of kin of the eleven women, listed in the annex to the report.</w:t>
      </w:r>
    </w:p>
  </w:footnote>
  <w:footnote w:id="7">
    <w:p w14:paraId="1AF3F72D" w14:textId="4F78BC5D"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The Commission made the following recommendations to the State:</w:t>
      </w:r>
    </w:p>
    <w:p w14:paraId="611CDF5A" w14:textId="353073E4" w:rsidR="0080773E" w:rsidRPr="00104227" w:rsidRDefault="0080773E" w:rsidP="002755DF">
      <w:pPr>
        <w:pStyle w:val="Textonotapie"/>
        <w:numPr>
          <w:ilvl w:val="0"/>
          <w:numId w:val="62"/>
        </w:numPr>
        <w:tabs>
          <w:tab w:val="clear" w:pos="567"/>
          <w:tab w:val="left" w:pos="426"/>
          <w:tab w:val="left" w:pos="720"/>
        </w:tabs>
        <w:spacing w:before="120" w:after="120"/>
        <w:rPr>
          <w:lang w:val="en-US"/>
        </w:rPr>
      </w:pPr>
      <w:r w:rsidRPr="00104227">
        <w:rPr>
          <w:lang w:val="en-US"/>
        </w:rPr>
        <w:t>Establish full reparation for Mariana Selvas Gómez, Georgina Edith Rosales Gutiérrez, María Patricia Romero Hernández, Norma Aidé Jiménez Osorio, Claudia Hernández Martínez, Bárbara Italia Méndez Moreno, Ana María Velasco Rodríguez, Yolanda Muñoz Diosdada, Cristina Sánchez Hernández, Angélica Patricia Torres Linares and Suhelen Gabriela Cuevas Jaramlllo, based on the human rights violations declared. This reparation should include both pecuniary and non-pecuniary aspects.</w:t>
      </w:r>
    </w:p>
    <w:p w14:paraId="4E5FE775" w14:textId="7FEAB680" w:rsidR="0080773E" w:rsidRPr="00104227" w:rsidRDefault="0080773E" w:rsidP="002755DF">
      <w:pPr>
        <w:pStyle w:val="Textonotapie"/>
        <w:numPr>
          <w:ilvl w:val="0"/>
          <w:numId w:val="62"/>
        </w:numPr>
        <w:tabs>
          <w:tab w:val="clear" w:pos="567"/>
          <w:tab w:val="left" w:pos="426"/>
          <w:tab w:val="left" w:pos="720"/>
        </w:tabs>
        <w:spacing w:before="120" w:after="120"/>
        <w:rPr>
          <w:lang w:val="en-US"/>
        </w:rPr>
      </w:pPr>
      <w:r w:rsidRPr="00104227">
        <w:rPr>
          <w:lang w:val="en-US"/>
        </w:rPr>
        <w:t xml:space="preserve">Provide, free of charge, immediately and for as long as necessary, the medical and psychological or psychiatric treatment, as appropriate, to the victims of this case who request this and as mutually agreed with them. </w:t>
      </w:r>
    </w:p>
    <w:p w14:paraId="0EC4B47A" w14:textId="26B1AE7F" w:rsidR="0080773E" w:rsidRPr="00104227" w:rsidRDefault="0080773E" w:rsidP="0094395C">
      <w:pPr>
        <w:pStyle w:val="Textonotapie"/>
        <w:numPr>
          <w:ilvl w:val="0"/>
          <w:numId w:val="62"/>
        </w:numPr>
        <w:tabs>
          <w:tab w:val="clear" w:pos="567"/>
          <w:tab w:val="left" w:pos="426"/>
          <w:tab w:val="left" w:pos="720"/>
        </w:tabs>
        <w:spacing w:before="120" w:after="120"/>
        <w:rPr>
          <w:lang w:val="en-US"/>
        </w:rPr>
      </w:pPr>
      <w:r w:rsidRPr="00104227">
        <w:rPr>
          <w:lang w:val="en-US"/>
        </w:rPr>
        <w:t>Continue to conduct an effective investigation, with due diligence and within a reasonable time in order to clarify fully the acts that violated the American Convention and other inter-American instruments, and to identify and punish the different levels of responsibility, ranging from the perpetrators to the possible masterminds and other forms of responsibility, including those derived from the chain of command, the diverse forms of participation of different state and federal law enforcement agencies, as well as possible acts of omission or concealment, while avoiding [in the context of the investigation] any type of re-victimization, and ensuring that the legal definition of the acts accords with the standards described in the […] report.</w:t>
      </w:r>
    </w:p>
    <w:p w14:paraId="77FC91C8" w14:textId="55B40B3C" w:rsidR="0080773E" w:rsidRPr="00104227" w:rsidRDefault="0080773E" w:rsidP="002755DF">
      <w:pPr>
        <w:pStyle w:val="Textonotapie"/>
        <w:numPr>
          <w:ilvl w:val="0"/>
          <w:numId w:val="62"/>
        </w:numPr>
        <w:tabs>
          <w:tab w:val="clear" w:pos="567"/>
          <w:tab w:val="left" w:pos="426"/>
          <w:tab w:val="left" w:pos="720"/>
        </w:tabs>
        <w:spacing w:before="120" w:after="120"/>
        <w:rPr>
          <w:lang w:val="en-US"/>
        </w:rPr>
      </w:pPr>
      <w:r w:rsidRPr="00104227">
        <w:rPr>
          <w:lang w:val="en-US"/>
        </w:rPr>
        <w:t>Order the corresponding administrative, disciplinary or criminal measures for the acts or omissions of the state officials who contributed to the different aspects of the denial of justice identified in the […] report.</w:t>
      </w:r>
    </w:p>
    <w:p w14:paraId="3A7BFDC5" w14:textId="059CCB32" w:rsidR="0080773E" w:rsidRPr="00104227" w:rsidRDefault="0080773E" w:rsidP="002755DF">
      <w:pPr>
        <w:pStyle w:val="Textonotapie"/>
        <w:numPr>
          <w:ilvl w:val="0"/>
          <w:numId w:val="62"/>
        </w:numPr>
        <w:tabs>
          <w:tab w:val="clear" w:pos="567"/>
          <w:tab w:val="left" w:pos="426"/>
          <w:tab w:val="left" w:pos="720"/>
        </w:tabs>
        <w:spacing w:before="120" w:after="120"/>
        <w:rPr>
          <w:lang w:val="en-US"/>
        </w:rPr>
      </w:pPr>
      <w:r w:rsidRPr="00104227">
        <w:rPr>
          <w:lang w:val="en-US"/>
        </w:rPr>
        <w:t>Adopt legislative, administrative and any other type of measures to avoid the repetition of human rights violations such as those committed in this case. In particular, the State must adopt measures of non-repetition addressed at training law enforcement personnel at both state and federal level on the absolute prohibition of torture and sexual and other violence against women, and also to send a clear message condemning this type of act. The content of this measure must be extended to medical personnel and any state officials responsible for the different stages of an investigation into events such as those that occurred in this case. Also, the State must reinforce institutional capacity to ensure that investigations into cases of alleged sexual violence, in general, and of sexual torture by state agents, in particular, are compatible with the standards described in the [report].</w:t>
      </w:r>
    </w:p>
  </w:footnote>
  <w:footnote w:id="8">
    <w:p w14:paraId="52724647" w14:textId="7A6112DC"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The State appointed Miguel Ruíz Cabañas Izquierdo, Under-Secretary for Multilateral Affairs and Human Rights; Alejandro Alday González, Legal Consultant; Erasmo Alonso Lara Cabrera, Director General for Human Rights and Democracy, and Fernando Baeza Meléndez, Mexican Ambassador to Costa Rica, as its Agents in this case.</w:t>
      </w:r>
    </w:p>
  </w:footnote>
  <w:footnote w:id="9">
    <w:p w14:paraId="0E3A57ED" w14:textId="457078B1"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w:t>
      </w:r>
      <w:r w:rsidRPr="00104227">
        <w:rPr>
          <w:bCs/>
          <w:i/>
          <w:lang w:val="en-US"/>
        </w:rPr>
        <w:t xml:space="preserve">Case of Selvas Gómez et al. v. Mexico. Victims’ Legal Assistance Fund. </w:t>
      </w:r>
      <w:r w:rsidRPr="00104227">
        <w:rPr>
          <w:bCs/>
          <w:lang w:val="en-US"/>
        </w:rPr>
        <w:t>Order of the President of the Inter-American Court of Human Rights of May 21, 2017.</w:t>
      </w:r>
      <w:r w:rsidRPr="00104227">
        <w:rPr>
          <w:lang w:val="en-US"/>
        </w:rPr>
        <w:t xml:space="preserve"> Available at: </w:t>
      </w:r>
      <w:hyperlink r:id="rId1" w:history="1">
        <w:r w:rsidRPr="00104227">
          <w:rPr>
            <w:rStyle w:val="Hipervnculo"/>
            <w:lang w:val="en-US"/>
          </w:rPr>
          <w:t>http://www.corteidh.or.cr/docs/asuntos/selvas_fv_17.pdf</w:t>
        </w:r>
      </w:hyperlink>
      <w:r w:rsidRPr="00104227">
        <w:rPr>
          <w:lang w:val="en-US"/>
        </w:rPr>
        <w:t xml:space="preserve"> </w:t>
      </w:r>
    </w:p>
  </w:footnote>
  <w:footnote w:id="10">
    <w:p w14:paraId="4BCE7815" w14:textId="0C209EF8"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bCs/>
          <w:i/>
          <w:lang w:val="en-US"/>
        </w:rPr>
        <w:t xml:space="preserve">Case of Selvas Gómez et al. v. Mexico. Call to a hearing. </w:t>
      </w:r>
      <w:r w:rsidRPr="00104227">
        <w:rPr>
          <w:bCs/>
          <w:lang w:val="en-US"/>
        </w:rPr>
        <w:t>Order of the President of the Inter-American Court of Human Rights of October 18, 2017</w:t>
      </w:r>
      <w:r w:rsidRPr="00104227">
        <w:rPr>
          <w:bCs/>
          <w:i/>
          <w:lang w:val="en-US"/>
        </w:rPr>
        <w:t xml:space="preserve">. </w:t>
      </w:r>
      <w:r w:rsidRPr="00104227">
        <w:rPr>
          <w:lang w:val="en-US"/>
        </w:rPr>
        <w:t xml:space="preserve">Available at: </w:t>
      </w:r>
      <w:hyperlink r:id="rId2" w:history="1">
        <w:r w:rsidRPr="00104227">
          <w:rPr>
            <w:rStyle w:val="Hipervnculo"/>
            <w:lang w:val="en-US"/>
          </w:rPr>
          <w:t>http://www.corteidh.or.cr/docs/asuntos/selvasgomez_18_10_17.pdf</w:t>
        </w:r>
      </w:hyperlink>
      <w:r w:rsidRPr="00104227">
        <w:rPr>
          <w:lang w:val="en-US"/>
        </w:rPr>
        <w:t xml:space="preserve">. </w:t>
      </w:r>
    </w:p>
  </w:footnote>
  <w:footnote w:id="11">
    <w:p w14:paraId="4AADB194" w14:textId="3AAAC600" w:rsidR="0080773E" w:rsidRPr="00104227" w:rsidRDefault="0080773E" w:rsidP="002755DF">
      <w:pPr>
        <w:tabs>
          <w:tab w:val="left" w:pos="426"/>
        </w:tabs>
        <w:spacing w:before="120" w:after="120"/>
        <w:ind w:right="-6"/>
        <w:rPr>
          <w:sz w:val="16"/>
          <w:szCs w:val="16"/>
        </w:rPr>
      </w:pPr>
      <w:r w:rsidRPr="00104227">
        <w:rPr>
          <w:rStyle w:val="Refdenotaalpie"/>
        </w:rPr>
        <w:footnoteRef/>
      </w:r>
      <w:r w:rsidRPr="00104227">
        <w:rPr>
          <w:sz w:val="16"/>
          <w:szCs w:val="16"/>
        </w:rPr>
        <w:t xml:space="preserve"> </w:t>
      </w:r>
      <w:r w:rsidRPr="00104227">
        <w:rPr>
          <w:sz w:val="16"/>
          <w:szCs w:val="16"/>
        </w:rPr>
        <w:tab/>
        <w:t>At this hearing, there appeared: (a) for the Inter-American Commission:</w:t>
      </w:r>
      <w:r w:rsidRPr="00104227">
        <w:rPr>
          <w:sz w:val="16"/>
          <w:szCs w:val="16"/>
          <w:lang w:eastAsia="es-ES"/>
        </w:rPr>
        <w:t xml:space="preserve"> </w:t>
      </w:r>
      <w:r w:rsidRPr="00104227">
        <w:rPr>
          <w:sz w:val="16"/>
          <w:szCs w:val="16"/>
        </w:rPr>
        <w:t xml:space="preserve">Margarette May Macaulay, First Vice President of the Inter-American Commission; Elizabeth Abi-Mershed, Deputy Executive Secretary, and Silvia Serrano Guzmán, Legal Adviser; (b) for the representatives of the presumed victims: from Center Prodh: Stephanie Erin Brewer, Araceli Olivos Portugal, Mario Ernesto Patrón Sánchez, and Sofía de Robina Castro; from CEJIL: Marcela Martino, Florencia Reggiardo, Gisela De León, Marcia Aguiluz, and Francisca Stuardo; (c) for the Mexican State: Miguel Ruíz Cabañas Izquierdo, Under-Secretary for Multilateral Affairs and Human Rights of the Ministry of Foreign Affairs; Melquíades Morales Flores, Mexican Ambassador to Costa Rica; Erasmo Alonso Lara Cabrera, Director General for Human Rights and Democracy of the Ministry of Foreign Affairs; Alejando Jaime Gómez Sánchez, Prosecutor General of the state of Mexico; Germán Castillo Banuet, Chief Prosecutor of the state of Mexico; Luis Francisco Fierro Sosa, Head of the Human Rights Unit of the Office of the Prosecutor General of the state of Mexico; Patricia Colchero, Head of the Unit for the Defense of Human Rights of the Ministry of the Interior; María Isabel Sánchez Holguín, Head of the Executive Commission for Victims’ Support of the state of Mexico; Rosalinda Salinas, Deputy Director General of the Unit for the Defense of Human Rights of the Ministry of the Interior; Miriam Heredia, Deputy Director General for International Affairs of the Office of the Attorney General of the Republic; Norma Elvia Trejo Luna, Agent of the Public Prosecution Service of the state of Mexico; Carlos Uriel Salas Segovia, Director of the Cases Department, of the Human Rights and Democracy General Directorate of the Ministry of Foreign Affairs; Karla Victoria Jones Anaya, Director of International Law of the Legal Adviser’s Office of the Ministry of Foreign Affairs; José Ignacio Michaus Fernández, Department Head of the Human Rights and Democracy General Directorate of the Ministry of Foreign Affairs, and Óscar Francisco Holguín González, Responsible for legal, political and media affairs at the Mexican Embassy in Costa Rica. </w:t>
      </w:r>
    </w:p>
  </w:footnote>
  <w:footnote w:id="12">
    <w:p w14:paraId="1248C2B3" w14:textId="3FDFEF8B" w:rsidR="0080773E" w:rsidRPr="00104227" w:rsidRDefault="0080773E" w:rsidP="00673D44">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The brief, signed by Carmen Cecilia Martínez López, Cristina Rosero Arteaga e Isabel Barbosa, refers to the Mexican national context and background, institutional violence against women, the intersectional nature of the multiple factors of vulnerability, sexual violence as a form of torture, and the obligation of due diligence.</w:t>
      </w:r>
    </w:p>
  </w:footnote>
  <w:footnote w:id="13">
    <w:p w14:paraId="7293E4B9" w14:textId="03A38597"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The brief refers to gender stereotypes, their analysis under the European, inter-American and universal system, and the extent of gender stereotyping in this case.</w:t>
      </w:r>
    </w:p>
  </w:footnote>
  <w:footnote w:id="14">
    <w:p w14:paraId="4CC16C96" w14:textId="57C0D3D2"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The brief, signed by Katya Salazar as Executive Director, refers to the sexual violence and torture suffered by the victims and the obligation to investigate, prosecute and punish those responsible.</w:t>
      </w:r>
    </w:p>
  </w:footnote>
  <w:footnote w:id="15">
    <w:p w14:paraId="336F84CB" w14:textId="6FD3D31D" w:rsidR="0080773E" w:rsidRPr="00104227" w:rsidRDefault="0080773E" w:rsidP="002755DF">
      <w:pPr>
        <w:pStyle w:val="Textonotapie"/>
        <w:tabs>
          <w:tab w:val="left" w:pos="426"/>
        </w:tabs>
        <w:spacing w:before="120" w:after="120"/>
        <w:rPr>
          <w:b/>
          <w:lang w:val="en-US"/>
        </w:rPr>
      </w:pPr>
      <w:r w:rsidRPr="00104227">
        <w:rPr>
          <w:rStyle w:val="Refdenotaalpie"/>
          <w:lang w:val="en-US"/>
        </w:rPr>
        <w:footnoteRef/>
      </w:r>
      <w:r w:rsidRPr="00104227">
        <w:rPr>
          <w:lang w:val="en-US"/>
        </w:rPr>
        <w:t xml:space="preserve"> </w:t>
      </w:r>
      <w:r w:rsidRPr="00104227">
        <w:rPr>
          <w:lang w:val="en-US"/>
        </w:rPr>
        <w:tab/>
        <w:t>The brief, signed by Ana Cristina Ruelas Serna as Regional Director, refers to international standards in relation to protests and the use of force, and the problems and patterns that have been documented with regard to protests in Mexico.</w:t>
      </w:r>
    </w:p>
  </w:footnote>
  <w:footnote w:id="16">
    <w:p w14:paraId="58463277" w14:textId="0FB8B562" w:rsidR="0080773E" w:rsidRPr="00104227" w:rsidRDefault="0080773E" w:rsidP="002755DF">
      <w:pPr>
        <w:pStyle w:val="Textonotapie"/>
        <w:tabs>
          <w:tab w:val="left" w:pos="426"/>
        </w:tabs>
        <w:spacing w:before="120" w:after="120"/>
        <w:rPr>
          <w:b/>
          <w:lang w:val="en-US"/>
        </w:rPr>
      </w:pPr>
      <w:r w:rsidRPr="00104227">
        <w:rPr>
          <w:rStyle w:val="Refdenotaalpie"/>
          <w:lang w:val="en-US"/>
        </w:rPr>
        <w:footnoteRef/>
      </w:r>
      <w:r w:rsidRPr="00104227">
        <w:rPr>
          <w:lang w:val="en-US"/>
        </w:rPr>
        <w:t xml:space="preserve"> </w:t>
      </w:r>
      <w:r w:rsidRPr="00104227">
        <w:rPr>
          <w:lang w:val="en-US"/>
        </w:rPr>
        <w:tab/>
        <w:t>The brief, signed by Haydeé M. Pérez Garrido as Executive Director, relates to the perpetration of serious human rights violations owing to the inadequate use of law enforcement personnel in situations of social conflict in</w:t>
      </w:r>
      <w:r w:rsidRPr="00104227">
        <w:rPr>
          <w:b/>
          <w:bCs/>
          <w:lang w:val="en-US"/>
        </w:rPr>
        <w:t xml:space="preserve"> </w:t>
      </w:r>
      <w:r w:rsidRPr="00104227">
        <w:rPr>
          <w:lang w:val="en-US"/>
        </w:rPr>
        <w:t xml:space="preserve">Mexico. </w:t>
      </w:r>
    </w:p>
  </w:footnote>
  <w:footnote w:id="17">
    <w:p w14:paraId="180AED74" w14:textId="4497CAEA" w:rsidR="0080773E" w:rsidRPr="00104227" w:rsidRDefault="0080773E" w:rsidP="002755DF">
      <w:pPr>
        <w:pStyle w:val="Textonotapie"/>
        <w:tabs>
          <w:tab w:val="left" w:pos="426"/>
        </w:tabs>
        <w:spacing w:before="120" w:after="120"/>
        <w:rPr>
          <w:bCs/>
          <w:lang w:val="en-US"/>
        </w:rPr>
      </w:pPr>
      <w:r w:rsidRPr="00104227">
        <w:rPr>
          <w:rStyle w:val="Refdenotaalpie"/>
          <w:lang w:val="en-US"/>
        </w:rPr>
        <w:footnoteRef/>
      </w:r>
      <w:r w:rsidRPr="00104227">
        <w:rPr>
          <w:lang w:val="en-US"/>
        </w:rPr>
        <w:t xml:space="preserve"> </w:t>
      </w:r>
      <w:r w:rsidRPr="00104227">
        <w:rPr>
          <w:lang w:val="en-US"/>
        </w:rPr>
        <w:tab/>
        <w:t>The brief, signed by Adriana Muro Polo, Manuela Piza Caballero, Paula Aguirre Ospina, Daniela Parra Álvarez, Laura Rojas Acosta, María Camila Vega Salazar, Nora Robledo Frías, Ángela Quintero Bohórquez and Mariana Reyes Múnera,</w:t>
      </w:r>
      <w:r w:rsidRPr="00104227">
        <w:rPr>
          <w:b/>
          <w:bCs/>
          <w:lang w:val="en-US"/>
        </w:rPr>
        <w:t xml:space="preserve"> </w:t>
      </w:r>
      <w:r w:rsidRPr="00104227">
        <w:rPr>
          <w:bCs/>
          <w:lang w:val="en-US"/>
        </w:rPr>
        <w:t>refers to the context of the case in relation to the general situation of the repression of social protest in Mexico and the situation of gender-based violence in the state of Mexico at the time of the facts, as well as unwarranted use of force and its differentiated impact on women victims.</w:t>
      </w:r>
    </w:p>
  </w:footnote>
  <w:footnote w:id="18">
    <w:p w14:paraId="76443608" w14:textId="32D6115C" w:rsidR="0080773E" w:rsidRPr="00104227" w:rsidRDefault="0080773E" w:rsidP="002755DF">
      <w:pPr>
        <w:pStyle w:val="Textonotapie"/>
        <w:tabs>
          <w:tab w:val="left" w:pos="426"/>
        </w:tabs>
        <w:spacing w:before="120" w:after="120"/>
        <w:rPr>
          <w:b/>
          <w:lang w:val="en-US"/>
        </w:rPr>
      </w:pPr>
      <w:r w:rsidRPr="00104227">
        <w:rPr>
          <w:rStyle w:val="Refdenotaalpie"/>
          <w:lang w:val="en-US"/>
        </w:rPr>
        <w:footnoteRef/>
      </w:r>
      <w:r w:rsidRPr="00104227">
        <w:rPr>
          <w:lang w:val="en-US"/>
        </w:rPr>
        <w:t xml:space="preserve"> </w:t>
      </w:r>
      <w:r w:rsidRPr="00104227">
        <w:rPr>
          <w:lang w:val="en-US"/>
        </w:rPr>
        <w:tab/>
        <w:t>The brief, signed by Denise González Núñez as Coordinator of the Human Rights Program; Elvia González del Pliego Dorantes, as Coordinator of the Gender Program, and Renata Demichelis Ávila, as Founding member of Concordia,</w:t>
      </w:r>
      <w:r w:rsidRPr="00104227">
        <w:rPr>
          <w:b/>
          <w:bCs/>
          <w:lang w:val="en-US"/>
        </w:rPr>
        <w:t xml:space="preserve"> </w:t>
      </w:r>
      <w:r w:rsidRPr="00104227">
        <w:rPr>
          <w:bCs/>
          <w:lang w:val="en-US"/>
        </w:rPr>
        <w:t xml:space="preserve">refers to the State’s international obligations in relation to sexual torture and violence against women, and </w:t>
      </w:r>
      <w:r w:rsidRPr="00104227">
        <w:rPr>
          <w:lang w:val="en-US"/>
        </w:rPr>
        <w:t>also the insufficiency of the actions taken by the Mexican State in relation to the facts suffered by the eleven victims in this case.</w:t>
      </w:r>
    </w:p>
  </w:footnote>
  <w:footnote w:id="19">
    <w:p w14:paraId="31D9C845" w14:textId="4302C055" w:rsidR="0080773E" w:rsidRPr="00104227" w:rsidRDefault="0080773E" w:rsidP="002755DF">
      <w:pPr>
        <w:pStyle w:val="Textonotapie"/>
        <w:tabs>
          <w:tab w:val="left" w:pos="426"/>
        </w:tabs>
        <w:spacing w:before="120" w:after="120"/>
        <w:rPr>
          <w:b/>
          <w:lang w:val="en-US"/>
        </w:rPr>
      </w:pPr>
      <w:r w:rsidRPr="00104227">
        <w:rPr>
          <w:rStyle w:val="Refdenotaalpie"/>
          <w:lang w:val="en-US"/>
        </w:rPr>
        <w:footnoteRef/>
      </w:r>
      <w:r w:rsidRPr="00104227">
        <w:rPr>
          <w:lang w:val="en-US"/>
        </w:rPr>
        <w:t xml:space="preserve"> </w:t>
      </w:r>
      <w:r w:rsidRPr="00104227">
        <w:rPr>
          <w:lang w:val="en-US"/>
        </w:rPr>
        <w:tab/>
        <w:t>The brief, signed by Gastón Chillier as Executive Director,</w:t>
      </w:r>
      <w:r w:rsidRPr="00104227">
        <w:rPr>
          <w:b/>
          <w:lang w:val="en-US"/>
        </w:rPr>
        <w:t xml:space="preserve"> </w:t>
      </w:r>
      <w:r w:rsidRPr="00104227">
        <w:rPr>
          <w:lang w:val="en-US"/>
        </w:rPr>
        <w:t>refers to the State's obligation to protect and ensure human rights in the context of social protests, especially to prevent the use of force resulting in acts of sexual torture.</w:t>
      </w:r>
    </w:p>
  </w:footnote>
  <w:footnote w:id="20">
    <w:p w14:paraId="0AE4C02F" w14:textId="6B21BB4C" w:rsidR="0080773E" w:rsidRPr="00104227" w:rsidRDefault="0080773E" w:rsidP="002755DF">
      <w:pPr>
        <w:pStyle w:val="Textonotapie"/>
        <w:tabs>
          <w:tab w:val="left" w:pos="426"/>
        </w:tabs>
        <w:spacing w:before="120" w:after="120"/>
        <w:rPr>
          <w:b/>
          <w:lang w:val="en-US"/>
        </w:rPr>
      </w:pPr>
      <w:r w:rsidRPr="00104227">
        <w:rPr>
          <w:rStyle w:val="Refdenotaalpie"/>
          <w:lang w:val="en-US"/>
        </w:rPr>
        <w:footnoteRef/>
      </w:r>
      <w:r w:rsidRPr="00104227">
        <w:rPr>
          <w:lang w:val="en-US"/>
        </w:rPr>
        <w:t xml:space="preserve"> </w:t>
      </w:r>
      <w:r w:rsidRPr="00104227">
        <w:rPr>
          <w:lang w:val="en-US"/>
        </w:rPr>
        <w:tab/>
        <w:t>The brief, signed by Maureen Meyer as Director for Mexico and Migrant Rights,</w:t>
      </w:r>
      <w:r w:rsidRPr="00104227">
        <w:rPr>
          <w:b/>
          <w:lang w:val="en-US"/>
        </w:rPr>
        <w:t xml:space="preserve"> </w:t>
      </w:r>
      <w:r w:rsidRPr="00104227">
        <w:rPr>
          <w:lang w:val="en-US"/>
        </w:rPr>
        <w:t>refers to abuses and repression perpetrated by the Mexican police, incomplete reforms of the police force in Mexico, police internal controls and their effectiveness, and also the deficiencies in the Mexican legal framework in relation to the use of force.</w:t>
      </w:r>
    </w:p>
  </w:footnote>
  <w:footnote w:id="21">
    <w:p w14:paraId="04AD78A2" w14:textId="1B39535E"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The brief, signed by José Luis Caballero Ochoa, as Director of Law at the Universidad Iberoamericana; Juan Carlos Arjona Estévez, Professor of the Master’s program on human rights at the Universidad Iberoamericana; Michelle Guerra, Human Rights Defender, and Ximena Jiménez, law student at the Universidad Iberoamericana, refers to the situation of social protest in Mexico and the State’s position towards this, the participation of women in this context, and torture used as a punishment for participation.</w:t>
      </w:r>
    </w:p>
  </w:footnote>
  <w:footnote w:id="22">
    <w:p w14:paraId="1E11FB28" w14:textId="2347BADF" w:rsidR="0080773E" w:rsidRPr="00104227" w:rsidRDefault="0080773E" w:rsidP="00CA330F">
      <w:pPr>
        <w:pStyle w:val="Textonotapie"/>
        <w:tabs>
          <w:tab w:val="left" w:pos="426"/>
        </w:tabs>
        <w:spacing w:before="120" w:after="120"/>
        <w:rPr>
          <w:b/>
          <w:lang w:val="en-US"/>
        </w:rPr>
      </w:pPr>
      <w:r w:rsidRPr="00104227">
        <w:rPr>
          <w:rStyle w:val="Refdenotaalpie"/>
          <w:lang w:val="en-US"/>
        </w:rPr>
        <w:footnoteRef/>
      </w:r>
      <w:r w:rsidRPr="00104227">
        <w:rPr>
          <w:lang w:val="en-US"/>
        </w:rPr>
        <w:t xml:space="preserve"> </w:t>
      </w:r>
      <w:r w:rsidRPr="00104227">
        <w:rPr>
          <w:lang w:val="en-US"/>
        </w:rPr>
        <w:tab/>
        <w:t>The brief refers to the differentiation between the rights, obligations and responsibilities of the agents who use force and those of their superiors, as well as to the circumstances in which force is used</w:t>
      </w:r>
      <w:r w:rsidRPr="00104227">
        <w:rPr>
          <w:bCs/>
          <w:lang w:val="en-US"/>
        </w:rPr>
        <w:t xml:space="preserve">. </w:t>
      </w:r>
    </w:p>
  </w:footnote>
  <w:footnote w:id="23">
    <w:p w14:paraId="55B7D2F4" w14:textId="621D9180"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The brief refers to the regulations concerning perpetrators and masterminds of crimes in the laws of Mexico to affirm that, based on criminal law, the attribution of individual criminal responsibility corresponds to the Mexican courts.</w:t>
      </w:r>
    </w:p>
  </w:footnote>
  <w:footnote w:id="24">
    <w:p w14:paraId="0DF9A31D" w14:textId="58D16A3B"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The brief, signed by Carolina Jiménez as Deputy Director of Research for the Americas, and Ashfaq Khalfan, as Director of the Legal Program, refers to the absolute prohibition of torture and other ill-treatment such as sexual violence, and the obligation of the State to investigate such acts with a gender perspective.</w:t>
      </w:r>
    </w:p>
  </w:footnote>
  <w:footnote w:id="25">
    <w:p w14:paraId="5F54D34A" w14:textId="43C6158D" w:rsidR="0080773E" w:rsidRPr="00104227" w:rsidRDefault="0080773E" w:rsidP="002755DF">
      <w:pPr>
        <w:pStyle w:val="Textonotapie"/>
        <w:tabs>
          <w:tab w:val="left" w:pos="426"/>
        </w:tabs>
        <w:spacing w:before="120" w:after="120"/>
        <w:rPr>
          <w:b/>
          <w:lang w:val="en-US"/>
        </w:rPr>
      </w:pPr>
      <w:r w:rsidRPr="00104227">
        <w:rPr>
          <w:rStyle w:val="Refdenotaalpie"/>
          <w:b/>
          <w:lang w:val="en-US"/>
        </w:rPr>
        <w:footnoteRef/>
      </w:r>
      <w:r w:rsidRPr="00104227">
        <w:rPr>
          <w:b/>
          <w:lang w:val="en-US"/>
        </w:rPr>
        <w:t xml:space="preserve"> </w:t>
      </w:r>
      <w:r w:rsidRPr="00104227">
        <w:rPr>
          <w:b/>
          <w:lang w:val="en-US"/>
        </w:rPr>
        <w:tab/>
      </w:r>
      <w:r w:rsidRPr="00104227">
        <w:rPr>
          <w:lang w:val="en-US"/>
        </w:rPr>
        <w:t>The brief refers to the complementary competence of the jurisdiction of the States Parties to the International Criminal Court, the scope of the control of conventionality of that Court, the definition of command responsibility in international criminal law, and its exclusion from the domestic criminal legislations.</w:t>
      </w:r>
    </w:p>
  </w:footnote>
  <w:footnote w:id="26">
    <w:p w14:paraId="3CF35538" w14:textId="230108D8"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The brief, signed by María Isabel Miranda Torres de Wallace as President of Alto al Secuestro, A.C., reiterates that, in Mexico, torture, in addition to being a crime, is a violation of human rights. It also analyzes the effectiveness of Mexican practice in relation to investigating and documenting torture, and the rule of exclusion of evidence.</w:t>
      </w:r>
    </w:p>
  </w:footnote>
  <w:footnote w:id="27">
    <w:p w14:paraId="5E191C56" w14:textId="79BD1AE9"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The brief, signed by Nashieli Ramírez Hernández as President of the Federal District Human Rights Commission, refers to the situation of social protest in Mexico, the attribution of responsibility through the chain of command, and sexual violence in the context of social conflicts.</w:t>
      </w:r>
    </w:p>
  </w:footnote>
  <w:footnote w:id="28">
    <w:p w14:paraId="63A93650" w14:textId="7566FEB5"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80773E">
        <w:rPr>
          <w:lang w:val="es-CR"/>
        </w:rPr>
        <w:t xml:space="preserve"> </w:t>
      </w:r>
      <w:r w:rsidRPr="0080773E">
        <w:rPr>
          <w:lang w:val="es-CR"/>
        </w:rPr>
        <w:tab/>
      </w:r>
      <w:r w:rsidRPr="0080773E">
        <w:rPr>
          <w:i/>
          <w:lang w:val="es-CR"/>
        </w:rPr>
        <w:t xml:space="preserve">Cf. Case of Las Palmeras v. Colombia. </w:t>
      </w:r>
      <w:r w:rsidRPr="00104227">
        <w:rPr>
          <w:i/>
          <w:lang w:val="en-US"/>
        </w:rPr>
        <w:t>Preliminary objections</w:t>
      </w:r>
      <w:r w:rsidRPr="00104227">
        <w:rPr>
          <w:lang w:val="en-US"/>
        </w:rPr>
        <w:t xml:space="preserve">. Judgment of February 4, 2000. Series C No. 67, para. 34, and </w:t>
      </w:r>
      <w:r w:rsidRPr="00104227">
        <w:rPr>
          <w:bCs/>
          <w:i/>
          <w:lang w:val="en-US"/>
        </w:rPr>
        <w:t>Case of the Xucuru Indigenous People and its members v. Brazil. Preliminary objections, merits, reparations and costs.</w:t>
      </w:r>
      <w:r w:rsidRPr="00104227">
        <w:rPr>
          <w:bCs/>
          <w:lang w:val="en-US"/>
        </w:rPr>
        <w:t xml:space="preserve"> Judgment of February 5, 2018. Series C No. 346, para. 20.</w:t>
      </w:r>
    </w:p>
  </w:footnote>
  <w:footnote w:id="29">
    <w:p w14:paraId="6D958948" w14:textId="17E68B82"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Castañeda Gutman v. United Mexican States. Preliminary objections, merits, reparations and costs.</w:t>
      </w:r>
      <w:r w:rsidRPr="00104227">
        <w:rPr>
          <w:lang w:val="en-US"/>
        </w:rPr>
        <w:t xml:space="preserve"> Judgment of August 6, 2008. Series C No. 184, para. 39, and </w:t>
      </w:r>
      <w:r w:rsidRPr="00104227">
        <w:rPr>
          <w:bCs/>
          <w:i/>
          <w:lang w:val="en-US"/>
        </w:rPr>
        <w:t xml:space="preserve">Case of Herzog v. Brazil. Preliminary objections, merits, reparations and costs. </w:t>
      </w:r>
      <w:r w:rsidRPr="00104227">
        <w:rPr>
          <w:bCs/>
          <w:lang w:val="en-US"/>
        </w:rPr>
        <w:t>Judgment of March 15, 2018. Series C No. 353, para. 80.</w:t>
      </w:r>
    </w:p>
  </w:footnote>
  <w:footnote w:id="30">
    <w:p w14:paraId="1DA56382" w14:textId="01639F8B"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Control of Due Process in the Exercise of the Powers of the Inter-American Commission on Human Rights (Arts. 41 and 44 of the American Convention on Human Rights).</w:t>
      </w:r>
      <w:r w:rsidRPr="00104227">
        <w:rPr>
          <w:lang w:val="en-US"/>
        </w:rPr>
        <w:t xml:space="preserve"> Advisory Opinion OC-19/05 of November 28, 2005. Series A No. 19, first and third operative paragraphs, and </w:t>
      </w:r>
      <w:r w:rsidRPr="00104227">
        <w:rPr>
          <w:i/>
          <w:iCs/>
          <w:lang w:val="en-US"/>
        </w:rPr>
        <w:t xml:space="preserve">Case of Amrhein et al. v. Costa Rica. Preliminary objections, merits, reparations and costs. </w:t>
      </w:r>
      <w:r w:rsidRPr="00104227">
        <w:rPr>
          <w:iCs/>
          <w:lang w:val="en-US"/>
        </w:rPr>
        <w:t>Judgment of April 25, 2018. Series C No. 354, para. 68.</w:t>
      </w:r>
    </w:p>
  </w:footnote>
  <w:footnote w:id="31">
    <w:p w14:paraId="6CE73343" w14:textId="4DBCC31C"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Case of the Saramaka People v. Suriname. Preliminary objections, merits, reparations and costs. </w:t>
      </w:r>
      <w:r w:rsidRPr="00104227">
        <w:rPr>
          <w:lang w:val="en-US"/>
        </w:rPr>
        <w:t xml:space="preserve">Judgment of November 28, 2007. Series C No. 172, para. 32, and </w:t>
      </w:r>
      <w:r w:rsidRPr="00104227">
        <w:rPr>
          <w:i/>
          <w:iCs/>
          <w:lang w:val="en-US"/>
        </w:rPr>
        <w:t xml:space="preserve">Case of the Dismissed PetroPeru Workers et al. v. Peru. Preliminary objections, merits, reparations and costs. </w:t>
      </w:r>
      <w:r w:rsidRPr="00104227">
        <w:rPr>
          <w:iCs/>
          <w:lang w:val="en-US"/>
        </w:rPr>
        <w:t>Judgment of November 23, 2017. Series C No. 344, para. 51.</w:t>
      </w:r>
    </w:p>
  </w:footnote>
  <w:footnote w:id="32">
    <w:p w14:paraId="7CA684A7" w14:textId="240B4DDC"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The State acknowledged its international responsibility for the violations committed in this case for the first time and in more general terms before the Inter-American Commission on March 14, 2013, during a public hearing held before the Commission during its 147</w:t>
      </w:r>
      <w:r w:rsidRPr="00104227">
        <w:rPr>
          <w:vertAlign w:val="superscript"/>
          <w:lang w:val="en-US"/>
        </w:rPr>
        <w:t>th</w:t>
      </w:r>
      <w:r w:rsidRPr="00104227">
        <w:rPr>
          <w:lang w:val="en-US"/>
        </w:rPr>
        <w:t xml:space="preserve"> regular session.</w:t>
      </w:r>
      <w:r w:rsidRPr="00104227">
        <w:rPr>
          <w:b/>
          <w:lang w:val="en-US"/>
        </w:rPr>
        <w:t xml:space="preserve"> </w:t>
      </w:r>
      <w:r w:rsidRPr="00104227">
        <w:rPr>
          <w:i/>
          <w:lang w:val="en-US"/>
        </w:rPr>
        <w:t xml:space="preserve">Cf. </w:t>
      </w:r>
      <w:r w:rsidRPr="00104227">
        <w:rPr>
          <w:lang w:val="en-US"/>
        </w:rPr>
        <w:t xml:space="preserve">Video of the State's intervention during the public hearing held before the Inter-American Commission on March 14, 2013 (evidence file, file of audiovisual material); communication of the State of April 8, 2013 (evidence file, folios 11618 and 11619), and Merits Report No. 74/15, paras. 9, 10, 58, 59 and 63 to 69 (merits file, folios 12 and 20 to 22). </w:t>
      </w:r>
    </w:p>
  </w:footnote>
  <w:footnote w:id="33">
    <w:p w14:paraId="1B3BE97D" w14:textId="602B40D2"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In both its answering brief and in its final arguments, the State indicated that it acknowledged the violation of “Articles 1 and 86” of the Inter-American Convention against Torture. The Court understands that this was an error and that the State was referring to Articles “1 and 6” of that treaty, which were the articles that the Commission and the representatives alleged had been violated. </w:t>
      </w:r>
    </w:p>
  </w:footnote>
  <w:footnote w:id="34">
    <w:p w14:paraId="64792CC3" w14:textId="42019AAB" w:rsidR="0080773E" w:rsidRPr="00104227" w:rsidRDefault="0080773E" w:rsidP="002755DF">
      <w:pPr>
        <w:pStyle w:val="PrrafodeSentencia"/>
        <w:numPr>
          <w:ilvl w:val="0"/>
          <w:numId w:val="0"/>
        </w:numPr>
        <w:tabs>
          <w:tab w:val="left" w:pos="426"/>
        </w:tabs>
        <w:spacing w:before="120" w:after="120"/>
        <w:rPr>
          <w:spacing w:val="0"/>
          <w:sz w:val="16"/>
          <w:szCs w:val="16"/>
          <w:lang w:val="en-US"/>
        </w:rPr>
      </w:pPr>
      <w:r w:rsidRPr="00104227">
        <w:rPr>
          <w:rStyle w:val="Refdenotaalpie"/>
          <w:spacing w:val="0"/>
          <w:lang w:val="en-US"/>
        </w:rPr>
        <w:footnoteRef/>
      </w:r>
      <w:r w:rsidRPr="00104227">
        <w:rPr>
          <w:spacing w:val="0"/>
          <w:sz w:val="16"/>
          <w:szCs w:val="16"/>
          <w:lang w:val="en-US"/>
        </w:rPr>
        <w:t xml:space="preserve"> </w:t>
      </w:r>
      <w:r w:rsidRPr="00104227">
        <w:rPr>
          <w:spacing w:val="0"/>
          <w:sz w:val="16"/>
          <w:szCs w:val="16"/>
          <w:lang w:val="en-US"/>
        </w:rPr>
        <w:tab/>
        <w:t>Specifically, the State clarified: (i) the actions prior to the confrontations; (ii) the events that took place on May 3, 2006, namely: (a) the confrontation in Fray Pedro de Gante Street; (b) the blockade of the Texcoco-Lechería highway; (c) the transfer and the confinement of those detained in the “Santiaguito” prison; (d) the complaints filed by the detainees, and (e) the reasons why the events occurred that day; (iii) the events that took place on May 4, 2006, namely: (a) actions prior to the operation on May 4, 2006; (b) the operation on the blockade of the Texcoco-Lechería highway; (c) the advance towards San Salvador Atenco; (d) the transfer and the confinement of those detained in the “Santiaguito” prison, and (e) the complaints of police abuse and sexual violence.</w:t>
      </w:r>
    </w:p>
  </w:footnote>
  <w:footnote w:id="35">
    <w:p w14:paraId="17B71234" w14:textId="3B5BB9E1" w:rsidR="0080773E" w:rsidRPr="00104227" w:rsidRDefault="0080773E" w:rsidP="00B851FA">
      <w:pPr>
        <w:widowControl w:val="0"/>
        <w:tabs>
          <w:tab w:val="left" w:pos="450"/>
        </w:tabs>
        <w:autoSpaceDE w:val="0"/>
        <w:autoSpaceDN w:val="0"/>
        <w:adjustRightInd w:val="0"/>
        <w:spacing w:before="120" w:after="120"/>
        <w:rPr>
          <w:sz w:val="16"/>
          <w:szCs w:val="16"/>
        </w:rPr>
      </w:pPr>
      <w:r w:rsidRPr="00104227">
        <w:rPr>
          <w:rStyle w:val="Refdenotaalpie"/>
          <w:rFonts w:eastAsiaTheme="majorEastAsia"/>
        </w:rPr>
        <w:footnoteRef/>
      </w:r>
      <w:r w:rsidRPr="00104227">
        <w:rPr>
          <w:sz w:val="16"/>
          <w:szCs w:val="16"/>
          <w:vertAlign w:val="superscript"/>
        </w:rPr>
        <w:t xml:space="preserve"> </w:t>
      </w:r>
      <w:r w:rsidRPr="00104227">
        <w:rPr>
          <w:sz w:val="16"/>
          <w:szCs w:val="16"/>
        </w:rPr>
        <w:tab/>
        <w:t>Articles 62 and 64 of the Rules of Procedure of the Court establish: “Article 62. Acquiescence: If the respondent informs the Court of its acceptance of the facts or its total or partial acquiescence to the claims stated in the presentation of the case or the brief submitted by the alleged victims or their representatives, the Court shall decide, having heard the opinions of all those participating in the proceedings and at the appropriate procedural moment, whether to accept that acquiescence, and shall rule upon its juridical effects. […] Article 64. Continuation of the case: Bearing in mind its responsibility to protect human rights, the Court may decide to continue the consideration of a case notwithstanding the existence of the conditions indicated in the preceding Articles.</w:t>
      </w:r>
    </w:p>
  </w:footnote>
  <w:footnote w:id="36">
    <w:p w14:paraId="654214CD" w14:textId="76173F22" w:rsidR="0080773E" w:rsidRPr="00104227" w:rsidRDefault="0080773E" w:rsidP="002755DF">
      <w:pPr>
        <w:pStyle w:val="Footnotes"/>
        <w:tabs>
          <w:tab w:val="clear" w:pos="567"/>
          <w:tab w:val="left" w:pos="426"/>
        </w:tabs>
        <w:spacing w:before="120" w:after="120"/>
        <w:rPr>
          <w:rFonts w:cs="Times New Roman"/>
          <w:spacing w:val="0"/>
          <w:lang w:val="en-US"/>
        </w:rPr>
      </w:pPr>
      <w:r w:rsidRPr="00104227">
        <w:rPr>
          <w:rStyle w:val="Refdenotaalpie"/>
          <w:rFonts w:eastAsiaTheme="majorEastAsia"/>
          <w:spacing w:val="0"/>
          <w:lang w:val="en-US"/>
        </w:rPr>
        <w:footnoteRef/>
      </w:r>
      <w:r w:rsidRPr="00104227">
        <w:rPr>
          <w:rFonts w:cs="Times New Roman"/>
          <w:spacing w:val="0"/>
          <w:lang w:val="en-US"/>
        </w:rPr>
        <w:tab/>
      </w:r>
      <w:r w:rsidRPr="00104227">
        <w:rPr>
          <w:i/>
          <w:spacing w:val="0"/>
          <w:lang w:val="en-US"/>
        </w:rPr>
        <w:t>Cf. Case of Kimel v. Argentina</w:t>
      </w:r>
      <w:r w:rsidRPr="00104227">
        <w:rPr>
          <w:spacing w:val="0"/>
          <w:lang w:val="en-US"/>
        </w:rPr>
        <w:t xml:space="preserve">. </w:t>
      </w:r>
      <w:r w:rsidRPr="00104227">
        <w:rPr>
          <w:i/>
          <w:spacing w:val="0"/>
          <w:lang w:val="en-US"/>
        </w:rPr>
        <w:t>Merits, reparations and costs.</w:t>
      </w:r>
      <w:r w:rsidRPr="00104227">
        <w:rPr>
          <w:spacing w:val="0"/>
          <w:lang w:val="en-US"/>
        </w:rPr>
        <w:t xml:space="preserve"> Judgment of May 2, 2008. Series C No. 177, para. 24, and </w:t>
      </w:r>
      <w:r w:rsidRPr="00104227">
        <w:rPr>
          <w:rStyle w:val="Textoennegrita"/>
          <w:b w:val="0"/>
          <w:i/>
          <w:color w:val="000000"/>
          <w:spacing w:val="0"/>
          <w:lang w:val="en-US"/>
        </w:rPr>
        <w:t>Case of Ramírez Escobar et al. v. Guatemala. Merits, reparations and costs</w:t>
      </w:r>
      <w:r w:rsidRPr="00104227">
        <w:rPr>
          <w:rStyle w:val="Textoennegrita"/>
          <w:b w:val="0"/>
          <w:color w:val="000000"/>
          <w:spacing w:val="0"/>
          <w:lang w:val="en-US"/>
        </w:rPr>
        <w:t xml:space="preserve">. Judgment of March 9, 2018. Series C No. 351, para. 27. </w:t>
      </w:r>
    </w:p>
  </w:footnote>
  <w:footnote w:id="37">
    <w:p w14:paraId="3324FA5A" w14:textId="6D35EBA5" w:rsidR="0080773E" w:rsidRPr="00104227" w:rsidRDefault="0080773E" w:rsidP="002755DF">
      <w:pPr>
        <w:pStyle w:val="Footnotes"/>
        <w:tabs>
          <w:tab w:val="clear" w:pos="567"/>
          <w:tab w:val="left" w:pos="426"/>
        </w:tabs>
        <w:spacing w:before="120" w:after="120"/>
        <w:rPr>
          <w:rFonts w:cs="Times New Roman"/>
          <w:spacing w:val="0"/>
          <w:lang w:val="en-US"/>
        </w:rPr>
      </w:pPr>
      <w:r w:rsidRPr="00104227">
        <w:rPr>
          <w:rStyle w:val="Refdenotaalpie"/>
          <w:rFonts w:eastAsiaTheme="majorEastAsia"/>
          <w:spacing w:val="0"/>
          <w:lang w:val="en-US"/>
        </w:rPr>
        <w:footnoteRef/>
      </w:r>
      <w:r w:rsidRPr="00104227">
        <w:rPr>
          <w:spacing w:val="0"/>
          <w:vertAlign w:val="superscript"/>
          <w:lang w:val="en-US"/>
        </w:rPr>
        <w:t xml:space="preserve"> </w:t>
      </w:r>
      <w:r w:rsidRPr="00104227">
        <w:rPr>
          <w:spacing w:val="0"/>
          <w:lang w:val="en-US"/>
        </w:rPr>
        <w:tab/>
      </w:r>
      <w:r w:rsidRPr="00104227">
        <w:rPr>
          <w:i/>
          <w:spacing w:val="0"/>
          <w:lang w:val="en-US"/>
        </w:rPr>
        <w:t>Cf. Case of Manuel Cepeda Vargas v. Colombia</w:t>
      </w:r>
      <w:r w:rsidRPr="00104227">
        <w:rPr>
          <w:spacing w:val="0"/>
          <w:lang w:val="en-US"/>
        </w:rPr>
        <w:t xml:space="preserve">. </w:t>
      </w:r>
      <w:r w:rsidRPr="00104227">
        <w:rPr>
          <w:i/>
          <w:spacing w:val="0"/>
          <w:lang w:val="en-US"/>
        </w:rPr>
        <w:t>Preliminary objections, merits, reparations and costs.</w:t>
      </w:r>
      <w:r w:rsidRPr="00104227">
        <w:rPr>
          <w:spacing w:val="0"/>
          <w:lang w:val="en-US"/>
        </w:rPr>
        <w:t xml:space="preserve"> Judgment of May 26, 2010. Series C No. 213, para. 17, and </w:t>
      </w:r>
      <w:r w:rsidRPr="00104227">
        <w:rPr>
          <w:rStyle w:val="Textoennegrita"/>
          <w:b w:val="0"/>
          <w:i/>
          <w:color w:val="000000"/>
          <w:spacing w:val="0"/>
          <w:lang w:val="en-US"/>
        </w:rPr>
        <w:t>Case of Ramírez Escobar et al. v. Guatemala. Merits, reparations and costs</w:t>
      </w:r>
      <w:r w:rsidRPr="00104227">
        <w:rPr>
          <w:rStyle w:val="Textoennegrita"/>
          <w:b w:val="0"/>
          <w:color w:val="000000"/>
          <w:spacing w:val="0"/>
          <w:lang w:val="en-US"/>
        </w:rPr>
        <w:t xml:space="preserve">. Judgment of March 9, 2018. Series C No. 351, para. 27. </w:t>
      </w:r>
    </w:p>
  </w:footnote>
  <w:footnote w:id="38">
    <w:p w14:paraId="2CA52E88" w14:textId="4EB714D6" w:rsidR="0080773E" w:rsidRPr="00104227" w:rsidRDefault="0080773E" w:rsidP="002755DF">
      <w:pPr>
        <w:pStyle w:val="Textonotapie"/>
        <w:tabs>
          <w:tab w:val="left" w:pos="426"/>
          <w:tab w:val="left" w:pos="709"/>
        </w:tabs>
        <w:spacing w:before="120" w:after="120"/>
        <w:rPr>
          <w:lang w:val="en-US"/>
        </w:rPr>
      </w:pPr>
      <w:r w:rsidRPr="00104227">
        <w:rPr>
          <w:rStyle w:val="Refdenotaalpie"/>
          <w:lang w:val="en-US"/>
        </w:rPr>
        <w:footnoteRef/>
      </w:r>
      <w:r w:rsidRPr="00104227">
        <w:rPr>
          <w:lang w:val="en-US"/>
        </w:rPr>
        <w:t xml:space="preserve"> </w:t>
      </w:r>
      <w:r w:rsidRPr="00104227">
        <w:rPr>
          <w:lang w:val="en-US"/>
        </w:rPr>
        <w:tab/>
        <w:t>Article 62(3) of the Convention establishes: “[t]</w:t>
      </w:r>
      <w:r w:rsidRPr="00104227">
        <w:rPr>
          <w:spacing w:val="-3"/>
          <w:lang w:val="en-US"/>
        </w:rPr>
        <w:t>he jurisdiction of the Court shall comprise all cases concerning the interpretation and application of the provisions of this Convention that are submitted to it, provided that the States Parties to the case recognize or have recognized such jurisdiction, whether by special declaration pursuant to the preceding paragraphs, or by a special agreement.</w:t>
      </w:r>
      <w:r w:rsidRPr="00104227">
        <w:rPr>
          <w:lang w:val="en-US"/>
        </w:rPr>
        <w:t>”.</w:t>
      </w:r>
    </w:p>
  </w:footnote>
  <w:footnote w:id="39">
    <w:p w14:paraId="57F6D718" w14:textId="268D2A0A" w:rsidR="0080773E" w:rsidRPr="00104227" w:rsidRDefault="0080773E" w:rsidP="002755DF">
      <w:pPr>
        <w:pStyle w:val="Textonotapie"/>
        <w:tabs>
          <w:tab w:val="left" w:pos="426"/>
          <w:tab w:val="left" w:pos="709"/>
        </w:tabs>
        <w:spacing w:before="120" w:after="120"/>
        <w:rPr>
          <w:lang w:val="en-US"/>
        </w:rPr>
      </w:pPr>
      <w:r w:rsidRPr="00104227">
        <w:rPr>
          <w:rStyle w:val="Refdenotaalpie"/>
          <w:lang w:val="en-US"/>
        </w:rPr>
        <w:footnoteRef/>
      </w:r>
      <w:r w:rsidRPr="00104227">
        <w:rPr>
          <w:lang w:val="en-US"/>
        </w:rPr>
        <w:t xml:space="preserve"> </w:t>
      </w:r>
      <w:r w:rsidRPr="00104227">
        <w:rPr>
          <w:lang w:val="en-US"/>
        </w:rPr>
        <w:tab/>
        <w:t>Article 63(1) of the Convention stipulates: “[i]</w:t>
      </w:r>
      <w:r w:rsidRPr="00104227">
        <w:rPr>
          <w:spacing w:val="-3"/>
          <w:lang w:val="en-US"/>
        </w:rPr>
        <w:t>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r w:rsidRPr="00104227">
        <w:rPr>
          <w:lang w:val="en-US"/>
        </w:rPr>
        <w:t>”.</w:t>
      </w:r>
    </w:p>
  </w:footnote>
  <w:footnote w:id="40">
    <w:p w14:paraId="33A69CB2" w14:textId="60E53D4A" w:rsidR="0080773E" w:rsidRPr="00104227" w:rsidRDefault="0080773E" w:rsidP="002755DF">
      <w:pPr>
        <w:tabs>
          <w:tab w:val="left" w:pos="426"/>
          <w:tab w:val="left" w:pos="567"/>
        </w:tabs>
        <w:spacing w:before="120" w:after="120"/>
        <w:rPr>
          <w:sz w:val="16"/>
          <w:szCs w:val="16"/>
          <w:lang w:bidi="en-US"/>
        </w:rPr>
      </w:pPr>
      <w:r w:rsidRPr="00104227">
        <w:rPr>
          <w:rStyle w:val="Refdenotaalpie"/>
        </w:rPr>
        <w:footnoteRef/>
      </w:r>
      <w:r w:rsidRPr="00104227">
        <w:rPr>
          <w:sz w:val="16"/>
          <w:szCs w:val="16"/>
        </w:rPr>
        <w:t xml:space="preserve"> </w:t>
      </w:r>
      <w:r w:rsidRPr="00104227">
        <w:rPr>
          <w:sz w:val="16"/>
          <w:szCs w:val="16"/>
        </w:rPr>
        <w:tab/>
      </w:r>
      <w:r w:rsidRPr="00104227">
        <w:rPr>
          <w:i/>
          <w:sz w:val="16"/>
          <w:szCs w:val="16"/>
        </w:rPr>
        <w:t>Cf.</w:t>
      </w:r>
      <w:r w:rsidRPr="00104227">
        <w:rPr>
          <w:sz w:val="16"/>
          <w:szCs w:val="16"/>
        </w:rPr>
        <w:t xml:space="preserve"> </w:t>
      </w:r>
      <w:r w:rsidRPr="00104227">
        <w:rPr>
          <w:rFonts w:cs="Verdana-Italic"/>
          <w:i/>
          <w:iCs/>
          <w:sz w:val="16"/>
          <w:szCs w:val="16"/>
          <w:lang w:bidi="en-US"/>
        </w:rPr>
        <w:t xml:space="preserve">Case of Myrna Mack Chang v. Guatemala. </w:t>
      </w:r>
      <w:r w:rsidRPr="00104227">
        <w:rPr>
          <w:sz w:val="16"/>
          <w:szCs w:val="16"/>
          <w:lang w:bidi="en-US"/>
        </w:rPr>
        <w:t>Judgment of November 25, 2003. Series C No. 101, para.</w:t>
      </w:r>
      <w:r w:rsidRPr="00104227">
        <w:rPr>
          <w:rFonts w:cs="Verdana-Italic"/>
          <w:i/>
          <w:iCs/>
          <w:sz w:val="16"/>
          <w:szCs w:val="16"/>
          <w:lang w:bidi="en-US"/>
        </w:rPr>
        <w:t xml:space="preserve"> </w:t>
      </w:r>
      <w:r w:rsidRPr="00104227">
        <w:rPr>
          <w:sz w:val="16"/>
          <w:szCs w:val="16"/>
          <w:lang w:bidi="en-US"/>
        </w:rPr>
        <w:t xml:space="preserve">105, and </w:t>
      </w:r>
      <w:r w:rsidRPr="00104227">
        <w:rPr>
          <w:i/>
          <w:sz w:val="16"/>
          <w:szCs w:val="16"/>
          <w:lang w:bidi="en-US"/>
        </w:rPr>
        <w:t xml:space="preserve">Case of Munárriz Escobar et al. v. Peru. Preliminary objection, merits, reparations and costs. </w:t>
      </w:r>
      <w:r w:rsidRPr="00104227">
        <w:rPr>
          <w:sz w:val="16"/>
          <w:szCs w:val="16"/>
          <w:lang w:bidi="en-US"/>
        </w:rPr>
        <w:t xml:space="preserve">Judgment of August 20, 2018. Series C No. 355, para. 24. </w:t>
      </w:r>
    </w:p>
  </w:footnote>
  <w:footnote w:id="41">
    <w:p w14:paraId="19D61E80" w14:textId="7451195E"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Case of Gelman v. Uruguay. Merits and reparations. </w:t>
      </w:r>
      <w:r w:rsidRPr="00104227">
        <w:rPr>
          <w:lang w:val="en-US"/>
        </w:rPr>
        <w:t xml:space="preserve">Judgment of February 24, 2011 Series C No.221, para. 28, and </w:t>
      </w:r>
      <w:r w:rsidRPr="00104227">
        <w:rPr>
          <w:i/>
          <w:lang w:val="en-US" w:bidi="en-US"/>
        </w:rPr>
        <w:t xml:space="preserve">Munárriz Escobar et al. v. Peru. Preliminary objection, merits, reparations and costs. </w:t>
      </w:r>
      <w:r w:rsidRPr="00104227">
        <w:rPr>
          <w:lang w:val="en-US" w:bidi="en-US"/>
        </w:rPr>
        <w:t xml:space="preserve">Judgment of August 20, 2018. Series C No. 355, para. 24. </w:t>
      </w:r>
    </w:p>
  </w:footnote>
  <w:footnote w:id="42">
    <w:p w14:paraId="465CD311" w14:textId="5B601D1F" w:rsidR="0080773E" w:rsidRPr="00104227" w:rsidRDefault="0080773E" w:rsidP="002755DF">
      <w:pPr>
        <w:pStyle w:val="Textonotapie"/>
        <w:tabs>
          <w:tab w:val="clear" w:pos="567"/>
          <w:tab w:val="left" w:pos="426"/>
        </w:tabs>
        <w:spacing w:before="120" w:after="120"/>
        <w:rPr>
          <w:iCs/>
          <w:lang w:val="en-US"/>
        </w:rPr>
      </w:pPr>
      <w:r w:rsidRPr="00104227">
        <w:rPr>
          <w:rStyle w:val="Refdenotaalpie"/>
          <w:lang w:val="en-US"/>
        </w:rPr>
        <w:footnoteRef/>
      </w:r>
      <w:r w:rsidRPr="00104227">
        <w:rPr>
          <w:lang w:val="en-US"/>
        </w:rPr>
        <w:t xml:space="preserve"> </w:t>
      </w:r>
      <w:r w:rsidRPr="00104227">
        <w:rPr>
          <w:lang w:val="en-US"/>
        </w:rPr>
        <w:tab/>
        <w:t xml:space="preserve">The acknowledgment of international responsibility made by the State before the Commission was in general terms, without specifying dates. As mentioned by the Commission in its Merits Report and as it appears in the corresponding briefs, the reference to March 14, 2013, as “the critical date” was used by the State as a reference for the start of the “evaluation of the appropriateness of the investigations as a measure of reparation.” The Court considers that the statements made by the State concerning its obligation to make reparation do not necessarily entail an acknowledgement of international responsibility for the deficiencies in the investigation up until that date. See, </w:t>
      </w:r>
      <w:r w:rsidRPr="00104227">
        <w:rPr>
          <w:i/>
          <w:lang w:val="en-US"/>
        </w:rPr>
        <w:t xml:space="preserve">inter alia, </w:t>
      </w:r>
      <w:r w:rsidRPr="00104227">
        <w:rPr>
          <w:iCs/>
          <w:lang w:val="en-US"/>
        </w:rPr>
        <w:t xml:space="preserve">video of the State’s intervention during the public hearing held before </w:t>
      </w:r>
      <w:r w:rsidRPr="00104227">
        <w:rPr>
          <w:lang w:val="en-US"/>
        </w:rPr>
        <w:t xml:space="preserve">the Inter-American Commission on March 14, 2013 (evidence file, folder of audiovisual material); communication of the State of April 8, 2013 (evidence file, folios 11618 and 11619); brief of the State of March 24, 2015 (evidence file, folio 11360); brief of the State of June 2, 2016 (evidence file, folio 11944), and Merits Report No. 74/15, paras. 9, 10, 58, 59 and 63 to 69 (merits file, folios 12 and 20 to 22). </w:t>
      </w:r>
    </w:p>
  </w:footnote>
  <w:footnote w:id="43">
    <w:p w14:paraId="721A0059" w14:textId="431BECB7" w:rsidR="0080773E" w:rsidRPr="00104227" w:rsidRDefault="0080773E" w:rsidP="002755DF">
      <w:pPr>
        <w:tabs>
          <w:tab w:val="left" w:pos="426"/>
          <w:tab w:val="left" w:pos="567"/>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r>
      <w:r w:rsidRPr="00104227">
        <w:rPr>
          <w:i/>
          <w:sz w:val="16"/>
          <w:szCs w:val="16"/>
        </w:rPr>
        <w:t>Cf. Case of Benavides Cevallos v. Ecuador. Merits, reparations and costs</w:t>
      </w:r>
      <w:r w:rsidRPr="00104227">
        <w:rPr>
          <w:sz w:val="16"/>
          <w:szCs w:val="16"/>
        </w:rPr>
        <w:t xml:space="preserve">. Judgment of June 19, 1998. Series C No. 38, para. 57, and </w:t>
      </w:r>
      <w:r w:rsidRPr="00104227">
        <w:rPr>
          <w:i/>
          <w:sz w:val="16"/>
          <w:szCs w:val="16"/>
        </w:rPr>
        <w:t xml:space="preserve">Case of Ramírez Escobar et al. v. Guatemala. Merits, reparations and costs. </w:t>
      </w:r>
      <w:r w:rsidRPr="00104227">
        <w:rPr>
          <w:sz w:val="16"/>
          <w:szCs w:val="16"/>
        </w:rPr>
        <w:t xml:space="preserve">Judgment of March 9, 2018. Series C No. 351, para. 34. </w:t>
      </w:r>
    </w:p>
  </w:footnote>
  <w:footnote w:id="44">
    <w:p w14:paraId="6A8C59FB" w14:textId="69920ACE" w:rsidR="0080773E" w:rsidRPr="00104227" w:rsidRDefault="0080773E" w:rsidP="002755DF">
      <w:pPr>
        <w:tabs>
          <w:tab w:val="left" w:pos="426"/>
          <w:tab w:val="left" w:pos="567"/>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r>
      <w:r w:rsidRPr="00104227">
        <w:rPr>
          <w:i/>
          <w:sz w:val="16"/>
          <w:szCs w:val="16"/>
        </w:rPr>
        <w:t>Cf.</w:t>
      </w:r>
      <w:r w:rsidRPr="00104227">
        <w:rPr>
          <w:b/>
          <w:i/>
          <w:sz w:val="16"/>
          <w:szCs w:val="16"/>
        </w:rPr>
        <w:t xml:space="preserve"> </w:t>
      </w:r>
      <w:r w:rsidRPr="00104227">
        <w:rPr>
          <w:bCs/>
          <w:i/>
          <w:sz w:val="16"/>
          <w:szCs w:val="16"/>
        </w:rPr>
        <w:t xml:space="preserve">Case of Manuel Cepeda Vargas v. Colombia, Preliminary objections, merits, reparations and costs. </w:t>
      </w:r>
      <w:r w:rsidRPr="00104227">
        <w:rPr>
          <w:bCs/>
          <w:sz w:val="16"/>
          <w:szCs w:val="16"/>
        </w:rPr>
        <w:t>Judgment of May 26, 2010. Series C No. 213</w:t>
      </w:r>
      <w:r w:rsidRPr="00104227">
        <w:rPr>
          <w:sz w:val="16"/>
          <w:szCs w:val="16"/>
        </w:rPr>
        <w:t xml:space="preserve">, para. 18, and </w:t>
      </w:r>
      <w:r w:rsidRPr="00104227">
        <w:rPr>
          <w:i/>
          <w:sz w:val="16"/>
          <w:szCs w:val="16"/>
        </w:rPr>
        <w:t xml:space="preserve">Case of Ramírez Escobar et al. v. Guatemala. Merits, reparations and costs. </w:t>
      </w:r>
      <w:r w:rsidRPr="00104227">
        <w:rPr>
          <w:sz w:val="16"/>
          <w:szCs w:val="16"/>
        </w:rPr>
        <w:t>Judgment of March 9, 2018. Series C No. 351, para. 34.</w:t>
      </w:r>
    </w:p>
  </w:footnote>
  <w:footnote w:id="45">
    <w:p w14:paraId="2564D192" w14:textId="6244E29C"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inter alia, Case of Torres Millacura et al. v. Argentina. Merits, reparations and costs.</w:t>
      </w:r>
      <w:r w:rsidRPr="00104227">
        <w:rPr>
          <w:lang w:val="en-US"/>
        </w:rPr>
        <w:t xml:space="preserve"> Judgment of August 26, 2011. Series C No. 229, para. 37, and </w:t>
      </w:r>
      <w:r w:rsidRPr="00104227">
        <w:rPr>
          <w:i/>
          <w:lang w:val="en-US"/>
        </w:rPr>
        <w:t xml:space="preserve">Case of López Soto et al. v. Venezuela. Merits, reparations and costs. </w:t>
      </w:r>
      <w:r w:rsidRPr="00104227">
        <w:rPr>
          <w:lang w:val="en-US"/>
        </w:rPr>
        <w:t xml:space="preserve">Judgment of September 26, 2018. Series C No. 362, para. 39. </w:t>
      </w:r>
    </w:p>
  </w:footnote>
  <w:footnote w:id="46">
    <w:p w14:paraId="27C88A49" w14:textId="41B0CDB1"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rStyle w:val="Textoennegrita"/>
          <w:b w:val="0"/>
          <w:i/>
          <w:color w:val="000000"/>
          <w:lang w:val="en-US"/>
        </w:rPr>
        <w:t>Case of Rodríguez Vera et al. (Disappeared from the Palace of Justice) v. Colombia. Preliminary objections, merits, reparations and costs.</w:t>
      </w:r>
      <w:r w:rsidRPr="00104227">
        <w:rPr>
          <w:rStyle w:val="Textoennegrita"/>
          <w:b w:val="0"/>
          <w:color w:val="000000"/>
          <w:lang w:val="en-US"/>
        </w:rPr>
        <w:t xml:space="preserve"> Judgment of November 14, 2014. Series C No. 287, para. 27, and </w:t>
      </w:r>
      <w:r w:rsidRPr="00104227">
        <w:rPr>
          <w:i/>
          <w:lang w:val="en-US"/>
        </w:rPr>
        <w:t xml:space="preserve">Case of Ramírez Escobar et al. v. Guatemala. Merits, reparations and costs. </w:t>
      </w:r>
      <w:r w:rsidRPr="00104227">
        <w:rPr>
          <w:lang w:val="en-US"/>
        </w:rPr>
        <w:t>Judgment of March 9, 2018. Series C No. 351, para. 35.</w:t>
      </w:r>
    </w:p>
  </w:footnote>
  <w:footnote w:id="47">
    <w:p w14:paraId="536DC77E" w14:textId="06972539" w:rsidR="0080773E" w:rsidRPr="00104227" w:rsidRDefault="0080773E" w:rsidP="002755DF">
      <w:pPr>
        <w:pStyle w:val="Footnotes"/>
        <w:tabs>
          <w:tab w:val="clear" w:pos="567"/>
          <w:tab w:val="left" w:pos="426"/>
        </w:tabs>
        <w:spacing w:before="120" w:after="120"/>
        <w:rPr>
          <w:rFonts w:cs="Times New Roman"/>
          <w:spacing w:val="0"/>
          <w:lang w:val="en-US"/>
        </w:rPr>
      </w:pPr>
      <w:r w:rsidRPr="00104227">
        <w:rPr>
          <w:rStyle w:val="Refdenotaalpie"/>
          <w:rFonts w:cs="Times New Roman"/>
          <w:spacing w:val="0"/>
          <w:lang w:val="en-US"/>
        </w:rPr>
        <w:footnoteRef/>
      </w:r>
      <w:r w:rsidRPr="00104227">
        <w:rPr>
          <w:spacing w:val="0"/>
          <w:vertAlign w:val="superscript"/>
          <w:lang w:val="en-US"/>
        </w:rPr>
        <w:t xml:space="preserve"> </w:t>
      </w:r>
      <w:r w:rsidRPr="00104227">
        <w:rPr>
          <w:spacing w:val="0"/>
          <w:vertAlign w:val="superscript"/>
          <w:lang w:val="en-US"/>
        </w:rPr>
        <w:tab/>
      </w:r>
      <w:r w:rsidRPr="00104227">
        <w:rPr>
          <w:i/>
          <w:spacing w:val="0"/>
          <w:lang w:val="en-US"/>
        </w:rPr>
        <w:t>Cf. Case of the “Five Pensioners” v. Peru. Merits, reparations and costs.</w:t>
      </w:r>
      <w:r w:rsidRPr="00104227">
        <w:rPr>
          <w:spacing w:val="0"/>
          <w:lang w:val="en-US"/>
        </w:rPr>
        <w:t xml:space="preserve"> Judgment of February 28, 2003. Series C No. 98, para. 153, and </w:t>
      </w:r>
      <w:r w:rsidRPr="00104227">
        <w:rPr>
          <w:i/>
          <w:color w:val="000000"/>
          <w:spacing w:val="0"/>
          <w:lang w:val="en-US"/>
        </w:rPr>
        <w:t xml:space="preserve">Case of Cuscul Pivaral et al. v. Guatemala. Preliminary objection, merits, reparations and costs. </w:t>
      </w:r>
      <w:r w:rsidRPr="00104227">
        <w:rPr>
          <w:color w:val="000000"/>
          <w:spacing w:val="0"/>
          <w:lang w:val="en-US"/>
        </w:rPr>
        <w:t>Judgment of August 23, 2018. Series C No. 359, para. 152.</w:t>
      </w:r>
    </w:p>
  </w:footnote>
  <w:footnote w:id="48">
    <w:p w14:paraId="358B16B9" w14:textId="5CA0EF68" w:rsidR="0080773E" w:rsidRPr="00104227" w:rsidRDefault="0080773E" w:rsidP="002755DF">
      <w:pPr>
        <w:pStyle w:val="Footnotes"/>
        <w:tabs>
          <w:tab w:val="clear" w:pos="567"/>
          <w:tab w:val="left" w:pos="426"/>
        </w:tabs>
        <w:spacing w:before="120" w:after="120"/>
        <w:rPr>
          <w:spacing w:val="0"/>
          <w:lang w:val="en-US"/>
        </w:rPr>
      </w:pPr>
      <w:r w:rsidRPr="00104227">
        <w:rPr>
          <w:rStyle w:val="Refdenotaalpie"/>
          <w:spacing w:val="0"/>
          <w:lang w:val="en-US"/>
        </w:rPr>
        <w:footnoteRef/>
      </w:r>
      <w:r w:rsidRPr="00104227">
        <w:rPr>
          <w:spacing w:val="0"/>
          <w:lang w:val="en-US"/>
        </w:rPr>
        <w:tab/>
      </w:r>
      <w:r w:rsidRPr="00104227">
        <w:rPr>
          <w:i/>
          <w:spacing w:val="0"/>
          <w:lang w:val="en-US"/>
        </w:rPr>
        <w:t>Cf. Case of the Mapiripán Massacre v. Colombia. Merits, reparations and costs.</w:t>
      </w:r>
      <w:r w:rsidRPr="00104227">
        <w:rPr>
          <w:spacing w:val="0"/>
          <w:lang w:val="en-US"/>
        </w:rPr>
        <w:t xml:space="preserve"> Judgment of September 15, 2005. Series C No. 134, para. 58, and </w:t>
      </w:r>
      <w:r w:rsidRPr="00104227">
        <w:rPr>
          <w:i/>
          <w:spacing w:val="0"/>
          <w:lang w:val="en-US"/>
        </w:rPr>
        <w:t xml:space="preserve">Case of </w:t>
      </w:r>
      <w:r w:rsidRPr="00104227">
        <w:rPr>
          <w:i/>
          <w:color w:val="000000"/>
          <w:spacing w:val="0"/>
          <w:lang w:val="en-US"/>
        </w:rPr>
        <w:t xml:space="preserve">Cuscul Pivaral et al. v. Guatemala. Preliminary objection, merits, reparations and costs. </w:t>
      </w:r>
      <w:r w:rsidRPr="00104227">
        <w:rPr>
          <w:color w:val="000000"/>
          <w:spacing w:val="0"/>
          <w:lang w:val="en-US"/>
        </w:rPr>
        <w:t>Judgment of August 23, 2018. Series C No. 359, para. 152</w:t>
      </w:r>
      <w:r w:rsidRPr="00104227">
        <w:rPr>
          <w:spacing w:val="0"/>
          <w:lang w:val="en-US"/>
        </w:rPr>
        <w:t>.</w:t>
      </w:r>
    </w:p>
  </w:footnote>
  <w:footnote w:id="49">
    <w:p w14:paraId="33F38AE7" w14:textId="6891FC66" w:rsidR="0080773E" w:rsidRPr="00104227" w:rsidRDefault="0080773E" w:rsidP="001A4ECA">
      <w:pPr>
        <w:pStyle w:val="Textonotapie"/>
        <w:tabs>
          <w:tab w:val="clear" w:pos="567"/>
          <w:tab w:val="left" w:pos="450"/>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Birth certificate of Bertha Rosales Gutiérrez</w:t>
      </w:r>
      <w:r w:rsidRPr="00104227">
        <w:rPr>
          <w:rFonts w:eastAsia="Batang" w:cs="Times New Roman"/>
          <w:lang w:val="en-US" w:eastAsia="es-MX"/>
          <w14:scene3d>
            <w14:camera w14:prst="orthographicFront"/>
            <w14:lightRig w14:rig="threePt" w14:dir="t">
              <w14:rot w14:lat="0" w14:lon="0" w14:rev="0"/>
            </w14:lightRig>
          </w14:scene3d>
        </w:rPr>
        <w:t xml:space="preserve"> (evidence file, folio 14180).</w:t>
      </w:r>
    </w:p>
  </w:footnote>
  <w:footnote w:id="50">
    <w:p w14:paraId="212495A3" w14:textId="02AF69AD"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The representatives’ brief with observations on the merits in the procedure before the Commission of March 6, 2013 (evidence file, folio 14264).</w:t>
      </w:r>
    </w:p>
  </w:footnote>
  <w:footnote w:id="51">
    <w:p w14:paraId="138D6044" w14:textId="26621DB0"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the Dismissed PetroPeru Workers et al. v. Peru. Preliminary objections, merits, reparations and costs.</w:t>
      </w:r>
      <w:r w:rsidRPr="00104227">
        <w:rPr>
          <w:lang w:val="en-US"/>
        </w:rPr>
        <w:t xml:space="preserve"> Judgment of November 23, 2017. Series C No. 344, paras. 53 and 55. </w:t>
      </w:r>
    </w:p>
  </w:footnote>
  <w:footnote w:id="52">
    <w:p w14:paraId="31B2C035" w14:textId="447F09AD" w:rsidR="0080773E" w:rsidRPr="00104227" w:rsidRDefault="0080773E" w:rsidP="002755DF">
      <w:pPr>
        <w:tabs>
          <w:tab w:val="left" w:pos="426"/>
        </w:tabs>
        <w:autoSpaceDE w:val="0"/>
        <w:autoSpaceDN w:val="0"/>
        <w:adjustRightInd w:val="0"/>
        <w:spacing w:before="120" w:after="120"/>
        <w:rPr>
          <w:rFonts w:cs="Times New Roman"/>
          <w:sz w:val="16"/>
          <w:szCs w:val="16"/>
        </w:rPr>
      </w:pPr>
      <w:r w:rsidRPr="00104227">
        <w:rPr>
          <w:rStyle w:val="Refdenotaalpie"/>
        </w:rPr>
        <w:footnoteRef/>
      </w:r>
      <w:r w:rsidRPr="00104227">
        <w:rPr>
          <w:sz w:val="16"/>
          <w:szCs w:val="16"/>
        </w:rPr>
        <w:t xml:space="preserve"> </w:t>
      </w:r>
      <w:r w:rsidRPr="00104227">
        <w:rPr>
          <w:sz w:val="16"/>
          <w:szCs w:val="16"/>
        </w:rPr>
        <w:tab/>
        <w:t>Specifically, the representatives asked that the following annexes to the State’s final written arguments be excluded: Annex 1 (videos of the events that occurred on May 3 and 4, 2006, in San Salvador Atenco</w:t>
      </w:r>
      <w:r w:rsidRPr="00104227">
        <w:rPr>
          <w:rFonts w:cs="Cambria"/>
          <w:sz w:val="16"/>
          <w:szCs w:val="16"/>
        </w:rPr>
        <w:t xml:space="preserve">), </w:t>
      </w:r>
      <w:r w:rsidRPr="00104227">
        <w:rPr>
          <w:sz w:val="16"/>
          <w:szCs w:val="16"/>
        </w:rPr>
        <w:t>Annex 2 (</w:t>
      </w:r>
      <w:r w:rsidRPr="00104227">
        <w:rPr>
          <w:rFonts w:cs="Cambria"/>
          <w:sz w:val="16"/>
          <w:szCs w:val="16"/>
        </w:rPr>
        <w:t xml:space="preserve">copy of criminal case 79/2006 opened against Ana María Velasco Rodríguez for the offense of lewd conduct) </w:t>
      </w:r>
      <w:r w:rsidRPr="00104227">
        <w:rPr>
          <w:sz w:val="16"/>
          <w:szCs w:val="16"/>
        </w:rPr>
        <w:t>and Annex 5(2) (brief filed by the victims in the context of criminal cases 55/2013 and 166/2014).</w:t>
      </w:r>
    </w:p>
  </w:footnote>
  <w:footnote w:id="53">
    <w:p w14:paraId="3184913D" w14:textId="03F85A1C"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Regarding Annex 1, the representatives argued that, although the State indicated that it had been forwarded in answer to questions posed by the judges regarding the number of police agents and protestors, “the videos do not help determine the total number of police agents and protestors that were present, [and] the State [would appear to be] trying  […] to justify submitting extracts of videos that show moments in which the protestors committed wrongful and/or violent acts,” while those scenes “cannot be considered to show the actions of all the protestors.” They indicated that the fact that some groups of protestors committed wrongful and/or violent acts was not in dispute, but this was documented in evidence that had already been incorporated into the body of evidence in the case, and the videos provided by the State “tend to distort rather than clarify certain aspects of the operation.” </w:t>
      </w:r>
    </w:p>
  </w:footnote>
  <w:footnote w:id="54">
    <w:p w14:paraId="45C49EC9" w14:textId="5C7638A2"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bCs/>
          <w:i/>
          <w:lang w:val="en-US"/>
        </w:rPr>
        <w:t xml:space="preserve">Case of Selvas Gómez et al. v. Mexico. Call to a hearing. </w:t>
      </w:r>
      <w:r w:rsidRPr="00104227">
        <w:rPr>
          <w:bCs/>
          <w:lang w:val="en-US"/>
        </w:rPr>
        <w:t xml:space="preserve">Order of the President of the Inter-American Court of Human Rights of October 18, 2017, eighth operative paragraph. </w:t>
      </w:r>
    </w:p>
  </w:footnote>
  <w:footnote w:id="55">
    <w:p w14:paraId="230C65C1" w14:textId="6DE7FF78" w:rsidR="0080773E" w:rsidRPr="00104227" w:rsidRDefault="0080773E" w:rsidP="002755DF">
      <w:pPr>
        <w:pStyle w:val="Textonotapie"/>
        <w:tabs>
          <w:tab w:val="left" w:pos="426"/>
        </w:tabs>
        <w:spacing w:before="120" w:after="120"/>
        <w:rPr>
          <w:b/>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w:t>
      </w:r>
      <w:r w:rsidRPr="00104227">
        <w:rPr>
          <w:i/>
          <w:lang w:val="en-US"/>
        </w:rPr>
        <w:t xml:space="preserve">Case of </w:t>
      </w:r>
      <w:r w:rsidRPr="00104227">
        <w:rPr>
          <w:bCs/>
          <w:i/>
          <w:lang w:val="en-US"/>
        </w:rPr>
        <w:t>Tenorio Roca et al. v. Peru</w:t>
      </w:r>
      <w:r w:rsidRPr="00104227">
        <w:rPr>
          <w:bCs/>
          <w:lang w:val="en-US"/>
        </w:rPr>
        <w:t xml:space="preserve">. </w:t>
      </w:r>
      <w:r w:rsidRPr="00104227">
        <w:rPr>
          <w:bCs/>
          <w:i/>
          <w:lang w:val="en-US"/>
        </w:rPr>
        <w:t xml:space="preserve">Preliminary objections, merits, reparations and costs. </w:t>
      </w:r>
      <w:r w:rsidRPr="00104227">
        <w:rPr>
          <w:bCs/>
          <w:lang w:val="en-US"/>
        </w:rPr>
        <w:t xml:space="preserve">Judgment of June 22, </w:t>
      </w:r>
      <w:r w:rsidRPr="00104227">
        <w:rPr>
          <w:lang w:val="en-US"/>
        </w:rPr>
        <w:t>2016</w:t>
      </w:r>
      <w:r w:rsidRPr="00104227">
        <w:rPr>
          <w:bCs/>
          <w:lang w:val="en-US"/>
        </w:rPr>
        <w:t xml:space="preserve">. Series C No. 314, para. 41, and </w:t>
      </w:r>
      <w:r w:rsidRPr="00104227">
        <w:rPr>
          <w:rStyle w:val="Textoennegrita"/>
          <w:b w:val="0"/>
          <w:i/>
          <w:color w:val="000000"/>
          <w:lang w:val="en-US"/>
        </w:rPr>
        <w:t>Case of Vereda La Esperanza v. Colombia</w:t>
      </w:r>
      <w:r w:rsidRPr="00104227">
        <w:rPr>
          <w:i/>
          <w:lang w:val="en-US"/>
        </w:rPr>
        <w:t xml:space="preserve">. </w:t>
      </w:r>
      <w:r w:rsidRPr="00104227">
        <w:rPr>
          <w:rStyle w:val="Textoennegrita"/>
          <w:b w:val="0"/>
          <w:i/>
          <w:color w:val="000000"/>
          <w:shd w:val="clear" w:color="auto" w:fill="FFFFFF"/>
          <w:lang w:val="en-US"/>
        </w:rPr>
        <w:t>Preliminary objections, merits, reparations and costs.</w:t>
      </w:r>
      <w:r w:rsidRPr="00104227">
        <w:rPr>
          <w:rStyle w:val="Textoennegrita"/>
          <w:b w:val="0"/>
          <w:color w:val="000000"/>
          <w:shd w:val="clear" w:color="auto" w:fill="FFFFFF"/>
          <w:lang w:val="en-US"/>
        </w:rPr>
        <w:t xml:space="preserve"> Judgment of August 31, 2017. Series C No. 341</w:t>
      </w:r>
      <w:r w:rsidRPr="00104227">
        <w:rPr>
          <w:lang w:val="en-US"/>
        </w:rPr>
        <w:t>,</w:t>
      </w:r>
      <w:r w:rsidRPr="00104227">
        <w:rPr>
          <w:rStyle w:val="Textoennegrita"/>
          <w:b w:val="0"/>
          <w:color w:val="000000"/>
          <w:lang w:val="en-US"/>
        </w:rPr>
        <w:t xml:space="preserve"> para. 47</w:t>
      </w:r>
      <w:r w:rsidRPr="00104227">
        <w:rPr>
          <w:rStyle w:val="Textoennegrita"/>
          <w:b w:val="0"/>
          <w:i/>
          <w:color w:val="000000"/>
          <w:lang w:val="en-US"/>
        </w:rPr>
        <w:t>.</w:t>
      </w:r>
    </w:p>
  </w:footnote>
  <w:footnote w:id="56">
    <w:p w14:paraId="2DA863B2" w14:textId="57781106"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At the public hearing, the Court received the statement of the victims,</w:t>
      </w:r>
      <w:r w:rsidRPr="00104227">
        <w:rPr>
          <w:bCs/>
          <w:lang w:val="en-US" w:eastAsia="es-CR"/>
        </w:rPr>
        <w:t xml:space="preserve"> </w:t>
      </w:r>
      <w:r w:rsidRPr="00104227">
        <w:rPr>
          <w:rFonts w:cs="Arial"/>
          <w:bCs/>
          <w:lang w:val="en-US"/>
        </w:rPr>
        <w:t>Norma Aidé Jiménez Osorio</w:t>
      </w:r>
      <w:r w:rsidRPr="00104227">
        <w:rPr>
          <w:bCs/>
          <w:lang w:val="en-US" w:eastAsia="es-CR"/>
        </w:rPr>
        <w:t>,</w:t>
      </w:r>
      <w:r w:rsidRPr="00104227">
        <w:rPr>
          <w:b/>
          <w:bCs/>
          <w:lang w:val="en-US" w:eastAsia="es-CR"/>
        </w:rPr>
        <w:t xml:space="preserve"> </w:t>
      </w:r>
      <w:r w:rsidRPr="00104227">
        <w:rPr>
          <w:rFonts w:cs="Arial"/>
          <w:bCs/>
          <w:lang w:val="en-US"/>
        </w:rPr>
        <w:t>Claudia Hernández Martínez, Bárbara Italia Méndez Moreno, Angélica Patricia Torres Linares and Suhelen Gabriela Cuevas Jaramillo,</w:t>
      </w:r>
      <w:r w:rsidRPr="00104227">
        <w:rPr>
          <w:bCs/>
          <w:lang w:val="en-US" w:eastAsia="es-CR"/>
        </w:rPr>
        <w:t xml:space="preserve"> as well as the deponent for information purposes, </w:t>
      </w:r>
      <w:r w:rsidRPr="00104227">
        <w:rPr>
          <w:rFonts w:eastAsia="Calibri"/>
          <w:iCs/>
          <w:lang w:val="en-US"/>
        </w:rPr>
        <w:t>Ernesto López Portillo,</w:t>
      </w:r>
      <w:r w:rsidRPr="00104227">
        <w:rPr>
          <w:bCs/>
          <w:lang w:val="en-US" w:eastAsia="es-CR"/>
        </w:rPr>
        <w:t xml:space="preserve"> and the expert opinion of </w:t>
      </w:r>
      <w:r w:rsidRPr="00104227">
        <w:rPr>
          <w:bCs/>
          <w:iCs/>
          <w:lang w:val="en-US"/>
        </w:rPr>
        <w:t>Julissa Mantilla</w:t>
      </w:r>
      <w:r w:rsidRPr="00104227">
        <w:rPr>
          <w:lang w:val="en-US"/>
        </w:rPr>
        <w:t>. The Court also received written versions of the last two statements.</w:t>
      </w:r>
    </w:p>
  </w:footnote>
  <w:footnote w:id="57">
    <w:p w14:paraId="3005818D" w14:textId="664DE00C"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The Court received affidavits from the presumed victims, </w:t>
      </w:r>
      <w:r w:rsidRPr="00104227">
        <w:rPr>
          <w:rFonts w:cs="Arial"/>
          <w:bCs/>
          <w:lang w:val="en-US"/>
        </w:rPr>
        <w:t>María Patricia Romero Hernández</w:t>
      </w:r>
      <w:r w:rsidRPr="00104227">
        <w:rPr>
          <w:lang w:val="en-US"/>
        </w:rPr>
        <w:t xml:space="preserve">, </w:t>
      </w:r>
      <w:r w:rsidRPr="00104227">
        <w:rPr>
          <w:rFonts w:cs="Arial"/>
          <w:bCs/>
          <w:lang w:val="en-US"/>
        </w:rPr>
        <w:t>Georgina Edith Rosales Gutiérrez</w:t>
      </w:r>
      <w:r w:rsidRPr="00104227">
        <w:rPr>
          <w:rFonts w:cs="Arial Narrow"/>
          <w:lang w:val="en-US" w:eastAsia="es-CR"/>
        </w:rPr>
        <w:t xml:space="preserve">, </w:t>
      </w:r>
      <w:r w:rsidRPr="00104227">
        <w:rPr>
          <w:bCs/>
          <w:iCs/>
          <w:lang w:val="en-US"/>
        </w:rPr>
        <w:t>Mariana Selvas Gómez</w:t>
      </w:r>
      <w:r w:rsidRPr="00104227">
        <w:rPr>
          <w:rFonts w:cs="Arial Narrow"/>
          <w:lang w:val="en-US" w:eastAsia="es-CR"/>
        </w:rPr>
        <w:t xml:space="preserve">, </w:t>
      </w:r>
      <w:r w:rsidRPr="00104227">
        <w:rPr>
          <w:bCs/>
          <w:iCs/>
          <w:lang w:val="en-US"/>
        </w:rPr>
        <w:t>Ana María Velasco Rodríguez</w:t>
      </w:r>
      <w:r w:rsidRPr="00104227">
        <w:rPr>
          <w:rFonts w:cs="Arial Narrow"/>
          <w:lang w:val="en-US" w:eastAsia="es-CR"/>
        </w:rPr>
        <w:t xml:space="preserve">, </w:t>
      </w:r>
      <w:r w:rsidRPr="00104227">
        <w:rPr>
          <w:bCs/>
          <w:iCs/>
          <w:lang w:val="en-US"/>
        </w:rPr>
        <w:t>Yolanda Muñoz Diosdada</w:t>
      </w:r>
      <w:r w:rsidRPr="00104227">
        <w:rPr>
          <w:rFonts w:cs="Arial Narrow"/>
          <w:lang w:val="en-US" w:eastAsia="es-CR"/>
        </w:rPr>
        <w:t xml:space="preserve"> and </w:t>
      </w:r>
      <w:r w:rsidRPr="00104227">
        <w:rPr>
          <w:bCs/>
          <w:iCs/>
          <w:lang w:val="en-US"/>
        </w:rPr>
        <w:t>Cristina Sánchez Hernández</w:t>
      </w:r>
      <w:r w:rsidRPr="00104227">
        <w:rPr>
          <w:lang w:val="en-US"/>
        </w:rPr>
        <w:t xml:space="preserve">, and with the expert opinions of </w:t>
      </w:r>
      <w:r w:rsidRPr="00104227">
        <w:rPr>
          <w:bCs/>
          <w:iCs/>
          <w:lang w:val="en-US"/>
        </w:rPr>
        <w:t>Regina Tames</w:t>
      </w:r>
      <w:r w:rsidRPr="00104227">
        <w:rPr>
          <w:lang w:val="en-US"/>
        </w:rPr>
        <w:t>,</w:t>
      </w:r>
      <w:r w:rsidRPr="00104227">
        <w:rPr>
          <w:vertAlign w:val="superscript"/>
          <w:lang w:val="en-US"/>
        </w:rPr>
        <w:t xml:space="preserve"> </w:t>
      </w:r>
      <w:r w:rsidRPr="00104227">
        <w:rPr>
          <w:bCs/>
          <w:iCs/>
          <w:lang w:val="en-US"/>
        </w:rPr>
        <w:t xml:space="preserve">Duarte Nuno Pessoa Vieira, </w:t>
      </w:r>
      <w:r w:rsidRPr="00104227">
        <w:rPr>
          <w:rFonts w:cs="Arial"/>
          <w:bCs/>
          <w:lang w:val="en-US"/>
        </w:rPr>
        <w:t>Ximena Antillón, Rob Varenik, Susana SáCouto, Maina Kiai and Daniela Kravetz.</w:t>
      </w:r>
    </w:p>
  </w:footnote>
  <w:footnote w:id="58">
    <w:p w14:paraId="75BF5450" w14:textId="142DBEB7"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The Word “Laws” in Article 30 of the American Convention on Human Rights</w:t>
      </w:r>
      <w:r w:rsidRPr="00104227">
        <w:rPr>
          <w:lang w:val="en-US"/>
        </w:rPr>
        <w:t xml:space="preserve">. Advisory Opinion OC-6/86 of May 9, 1986. Series A No. 6, para. 34, and </w:t>
      </w:r>
      <w:r w:rsidRPr="00104227">
        <w:rPr>
          <w:i/>
          <w:lang w:val="en-US"/>
        </w:rPr>
        <w:t xml:space="preserve">Case of López Lone et al. v. Honduras. Preliminary objection, merits, reparations and costs. </w:t>
      </w:r>
      <w:r w:rsidRPr="00104227">
        <w:rPr>
          <w:lang w:val="en-US"/>
        </w:rPr>
        <w:t>Judgment of October 5, 2015. Series C No. 302, para. 149</w:t>
      </w:r>
      <w:r w:rsidRPr="00104227">
        <w:rPr>
          <w:rStyle w:val="Textoennegrita"/>
          <w:b w:val="0"/>
          <w:bCs w:val="0"/>
          <w:i/>
          <w:lang w:val="en-US"/>
        </w:rPr>
        <w:t>.</w:t>
      </w:r>
    </w:p>
  </w:footnote>
  <w:footnote w:id="59">
    <w:p w14:paraId="6D603D6A" w14:textId="1A2D4990" w:rsidR="0080773E" w:rsidRPr="00104227" w:rsidRDefault="0080773E" w:rsidP="001400D9">
      <w:pPr>
        <w:pStyle w:val="NormalWeb"/>
        <w:widowControl w:val="0"/>
        <w:spacing w:before="0" w:after="0"/>
        <w:rPr>
          <w:rFonts w:ascii="Verdana" w:hAnsi="Verdana" w:cs="Times New Roman"/>
          <w:b w:val="0"/>
          <w:bCs w:val="0"/>
          <w:color w:val="auto"/>
          <w:sz w:val="16"/>
          <w:szCs w:val="16"/>
          <w:lang w:val="en-US"/>
        </w:rPr>
      </w:pPr>
      <w:r w:rsidRPr="00104227">
        <w:rPr>
          <w:rStyle w:val="Refdenotaalpie"/>
          <w:b w:val="0"/>
          <w:bCs w:val="0"/>
          <w:color w:val="auto"/>
          <w:lang w:val="en-US"/>
        </w:rPr>
        <w:footnoteRef/>
      </w:r>
      <w:r w:rsidRPr="00104227">
        <w:rPr>
          <w:rFonts w:ascii="Verdana" w:hAnsi="Verdana"/>
          <w:b w:val="0"/>
          <w:bCs w:val="0"/>
          <w:color w:val="auto"/>
          <w:sz w:val="16"/>
          <w:szCs w:val="16"/>
          <w:lang w:val="en-US"/>
        </w:rPr>
        <w:t xml:space="preserve"> </w:t>
      </w:r>
      <w:r w:rsidRPr="00104227">
        <w:rPr>
          <w:rFonts w:ascii="Verdana" w:hAnsi="Verdana"/>
          <w:b w:val="0"/>
          <w:bCs w:val="0"/>
          <w:color w:val="auto"/>
          <w:sz w:val="16"/>
          <w:szCs w:val="16"/>
          <w:lang w:val="en-US"/>
        </w:rPr>
        <w:tab/>
        <w:t>Article 2(b) of the Charter of the Organization of American States</w:t>
      </w:r>
      <w:r w:rsidRPr="00104227">
        <w:rPr>
          <w:rStyle w:val="Textoennegrita"/>
          <w:rFonts w:ascii="Verdana" w:hAnsi="Verdana"/>
          <w:i/>
          <w:color w:val="auto"/>
          <w:sz w:val="16"/>
          <w:szCs w:val="16"/>
          <w:lang w:val="en-US"/>
        </w:rPr>
        <w:t xml:space="preserve">. </w:t>
      </w:r>
      <w:r w:rsidRPr="00104227">
        <w:rPr>
          <w:rFonts w:ascii="Verdana" w:hAnsi="Verdana"/>
          <w:b w:val="0"/>
          <w:bCs w:val="0"/>
          <w:color w:val="auto"/>
          <w:sz w:val="16"/>
          <w:szCs w:val="16"/>
          <w:lang w:val="en-US"/>
        </w:rPr>
        <w:t>Under the inter-American system, the relationship between human rights, representative democracy and political rights, in particular, is reflected in the Inter-American Democratic Charter, adopted in the first plenary session on September 11, 2001, during the Twenty-eighth OAS General Assembly. Articles 1, 2 and 3 of this instrument indicate: “</w:t>
      </w:r>
      <w:r w:rsidRPr="00104227">
        <w:rPr>
          <w:rFonts w:ascii="Verdana" w:hAnsi="Verdana" w:cs="Times New Roman"/>
          <w:b w:val="0"/>
          <w:bCs w:val="0"/>
          <w:color w:val="auto"/>
          <w:sz w:val="16"/>
          <w:szCs w:val="16"/>
          <w:lang w:val="en-US"/>
        </w:rPr>
        <w:t xml:space="preserve">Article 1: The peoples of the Americas have a right to democracy and their governments have an obligation to promote and defend it. Democracy is essential for the social, political, and economic development of the peoples of the Americas. Article 2: The effective exercise of representative democracy is the basis for the rule of law and of the constitutional regimes of the member states of the Organization of American States. Representative democracy is strengthened and deepened by permanent, ethical, and responsible participation of the citizenry within a legal framework conforming to the respective constitutional order. Article 3: Essential elements of representative democracy include, </w:t>
      </w:r>
      <w:r w:rsidRPr="00104227">
        <w:rPr>
          <w:rFonts w:ascii="Verdana" w:hAnsi="Verdana" w:cs="Times New Roman"/>
          <w:b w:val="0"/>
          <w:bCs w:val="0"/>
          <w:i/>
          <w:iCs/>
          <w:color w:val="auto"/>
          <w:sz w:val="16"/>
          <w:szCs w:val="16"/>
          <w:lang w:val="en-US"/>
        </w:rPr>
        <w:t>inter alia</w:t>
      </w:r>
      <w:r w:rsidRPr="00104227">
        <w:rPr>
          <w:rFonts w:ascii="Verdana" w:hAnsi="Verdana" w:cs="Times New Roman"/>
          <w:b w:val="0"/>
          <w:bCs w:val="0"/>
          <w:color w:val="auto"/>
          <w:sz w:val="16"/>
          <w:szCs w:val="16"/>
          <w:lang w:val="en-US"/>
        </w:rPr>
        <w:t>, respect for human rights and fundamental freedoms, access to and the exercise of power in accordance with the rule of law, the holding of periodic, free, and fair elections based on secret balloting and universal suffrage as an expression of the sovereignty of the people, the pluralistic system of political parties and organizations, and the separation of powers and independence of the branches of government.”</w:t>
      </w:r>
    </w:p>
  </w:footnote>
  <w:footnote w:id="60">
    <w:p w14:paraId="71E5DBC4" w14:textId="62DF11EE"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 Cf. Case of Garrido and Baigorria v. Argentina. Reparations and costs</w:t>
      </w:r>
      <w:r w:rsidRPr="00104227">
        <w:rPr>
          <w:lang w:val="en-US"/>
        </w:rPr>
        <w:t xml:space="preserve">. Judgment of August 27, 1998. Series C No. 39, para. 46, and </w:t>
      </w:r>
      <w:r w:rsidRPr="00104227">
        <w:rPr>
          <w:i/>
          <w:lang w:val="en-US"/>
        </w:rPr>
        <w:t xml:space="preserve">Case of Garibaldi v. Brazil. Preliminary objections, merits, reparations and costs. </w:t>
      </w:r>
      <w:r w:rsidRPr="00104227">
        <w:rPr>
          <w:lang w:val="en-US"/>
        </w:rPr>
        <w:t xml:space="preserve">Judgment of September 23, 2009. Series C No. 203, para. 146. </w:t>
      </w:r>
    </w:p>
  </w:footnote>
  <w:footnote w:id="61">
    <w:p w14:paraId="021DF6EE" w14:textId="228DEAB6"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 </w:t>
      </w:r>
      <w:r w:rsidRPr="00104227">
        <w:rPr>
          <w:i/>
          <w:lang w:val="en-US"/>
        </w:rPr>
        <w:t xml:space="preserve">The Right to Information on Consular Assistance within the Framework of the Guarantees of Due Process of Law. </w:t>
      </w:r>
      <w:r w:rsidRPr="00104227">
        <w:rPr>
          <w:lang w:val="en-US"/>
        </w:rPr>
        <w:t xml:space="preserve">Advisory Opinion OC-16/99 of October 1, 1999. Series A No. 16, para. 140, and </w:t>
      </w:r>
      <w:r w:rsidRPr="00104227">
        <w:rPr>
          <w:i/>
          <w:lang w:val="en-US"/>
        </w:rPr>
        <w:t xml:space="preserve">Case of Garibaldi v. Brazil. Preliminary objections, merits, reparations and costs. </w:t>
      </w:r>
      <w:r w:rsidRPr="00104227">
        <w:rPr>
          <w:lang w:val="en-US"/>
        </w:rPr>
        <w:t>Judgment of September 23, 2009. Series C No. 203, para. 146.</w:t>
      </w:r>
    </w:p>
  </w:footnote>
  <w:footnote w:id="62">
    <w:p w14:paraId="4238F6AC" w14:textId="60FD6D92"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 </w:t>
      </w:r>
      <w:r w:rsidRPr="00104227">
        <w:rPr>
          <w:i/>
          <w:lang w:val="en-US"/>
        </w:rPr>
        <w:t xml:space="preserve">Cf. Case of Escher et al. v. Brazil. Preliminary objections, merits, reparations and costs. </w:t>
      </w:r>
      <w:r w:rsidRPr="00104227">
        <w:rPr>
          <w:lang w:val="en-US"/>
        </w:rPr>
        <w:t xml:space="preserve">Judgment of July 6, 2009. Series C No. 200, para. 219, and </w:t>
      </w:r>
      <w:r w:rsidRPr="00104227">
        <w:rPr>
          <w:i/>
          <w:lang w:val="en-US"/>
        </w:rPr>
        <w:t xml:space="preserve">Case of Garibaldi v. Brazil. Preliminary objections, merits, reparations and costs. </w:t>
      </w:r>
      <w:r w:rsidRPr="00104227">
        <w:rPr>
          <w:lang w:val="en-US"/>
        </w:rPr>
        <w:t>Judgment of September 23, 2009. Series C No. 203, para. 146.</w:t>
      </w:r>
    </w:p>
  </w:footnote>
  <w:footnote w:id="63">
    <w:p w14:paraId="5C91CC39" w14:textId="6347611F" w:rsidR="0080773E" w:rsidRPr="00104227" w:rsidRDefault="0080773E" w:rsidP="002755DF">
      <w:pPr>
        <w:pStyle w:val="Footnotes"/>
        <w:tabs>
          <w:tab w:val="left" w:pos="426"/>
        </w:tabs>
        <w:spacing w:before="120" w:after="120"/>
        <w:rPr>
          <w:rStyle w:val="Refdenotaalpie"/>
          <w:rFonts w:cs="Palatino-Italic"/>
          <w:spacing w:val="0"/>
          <w:vertAlign w:val="baseline"/>
          <w:lang w:val="en-US"/>
        </w:rPr>
      </w:pPr>
      <w:r w:rsidRPr="00104227">
        <w:rPr>
          <w:rStyle w:val="Refdenotaalpie"/>
          <w:spacing w:val="0"/>
          <w:lang w:val="en-US"/>
        </w:rPr>
        <w:footnoteRef/>
      </w:r>
      <w:r w:rsidRPr="00104227">
        <w:rPr>
          <w:rStyle w:val="Refdenotaalpie"/>
          <w:spacing w:val="0"/>
          <w:lang w:val="en-US"/>
        </w:rPr>
        <w:t xml:space="preserve"> </w:t>
      </w:r>
      <w:r w:rsidRPr="00104227">
        <w:rPr>
          <w:rStyle w:val="Refdenotaalpie"/>
          <w:spacing w:val="0"/>
          <w:lang w:val="en-US"/>
        </w:rPr>
        <w:tab/>
      </w:r>
      <w:r w:rsidRPr="00104227">
        <w:rPr>
          <w:spacing w:val="0"/>
          <w:lang w:val="en-US"/>
        </w:rPr>
        <w:t xml:space="preserve">SCJN judgment of February 12, 2009 (evidence file, folio 261). </w:t>
      </w:r>
    </w:p>
  </w:footnote>
  <w:footnote w:id="64">
    <w:p w14:paraId="1F25B42E" w14:textId="118019FF"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SCJN judgment of February 12, 2009 (evidence file, folios 30678 and 30679). See, also, Preliminary report on the events of Atenco, Mexico, of the International Civil Commission for Human Rights, </w:t>
      </w:r>
      <w:r w:rsidRPr="00104227">
        <w:rPr>
          <w:iCs/>
          <w:lang w:val="en-US"/>
        </w:rPr>
        <w:t>May 15, 2006,</w:t>
      </w:r>
      <w:r w:rsidRPr="00104227">
        <w:rPr>
          <w:lang w:val="en-US"/>
        </w:rPr>
        <w:t xml:space="preserve"> p. 19 (evidence file, folio 503). </w:t>
      </w:r>
    </w:p>
  </w:footnote>
  <w:footnote w:id="65">
    <w:p w14:paraId="0734594A" w14:textId="0157D898"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SCJN judgment of February 12, 2009 (evidence file, folios 30679 to 30680).</w:t>
      </w:r>
    </w:p>
  </w:footnote>
  <w:footnote w:id="66">
    <w:p w14:paraId="4135628D" w14:textId="48670D11"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SCJN judgment of February 12, 2009 (evidence file, folios 30681 and 30682).</w:t>
      </w:r>
    </w:p>
  </w:footnote>
  <w:footnote w:id="67">
    <w:p w14:paraId="7BDE323A" w14:textId="66770B97" w:rsidR="0080773E" w:rsidRPr="00104227" w:rsidRDefault="0080773E" w:rsidP="002755DF">
      <w:pPr>
        <w:pStyle w:val="Textonotapie"/>
        <w:tabs>
          <w:tab w:val="left" w:pos="426"/>
        </w:tabs>
        <w:rPr>
          <w:b/>
          <w:lang w:val="en-US"/>
        </w:rPr>
      </w:pPr>
      <w:r w:rsidRPr="00104227">
        <w:rPr>
          <w:rStyle w:val="Refdenotaalpie"/>
          <w:lang w:val="en-US"/>
        </w:rPr>
        <w:footnoteRef/>
      </w:r>
      <w:r w:rsidRPr="00104227">
        <w:rPr>
          <w:lang w:val="en-US"/>
        </w:rPr>
        <w:t xml:space="preserve"> </w:t>
      </w:r>
      <w:r w:rsidRPr="00104227">
        <w:rPr>
          <w:lang w:val="en-US"/>
        </w:rPr>
        <w:tab/>
        <w:t>For the purposes of this judgment, the Court will understand by “state” everything that relates to the authorities of the state of Mexico, as an entity that forms part of the Mexican State, and by “federal” everything that relates to the authorities of the Mexican State. Furthermore, the reference to “State” authorities or organs refers to authorities or organs of the Mexican State as an international legal entity.</w:t>
      </w:r>
    </w:p>
  </w:footnote>
  <w:footnote w:id="68">
    <w:p w14:paraId="3B663E90" w14:textId="581F4BAD"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b/>
          <w:spacing w:val="0"/>
          <w:lang w:val="en-US"/>
        </w:rPr>
        <w:tab/>
      </w:r>
      <w:r w:rsidRPr="00104227">
        <w:rPr>
          <w:i/>
          <w:spacing w:val="0"/>
          <w:lang w:val="en-US"/>
        </w:rPr>
        <w:t xml:space="preserve">Cf. </w:t>
      </w:r>
      <w:r w:rsidRPr="00104227">
        <w:rPr>
          <w:spacing w:val="0"/>
          <w:lang w:val="en-US"/>
        </w:rPr>
        <w:t>SCJN judgment of February 12, 2009 (evidence file, folios 30683 and 30684).</w:t>
      </w:r>
    </w:p>
  </w:footnote>
  <w:footnote w:id="69">
    <w:p w14:paraId="5C7AF593" w14:textId="7C92FB76"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SCJN judgment of February 12, 2009 (evidence file, folios 30685 and 30686), and </w:t>
      </w:r>
      <w:r w:rsidRPr="00104227">
        <w:rPr>
          <w:i/>
          <w:lang w:val="en-US"/>
        </w:rPr>
        <w:t xml:space="preserve">cf. </w:t>
      </w:r>
      <w:r w:rsidRPr="00104227">
        <w:rPr>
          <w:lang w:val="en-US"/>
        </w:rPr>
        <w:t xml:space="preserve">Preliminary report on the events of Atenco, Mexico, of the International Civil Commission for Human Rights of May 15, 2006, p. 22 (evidence file, folio 503), and </w:t>
      </w:r>
      <w:r w:rsidRPr="00104227">
        <w:rPr>
          <w:i/>
          <w:iCs/>
          <w:lang w:val="en-US"/>
        </w:rPr>
        <w:t>Violencia de Estado contra las mujeres en México, el Caso San Salvador Atenco</w:t>
      </w:r>
      <w:r w:rsidRPr="00104227">
        <w:rPr>
          <w:lang w:val="en-US"/>
        </w:rPr>
        <w:t>, p. 16 (evidence file, folio 508). However, according to the Deputy Secretary of Governance of the state of Mexico, “although, during the meeting of May 2, 2006…, (</w:t>
      </w:r>
      <w:r w:rsidRPr="00104227">
        <w:rPr>
          <w:i/>
          <w:iCs/>
          <w:lang w:val="en-US"/>
        </w:rPr>
        <w:t>sic</w:t>
      </w:r>
      <w:r w:rsidRPr="00104227">
        <w:rPr>
          <w:lang w:val="en-US"/>
        </w:rPr>
        <w:t>) the Director General for Governance was asked to withdraw the state police from around the Belisario Domínguez market, the withdrawal did not signify, as has been stated, an authorization to set up the flower stalls […] because only the Texcoco Municipality was empowered to authorize sales outside that market and not an official of the state government.” SCJN judgment of February 12, 2009 (evidence file, folio 30686).</w:t>
      </w:r>
    </w:p>
  </w:footnote>
  <w:footnote w:id="70">
    <w:p w14:paraId="3F4D7C14" w14:textId="4160A83D"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t xml:space="preserve">According to the SCJN, the contingent of municipal police agents around the market increased from 20 to 57, and even more joined them on May 3, 2006, although it is not possible to determine the exact number. </w:t>
      </w:r>
      <w:r w:rsidRPr="00104227">
        <w:rPr>
          <w:i/>
          <w:spacing w:val="0"/>
          <w:lang w:val="en-US"/>
        </w:rPr>
        <w:t xml:space="preserve">Cf. </w:t>
      </w:r>
      <w:r w:rsidRPr="00104227">
        <w:rPr>
          <w:spacing w:val="0"/>
          <w:lang w:val="en-US"/>
        </w:rPr>
        <w:t xml:space="preserve">SCJN judgment of February 12, 2009 (evidence file, folios 30686 to 30688). </w:t>
      </w:r>
    </w:p>
  </w:footnote>
  <w:footnote w:id="71">
    <w:p w14:paraId="02216C38" w14:textId="2ECC1807"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b/>
          <w:spacing w:val="0"/>
          <w:lang w:val="en-US"/>
        </w:rPr>
        <w:tab/>
      </w:r>
      <w:r w:rsidRPr="00104227">
        <w:rPr>
          <w:i/>
          <w:spacing w:val="0"/>
          <w:lang w:val="en-US"/>
        </w:rPr>
        <w:t xml:space="preserve">Cf. </w:t>
      </w:r>
      <w:r w:rsidRPr="00104227">
        <w:rPr>
          <w:iCs w:val="0"/>
          <w:spacing w:val="0"/>
          <w:lang w:val="en-US"/>
        </w:rPr>
        <w:t>CNDH</w:t>
      </w:r>
      <w:r w:rsidRPr="00104227">
        <w:rPr>
          <w:i/>
          <w:spacing w:val="0"/>
          <w:lang w:val="en-US"/>
        </w:rPr>
        <w:t xml:space="preserve"> </w:t>
      </w:r>
      <w:r w:rsidRPr="00104227">
        <w:rPr>
          <w:spacing w:val="0"/>
          <w:lang w:val="en-US"/>
        </w:rPr>
        <w:t>Recommendation No. 38/2006 of October 16, 2006, p. 37 (evidence file, folio 28552).</w:t>
      </w:r>
    </w:p>
  </w:footnote>
  <w:footnote w:id="72">
    <w:p w14:paraId="57414F8C" w14:textId="3D932C38"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 xml:space="preserve">SCJN judgment of February 12, 2009 (evidence file, folios 30689, 30691 and 30692). </w:t>
      </w:r>
    </w:p>
  </w:footnote>
  <w:footnote w:id="73">
    <w:p w14:paraId="1DB52BE6" w14:textId="69A1F5EE"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SCJN judgment of February 12, 2009 (evidence file, folios 30692 and 30693).</w:t>
      </w:r>
    </w:p>
  </w:footnote>
  <w:footnote w:id="74">
    <w:p w14:paraId="2901E9FE" w14:textId="7F712914"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b/>
          <w:spacing w:val="0"/>
          <w:lang w:val="en-US"/>
        </w:rPr>
        <w:tab/>
      </w:r>
      <w:r w:rsidRPr="00104227">
        <w:rPr>
          <w:i/>
          <w:spacing w:val="0"/>
          <w:lang w:val="en-US"/>
        </w:rPr>
        <w:t xml:space="preserve">Cf. </w:t>
      </w:r>
      <w:r w:rsidRPr="00104227">
        <w:rPr>
          <w:spacing w:val="0"/>
          <w:lang w:val="en-US"/>
        </w:rPr>
        <w:t>SCJN judgment of February 12, 2009 (evidence file, folio 30694).</w:t>
      </w:r>
    </w:p>
  </w:footnote>
  <w:footnote w:id="75">
    <w:p w14:paraId="497A8B84" w14:textId="7EB925DC"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b/>
          <w:spacing w:val="0"/>
          <w:lang w:val="en-US"/>
        </w:rPr>
        <w:tab/>
      </w:r>
      <w:r w:rsidRPr="00104227">
        <w:rPr>
          <w:i/>
          <w:spacing w:val="0"/>
          <w:lang w:val="en-US"/>
        </w:rPr>
        <w:t xml:space="preserve">Cf. </w:t>
      </w:r>
      <w:r w:rsidRPr="00104227">
        <w:rPr>
          <w:spacing w:val="0"/>
          <w:lang w:val="en-US"/>
        </w:rPr>
        <w:t>SCJN judgment of February 12, 2009 (evidence file, folios 30695 and 30696).</w:t>
      </w:r>
    </w:p>
  </w:footnote>
  <w:footnote w:id="76">
    <w:p w14:paraId="7D472369" w14:textId="1A7FC8B7"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SCJN judgment of February 12, 2009 (evidence file, folio 30698).</w:t>
      </w:r>
    </w:p>
  </w:footnote>
  <w:footnote w:id="77">
    <w:p w14:paraId="79234345" w14:textId="4A35755B"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SCJN judgment of February 12, 2009 (evidence file, folio 30699).</w:t>
      </w:r>
    </w:p>
  </w:footnote>
  <w:footnote w:id="78">
    <w:p w14:paraId="2D2678E5" w14:textId="0F294621"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SCJN judgment of February 12, 2009 (evidence file, folios 30699 to 30704). According to the state Security Agency, around 800 protestors and 345 police agents (from the state Security Agency and the Federal Preventive Police)  took part in these confrontation. However, the SCJN indicated that “it is not certain how many police agents or how many civilians intervened in this event.” SCJN judgment of February 12, 2009 (evidence file, folio 30705).</w:t>
      </w:r>
    </w:p>
  </w:footnote>
  <w:footnote w:id="79">
    <w:p w14:paraId="37F8A582" w14:textId="527B2199"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SCJN judgment of February 12, 2009 (evidence file, folios 30708 and 30709).</w:t>
      </w:r>
    </w:p>
  </w:footnote>
  <w:footnote w:id="80">
    <w:p w14:paraId="58F24E88" w14:textId="0E152767"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SCJN judgment of February 12, 2009 (evidence file, folios 30711 and 30712).</w:t>
      </w:r>
    </w:p>
  </w:footnote>
  <w:footnote w:id="81">
    <w:p w14:paraId="62BB9D3B" w14:textId="68DCA4B6"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SCJN judgment of February 12, 2009 (evidence file, folio 30712).</w:t>
      </w:r>
    </w:p>
  </w:footnote>
  <w:footnote w:id="82">
    <w:p w14:paraId="528BDADE" w14:textId="080DBD5F"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SCJN judgment of February 12, 2009 (evidence file, folio 30713).</w:t>
      </w:r>
    </w:p>
  </w:footnote>
  <w:footnote w:id="83">
    <w:p w14:paraId="5A5848D8" w14:textId="6EF2E621"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b/>
          <w:spacing w:val="0"/>
          <w:lang w:val="en-US"/>
        </w:rPr>
        <w:tab/>
      </w:r>
      <w:r w:rsidRPr="00104227">
        <w:rPr>
          <w:i/>
          <w:spacing w:val="0"/>
          <w:lang w:val="en-US"/>
        </w:rPr>
        <w:t xml:space="preserve">Cf. </w:t>
      </w:r>
      <w:r w:rsidRPr="00104227">
        <w:rPr>
          <w:spacing w:val="0"/>
          <w:lang w:val="en-US"/>
        </w:rPr>
        <w:t>SCJN judgment of February 12, 2009 (evidence file, folios 30714 to 30716).</w:t>
      </w:r>
    </w:p>
  </w:footnote>
  <w:footnote w:id="84">
    <w:p w14:paraId="18F81875" w14:textId="180AAF22"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b/>
          <w:spacing w:val="0"/>
          <w:lang w:val="en-US"/>
        </w:rPr>
        <w:tab/>
      </w:r>
      <w:r w:rsidRPr="00104227">
        <w:rPr>
          <w:spacing w:val="0"/>
          <w:lang w:val="en-US"/>
        </w:rPr>
        <w:t xml:space="preserve">Members of the Special Operations Group also intervened in order to deactivate dangerous artifacts that could explode. </w:t>
      </w:r>
      <w:r w:rsidRPr="00104227">
        <w:rPr>
          <w:i/>
          <w:spacing w:val="0"/>
          <w:lang w:val="en-US"/>
        </w:rPr>
        <w:t xml:space="preserve">Cf. </w:t>
      </w:r>
      <w:r w:rsidRPr="00104227">
        <w:rPr>
          <w:spacing w:val="0"/>
          <w:lang w:val="en-US"/>
        </w:rPr>
        <w:t>SCJN judgment of February 12, 2009 (evidence file, folios 30721, 30723 and 30724 and 30732).</w:t>
      </w:r>
    </w:p>
  </w:footnote>
  <w:footnote w:id="85">
    <w:p w14:paraId="06CCD72D" w14:textId="1AB44C90"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SCJN judgment of February 12, 2009 (evidence file, folios 30724 to 30727 and 30730). According to statements made by the Governor of the state of Mexico to the SCJN Commission of Inquiry, “[p]ursuant to [his] governing policy, [… he had] given instructions that the operation be conducted abiding strictly by the constitutional framework of the state of Mexico and with absolute respect for human rights. […] On becoming aware of the excesses committed by public servants of the state of Mexico, [he had] immediately instructed the Secretary General for Governance to conduct the corresponding investigations in accordance with the law, and the same instruction was given to the Attorney General of the state of Mexico, so that the corresponding preliminary inquiries could be undertaken.” Brief of the Governor of the state of Mexico in relation to the preliminary report of the SCJN Commission of Inquiry (evidence file, folio 31665).</w:t>
      </w:r>
    </w:p>
  </w:footnote>
  <w:footnote w:id="86">
    <w:p w14:paraId="7B67815B" w14:textId="4C1C403C"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SCJN judgment of February 12, 2009 (evidence file, folio 30734).</w:t>
      </w:r>
    </w:p>
  </w:footnote>
  <w:footnote w:id="87">
    <w:p w14:paraId="4CDA801C" w14:textId="0F696300"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b/>
          <w:spacing w:val="0"/>
          <w:lang w:val="en-US"/>
        </w:rPr>
        <w:tab/>
      </w:r>
      <w:r w:rsidRPr="00104227">
        <w:rPr>
          <w:i/>
          <w:spacing w:val="0"/>
          <w:lang w:val="en-US"/>
        </w:rPr>
        <w:t xml:space="preserve">Cf. </w:t>
      </w:r>
      <w:r w:rsidRPr="00104227">
        <w:rPr>
          <w:spacing w:val="0"/>
          <w:lang w:val="en-US"/>
        </w:rPr>
        <w:t>SCJN judgment of February 12, 2009 (evidence file, folio 30735).</w:t>
      </w:r>
    </w:p>
  </w:footnote>
  <w:footnote w:id="88">
    <w:p w14:paraId="75719C58" w14:textId="1CEB68C4" w:rsidR="0080773E" w:rsidRPr="00104227" w:rsidRDefault="0080773E" w:rsidP="002755DF">
      <w:pPr>
        <w:pStyle w:val="Footnotes"/>
        <w:tabs>
          <w:tab w:val="left" w:pos="426"/>
        </w:tabs>
        <w:spacing w:before="120" w:after="120"/>
        <w:rPr>
          <w:b/>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 xml:space="preserve">SCJN judgment of February 12, 2009 (evidence file, folios 30735 and 30736). </w:t>
      </w:r>
    </w:p>
  </w:footnote>
  <w:footnote w:id="89">
    <w:p w14:paraId="3F55B4A3" w14:textId="25CFD3D7"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b/>
          <w:spacing w:val="0"/>
          <w:lang w:val="en-US"/>
        </w:rPr>
        <w:tab/>
      </w:r>
      <w:r w:rsidRPr="00104227">
        <w:rPr>
          <w:spacing w:val="0"/>
          <w:lang w:val="en-US"/>
        </w:rPr>
        <w:t xml:space="preserve">According to the SCJN, on May 4, 2006, the police who had been retained the previous day were released. However, it stressed that “the information gathered during the inquiry reveals that this release was not executed by the police agents who intervened in the operation; nevertheless, the time and manner of their release reveal that the police operations influenced and promoted the conditions for those who had been retained to recover their freedom.” </w:t>
      </w:r>
      <w:r w:rsidRPr="00104227">
        <w:rPr>
          <w:i/>
          <w:spacing w:val="0"/>
          <w:lang w:val="en-US"/>
        </w:rPr>
        <w:t xml:space="preserve">Cf. </w:t>
      </w:r>
      <w:r w:rsidRPr="00104227">
        <w:rPr>
          <w:spacing w:val="0"/>
          <w:lang w:val="en-US"/>
        </w:rPr>
        <w:t>SCJN judgment of February 12, 2009 (evidence file, folios 30743 a 30746).</w:t>
      </w:r>
    </w:p>
  </w:footnote>
  <w:footnote w:id="90">
    <w:p w14:paraId="2287C492" w14:textId="5EC73D12"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b/>
          <w:spacing w:val="0"/>
          <w:lang w:val="en-US"/>
        </w:rPr>
        <w:tab/>
      </w:r>
      <w:r w:rsidRPr="00104227">
        <w:rPr>
          <w:i/>
          <w:spacing w:val="0"/>
          <w:lang w:val="en-US"/>
        </w:rPr>
        <w:t xml:space="preserve">Cf. </w:t>
      </w:r>
      <w:r w:rsidRPr="00104227">
        <w:rPr>
          <w:spacing w:val="0"/>
          <w:lang w:val="en-US"/>
        </w:rPr>
        <w:t>SCJN judgment of February 12, 2009 (evidence file, folio 30739).</w:t>
      </w:r>
    </w:p>
  </w:footnote>
  <w:footnote w:id="91">
    <w:p w14:paraId="4D8CDE65" w14:textId="123498FC"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b/>
          <w:spacing w:val="0"/>
          <w:lang w:val="en-US"/>
        </w:rPr>
        <w:tab/>
      </w:r>
      <w:r w:rsidRPr="00104227">
        <w:rPr>
          <w:i/>
          <w:spacing w:val="0"/>
          <w:lang w:val="en-US"/>
        </w:rPr>
        <w:t xml:space="preserve">Cf. </w:t>
      </w:r>
      <w:r w:rsidRPr="00104227">
        <w:rPr>
          <w:spacing w:val="0"/>
          <w:lang w:val="en-US"/>
        </w:rPr>
        <w:t xml:space="preserve">SCJN judgment of February 12, 2009 (evidence file, folios 30742 and 30743), and CNDH Recommendation No. 38/2006 of October 16, 2006, pp. 42 and 43, 46 to 49 (evidence file, folios 28557, 28558, 28561 to 28564). </w:t>
      </w:r>
    </w:p>
  </w:footnote>
  <w:footnote w:id="92">
    <w:p w14:paraId="63BA103B" w14:textId="53A9CAF0"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CNDH Recommendation No. 38/2006 of October 16, 2006, pp. 42 and 43, 46 to 49 (evidence file, folio 28557).</w:t>
      </w:r>
    </w:p>
  </w:footnote>
  <w:footnote w:id="93">
    <w:p w14:paraId="71433DDE" w14:textId="5E856C8A"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b/>
          <w:spacing w:val="0"/>
          <w:lang w:val="en-US"/>
        </w:rPr>
        <w:tab/>
      </w:r>
      <w:r w:rsidRPr="00104227">
        <w:rPr>
          <w:i/>
          <w:spacing w:val="0"/>
          <w:lang w:val="en-US"/>
        </w:rPr>
        <w:t xml:space="preserve">Cf. </w:t>
      </w:r>
      <w:r w:rsidRPr="00104227">
        <w:rPr>
          <w:spacing w:val="0"/>
          <w:lang w:val="en-US"/>
        </w:rPr>
        <w:t>SCJN judgment of February 12, 2009 (evidence file, folio 30741).</w:t>
      </w:r>
    </w:p>
  </w:footnote>
  <w:footnote w:id="94">
    <w:p w14:paraId="61F7E85D" w14:textId="418DAFE5"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b/>
          <w:spacing w:val="0"/>
          <w:lang w:val="en-US"/>
        </w:rPr>
        <w:tab/>
      </w:r>
      <w:r w:rsidRPr="00104227">
        <w:rPr>
          <w:spacing w:val="0"/>
          <w:lang w:val="en-US"/>
        </w:rPr>
        <w:t>SCJN judgment of February 12, 2009 (evidence file, folios 30693, 30755 to 30759, 30706, 30764, 30720 and 30721), and CNDH Recommendation No. 38/2006 of October 16, 2006, pp. 44 to 46 and 50 to 60 (evidence file, folios 28559 to 28569 and 28565 to 2875).</w:t>
      </w:r>
    </w:p>
  </w:footnote>
  <w:footnote w:id="95">
    <w:p w14:paraId="5C9241D7" w14:textId="3C8AAFD5"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b/>
          <w:spacing w:val="0"/>
          <w:lang w:val="en-US"/>
        </w:rPr>
        <w:tab/>
      </w:r>
      <w:r w:rsidRPr="00104227">
        <w:rPr>
          <w:spacing w:val="0"/>
          <w:lang w:val="en-US"/>
        </w:rPr>
        <w:t>SCJN judgment of February 12, 2009 (evidence file, folios 30720, 30749, 30792 and 30794), and CNDH Recommendation No. 38/2006 of October 16, 2006, pp. 44 to 46 and 50 to 60 (evidence file 28559 to 28569 and 28565 to 2875).</w:t>
      </w:r>
    </w:p>
  </w:footnote>
  <w:footnote w:id="96">
    <w:p w14:paraId="40DA9459" w14:textId="1D53E684"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t>SCJN judgment of February 12, 2009 (evidence file, folios 30713 to 30714), and CNDH Recommendation No. 38/2006 of October 16, 2006, pp. 12 to 13 and 61 to 64 (evidence file, folios 28527 and 28528 and 28576 to 28579).</w:t>
      </w:r>
    </w:p>
  </w:footnote>
  <w:footnote w:id="97">
    <w:p w14:paraId="6FC0B856" w14:textId="13F6F7DA" w:rsidR="0080773E" w:rsidRPr="00104227" w:rsidRDefault="0080773E" w:rsidP="00C378DA">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t>The SCJN based itself on “the statements and reports presented by the women before prosecutorial and judicial authorities, and before the National Human Rights Commission; what they stated directly to the Commission of Inquiry, as well as the evidence gathered in the preliminary inquiries and in the criminal proceedings instituted in relation to some of these reports.” SCJN judgment of February 12, 2009 (evidence file, folio 30866).</w:t>
      </w:r>
    </w:p>
  </w:footnote>
  <w:footnote w:id="98">
    <w:p w14:paraId="5252D24F" w14:textId="1499E96D"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b/>
          <w:spacing w:val="0"/>
          <w:lang w:val="en-US"/>
        </w:rPr>
        <w:tab/>
      </w:r>
      <w:r w:rsidRPr="00104227">
        <w:rPr>
          <w:spacing w:val="0"/>
          <w:lang w:val="en-US"/>
        </w:rPr>
        <w:t>SCJN judgment of February 12, 2009 (evidence file, folios 30873, and 30868 and 30869). See also, CNDH Recommendation No. 38/2006 of October 16, 2006, pp. 12 and 13 and 61 to 64 (evidence file, folios 28527, 28528 and 28576 to 28579).</w:t>
      </w:r>
    </w:p>
  </w:footnote>
  <w:footnote w:id="99">
    <w:p w14:paraId="4E5B1091" w14:textId="68E5DF8A"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t>SCJN judgment of February 12, 2009 (evidence file, folios 30869 to 30872), and CNDH Recommendation No. 38/2006 of October 16, 2006, pp. 61 to 67 (evidence file, folios 28576 to 28579).</w:t>
      </w:r>
    </w:p>
  </w:footnote>
  <w:footnote w:id="100">
    <w:p w14:paraId="16976BC9" w14:textId="644CBB55"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b/>
          <w:spacing w:val="0"/>
          <w:lang w:val="en-US"/>
        </w:rPr>
        <w:tab/>
      </w:r>
      <w:r w:rsidRPr="00104227">
        <w:rPr>
          <w:spacing w:val="0"/>
          <w:lang w:val="en-US"/>
        </w:rPr>
        <w:t>SCJN judgment of February 12, 2009 (evidence file, folio 30953).</w:t>
      </w:r>
    </w:p>
  </w:footnote>
  <w:footnote w:id="101">
    <w:p w14:paraId="39CC4D22" w14:textId="2AC43C09"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t>Newspaper article published in</w:t>
      </w:r>
      <w:r w:rsidRPr="00104227">
        <w:rPr>
          <w:lang w:val="en-US"/>
        </w:rPr>
        <w:t xml:space="preserve"> “</w:t>
      </w:r>
      <w:r w:rsidRPr="00104227">
        <w:rPr>
          <w:i/>
          <w:iCs w:val="0"/>
          <w:lang w:val="en-US"/>
        </w:rPr>
        <w:t>Reforma</w:t>
      </w:r>
      <w:r w:rsidRPr="00104227">
        <w:rPr>
          <w:lang w:val="en-US"/>
        </w:rPr>
        <w:t>” on May 12, 2006, entitled “</w:t>
      </w:r>
      <w:r w:rsidRPr="00104227">
        <w:rPr>
          <w:i/>
          <w:iCs w:val="0"/>
          <w:lang w:val="en-US"/>
        </w:rPr>
        <w:t>Niega Peña violaciones</w:t>
      </w:r>
      <w:r w:rsidRPr="00104227">
        <w:rPr>
          <w:lang w:val="en-US"/>
        </w:rPr>
        <w:t>” [Peña denies violations] (evidence file, folio 516</w:t>
      </w:r>
      <w:r w:rsidRPr="00104227">
        <w:rPr>
          <w:spacing w:val="0"/>
          <w:lang w:val="en-US"/>
        </w:rPr>
        <w:t>).</w:t>
      </w:r>
    </w:p>
  </w:footnote>
  <w:footnote w:id="102">
    <w:p w14:paraId="6DB7E81E" w14:textId="2C622C87"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b/>
          <w:spacing w:val="0"/>
          <w:lang w:val="en-US"/>
        </w:rPr>
        <w:tab/>
      </w:r>
      <w:r w:rsidRPr="00104227">
        <w:rPr>
          <w:lang w:val="en-US"/>
        </w:rPr>
        <w:t>Newspaper article published in “</w:t>
      </w:r>
      <w:r w:rsidRPr="00104227">
        <w:rPr>
          <w:i/>
          <w:iCs w:val="0"/>
          <w:lang w:val="en-US"/>
        </w:rPr>
        <w:t>Excelsior de Mexico</w:t>
      </w:r>
      <w:r w:rsidRPr="00104227">
        <w:rPr>
          <w:lang w:val="en-US"/>
        </w:rPr>
        <w:t>” on May 17, 2006, entitled “</w:t>
      </w:r>
      <w:r w:rsidRPr="00104227">
        <w:rPr>
          <w:i/>
          <w:iCs w:val="0"/>
          <w:lang w:val="en-US"/>
        </w:rPr>
        <w:t>Reconoce Peña abuso policiaco</w:t>
      </w:r>
      <w:r w:rsidRPr="00104227">
        <w:rPr>
          <w:lang w:val="en-US"/>
        </w:rPr>
        <w:t>” [Peña acknowledges police abuse] (evidence file, folio 514</w:t>
      </w:r>
      <w:r w:rsidRPr="00104227">
        <w:rPr>
          <w:spacing w:val="0"/>
          <w:lang w:val="en-US"/>
        </w:rPr>
        <w:t>).</w:t>
      </w:r>
    </w:p>
  </w:footnote>
  <w:footnote w:id="103">
    <w:p w14:paraId="4350ADC6" w14:textId="35B08C8F"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b/>
          <w:spacing w:val="0"/>
          <w:lang w:val="en-US"/>
        </w:rPr>
        <w:tab/>
      </w:r>
      <w:r w:rsidRPr="00104227">
        <w:rPr>
          <w:lang w:val="en-US"/>
        </w:rPr>
        <w:t>Newspaper article published in “</w:t>
      </w:r>
      <w:r w:rsidRPr="00104227">
        <w:rPr>
          <w:i/>
          <w:iCs w:val="0"/>
          <w:lang w:val="en-US"/>
        </w:rPr>
        <w:t>El Universal”</w:t>
      </w:r>
      <w:r w:rsidRPr="00104227">
        <w:rPr>
          <w:lang w:val="en-US"/>
        </w:rPr>
        <w:t xml:space="preserve"> on May 17, 2006, entitled “</w:t>
      </w:r>
      <w:r w:rsidRPr="00104227">
        <w:rPr>
          <w:i/>
          <w:iCs w:val="0"/>
          <w:lang w:val="en-US"/>
        </w:rPr>
        <w:t>Wilfrido Robledo declara sobre los acontecimientos en Atenco</w:t>
      </w:r>
      <w:r w:rsidRPr="00104227">
        <w:rPr>
          <w:lang w:val="en-US"/>
        </w:rPr>
        <w:t>” [Wilfrido Robledo speaks out about the events in Atenco] (evidence file, folio 522</w:t>
      </w:r>
      <w:r w:rsidRPr="00104227">
        <w:rPr>
          <w:spacing w:val="0"/>
          <w:lang w:val="en-US"/>
        </w:rPr>
        <w:t>).</w:t>
      </w:r>
    </w:p>
  </w:footnote>
  <w:footnote w:id="104">
    <w:p w14:paraId="09276DE8" w14:textId="31FC1AE4"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b/>
          <w:spacing w:val="0"/>
          <w:lang w:val="en-US"/>
        </w:rPr>
        <w:tab/>
      </w:r>
      <w:r w:rsidRPr="00104227">
        <w:rPr>
          <w:lang w:val="en-US"/>
        </w:rPr>
        <w:t>Newspaper article published in “</w:t>
      </w:r>
      <w:r w:rsidRPr="00104227">
        <w:rPr>
          <w:i/>
          <w:iCs w:val="0"/>
          <w:lang w:val="en-US"/>
        </w:rPr>
        <w:t>Reforma</w:t>
      </w:r>
      <w:r w:rsidRPr="00104227">
        <w:rPr>
          <w:lang w:val="en-US"/>
        </w:rPr>
        <w:t>” on June 16, 2006, entitled “</w:t>
      </w:r>
      <w:r w:rsidRPr="00104227">
        <w:rPr>
          <w:i/>
          <w:iCs w:val="0"/>
          <w:lang w:val="en-US"/>
        </w:rPr>
        <w:t>Desestima Peña abusos en Atenco</w:t>
      </w:r>
      <w:r w:rsidRPr="00104227">
        <w:rPr>
          <w:lang w:val="en-US"/>
        </w:rPr>
        <w:t>” [Peña rejects abuses in Atenco] (evidence file, folio 529</w:t>
      </w:r>
      <w:r w:rsidRPr="00104227">
        <w:rPr>
          <w:spacing w:val="0"/>
          <w:lang w:val="en-US"/>
        </w:rPr>
        <w:t>).</w:t>
      </w:r>
    </w:p>
  </w:footnote>
  <w:footnote w:id="105">
    <w:p w14:paraId="48B0231D" w14:textId="172E7DFD"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b/>
          <w:spacing w:val="0"/>
          <w:lang w:val="en-US"/>
        </w:rPr>
        <w:tab/>
      </w:r>
      <w:r w:rsidRPr="00104227">
        <w:rPr>
          <w:lang w:val="en-US"/>
        </w:rPr>
        <w:t>Newspaper article published in “</w:t>
      </w:r>
      <w:r w:rsidRPr="00104227">
        <w:rPr>
          <w:i/>
          <w:iCs w:val="0"/>
          <w:lang w:val="en-US"/>
        </w:rPr>
        <w:t>Reforma</w:t>
      </w:r>
      <w:r w:rsidRPr="00104227">
        <w:rPr>
          <w:lang w:val="en-US"/>
        </w:rPr>
        <w:t>” on June 16, 2006, entitled “</w:t>
      </w:r>
      <w:r w:rsidRPr="00104227">
        <w:rPr>
          <w:i/>
          <w:iCs w:val="0"/>
          <w:lang w:val="en-US"/>
        </w:rPr>
        <w:t>Desestima Peña abusos en Atenco</w:t>
      </w:r>
      <w:r w:rsidRPr="00104227">
        <w:rPr>
          <w:lang w:val="en-US"/>
        </w:rPr>
        <w:t>” (evidence file, folio 529</w:t>
      </w:r>
      <w:r w:rsidRPr="00104227">
        <w:rPr>
          <w:spacing w:val="0"/>
          <w:lang w:val="en-US"/>
        </w:rPr>
        <w:t>).</w:t>
      </w:r>
    </w:p>
  </w:footnote>
  <w:footnote w:id="106">
    <w:p w14:paraId="57FAE6EF" w14:textId="2FB70955" w:rsidR="0080773E" w:rsidRPr="00104227" w:rsidRDefault="0080773E" w:rsidP="002755DF">
      <w:pPr>
        <w:pStyle w:val="Footnotes"/>
        <w:tabs>
          <w:tab w:val="left" w:pos="426"/>
        </w:tabs>
        <w:spacing w:before="120" w:after="120"/>
        <w:rPr>
          <w:lang w:val="en-US"/>
        </w:rPr>
      </w:pPr>
      <w:r w:rsidRPr="00104227">
        <w:rPr>
          <w:rStyle w:val="Refdenotaalpie"/>
          <w:spacing w:val="0"/>
          <w:lang w:val="en-US"/>
        </w:rPr>
        <w:footnoteRef/>
      </w:r>
      <w:r w:rsidRPr="00104227">
        <w:rPr>
          <w:spacing w:val="0"/>
          <w:lang w:val="en-US"/>
        </w:rPr>
        <w:t xml:space="preserve"> </w:t>
      </w:r>
      <w:r w:rsidRPr="00104227">
        <w:rPr>
          <w:b/>
          <w:spacing w:val="0"/>
          <w:lang w:val="en-US"/>
        </w:rPr>
        <w:tab/>
      </w:r>
      <w:r w:rsidRPr="00104227">
        <w:rPr>
          <w:lang w:val="en-US"/>
        </w:rPr>
        <w:t>Newspaper article published in “</w:t>
      </w:r>
      <w:r w:rsidRPr="00104227">
        <w:rPr>
          <w:i/>
          <w:iCs w:val="0"/>
          <w:lang w:val="en-US"/>
        </w:rPr>
        <w:t>La Jornada</w:t>
      </w:r>
      <w:r w:rsidRPr="00104227">
        <w:rPr>
          <w:lang w:val="en-US"/>
        </w:rPr>
        <w:t>” on June 26, 2006, entitled “</w:t>
      </w:r>
      <w:r w:rsidRPr="00104227">
        <w:rPr>
          <w:i/>
          <w:iCs w:val="0"/>
          <w:lang w:val="en-US"/>
        </w:rPr>
        <w:t>La actuación de los policías, por alto nivel de estrés: Robledo</w:t>
      </w:r>
      <w:r w:rsidRPr="00104227">
        <w:rPr>
          <w:lang w:val="en-US"/>
        </w:rPr>
        <w:t>” [Police actions due to high level of stress: Robledo] (evidence file, folios 524 and 525).</w:t>
      </w:r>
      <w:r w:rsidRPr="00104227">
        <w:rPr>
          <w:rFonts w:cs="Arial"/>
          <w:lang w:val="en-US"/>
        </w:rPr>
        <w:t xml:space="preserve"> In addition, the </w:t>
      </w:r>
      <w:r w:rsidRPr="00104227">
        <w:rPr>
          <w:lang w:val="en-US"/>
        </w:rPr>
        <w:t xml:space="preserve">May 17, 2016, report presented by the state Security Agency also discredits the accusations of the women, affirming that the FPDT leaders “tr[ied] to suggest the conclusions that the Public Prosecution Service, and the judicial authority could reach, [by] asserting that the police who intervened in the operation and detained the activists and the members of the Front had committed unlawful acts because, without producing evidence, they have been affirming – as if they were certain of the facts -the supposed violations, ill-treatment and sexual abuse of the women, even going so far as to declare that, in order to commit violent rape, the police agents used “condoms” so as not to leave evidence of the crime committed, ignoring the fact that a possible victim of a violent rape would have injuries that could endanger her life and mental capacity and also that it would take 15 days for the injuries to heal and, therefore, she would have to be hospitalized.” Activity report of the General Inspectorate </w:t>
      </w:r>
      <w:r w:rsidRPr="00104227">
        <w:rPr>
          <w:rFonts w:cs="Arial"/>
          <w:lang w:val="en-US"/>
        </w:rPr>
        <w:t>of the state Security Agency of May 17, 2016</w:t>
      </w:r>
      <w:r w:rsidRPr="00104227">
        <w:rPr>
          <w:lang w:val="en-US"/>
        </w:rPr>
        <w:t xml:space="preserve"> (evidence file, folio 21743</w:t>
      </w:r>
      <w:r w:rsidRPr="00104227">
        <w:rPr>
          <w:spacing w:val="0"/>
          <w:lang w:val="en-US"/>
        </w:rPr>
        <w:t xml:space="preserve">). </w:t>
      </w:r>
    </w:p>
  </w:footnote>
  <w:footnote w:id="107">
    <w:p w14:paraId="5DC17CB7" w14:textId="5383505C"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b/>
          <w:spacing w:val="0"/>
          <w:lang w:val="en-US"/>
        </w:rPr>
        <w:tab/>
      </w:r>
      <w:r w:rsidRPr="00104227">
        <w:rPr>
          <w:spacing w:val="0"/>
          <w:lang w:val="en-US"/>
        </w:rPr>
        <w:t>Unless otherwise indicated, the description of what happened to the eleven women victims in this case can be found in the evidence listed in Annex 1 to this judgment.</w:t>
      </w:r>
    </w:p>
  </w:footnote>
  <w:footnote w:id="108">
    <w:p w14:paraId="2B83098F" w14:textId="0D10AE94"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vertAlign w:val="superscript"/>
          <w:lang w:val="en-US"/>
        </w:rPr>
        <w:t xml:space="preserve"> </w:t>
      </w:r>
      <w:r w:rsidRPr="00104227">
        <w:rPr>
          <w:b/>
          <w:spacing w:val="0"/>
          <w:lang w:val="en-US"/>
        </w:rPr>
        <w:tab/>
      </w:r>
      <w:r w:rsidRPr="00104227">
        <w:rPr>
          <w:rFonts w:eastAsiaTheme="minorHAnsi"/>
          <w:iCs w:val="0"/>
          <w:spacing w:val="0"/>
          <w:lang w:val="en-US" w:eastAsia="es-ES" w:bidi="ar-SA"/>
        </w:rPr>
        <w:t>Yolanda Muñoz Diosdada was 46 years of age at the time of the facts and worked in a shop. Her family consists of her children, Cesar Adrián Pomposo Muñoz, Eduardo Pomposo Muñoz, José Guadalupe Pomposo Muñoz, Gregorio Pomposo Muñoz and Jennifer Pomposo Muñoz, and her siblings, Emma Muñoz Diosdada, Gloria Muñoz Diosdada, Jesús Muñoz Diosdad</w:t>
      </w:r>
      <w:r>
        <w:rPr>
          <w:rFonts w:eastAsiaTheme="minorHAnsi"/>
          <w:iCs w:val="0"/>
          <w:spacing w:val="0"/>
          <w:lang w:val="en-US" w:eastAsia="es-ES" w:bidi="ar-SA"/>
        </w:rPr>
        <w:t>a</w:t>
      </w:r>
      <w:r w:rsidRPr="00104227">
        <w:rPr>
          <w:rFonts w:eastAsiaTheme="minorHAnsi"/>
          <w:iCs w:val="0"/>
          <w:spacing w:val="0"/>
          <w:lang w:val="en-US" w:eastAsia="es-ES" w:bidi="ar-SA"/>
        </w:rPr>
        <w:t>, Juana Muñoz Diosdada and Fernando Muñoz Diosdada</w:t>
      </w:r>
      <w:r w:rsidRPr="00104227">
        <w:rPr>
          <w:rFonts w:eastAsiaTheme="minorHAnsi" w:cs="Verdana"/>
          <w:iCs w:val="0"/>
          <w:spacing w:val="0"/>
          <w:lang w:val="en-US" w:eastAsia="es-ES" w:bidi="ar-SA"/>
        </w:rPr>
        <w:t>.</w:t>
      </w:r>
    </w:p>
  </w:footnote>
  <w:footnote w:id="109">
    <w:p w14:paraId="5D128B23" w14:textId="76240FEF"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Ana María Velasco Rodríguez was 32 years of age at the time of the facts and, at that time, was employed in a tortilla store. Her family consists of her sons, Gustavo and Arturo Alberto Hernández Velasco. </w:t>
      </w:r>
    </w:p>
  </w:footnote>
  <w:footnote w:id="110">
    <w:p w14:paraId="2B70B5E7" w14:textId="3FE31873"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Angélica Patricia Torres Linares was 23 years of age at the time of the facts and was studying political science at the Universidad Nacional Autónoma de México. Her family consists of her father, Genaro Torres Lagar, her mother, Concepción Linares Olivos, and her siblings Miguel Ángel Torres Linares, Laura Isela Torres Linares and Jorge Torres Linares. </w:t>
      </w:r>
    </w:p>
  </w:footnote>
  <w:footnote w:id="111">
    <w:p w14:paraId="1DFF1FE2" w14:textId="5238AAED"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María Patricia Romero Hernández was 38 years of age at the time of the facts and was a trader. Her family consists of her father, Raúl Romero Macías, her mother, Hilda Hernández Ramírez, her children, Arturo Adali Sánchez Romero and Ariadna Sánchez Romero, her siblings, Ascención Raúl Romero Hernández and Leticia Romero Hernández, and her husband, Rubén Constantino Díaz. </w:t>
      </w:r>
    </w:p>
  </w:footnote>
  <w:footnote w:id="112">
    <w:p w14:paraId="5F76E715" w14:textId="6F7EB789"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María Cristina Sánchez Hernández was 39 years of age at the time of the facts and was a trader. Her family consists of her companion, José Alfredo Cadena Hernández, and her children Lucía Bautista Sánchez, Pedro Jesús Bautista Sánchez, Hugo Alfredo Cadena Sánchez and Karen Leticia Cadena Sánchez. </w:t>
      </w:r>
    </w:p>
  </w:footnote>
  <w:footnote w:id="113">
    <w:p w14:paraId="6F8C037E" w14:textId="0510B508"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Norma Aidé Jiménez Osorio was 23 years of age at the time of the facts and was studying plastic arts at the Instituto Nacional de Bellas Artes, photography at the FARO de Oriente, lithography at the Escuela Nacional de San Carlos and chemical engineering at the Universidad Nacional Autónoma de México. She also worked as a photographer and reporter for a magazine of alternative forms of communication. Her family consists of her mother, María Félix Osorio Lira. </w:t>
      </w:r>
    </w:p>
  </w:footnote>
  <w:footnote w:id="114">
    <w:p w14:paraId="696EE412" w14:textId="21077A61"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Claudia Hernández Martínez was 24 years of age at the time of the facts and was studying political science and working at the Universidad Nacional Autónoma de México. Her family consists of her father, Juán Hernández Rivera, her mother, María Victoria Martínez Flórez, her siblings, Anatalia Hernández Martínez, Amelia Hernández Martínez, Rosa Gloria Hernández Martínez and Artemio Hernández Martínez, and her nephews and nieces, Aarón Jiménez Hernández, Agustín Jiménez Hernández, Karina Guadalupe Nonato Hernández and Israel Nonato Hernández.</w:t>
      </w:r>
    </w:p>
  </w:footnote>
  <w:footnote w:id="115">
    <w:p w14:paraId="5E306493" w14:textId="12F621C2"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Mariana Selvas Gómez was 22 years of age at the time of the facts and, at the time, was studying ethnology at the  Escuela Nacional de Antropología e Historia (ENAH). Her family consists of her father, Guillermo Selvas Pineda, and her mother, Rosalba Gómez Rivera. </w:t>
      </w:r>
    </w:p>
  </w:footnote>
  <w:footnote w:id="116">
    <w:p w14:paraId="018F33AC" w14:textId="77EDC13A"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Georgina Edith Rosales Gutiérrez was 52 years of age at the time of the facts and, at the time, was employed by the Mexican Social Security Institute. Her family consists of her daughters, Adail Adriana Porcayo Rosales and Ameyatzin María de Jesús Antunez Rosales, her sisters, Irasema Patricia Rosales Gutiérrez and Bertha Rosales Gutiérrez, and her mother, Socorro Gutiérrez Almaraz, who died after the events.</w:t>
      </w:r>
    </w:p>
  </w:footnote>
  <w:footnote w:id="117">
    <w:p w14:paraId="6DBDFFE9" w14:textId="2C8AF824"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Suhelen Gabriela Cuevas Jaramillo was 19 years of age at the time of the facts and, at the time, was studying journalism at the Universidad del Valle de Mexico, and doing temporary work. Her family consists of her mother, Laura Elena Jaramillo Calvo, her father, Arturo Cuevas Ledesma, and her brother, Carlos Enrique Cuevas Jaramillo. </w:t>
      </w:r>
    </w:p>
  </w:footnote>
  <w:footnote w:id="118">
    <w:p w14:paraId="2D0F70DA" w14:textId="5ECACA5E"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Bárbara Italia Méndez Moreno was 29 years of age at the time of the facts and, at the time, was a student of Latin American studies at the Universidad Nacional Autónoma de México. Her family consists of her partner, Iván Artión Torres Urbina.</w:t>
      </w:r>
    </w:p>
  </w:footnote>
  <w:footnote w:id="119">
    <w:p w14:paraId="44692D18" w14:textId="29168BB3"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Similarly, Angélica Patricia Torres Linares indicated that they were “kicked out of the bus and told that “we had reached home and we would never leave that place.”</w:t>
      </w:r>
    </w:p>
  </w:footnote>
  <w:footnote w:id="120">
    <w:p w14:paraId="11F3B9A7" w14:textId="5EF51E67"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In the same way, Bárbara Italia Méndez Moreno recounted that they were beaten while they were asked to provide their personal data.</w:t>
      </w:r>
    </w:p>
  </w:footnote>
  <w:footnote w:id="121">
    <w:p w14:paraId="4E25FD88" w14:textId="123B8633"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On May 6, 2006, she was interviewed by CNDH personnel, to whom she initially said that her name was “Marisol Larios Carvajal.” On May 12, 2006, she was again interviewed by CNDH personnel and, on that occasion, she identified herself as Angélica Patricia Torres Linares, explaining that she had given another name initially because she was afraid since, at the time of her detention, she had been recorded and photographed while being threatened that members of her family would be killed.</w:t>
      </w:r>
    </w:p>
  </w:footnote>
  <w:footnote w:id="122">
    <w:p w14:paraId="227C1749" w14:textId="04C725EE"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lang w:val="en-US"/>
        </w:rPr>
        <w:t xml:space="preserve">Cf. </w:t>
      </w:r>
      <w:r w:rsidRPr="00104227">
        <w:rPr>
          <w:lang w:val="en-US"/>
        </w:rPr>
        <w:t>Order on the constitutional time limit issued by the Fourth Criminal Trial Court of the Toluca Judicial District, of July 20, 2012 (evidence file, folio 10683), and forensic chemistry appraisal of May 6, 2006, performed on Bárbara Italia Méndez Moreno (evidence file, folio 8854</w:t>
      </w:r>
      <w:r w:rsidRPr="00104227">
        <w:rPr>
          <w:spacing w:val="0"/>
          <w:lang w:val="en-US"/>
        </w:rPr>
        <w:t xml:space="preserve">). </w:t>
      </w:r>
    </w:p>
  </w:footnote>
  <w:footnote w:id="123">
    <w:p w14:paraId="0D960CEF" w14:textId="743B030F" w:rsidR="0080773E" w:rsidRPr="00104227" w:rsidRDefault="0080773E" w:rsidP="002755DF">
      <w:pPr>
        <w:pStyle w:val="Textonotapie"/>
        <w:tabs>
          <w:tab w:val="left" w:pos="426"/>
        </w:tabs>
        <w:rPr>
          <w:lang w:val="en-US"/>
        </w:rPr>
      </w:pPr>
      <w:r w:rsidRPr="00104227">
        <w:rPr>
          <w:rStyle w:val="Refdenotaalpie"/>
          <w:lang w:val="en-US"/>
        </w:rPr>
        <w:footnoteRef/>
      </w:r>
      <w:r w:rsidRPr="00104227">
        <w:rPr>
          <w:lang w:val="en-US"/>
        </w:rPr>
        <w:t xml:space="preserve"> </w:t>
      </w:r>
      <w:r w:rsidRPr="00104227">
        <w:rPr>
          <w:lang w:val="en-US"/>
        </w:rPr>
        <w:tab/>
        <w:t>Also, on June 22, 2006, she had a gynecological appointment at the Sanatorio Vista Alegre. Among the reasons for the appointment, it was indicated that “she recounts that she was assaulted and abused by police on May 4 this year” and “indicates that she has symptoms of problems in the vaginal area, among others.” On that occasion, she reported that, as she was menstruating – which lasted ten days – the male doctor refused to perform a gynecological examination and she was referred to a female forensic physician who did not examine her either and prescribed paracetamol. Among the findings, she was diagnosed with bacterial vaginosis, stress-related colitis, eating disorder, and symptoms of depression.</w:t>
      </w:r>
    </w:p>
  </w:footnote>
  <w:footnote w:id="124">
    <w:p w14:paraId="507AF641" w14:textId="3AD2AA45"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On June 1, 2006, CNDH personnel provided psychological support to Mariana Selvas Gómez, Georgina Edith Rosales Gutiérrez and Suhelen Gabriela Cuevas Jaramillo during their gynecological examination.</w:t>
      </w:r>
    </w:p>
  </w:footnote>
  <w:footnote w:id="125">
    <w:p w14:paraId="1845F5C1" w14:textId="18DB8A1F" w:rsidR="0080773E" w:rsidRPr="00104227" w:rsidRDefault="0080773E" w:rsidP="002755DF">
      <w:pPr>
        <w:pStyle w:val="Textonotapie"/>
        <w:tabs>
          <w:tab w:val="left" w:pos="426"/>
        </w:tabs>
        <w:rPr>
          <w:lang w:val="en-US"/>
        </w:rPr>
      </w:pPr>
      <w:r w:rsidRPr="00104227">
        <w:rPr>
          <w:rStyle w:val="Refdenotaalpie"/>
          <w:lang w:val="en-US"/>
        </w:rPr>
        <w:footnoteRef/>
      </w:r>
      <w:r w:rsidRPr="00104227">
        <w:rPr>
          <w:lang w:val="en-US"/>
        </w:rPr>
        <w:t xml:space="preserve"> </w:t>
      </w:r>
      <w:r w:rsidRPr="00104227">
        <w:rPr>
          <w:lang w:val="en-US"/>
        </w:rPr>
        <w:tab/>
        <w:t xml:space="preserve">Yolanda Muñoz Diosdada, María Cristina Sánchez Hernández, Angélica Patricia Torres Linares and Ana María Velasco Rodríguez were released on May 13, 2006; Bárbara Italia Méndez Moreno was released on May 15, 2006; Claudia Hernández Martínez was released on January 26, 2007; Norma Aidé Jiménez Osorio was released on April 16, 2007; Mariana Selvas Gómez was released on April 30, 2007; Suhelen Gabriela Cuevas Jaramillo was released on June 2, 2007; Georgina Edith Rosales Gutiérrez was released on June 4, 2007, and María Patricia Romero Hernández was released on August 29, 2008. </w:t>
      </w:r>
      <w:r w:rsidRPr="00104227">
        <w:rPr>
          <w:i/>
          <w:lang w:val="en-US"/>
        </w:rPr>
        <w:t xml:space="preserve">Cf. </w:t>
      </w:r>
      <w:r w:rsidRPr="00104227">
        <w:rPr>
          <w:lang w:val="en-US"/>
        </w:rPr>
        <w:t>Brief of the State before the IACHR of March 24, 2015 (evidence file, folios 14405 and 14406). See also, Merits Report No. 74/15. Case 12,846. Merits. Mariana Selvas Gómez et al. v. Mexico</w:t>
      </w:r>
      <w:r w:rsidRPr="00104227">
        <w:rPr>
          <w:i/>
          <w:iCs/>
          <w:lang w:val="en-US"/>
        </w:rPr>
        <w:t>,</w:t>
      </w:r>
      <w:r w:rsidRPr="00104227">
        <w:rPr>
          <w:lang w:val="en-US"/>
        </w:rPr>
        <w:t xml:space="preserve"> October 28, 2015 (merits file, folios 31, 34, 36, 39, 41, 44, 46, 49, 51, 53 and 55).</w:t>
      </w:r>
    </w:p>
  </w:footnote>
  <w:footnote w:id="126">
    <w:p w14:paraId="4EF1B44B" w14:textId="749C0A2F"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Ruling of May 13, 2008, of the First Criminal Trial Court of the Texcoco Judicial District (evidence file, folios 42548 to 42558).</w:t>
      </w:r>
    </w:p>
  </w:footnote>
  <w:footnote w:id="127">
    <w:p w14:paraId="299E9084" w14:textId="3AA0ED86"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Ruling of July 17, 2008, of the Texcoco First Collegiate Criminal Chamber (evidence file, folios 41500 to 41521).</w:t>
      </w:r>
    </w:p>
  </w:footnote>
  <w:footnote w:id="128">
    <w:p w14:paraId="431AE7AD" w14:textId="20ADDD5E"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Ruling of July 17, 2008, of the Texcoco First Collegiate Criminal Chamber (evidence file, folios 41500 to 41521).</w:t>
      </w:r>
    </w:p>
  </w:footnote>
  <w:footnote w:id="129">
    <w:p w14:paraId="7A36BBE0" w14:textId="3F315985"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Ruling</w:t>
      </w:r>
      <w:r w:rsidRPr="00104227">
        <w:rPr>
          <w:i/>
          <w:lang w:val="en-US"/>
        </w:rPr>
        <w:t xml:space="preserve"> </w:t>
      </w:r>
      <w:r w:rsidRPr="00104227">
        <w:rPr>
          <w:lang w:val="en-US"/>
        </w:rPr>
        <w:t>of May 24, 2011, Sixth District Court of the state of Mexico (evidence file, folios 43265 to 43441).</w:t>
      </w:r>
    </w:p>
  </w:footnote>
  <w:footnote w:id="130">
    <w:p w14:paraId="20D26D06" w14:textId="3A9AA159"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Ruling of May 13, 2008, of the First Criminal Trial Court of the Texcoco Judicial District (evidence file, folio 42549), and Ruling of August 27, 2008, of the First Criminal Trial Court of the Texcoco Judicial District (evidence file, folio 42601).</w:t>
      </w:r>
    </w:p>
  </w:footnote>
  <w:footnote w:id="131">
    <w:p w14:paraId="43AD4131" w14:textId="32B01591"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Judgment of August 21, 2008, of the Third Criminal Trial Court of the Texcoco Judicial District (evidence file, folios 41949 to 42335). </w:t>
      </w:r>
    </w:p>
  </w:footnote>
  <w:footnote w:id="132">
    <w:p w14:paraId="68AACF9D" w14:textId="0C828044"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Judgment of August 9, 2017, of the First Unitary Criminal Chamber of the Texcoco Judicial Region (evidence file, folios 37594 to 37596).</w:t>
      </w:r>
    </w:p>
  </w:footnote>
  <w:footnote w:id="133">
    <w:p w14:paraId="23B715A5" w14:textId="7CA903F0" w:rsidR="0080773E" w:rsidRPr="00104227" w:rsidRDefault="0080773E" w:rsidP="002755DF">
      <w:pPr>
        <w:tabs>
          <w:tab w:val="left" w:pos="284"/>
          <w:tab w:val="left" w:pos="426"/>
        </w:tabs>
        <w:rPr>
          <w:bCs/>
          <w:sz w:val="16"/>
          <w:szCs w:val="16"/>
        </w:rPr>
      </w:pPr>
      <w:r w:rsidRPr="00104227">
        <w:rPr>
          <w:rStyle w:val="Refdenotaalpie"/>
        </w:rPr>
        <w:footnoteRef/>
      </w:r>
      <w:r w:rsidRPr="00104227">
        <w:rPr>
          <w:sz w:val="16"/>
          <w:szCs w:val="16"/>
        </w:rPr>
        <w:t xml:space="preserve"> </w:t>
      </w:r>
      <w:r w:rsidRPr="00104227">
        <w:rPr>
          <w:sz w:val="16"/>
          <w:szCs w:val="16"/>
        </w:rPr>
        <w:tab/>
      </w:r>
      <w:r w:rsidRPr="00104227">
        <w:rPr>
          <w:sz w:val="16"/>
          <w:szCs w:val="16"/>
        </w:rPr>
        <w:tab/>
      </w:r>
      <w:r w:rsidRPr="00104227">
        <w:rPr>
          <w:bCs/>
          <w:sz w:val="16"/>
          <w:szCs w:val="16"/>
        </w:rPr>
        <w:t>The National Human Rights Commission (CNDH) is a State, public, autonomous and non-jurisdictional body for the defense and protection of human rights. Its mission is to protect, observe, promote, research and disseminate the human rights that are protected by the laws of Mexico and international treaties applicable to Mexico. When violations are confirmed, it has the authority to issue recommendations, which can include measures of restitution and, if appropriate, of measures to repair the harm and prejudice caused. These recommendations are not binding for the authorities concerned, which may or may not accept them. If they do not accept them, the authority in question may be held accountable before the Chamber of the Senate or, if this is not sitting, the Permanent Commission, or the legislators of the federative entities, pursuant to Articles 15 (X) and 46.3.a) of the Law on the CNDH, published in the Official Gazette of the Federation on June 29, 1992.</w:t>
      </w:r>
    </w:p>
  </w:footnote>
  <w:footnote w:id="134">
    <w:p w14:paraId="5BBA27B0" w14:textId="319F7F42" w:rsidR="0080773E" w:rsidRPr="00104227" w:rsidRDefault="0080773E" w:rsidP="002755DF">
      <w:pPr>
        <w:pStyle w:val="Footnotes"/>
        <w:tabs>
          <w:tab w:val="left" w:pos="426"/>
        </w:tabs>
        <w:spacing w:before="120" w:after="120"/>
        <w:contextualSpacing/>
        <w:rPr>
          <w:spacing w:val="0"/>
          <w:lang w:val="en-US"/>
        </w:rPr>
      </w:pPr>
      <w:r w:rsidRPr="00104227">
        <w:rPr>
          <w:rStyle w:val="Refdenotaalpie"/>
          <w:rFonts w:eastAsia="Batang"/>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Decision of the CNDH of May 3, 2006, signed by its President, José Luis Soberanes Fernández (evidence file, folio 1604).</w:t>
      </w:r>
      <w:r w:rsidRPr="00104227">
        <w:rPr>
          <w:color w:val="FF0000"/>
          <w:spacing w:val="0"/>
          <w:lang w:val="en-US"/>
        </w:rPr>
        <w:t xml:space="preserve"> </w:t>
      </w:r>
    </w:p>
  </w:footnote>
  <w:footnote w:id="135">
    <w:p w14:paraId="59AB62C1" w14:textId="1A79EEFB"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CNDH Recommendation No. 38/2006 of October 16, 2006 (evidence file, folios 28516, 28517, 28544 to 28549, 28552 and 28606</w:t>
      </w:r>
      <w:r w:rsidRPr="00104227">
        <w:rPr>
          <w:rFonts w:cs="Arial"/>
          <w:iCs/>
          <w:lang w:val="en-US" w:eastAsia="en-US"/>
        </w:rPr>
        <w:t>)</w:t>
      </w:r>
      <w:r w:rsidRPr="00104227">
        <w:rPr>
          <w:lang w:val="en-US"/>
        </w:rPr>
        <w:t>.</w:t>
      </w:r>
    </w:p>
  </w:footnote>
  <w:footnote w:id="136">
    <w:p w14:paraId="1EF86E31" w14:textId="1F80CA33" w:rsidR="0080773E" w:rsidRPr="00104227" w:rsidRDefault="0080773E" w:rsidP="002755DF">
      <w:pPr>
        <w:pStyle w:val="Footnotes"/>
        <w:tabs>
          <w:tab w:val="left" w:pos="426"/>
        </w:tabs>
        <w:spacing w:before="120" w:after="120"/>
        <w:contextualSpacing/>
        <w:rPr>
          <w:spacing w:val="0"/>
          <w:lang w:val="en-US"/>
        </w:rPr>
      </w:pPr>
      <w:r w:rsidRPr="00104227">
        <w:rPr>
          <w:rStyle w:val="Refdenotaalpie"/>
          <w:rFonts w:eastAsia="Batang"/>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CNDH Recommendation No. 38/2006 of October 16, 2006 (evidence file, folios 28538 to 28543</w:t>
      </w:r>
      <w:r w:rsidRPr="00104227">
        <w:rPr>
          <w:rFonts w:eastAsiaTheme="minorHAnsi" w:cs="Arial"/>
          <w:spacing w:val="0"/>
          <w:lang w:val="en-US"/>
        </w:rPr>
        <w:t>)</w:t>
      </w:r>
      <w:r w:rsidRPr="00104227">
        <w:rPr>
          <w:spacing w:val="0"/>
          <w:lang w:val="en-US"/>
        </w:rPr>
        <w:t>.</w:t>
      </w:r>
    </w:p>
  </w:footnote>
  <w:footnote w:id="137">
    <w:p w14:paraId="3BA80CBE" w14:textId="44720DE4"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In this regard, the CNDH indicated that: “the practices adopted during the operation implemented by the police units involved violated the fundamental rights of the persons detained owing to the acts of violence that took place on May 3 and 4, 2006. This, in itself, represents a violation of the State’s obligation to ensure respect for the rights of everyone, and refers to the illegal detention, incommunicado, cruel, inhuman and/or degrading treatment, and torture to which they were subjected.” CNDH Recommendation No. 38/2006 of October 16, 2006 (evidence file, folio 28574). </w:t>
      </w:r>
    </w:p>
  </w:footnote>
  <w:footnote w:id="138">
    <w:p w14:paraId="38FD9EAE" w14:textId="77310D9D" w:rsidR="0080773E" w:rsidRPr="00104227" w:rsidRDefault="0080773E" w:rsidP="002755DF">
      <w:pPr>
        <w:pStyle w:val="Textonotapie"/>
        <w:tabs>
          <w:tab w:val="clear" w:pos="567"/>
          <w:tab w:val="left" w:pos="284"/>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lang w:val="en-US"/>
        </w:rPr>
        <w:tab/>
        <w:t>CNDH Recommendation No. 38/2006 of October 16, 2006 (evidence file, folios 28527, 28561, 28576 and 28577</w:t>
      </w:r>
      <w:r w:rsidRPr="00104227">
        <w:rPr>
          <w:rFonts w:cs="Arial"/>
          <w:iCs/>
          <w:lang w:val="en-US" w:eastAsia="en-US"/>
        </w:rPr>
        <w:t>)</w:t>
      </w:r>
      <w:r w:rsidRPr="00104227">
        <w:rPr>
          <w:lang w:val="en-US"/>
        </w:rPr>
        <w:t>.</w:t>
      </w:r>
    </w:p>
  </w:footnote>
  <w:footnote w:id="139">
    <w:p w14:paraId="74BD41E3" w14:textId="625337F9"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CNDH Recommendation No. 38/2006 of October 16, 2006 (evidence file, folios 28538, 28605 and 28606</w:t>
      </w:r>
      <w:r w:rsidRPr="00104227">
        <w:rPr>
          <w:rFonts w:cs="Arial"/>
          <w:iCs/>
          <w:lang w:val="en-US" w:eastAsia="en-US"/>
        </w:rPr>
        <w:t>)</w:t>
      </w:r>
      <w:r w:rsidRPr="00104227">
        <w:rPr>
          <w:lang w:val="en-US"/>
        </w:rPr>
        <w:t>.</w:t>
      </w:r>
    </w:p>
  </w:footnote>
  <w:footnote w:id="140">
    <w:p w14:paraId="1B95A903" w14:textId="2D86CECE"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rStyle w:val="Ninguno"/>
          <w:rFonts w:eastAsia="Arial Unicode MS" w:cs="Arial Unicode MS"/>
          <w:i/>
          <w:lang w:val="en-US"/>
        </w:rPr>
        <w:t>Cf.</w:t>
      </w:r>
      <w:r w:rsidRPr="00104227">
        <w:rPr>
          <w:lang w:val="en-US"/>
        </w:rPr>
        <w:t xml:space="preserve"> CNDH Recommendation No. 38/2006 of October 16, 2006 </w:t>
      </w:r>
      <w:r w:rsidRPr="00104227">
        <w:rPr>
          <w:rStyle w:val="Ninguno"/>
          <w:rFonts w:eastAsia="Arial Unicode MS" w:cs="Arial Unicode MS"/>
          <w:lang w:val="en-US"/>
        </w:rPr>
        <w:t>(evidence file, folios 29456, 29201, 29763, 29761, 29922, 29781, 30078, 30079, 28923, 29389, 29852 and 29996</w:t>
      </w:r>
      <w:r w:rsidRPr="00104227">
        <w:rPr>
          <w:lang w:val="en-US"/>
        </w:rPr>
        <w:t xml:space="preserve">). </w:t>
      </w:r>
    </w:p>
  </w:footnote>
  <w:footnote w:id="141">
    <w:p w14:paraId="5781A231" w14:textId="798AE257"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rStyle w:val="Ninguno"/>
          <w:rFonts w:eastAsia="Arial Unicode MS" w:cs="Arial Unicode MS"/>
          <w:i/>
          <w:lang w:val="en-US"/>
        </w:rPr>
        <w:t xml:space="preserve">Cf. </w:t>
      </w:r>
      <w:r w:rsidRPr="00104227">
        <w:rPr>
          <w:lang w:val="en-US"/>
        </w:rPr>
        <w:t xml:space="preserve">CNDH Recommendation No. 38/2006 of October 16, 2006 </w:t>
      </w:r>
      <w:r w:rsidRPr="00104227">
        <w:rPr>
          <w:rStyle w:val="Ninguno"/>
          <w:rFonts w:eastAsia="Arial Unicode MS" w:cs="Arial Unicode MS"/>
          <w:lang w:val="en-US"/>
        </w:rPr>
        <w:t>(evidence file, folios 29458, 29203, 29763, 29923, 29783, 30081, 28925, 29391, 29853 and 29998</w:t>
      </w:r>
      <w:r w:rsidRPr="00104227">
        <w:rPr>
          <w:lang w:val="en-US"/>
        </w:rPr>
        <w:t>).</w:t>
      </w:r>
    </w:p>
  </w:footnote>
  <w:footnote w:id="142">
    <w:p w14:paraId="2338244B" w14:textId="41D48BD7"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lang w:val="en-US"/>
        </w:rPr>
        <w:t>CNDH Recommendation No. 38/2006 of October 16, 2006</w:t>
      </w:r>
      <w:r w:rsidRPr="00104227">
        <w:rPr>
          <w:rStyle w:val="Ninguno"/>
          <w:rFonts w:eastAsia="Arial Unicode MS" w:cs="Arial Unicode MS"/>
          <w:lang w:val="en-US"/>
        </w:rPr>
        <w:t xml:space="preserve"> </w:t>
      </w:r>
      <w:r w:rsidRPr="00104227">
        <w:rPr>
          <w:spacing w:val="0"/>
          <w:lang w:val="en-US"/>
        </w:rPr>
        <w:t>(evidence file, folios</w:t>
      </w:r>
      <w:bookmarkStart w:id="215" w:name="_Hlk526611835"/>
      <w:r w:rsidRPr="00104227">
        <w:rPr>
          <w:spacing w:val="0"/>
          <w:lang w:val="en-US"/>
        </w:rPr>
        <w:t xml:space="preserve"> 29459, 29203, 29783, 30080, 30081, 28926, 29391 and 29998</w:t>
      </w:r>
      <w:bookmarkEnd w:id="215"/>
      <w:r w:rsidRPr="00104227">
        <w:rPr>
          <w:spacing w:val="0"/>
          <w:lang w:val="en-US"/>
        </w:rPr>
        <w:t>).</w:t>
      </w:r>
    </w:p>
  </w:footnote>
  <w:footnote w:id="143">
    <w:p w14:paraId="3BD519B4" w14:textId="5341DC6F"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rStyle w:val="Ninguno"/>
          <w:rFonts w:eastAsia="Arial Unicode MS" w:cs="Arial Unicode MS"/>
          <w:i/>
          <w:lang w:val="en-US"/>
        </w:rPr>
        <w:t xml:space="preserve">Cf. </w:t>
      </w:r>
      <w:r w:rsidRPr="00104227">
        <w:rPr>
          <w:lang w:val="en-US"/>
        </w:rPr>
        <w:t xml:space="preserve">CNDH Recommendation No. 38/2006 of October 16, 2006 </w:t>
      </w:r>
      <w:r w:rsidRPr="00104227">
        <w:rPr>
          <w:rStyle w:val="Ninguno"/>
          <w:rFonts w:eastAsia="Arial Unicode MS" w:cs="Arial Unicode MS"/>
          <w:lang w:val="en-US"/>
        </w:rPr>
        <w:t>(evidence file, folios 29203 and 29391</w:t>
      </w:r>
      <w:r w:rsidRPr="00104227">
        <w:rPr>
          <w:lang w:val="en-US"/>
        </w:rPr>
        <w:t>).</w:t>
      </w:r>
    </w:p>
  </w:footnote>
  <w:footnote w:id="144">
    <w:p w14:paraId="7947DAAA" w14:textId="773EC5D5"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CNDH Recommendation No. 38/2006 of October 16, 2006 (evidence file, folios </w:t>
      </w:r>
      <w:r w:rsidRPr="00104227">
        <w:rPr>
          <w:rStyle w:val="Ninguno"/>
          <w:rFonts w:eastAsia="Arial Unicode MS" w:cs="Arial Unicode MS"/>
          <w:lang w:val="en-US"/>
        </w:rPr>
        <w:t>29457, 30079, 28924, 29390, 29852 and 29997</w:t>
      </w:r>
      <w:r w:rsidRPr="00104227">
        <w:rPr>
          <w:lang w:val="en-US"/>
        </w:rPr>
        <w:t>).</w:t>
      </w:r>
    </w:p>
  </w:footnote>
  <w:footnote w:id="145">
    <w:p w14:paraId="549CA883" w14:textId="243F82C1"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rStyle w:val="Ninguno"/>
          <w:rFonts w:eastAsia="Arial Unicode MS" w:cs="Arial Unicode MS"/>
          <w:i/>
          <w:lang w:val="en-US"/>
        </w:rPr>
        <w:t xml:space="preserve">Cf. </w:t>
      </w:r>
      <w:r w:rsidRPr="00104227">
        <w:rPr>
          <w:lang w:val="en-US"/>
        </w:rPr>
        <w:t xml:space="preserve">CNDH Recommendation No. 38/2006 of October 16, 2006 </w:t>
      </w:r>
      <w:r w:rsidRPr="00104227">
        <w:rPr>
          <w:rStyle w:val="Ninguno"/>
          <w:rFonts w:eastAsia="Arial Unicode MS" w:cs="Arial Unicode MS"/>
          <w:lang w:val="en-US"/>
        </w:rPr>
        <w:t>(evidence file, folios 29459 to 29461, 29204 to 29206, 29764, 29924 to 29926, 29784, 29785, 30081 to 30083, 28926 to 28928, 29392 to 29394, 29854, 29855, and 29998 to 30000</w:t>
      </w:r>
      <w:r w:rsidRPr="00104227">
        <w:rPr>
          <w:lang w:val="en-US"/>
        </w:rPr>
        <w:t xml:space="preserve">). </w:t>
      </w:r>
    </w:p>
  </w:footnote>
  <w:footnote w:id="146">
    <w:p w14:paraId="18F99411" w14:textId="07346048" w:rsidR="0080773E" w:rsidRPr="00104227" w:rsidRDefault="0080773E" w:rsidP="002755DF">
      <w:pPr>
        <w:pStyle w:val="Footnotes"/>
        <w:tabs>
          <w:tab w:val="left" w:pos="426"/>
        </w:tabs>
        <w:spacing w:before="120" w:after="120"/>
        <w:contextualSpacing/>
        <w:rPr>
          <w:spacing w:val="0"/>
          <w:lang w:val="en-US"/>
        </w:rPr>
      </w:pPr>
      <w:r w:rsidRPr="00104227">
        <w:rPr>
          <w:rStyle w:val="Refdenotaalpie"/>
          <w:rFonts w:eastAsia="Batang"/>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 xml:space="preserve">Notice of the National Human Rights Commission (CNDH) published in </w:t>
      </w:r>
      <w:r w:rsidRPr="00104227">
        <w:rPr>
          <w:i/>
          <w:iCs w:val="0"/>
          <w:spacing w:val="0"/>
          <w:lang w:val="en-US"/>
        </w:rPr>
        <w:t>La Jornada</w:t>
      </w:r>
      <w:r w:rsidRPr="00104227">
        <w:rPr>
          <w:spacing w:val="0"/>
          <w:lang w:val="en-US"/>
        </w:rPr>
        <w:t xml:space="preserve"> on October 26, 2006 (evidence file, folio 1606). </w:t>
      </w:r>
    </w:p>
  </w:footnote>
  <w:footnote w:id="147">
    <w:p w14:paraId="7DE6C7F7" w14:textId="1826AFB5" w:rsidR="0080773E" w:rsidRPr="00104227" w:rsidRDefault="0080773E" w:rsidP="002755DF">
      <w:pPr>
        <w:tabs>
          <w:tab w:val="left" w:pos="426"/>
        </w:tabs>
        <w:autoSpaceDE w:val="0"/>
        <w:autoSpaceDN w:val="0"/>
        <w:adjustRightInd w:val="0"/>
        <w:spacing w:before="120" w:after="120"/>
        <w:rPr>
          <w:rFonts w:cs="Arial"/>
          <w:sz w:val="16"/>
          <w:szCs w:val="16"/>
        </w:rPr>
      </w:pPr>
      <w:r w:rsidRPr="00104227">
        <w:rPr>
          <w:rStyle w:val="Refdenotaalpie"/>
        </w:rPr>
        <w:footnoteRef/>
      </w:r>
      <w:r w:rsidRPr="00104227">
        <w:rPr>
          <w:sz w:val="16"/>
          <w:szCs w:val="16"/>
        </w:rPr>
        <w:t xml:space="preserve"> </w:t>
      </w:r>
      <w:r w:rsidRPr="00104227">
        <w:rPr>
          <w:sz w:val="16"/>
          <w:szCs w:val="16"/>
        </w:rPr>
        <w:tab/>
        <w:t>According to the laws of Mexico in force at the time of the facts, the SCJN had specific authority to appoint a special commission to conduct inquiries into acts that constituted serious violations of any individual guarantee:</w:t>
      </w:r>
      <w:r w:rsidRPr="00104227">
        <w:rPr>
          <w:rFonts w:cs="Arial"/>
          <w:sz w:val="16"/>
          <w:szCs w:val="16"/>
        </w:rPr>
        <w:t xml:space="preserve"> “The Supreme Court of Justice of the Nation may appoint one or some of its members, or a district judge or circuit magistrate, or designate one or several special commissioners, when it deems it appropriate or this is requested by the Federal Executive or one of the Chambers of the Congress of the Union, or the Governor of a state, solely to investigate any act or acts that constitute a serious violation of any individual guarantee. It may also request the Council of the Federal Judiciary to investigate the conduct of any judge or federal magistrate […]. Constitution of the United Mexican States (in force in 2006), art. </w:t>
      </w:r>
      <w:r w:rsidRPr="00104227">
        <w:rPr>
          <w:rFonts w:cs="Arial"/>
          <w:iCs/>
          <w:sz w:val="16"/>
          <w:szCs w:val="16"/>
        </w:rPr>
        <w:t xml:space="preserve">97.2 </w:t>
      </w:r>
      <w:r w:rsidRPr="00104227">
        <w:rPr>
          <w:rFonts w:cs="Arial"/>
          <w:sz w:val="16"/>
          <w:szCs w:val="16"/>
        </w:rPr>
        <w:t xml:space="preserve">(evidence file, folio 23156). This authority has been exercised infrequently and only in serious cases. </w:t>
      </w:r>
      <w:r w:rsidRPr="00104227">
        <w:rPr>
          <w:i/>
          <w:sz w:val="16"/>
          <w:szCs w:val="16"/>
        </w:rPr>
        <w:t xml:space="preserve">Cf. </w:t>
      </w:r>
      <w:r w:rsidRPr="00104227">
        <w:rPr>
          <w:sz w:val="16"/>
          <w:szCs w:val="16"/>
        </w:rPr>
        <w:t xml:space="preserve">Resolution on the request to exercise the authority to investigate of the SCJN of February 6, 2007 (evidence file, folios 1612 to 1614). Nowadays, this authority has been transferred to the CNDH. </w:t>
      </w:r>
      <w:r w:rsidRPr="00104227">
        <w:rPr>
          <w:i/>
          <w:sz w:val="16"/>
          <w:szCs w:val="16"/>
        </w:rPr>
        <w:t xml:space="preserve">Cf. </w:t>
      </w:r>
      <w:r w:rsidRPr="00104227">
        <w:rPr>
          <w:sz w:val="16"/>
          <w:szCs w:val="16"/>
        </w:rPr>
        <w:t>Decree amending the name of Chapter I of the First Title and amendment of diverse articles of the Constitution of the United Mexican States, dated June 10, 2011.</w:t>
      </w:r>
    </w:p>
  </w:footnote>
  <w:footnote w:id="148">
    <w:p w14:paraId="199249C4" w14:textId="2EF3C841"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 xml:space="preserve">SCJN judgment of February 12, 2009 (evidence file, folios 31341 to 31348), and </w:t>
      </w:r>
      <w:r w:rsidRPr="00104227">
        <w:rPr>
          <w:lang w:val="en-US"/>
        </w:rPr>
        <w:t xml:space="preserve">Resolution on the request to exercise the authority to investigate of the SCJN </w:t>
      </w:r>
      <w:r w:rsidRPr="00104227">
        <w:rPr>
          <w:spacing w:val="0"/>
          <w:lang w:val="en-US"/>
        </w:rPr>
        <w:t>of February 6, 2007 (evidence file, folio 1626).</w:t>
      </w:r>
      <w:r w:rsidRPr="00104227">
        <w:rPr>
          <w:rFonts w:cs="Arial"/>
          <w:spacing w:val="0"/>
          <w:lang w:val="en-US"/>
        </w:rPr>
        <w:t xml:space="preserve"> </w:t>
      </w:r>
    </w:p>
  </w:footnote>
  <w:footnote w:id="149">
    <w:p w14:paraId="1C24A16C" w14:textId="594C3F29"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 xml:space="preserve">SCJN judgment of February 12, 2009 (evidence file, folio </w:t>
      </w:r>
      <w:r w:rsidRPr="00104227">
        <w:rPr>
          <w:rFonts w:cs="Arial"/>
          <w:lang w:val="en-US"/>
        </w:rPr>
        <w:t xml:space="preserve">31688), and </w:t>
      </w:r>
      <w:r w:rsidRPr="00104227">
        <w:rPr>
          <w:lang w:val="en-US"/>
        </w:rPr>
        <w:t>Resolution on the request to exercise the authority to investigate of the SCJN of February 6, 2007 (evidence file, folio 1629).</w:t>
      </w:r>
      <w:r w:rsidRPr="00104227">
        <w:rPr>
          <w:rFonts w:cs="Arial"/>
          <w:lang w:val="en-US"/>
        </w:rPr>
        <w:t xml:space="preserve"> </w:t>
      </w:r>
    </w:p>
  </w:footnote>
  <w:footnote w:id="150">
    <w:p w14:paraId="20021F26" w14:textId="36AC4CE4" w:rsidR="0080773E" w:rsidRPr="00104227" w:rsidRDefault="0080773E" w:rsidP="00751DF2">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Initially, the Commission of Inquiry was also supposed “to rule on the forms of reparation” and “possible civil, criminal, administrative or political responsibilities.” Resolution on the request to exercise the authority to investigate of the SCJN of February 6, 2007 (evidence file, folios </w:t>
      </w:r>
      <w:r w:rsidRPr="00104227">
        <w:rPr>
          <w:rFonts w:cs="Arial"/>
          <w:iCs/>
          <w:lang w:val="en-US" w:eastAsia="en-US"/>
        </w:rPr>
        <w:t xml:space="preserve">1628 and 1629). However, subsequently, the Plenary </w:t>
      </w:r>
      <w:r w:rsidRPr="00104227">
        <w:rPr>
          <w:lang w:val="en-US"/>
        </w:rPr>
        <w:t>issued General Decision 16/2007, which amended the powers of commissions of inquiry established under article 97 of the Constitution, so that they should “restrict [themselves] exclusively to the facts determined by the Plenary in the resolution deciding to appoint them,” and could not “adjudicate responsibilities, but only identify the persons who may have participated in the acts classified as serious violations of individual guarantees.” SCJN judgment of February 12, 2009 (evidence file, folios 31436 and 31437</w:t>
      </w:r>
      <w:r w:rsidRPr="00104227">
        <w:rPr>
          <w:rFonts w:cs="Arial"/>
          <w:iCs/>
          <w:lang w:val="en-US" w:eastAsia="en-US"/>
        </w:rPr>
        <w:t xml:space="preserve">). </w:t>
      </w:r>
    </w:p>
  </w:footnote>
  <w:footnote w:id="151">
    <w:p w14:paraId="528EDC5B" w14:textId="41045896"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SCJN judgment of February 12, 2009 (evidence file, folio 30659</w:t>
      </w:r>
      <w:r w:rsidRPr="00104227">
        <w:rPr>
          <w:rFonts w:cs="Arial"/>
          <w:iCs/>
          <w:lang w:val="en-US" w:eastAsia="en-US"/>
        </w:rPr>
        <w:t>).</w:t>
      </w:r>
    </w:p>
  </w:footnote>
  <w:footnote w:id="152">
    <w:p w14:paraId="4DA883B9" w14:textId="1E7D6DEA"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SCJN judgment of February 12, 2009 (evidence file, folio 30668).</w:t>
      </w:r>
    </w:p>
  </w:footnote>
  <w:footnote w:id="153">
    <w:p w14:paraId="54D239EE" w14:textId="7402FBFC"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SCJN judgment of February 12, 2009 (evidence file, folio 30660).</w:t>
      </w:r>
    </w:p>
  </w:footnote>
  <w:footnote w:id="154">
    <w:p w14:paraId="2005449E" w14:textId="144F4035"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The report was sent to 147 persons involved in the events. However, only 144 were notified, because one of them was deceased and it was impossible to find two others.</w:t>
      </w:r>
      <w:r w:rsidRPr="00104227">
        <w:rPr>
          <w:rFonts w:cs="Arial"/>
          <w:lang w:val="en-US" w:eastAsia="en-US"/>
        </w:rPr>
        <w:t xml:space="preserve"> </w:t>
      </w:r>
      <w:r w:rsidRPr="00104227">
        <w:rPr>
          <w:i/>
          <w:lang w:val="en-US"/>
        </w:rPr>
        <w:t xml:space="preserve">Cf. </w:t>
      </w:r>
      <w:r w:rsidRPr="00104227">
        <w:rPr>
          <w:lang w:val="en-US"/>
        </w:rPr>
        <w:t xml:space="preserve">SCJN judgment of February 12, 2009 (evidence file, </w:t>
      </w:r>
      <w:r w:rsidRPr="00104227">
        <w:rPr>
          <w:rFonts w:cs="Arial"/>
          <w:lang w:val="en-US" w:eastAsia="en-US"/>
        </w:rPr>
        <w:t xml:space="preserve">folio 30671). </w:t>
      </w:r>
    </w:p>
  </w:footnote>
  <w:footnote w:id="155">
    <w:p w14:paraId="05261D1F" w14:textId="37068545"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SCJN judgment of February 12, 2009 (evidence file, folios 30679 to 30690, 30691 to 30754, 31349, 31353, 31354 to 31423, 31425, 31483 and 31484)</w:t>
      </w:r>
    </w:p>
  </w:footnote>
  <w:footnote w:id="156">
    <w:p w14:paraId="2237D8D3" w14:textId="21762531"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SCJN judgment of February 12, 2009 (evidence file, folios 31485 and 31486).</w:t>
      </w:r>
    </w:p>
  </w:footnote>
  <w:footnote w:id="157">
    <w:p w14:paraId="5385D0B9" w14:textId="05DBD88C"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SCJN judgment of February 12, 2009 (evidence file, folio 31055). </w:t>
      </w:r>
    </w:p>
  </w:footnote>
  <w:footnote w:id="158">
    <w:p w14:paraId="4FA51A47" w14:textId="03CEBEFB"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SCJN judgment of February 12, 2009 (evidence file, folio 31062).</w:t>
      </w:r>
    </w:p>
  </w:footnote>
  <w:footnote w:id="159">
    <w:p w14:paraId="0BEE042A" w14:textId="7F523B52"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CNDH Recommendation No. 38/2006 of October 16, 2006 (evidence file, folio 28551).</w:t>
      </w:r>
      <w:r w:rsidRPr="00104227">
        <w:rPr>
          <w:rFonts w:cs="Arial"/>
          <w:lang w:val="en-US" w:eastAsia="en-US"/>
        </w:rPr>
        <w:t xml:space="preserve"> </w:t>
      </w:r>
    </w:p>
  </w:footnote>
  <w:footnote w:id="160">
    <w:p w14:paraId="45228817" w14:textId="27E5514E" w:rsidR="0080773E" w:rsidRPr="00104227" w:rsidRDefault="0080773E" w:rsidP="002755DF">
      <w:pPr>
        <w:tabs>
          <w:tab w:val="left" w:pos="426"/>
        </w:tabs>
        <w:autoSpaceDE w:val="0"/>
        <w:autoSpaceDN w:val="0"/>
        <w:adjustRightInd w:val="0"/>
        <w:spacing w:before="120" w:after="120"/>
        <w:rPr>
          <w:rFonts w:cs="Arial"/>
          <w:sz w:val="16"/>
          <w:szCs w:val="16"/>
        </w:rPr>
      </w:pPr>
      <w:r w:rsidRPr="00104227">
        <w:rPr>
          <w:rFonts w:cs="Arial"/>
          <w:sz w:val="16"/>
          <w:szCs w:val="16"/>
          <w:vertAlign w:val="superscript"/>
        </w:rPr>
        <w:footnoteRef/>
      </w:r>
      <w:r w:rsidRPr="00104227">
        <w:rPr>
          <w:rFonts w:cs="Arial"/>
          <w:sz w:val="16"/>
          <w:szCs w:val="16"/>
          <w:vertAlign w:val="superscript"/>
        </w:rPr>
        <w:t xml:space="preserve"> </w:t>
      </w:r>
      <w:r w:rsidRPr="00104227">
        <w:rPr>
          <w:rFonts w:cs="Arial"/>
          <w:sz w:val="16"/>
          <w:szCs w:val="16"/>
          <w:vertAlign w:val="superscript"/>
        </w:rPr>
        <w:tab/>
      </w:r>
      <w:r w:rsidRPr="00104227">
        <w:rPr>
          <w:rFonts w:cs="Arial"/>
          <w:i/>
          <w:sz w:val="16"/>
          <w:szCs w:val="16"/>
        </w:rPr>
        <w:t>Cf.</w:t>
      </w:r>
      <w:r w:rsidRPr="00104227">
        <w:rPr>
          <w:rFonts w:cs="Arial"/>
          <w:sz w:val="16"/>
          <w:szCs w:val="16"/>
        </w:rPr>
        <w:t xml:space="preserve"> Order to constitute the First Criminal Trial Court in Toluca of October 15, 2014 (evidence file, folio 1637); Order </w:t>
      </w:r>
      <w:r w:rsidRPr="00104227">
        <w:rPr>
          <w:sz w:val="16"/>
          <w:szCs w:val="16"/>
        </w:rPr>
        <w:t xml:space="preserve">on the constitutional time limit issued by </w:t>
      </w:r>
      <w:r w:rsidRPr="00104227">
        <w:rPr>
          <w:rFonts w:cs="Arial"/>
          <w:sz w:val="16"/>
          <w:szCs w:val="16"/>
        </w:rPr>
        <w:t xml:space="preserve">the Toluca First Criminal Trial Court of October 18, 2014 (evidence file, folios 2485 and 2486), and Order on the constitutional time limit issued by the Toluca First Criminal Trial Court of October 21, 2014 (evidence file, folio 3485). </w:t>
      </w:r>
    </w:p>
  </w:footnote>
  <w:footnote w:id="161">
    <w:p w14:paraId="58CBA31C" w14:textId="62D894CC" w:rsidR="0080773E" w:rsidRPr="00104227" w:rsidRDefault="0080773E" w:rsidP="002755DF">
      <w:pPr>
        <w:pStyle w:val="Textonotapie"/>
        <w:tabs>
          <w:tab w:val="left" w:pos="426"/>
        </w:tabs>
        <w:spacing w:before="120" w:after="120"/>
        <w:rPr>
          <w:rFonts w:cs="Arial"/>
          <w:lang w:val="en-US" w:eastAsia="en-US"/>
        </w:rPr>
      </w:pPr>
      <w:r w:rsidRPr="00104227">
        <w:rPr>
          <w:rFonts w:cs="Arial"/>
          <w:vertAlign w:val="superscript"/>
          <w:lang w:val="en-US" w:eastAsia="en-US"/>
        </w:rPr>
        <w:footnoteRef/>
      </w:r>
      <w:r w:rsidRPr="00104227">
        <w:rPr>
          <w:rFonts w:cs="Arial"/>
          <w:lang w:val="en-US" w:eastAsia="en-US"/>
        </w:rPr>
        <w:t xml:space="preserve"> </w:t>
      </w:r>
      <w:r w:rsidRPr="00104227">
        <w:rPr>
          <w:rFonts w:cs="Arial"/>
          <w:lang w:val="en-US" w:eastAsia="en-US"/>
        </w:rPr>
        <w:tab/>
      </w:r>
      <w:r w:rsidRPr="00104227">
        <w:rPr>
          <w:rFonts w:cs="Arial"/>
          <w:i/>
          <w:lang w:val="en-US" w:eastAsia="en-US"/>
        </w:rPr>
        <w:t xml:space="preserve">Cf. </w:t>
      </w:r>
      <w:r w:rsidRPr="00104227">
        <w:rPr>
          <w:rFonts w:cs="Arial"/>
          <w:lang w:val="en-US" w:eastAsia="en-US"/>
        </w:rPr>
        <w:t>Various newspaper articles dated May 8, 2006 (evidence file, folios 23164 to 23167).</w:t>
      </w:r>
    </w:p>
  </w:footnote>
  <w:footnote w:id="162">
    <w:p w14:paraId="173D5153" w14:textId="236CF202"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t>Order to constitute the Toluca First Criminal Trial Court of October 15, 2014 (evidence file, folio 1637); Order on the constitutional time limit issued by the Toluca First Criminal Trial Court of October 18, 2014 (evidence file, folio 2485 and 2486); Order on the constitutional time limit issued by the Toluca First Criminal Trial Court of October 21, 2014 (evidence file, folios 3485 and 3486), and Order on the constitutional time limit issued by the Toluca First Criminal Trial Court of October 27, 2014 (evidence file, folio 4386).</w:t>
      </w:r>
    </w:p>
  </w:footnote>
  <w:footnote w:id="163">
    <w:p w14:paraId="242D6259" w14:textId="3FAF562B"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Suhelen Cuevas Jaramillo appears erroneously identified as “Selene” in the detailed records contained in the complaint filed before the PGJEM by the CNDH. </w:t>
      </w:r>
    </w:p>
  </w:footnote>
  <w:footnote w:id="164">
    <w:p w14:paraId="7C22B962" w14:textId="7F052C70"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t>Order on the constitutional time limit issued by the First Criminal Trial Court in Tenango del Valle of August 28, 2006 (evidence file, folios 4953 to 4967).</w:t>
      </w:r>
    </w:p>
  </w:footnote>
  <w:footnote w:id="165">
    <w:p w14:paraId="5B2EE8A0" w14:textId="7AAF243D"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b/>
          <w:spacing w:val="0"/>
          <w:lang w:val="en-US"/>
        </w:rPr>
        <w:t xml:space="preserve"> </w:t>
      </w:r>
      <w:r w:rsidRPr="00104227">
        <w:rPr>
          <w:b/>
          <w:spacing w:val="0"/>
          <w:lang w:val="en-US"/>
        </w:rPr>
        <w:tab/>
      </w:r>
      <w:r w:rsidRPr="00104227">
        <w:rPr>
          <w:spacing w:val="0"/>
          <w:lang w:val="en-US"/>
        </w:rPr>
        <w:t>Order to constitute the Toluca First Criminal Trial Court of October 15, 2014 (evidence file, folios 1638 and 1639); Order on the constitutional time limit issued by the Toluca First Criminal Trial Court of October 18, 2014 (evidence file, folio 2486 and 2487);</w:t>
      </w:r>
      <w:r w:rsidRPr="00104227">
        <w:rPr>
          <w:b/>
          <w:spacing w:val="0"/>
          <w:lang w:val="en-US"/>
        </w:rPr>
        <w:t xml:space="preserve"> </w:t>
      </w:r>
      <w:r w:rsidRPr="00104227">
        <w:rPr>
          <w:spacing w:val="0"/>
          <w:lang w:val="en-US"/>
        </w:rPr>
        <w:t>Order on the constitutional time limit issued by the Toluca First Criminal Trial Court of October 21, 2014 (evidence file, folio 3487), and Order on the constitutional time limit issued by the Toluca First Criminal Trial Court of October 27, 2014 (evidence file, folio 4387).</w:t>
      </w:r>
    </w:p>
  </w:footnote>
  <w:footnote w:id="166">
    <w:p w14:paraId="319F1DEA" w14:textId="411C1D4E"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rFonts w:cs="Arial"/>
          <w:lang w:val="en-US" w:eastAsia="en-US"/>
        </w:rPr>
        <w:t>The State’s brief before the Commission of October 15, 2012</w:t>
      </w:r>
      <w:r w:rsidRPr="00104227">
        <w:rPr>
          <w:lang w:val="en-US"/>
        </w:rPr>
        <w:t xml:space="preserve"> (evidence file, folios 14333 and 14334).</w:t>
      </w:r>
    </w:p>
  </w:footnote>
  <w:footnote w:id="167">
    <w:p w14:paraId="404B610A" w14:textId="0BA4B572" w:rsidR="0080773E" w:rsidRPr="00104227" w:rsidRDefault="0080773E" w:rsidP="00C168B6">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According to the information provided by the State, on May 5, 2006, the Human Rights Commission of the state of Mexico obtained the statements of Bárbara Italia Méndez Moreno, Ana María Velasco Rodríguez, Norma Aidé Jiménez Osorio, Claudia Hernández Martínez, Suhelen Gabriela Cuevas Jaramillo, Yolanda Muñoz Diosdada, Mariana Selvas Gómez and Cristina Sánchez Hernández; on May 12, 2006, Mariana Selvas Gómez, Suhelen Gabriela Cuevas Jaramillo, Cristina Sánchez Hernández, Claudia Hernández Martínez, Angélica Patricia Torres Linares, Bárbara Italia Méndez Moreno, Yolanda Muñoz Diosdad</w:t>
      </w:r>
      <w:r>
        <w:rPr>
          <w:lang w:val="en-US"/>
        </w:rPr>
        <w:t>a</w:t>
      </w:r>
      <w:r w:rsidRPr="00104227">
        <w:rPr>
          <w:lang w:val="en-US"/>
        </w:rPr>
        <w:t xml:space="preserve"> and Ana María Velasco Rodríguez gave statements before the Public Prosecution Service; on May 19, 2006, Norma Aidé Jiménez Osorio, Georgina Edith Rosales Gutiérrez and María Patricia Romero Hernández gave statements before the Public Prosecution Service; on May 30, 2006, Suhelen Gabriela Cuevas Jaramillo and Mariana Selvas Gómez expanded their statements; on June 13, 2006, Ana María Velasco Rodríguez gave her statement; on June 30, 2006, Suhelen Gabriela Cuevas Jaramillo expanded her statement; on July 4, Norma Aidé Jiménez Osorio expanded her statement; on July 26, Bárbara Italia Méndez Moreno gave a written statement and ratified this in person on August 1; on August 9, 2006, Claudia Hernández Martínez and Angélica Patricia Torres Linares gave written statements, and the same day ratified them in person. </w:t>
      </w:r>
      <w:r w:rsidRPr="00104227">
        <w:rPr>
          <w:i/>
          <w:lang w:val="en-US"/>
        </w:rPr>
        <w:t>Cf.</w:t>
      </w:r>
      <w:r w:rsidRPr="00104227">
        <w:rPr>
          <w:lang w:val="en-US"/>
        </w:rPr>
        <w:t xml:space="preserve"> The State’s brief before</w:t>
      </w:r>
      <w:r w:rsidRPr="00104227">
        <w:rPr>
          <w:rFonts w:cs="Arial"/>
          <w:lang w:val="en-US"/>
        </w:rPr>
        <w:t xml:space="preserve"> the Commission of July 27, 2010 </w:t>
      </w:r>
      <w:r w:rsidRPr="00104227">
        <w:rPr>
          <w:lang w:val="en-US"/>
        </w:rPr>
        <w:t>(evidence file, folios 22126 to 22146); statement made by Ana María Velasco on June 13, 2006, before the agent of the Public Prosecution Service for ordinary offenses, Office of the Attorney General of the state of Mexico (evidence file, folios 1214 to 1215);</w:t>
      </w:r>
      <w:r w:rsidRPr="00104227">
        <w:rPr>
          <w:i/>
          <w:lang w:val="en-US"/>
        </w:rPr>
        <w:t xml:space="preserve"> </w:t>
      </w:r>
      <w:r w:rsidRPr="00104227">
        <w:rPr>
          <w:lang w:val="en-US"/>
        </w:rPr>
        <w:t>statement made by Claudia Hernández Martínez on August 9, 2006, before the agent of the Public Prosecution Service for ordinary offenses, attached to the First Bureau of the General Directorate on Responsibility of the Office of the Attorney General of the state of Mexico (evidence file, folios 5012 to 5015), and statement made by Angélica Patricia Torres Linares on August 9, 2006, before the agent of the Public Prosecution Service for ordinary offenses, attached to the First Bureau of the General Directorate on Responsibility of the Office of the Attorney General of the state of Mexico (evidence file, folios 1505 to 1509).</w:t>
      </w:r>
    </w:p>
  </w:footnote>
  <w:footnote w:id="168">
    <w:p w14:paraId="26D69DF7" w14:textId="725042F8" w:rsidR="0080773E" w:rsidRPr="00104227" w:rsidRDefault="0080773E" w:rsidP="002755DF">
      <w:pPr>
        <w:tabs>
          <w:tab w:val="left" w:pos="426"/>
        </w:tabs>
        <w:autoSpaceDE w:val="0"/>
        <w:autoSpaceDN w:val="0"/>
        <w:adjustRightInd w:val="0"/>
        <w:spacing w:before="120" w:after="120"/>
        <w:rPr>
          <w:rFonts w:cs="Arial"/>
          <w:sz w:val="16"/>
          <w:szCs w:val="16"/>
        </w:rPr>
      </w:pPr>
      <w:r w:rsidRPr="00104227">
        <w:rPr>
          <w:rStyle w:val="Refdenotaalpie"/>
        </w:rPr>
        <w:footnoteRef/>
      </w:r>
      <w:r w:rsidRPr="00104227">
        <w:rPr>
          <w:sz w:val="16"/>
          <w:szCs w:val="16"/>
        </w:rPr>
        <w:t xml:space="preserve"> </w:t>
      </w:r>
      <w:r w:rsidRPr="00104227">
        <w:rPr>
          <w:sz w:val="16"/>
          <w:szCs w:val="16"/>
        </w:rPr>
        <w:tab/>
      </w:r>
      <w:r w:rsidRPr="00104227">
        <w:rPr>
          <w:i/>
          <w:sz w:val="16"/>
          <w:szCs w:val="16"/>
        </w:rPr>
        <w:t xml:space="preserve">Cf. </w:t>
      </w:r>
      <w:r w:rsidRPr="00104227">
        <w:rPr>
          <w:rFonts w:cs="Arial"/>
          <w:sz w:val="16"/>
          <w:szCs w:val="16"/>
        </w:rPr>
        <w:t xml:space="preserve">The State’s brief before the Commission of July 27, 2010 </w:t>
      </w:r>
      <w:r w:rsidRPr="00104227">
        <w:rPr>
          <w:sz w:val="16"/>
          <w:szCs w:val="16"/>
        </w:rPr>
        <w:t xml:space="preserve">(evidence file, folios 22126 to 22146). </w:t>
      </w:r>
    </w:p>
  </w:footnote>
  <w:footnote w:id="169">
    <w:p w14:paraId="1276E4B3" w14:textId="5AB9EEE0" w:rsidR="0080773E" w:rsidRPr="00104227" w:rsidRDefault="0080773E" w:rsidP="002755DF">
      <w:pPr>
        <w:pStyle w:val="Textonotapie"/>
        <w:tabs>
          <w:tab w:val="left" w:pos="426"/>
        </w:tabs>
        <w:spacing w:before="120" w:after="120"/>
        <w:rPr>
          <w:color w:val="00B050"/>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rFonts w:cs="Arial"/>
          <w:lang w:val="en-US" w:eastAsia="en-US"/>
        </w:rPr>
        <w:t xml:space="preserve">The State’s brief before the Commission of October 15, 2012 </w:t>
      </w:r>
      <w:r w:rsidRPr="00104227">
        <w:rPr>
          <w:lang w:val="en-US"/>
        </w:rPr>
        <w:t>(evidence file, folios 14337 to 14339)</w:t>
      </w:r>
      <w:r w:rsidRPr="00104227">
        <w:rPr>
          <w:rFonts w:cs="Arial"/>
          <w:lang w:val="en-US" w:eastAsia="en-US"/>
        </w:rPr>
        <w:t>.</w:t>
      </w:r>
      <w:r w:rsidRPr="00104227">
        <w:rPr>
          <w:lang w:val="en-US"/>
        </w:rPr>
        <w:t xml:space="preserve"> </w:t>
      </w:r>
    </w:p>
  </w:footnote>
  <w:footnote w:id="170">
    <w:p w14:paraId="763063F1" w14:textId="3CB13EEA"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 xml:space="preserve">CNDH Annual Report, 2007 (evidence file, folio 23133). </w:t>
      </w:r>
    </w:p>
  </w:footnote>
  <w:footnote w:id="171">
    <w:p w14:paraId="3977083E" w14:textId="03FF8628" w:rsidR="0080773E" w:rsidRPr="00104227" w:rsidRDefault="0080773E" w:rsidP="006E753C">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t xml:space="preserve">Article 116 of the Code of Criminal Procedure of the state of Mexico indicates “Article 116. If the records in the case file of the procedures conducted by the agent of the Public Prosecution Service do not contain evidence that proves the elements of the </w:t>
      </w:r>
      <w:r w:rsidRPr="00104227">
        <w:rPr>
          <w:i/>
          <w:iCs w:val="0"/>
          <w:spacing w:val="0"/>
          <w:lang w:val="en-US"/>
        </w:rPr>
        <w:t>corpus delicti</w:t>
      </w:r>
      <w:r w:rsidRPr="00104227">
        <w:rPr>
          <w:spacing w:val="0"/>
          <w:lang w:val="en-US"/>
        </w:rPr>
        <w:t xml:space="preserve"> and the probable responsibility of the accused so that the file can be forwarded to the jurisdictional organ, and it appears that other procedures cannot be conducted, but subsequently further information could be added in order to proceed with the inquiry, the judicial authority shall order that the case file be maintained in reserve until that information is obtained and, meanwhile, shall order the judicial police to conduct investigations to try and clarify the facts. The decision of the Agent of the Public Prosecution Service to maintain the inquiry in reserve shall be reviewed by the corresponding Assistant Regional Attorney, through the Agent of the Public Prosecution Service, Assistant to the Attorney General, to whom the case file shall be forwarded within 48 hours. The Agent of the Public Prosecution Service, Assistant to the Attorney General, shall prepare a draft resolution for the consideration and analysis of the Assistant Regional Attorney, who shall take a decision within the following 15 working days. This decision shall be notified to the plaintiff or complainant by the Agent of the Public Prosecution Service responsible for reviewing the file of the preliminary inquiry, on the day following that on which he receives the file from the Agent of the Public Prosecution Service, Assistant to the Attorney General.” </w:t>
      </w:r>
      <w:r w:rsidRPr="00104227">
        <w:rPr>
          <w:rFonts w:eastAsiaTheme="minorHAnsi" w:cs="Arial"/>
          <w:spacing w:val="0"/>
          <w:lang w:val="en-US"/>
        </w:rPr>
        <w:t xml:space="preserve">The State’s brief before the Commission of October 15, 2012 </w:t>
      </w:r>
      <w:r w:rsidRPr="00104227">
        <w:rPr>
          <w:rFonts w:eastAsia="Calibri" w:cs="Verdana"/>
          <w:spacing w:val="0"/>
          <w:lang w:val="en-US" w:eastAsia="es-ES"/>
        </w:rPr>
        <w:t xml:space="preserve">(evidence file, folios 14339 and 14340). </w:t>
      </w:r>
    </w:p>
  </w:footnote>
  <w:footnote w:id="172">
    <w:p w14:paraId="2683F762" w14:textId="5C961A2C"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Decision of the Agent of the Public Prosecution Service attached to the First Bureau of the General Directorate on Responsibility of the Office of the Attorney General of the state of Mexico of March 8, 2007 (evidence file, folio 38767).</w:t>
      </w:r>
    </w:p>
  </w:footnote>
  <w:footnote w:id="173">
    <w:p w14:paraId="2FB641AB" w14:textId="0C2B3620"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rFonts w:eastAsiaTheme="minorHAnsi"/>
          <w:spacing w:val="0"/>
          <w:lang w:val="en-US"/>
        </w:rPr>
        <w:t xml:space="preserve">The State’s brief before the Commission of October 15, 2012 </w:t>
      </w:r>
      <w:r w:rsidRPr="00104227">
        <w:rPr>
          <w:rFonts w:eastAsia="Calibri" w:cs="Verdana"/>
          <w:spacing w:val="0"/>
          <w:lang w:val="en-US" w:eastAsia="es-ES"/>
        </w:rPr>
        <w:t>(evidence file, folio 14340).</w:t>
      </w:r>
    </w:p>
  </w:footnote>
  <w:footnote w:id="174">
    <w:p w14:paraId="7E021981" w14:textId="0507F60B" w:rsidR="0080773E" w:rsidRPr="00104227" w:rsidRDefault="0080773E" w:rsidP="002755DF">
      <w:pPr>
        <w:pStyle w:val="Footnotes"/>
        <w:tabs>
          <w:tab w:val="left" w:pos="426"/>
        </w:tabs>
        <w:spacing w:before="120" w:after="120"/>
        <w:rPr>
          <w:rFonts w:eastAsia="Calibri" w:cs="Verdana"/>
          <w:b/>
          <w:spacing w:val="0"/>
          <w:lang w:val="en-US" w:eastAsia="es-E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rFonts w:eastAsiaTheme="minorHAnsi"/>
          <w:spacing w:val="0"/>
          <w:lang w:val="en-US"/>
        </w:rPr>
        <w:t xml:space="preserve">The State’s brief before the Commission of October 15, 2012 </w:t>
      </w:r>
      <w:r w:rsidRPr="00104227">
        <w:rPr>
          <w:rFonts w:eastAsia="Calibri" w:cs="Verdana"/>
          <w:spacing w:val="0"/>
          <w:lang w:val="en-US" w:eastAsia="es-ES"/>
        </w:rPr>
        <w:t xml:space="preserve">(evidence file, folios 14340 and 14341). </w:t>
      </w:r>
    </w:p>
  </w:footnote>
  <w:footnote w:id="175">
    <w:p w14:paraId="319968A5" w14:textId="7CCA6519"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 xml:space="preserve">FEVIMTRA communication C/DAP/2218/2009, received on July 15, 2009 (evidence file, folio 5021); Order to constitute the First Criminal Trial Court in Toluca of October 15, 2014 (evidence file, folios 1642 and 1643); Order on the constitutional time limit issued by the Toluca First Criminal Trial Court of October 18, 2014 (evidence file, folio 2490), and Order on the constitutional time limit issued by the Toluca First Criminal Trial Court of October 27, 2014 (evidence file, folios 4390 and 4391). </w:t>
      </w:r>
    </w:p>
  </w:footnote>
  <w:footnote w:id="176">
    <w:p w14:paraId="6550424E" w14:textId="1A5694CC" w:rsidR="0080773E" w:rsidRPr="00104227" w:rsidRDefault="0080773E" w:rsidP="002755DF">
      <w:pPr>
        <w:pStyle w:val="Footnotes"/>
        <w:tabs>
          <w:tab w:val="left" w:pos="426"/>
        </w:tabs>
        <w:spacing w:before="120" w:after="120"/>
        <w:rPr>
          <w:spacing w:val="0"/>
          <w:lang w:val="en-US"/>
        </w:rPr>
      </w:pPr>
      <w:r w:rsidRPr="00104227">
        <w:rPr>
          <w:spacing w:val="0"/>
          <w:vertAlign w:val="superscript"/>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 xml:space="preserve">Brief of the eleven women before the Public Prosecution Service of October 8, 2009 (evidence file, folios 5017 to 5019). </w:t>
      </w:r>
    </w:p>
  </w:footnote>
  <w:footnote w:id="177">
    <w:p w14:paraId="2262A215" w14:textId="6A6FFDED"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t xml:space="preserve">The lines of investigation and methodology proposed by the General Directorate for Inspections consisted of: requesting lists of the police agents who had taken part in the operation and the personnel working at the CEPRESO on May 3 and 4, taking their photographs and recording them; questioning them; questioning the authorities involved as to whether they had initiated any administrative procedure against any public servant based on these facts; carrying out medical and psychological appraisals of the victims who had reported torture; providing treatment to the victims; obtaining newspaper articles for May 2006, and adding the SCJN judgment published in September 2009 to the investigation. </w:t>
      </w:r>
      <w:r w:rsidRPr="00104227">
        <w:rPr>
          <w:i/>
          <w:spacing w:val="0"/>
          <w:lang w:val="en-US"/>
        </w:rPr>
        <w:t xml:space="preserve">Cf. </w:t>
      </w:r>
      <w:r w:rsidRPr="00104227">
        <w:rPr>
          <w:rFonts w:cs="Arial"/>
          <w:spacing w:val="0"/>
          <w:lang w:val="en-US"/>
        </w:rPr>
        <w:t>The State’s brief before the Commission of October 15, 2012</w:t>
      </w:r>
      <w:r w:rsidRPr="00104227">
        <w:rPr>
          <w:spacing w:val="0"/>
          <w:lang w:val="en-US"/>
        </w:rPr>
        <w:t xml:space="preserve"> </w:t>
      </w:r>
      <w:r w:rsidRPr="00104227">
        <w:rPr>
          <w:rFonts w:cs="Arial"/>
          <w:spacing w:val="0"/>
          <w:lang w:val="en-US"/>
        </w:rPr>
        <w:t xml:space="preserve">(evidence file, folios </w:t>
      </w:r>
      <w:r w:rsidRPr="00104227">
        <w:rPr>
          <w:spacing w:val="0"/>
          <w:lang w:val="en-US"/>
        </w:rPr>
        <w:t>14344 to 14347).</w:t>
      </w:r>
    </w:p>
  </w:footnote>
  <w:footnote w:id="178">
    <w:p w14:paraId="3CF0C191" w14:textId="14C2B342"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rFonts w:cs="Arial"/>
          <w:lang w:val="en-US" w:eastAsia="en-US"/>
        </w:rPr>
        <w:t xml:space="preserve"> The State’s brief before the Commission of October 15, 2012</w:t>
      </w:r>
      <w:r w:rsidRPr="00104227">
        <w:rPr>
          <w:lang w:val="en-US"/>
        </w:rPr>
        <w:t xml:space="preserve"> </w:t>
      </w:r>
      <w:r w:rsidRPr="00104227">
        <w:rPr>
          <w:rFonts w:cs="Arial"/>
          <w:lang w:val="en-US"/>
        </w:rPr>
        <w:t xml:space="preserve">(evidence file, folios </w:t>
      </w:r>
      <w:r w:rsidRPr="00104227">
        <w:rPr>
          <w:lang w:val="en-US"/>
        </w:rPr>
        <w:t xml:space="preserve">14344 </w:t>
      </w:r>
      <w:r w:rsidRPr="00104227">
        <w:rPr>
          <w:rFonts w:cs="Arial"/>
          <w:lang w:val="en-US" w:eastAsia="en-US"/>
        </w:rPr>
        <w:t>to 14361)</w:t>
      </w:r>
      <w:r w:rsidRPr="00104227">
        <w:rPr>
          <w:lang w:val="en-US"/>
        </w:rPr>
        <w:t xml:space="preserve">. </w:t>
      </w:r>
    </w:p>
  </w:footnote>
  <w:footnote w:id="179">
    <w:p w14:paraId="7B3EAB84" w14:textId="39653377"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 xml:space="preserve">The State’s brief before the Commission of October 15, 2012 (evidence file, folios 14337 to 14339). </w:t>
      </w:r>
    </w:p>
  </w:footnote>
  <w:footnote w:id="180">
    <w:p w14:paraId="2E46F0F9" w14:textId="17A7B6F8"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 xml:space="preserve">Decision of the First Criminal Trial Court of Tenango del Valle of January 9, 2008 (evidence file, folios 41522 to 41948). See also, The State’s brief before the Commission of October 15, 2012 (evidence file, folios 14337 to 14339). </w:t>
      </w:r>
    </w:p>
  </w:footnote>
  <w:footnote w:id="181">
    <w:p w14:paraId="72974A42" w14:textId="30E206EF"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t>According to the information provided by the State, “criminal case 418/2011 is the same as criminal case 55/2013, because, on May 2, 2013, the Fourth Criminal Trial Court was merged with the First Criminal Trial Court of Toluca, and criminal case 418/2011 was heard by the First Court as case 55/2013.”</w:t>
      </w:r>
      <w:r w:rsidRPr="00104227">
        <w:rPr>
          <w:i/>
          <w:spacing w:val="0"/>
          <w:lang w:val="en-US"/>
        </w:rPr>
        <w:t xml:space="preserve"> </w:t>
      </w:r>
      <w:r w:rsidRPr="00104227">
        <w:rPr>
          <w:spacing w:val="0"/>
          <w:lang w:val="en-US"/>
        </w:rPr>
        <w:t>Brief of the State of September 12, 2018 (merits file, folios 2197 and 2198).</w:t>
      </w:r>
    </w:p>
  </w:footnote>
  <w:footnote w:id="182">
    <w:p w14:paraId="3108C2F5" w14:textId="40C478A4"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rFonts w:cs="Arial"/>
          <w:lang w:val="en-US" w:eastAsia="en-US"/>
        </w:rPr>
        <w:t xml:space="preserve">The State’s brief before the Commission of October 15, 2012 </w:t>
      </w:r>
      <w:r w:rsidRPr="00104227">
        <w:rPr>
          <w:rFonts w:cs="Arial"/>
          <w:lang w:val="en-US"/>
        </w:rPr>
        <w:t xml:space="preserve">(evidence file, folios </w:t>
      </w:r>
      <w:r w:rsidRPr="00104227">
        <w:rPr>
          <w:rFonts w:cs="Arial"/>
          <w:lang w:val="en-US" w:eastAsia="en-US"/>
        </w:rPr>
        <w:t>14312 and 14361)</w:t>
      </w:r>
      <w:r w:rsidRPr="00104227">
        <w:rPr>
          <w:lang w:val="en-US"/>
        </w:rPr>
        <w:t xml:space="preserve">. </w:t>
      </w:r>
    </w:p>
  </w:footnote>
  <w:footnote w:id="183">
    <w:p w14:paraId="382C09F2" w14:textId="03C6EBE0"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María Patricia Romero Hernández does not appear as a possible plaintiff in this case. </w:t>
      </w:r>
      <w:r w:rsidRPr="00104227">
        <w:rPr>
          <w:i/>
          <w:lang w:val="en-US"/>
        </w:rPr>
        <w:t xml:space="preserve">Cf. </w:t>
      </w:r>
      <w:r w:rsidRPr="00104227">
        <w:rPr>
          <w:lang w:val="en-US"/>
        </w:rPr>
        <w:t xml:space="preserve">Indictment (evidence file, folios 5020 to 5024), and Order to constitute the First Criminal Trial Court in Toluca of October 15, 2014 (evidence file, folios 1633 to 2481). </w:t>
      </w:r>
    </w:p>
  </w:footnote>
  <w:footnote w:id="184">
    <w:p w14:paraId="0C8653B2" w14:textId="03D930BB" w:rsidR="0080773E" w:rsidRPr="00104227" w:rsidRDefault="0080773E" w:rsidP="002755DF">
      <w:pPr>
        <w:pStyle w:val="Footnotes"/>
        <w:tabs>
          <w:tab w:val="left" w:pos="426"/>
        </w:tabs>
        <w:spacing w:before="120" w:after="120"/>
        <w:rPr>
          <w:color w:val="0070C0"/>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Order to constitute the First Criminal Trial Court in Toluca of October 15, 2014 (evidence file, folios 1643 to 1648); indictment of September 14, 2011, of the Agent of the Public Prosecution Service (evidence file, folios 5295, 5345, 5376, 5413, 5448, 5469, 5540, 5541, 5607 to 5609, 5662 to 5672), and communication 2131700040/240/2011 of the Public Prosecution Service of the PGJEM dated September 14, 2011 (evidence file, folio 5673 to 5680).</w:t>
      </w:r>
      <w:r w:rsidRPr="00104227">
        <w:rPr>
          <w:strike/>
          <w:spacing w:val="0"/>
          <w:lang w:val="en-US"/>
        </w:rPr>
        <w:t xml:space="preserve"> </w:t>
      </w:r>
    </w:p>
  </w:footnote>
  <w:footnote w:id="185">
    <w:p w14:paraId="184591C8" w14:textId="531D8649"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t>Specifically, it indicated that the Public Prosecution Service “unduly divides up the definition of the offense because the crime of torture has a purpose, which is not to harm the victims; rather the purpose to obtain from the victims certain acts that harm them” and the purpose of torture is “to obtain from a defendant or from a third party: (a) a confession’(b) information about a fact; (c) omission of an act; (d) any other conduct,” and that obtaining this harms the person. Order of the Fourth Criminal Trial Court of the Toluca Judicial District of September 27, 2011 (evidence file, folios 5705 to 5727).</w:t>
      </w:r>
    </w:p>
  </w:footnote>
  <w:footnote w:id="186">
    <w:p w14:paraId="3FF66F63" w14:textId="348C178C"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Brief of the Public Prosecution Service of the PGJEM with the corrected criminal case and requesting arrest warrants of February 17, 2012 (evidence file, folios 5730 and 5731).</w:t>
      </w:r>
    </w:p>
  </w:footnote>
  <w:footnote w:id="187">
    <w:p w14:paraId="6C1BF89C" w14:textId="12188E89"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Cf.</w:t>
      </w:r>
      <w:r w:rsidRPr="00104227">
        <w:rPr>
          <w:spacing w:val="0"/>
          <w:lang w:val="en-US"/>
        </w:rPr>
        <w:t xml:space="preserve"> Order of the Fourth Criminal Trial Court of the Toluca Judicial District of February 23, 2012 (evidence file, folios 6629 to 6631).</w:t>
      </w:r>
    </w:p>
  </w:footnote>
  <w:footnote w:id="188">
    <w:p w14:paraId="081D7C1A" w14:textId="2E29A55E" w:rsidR="0080773E" w:rsidRPr="00104227" w:rsidRDefault="0080773E" w:rsidP="002755DF">
      <w:pPr>
        <w:pStyle w:val="Footnotes"/>
        <w:tabs>
          <w:tab w:val="left" w:pos="426"/>
        </w:tabs>
        <w:spacing w:before="120" w:after="120"/>
        <w:rPr>
          <w:spacing w:val="0"/>
          <w:lang w:val="en-US"/>
        </w:rPr>
      </w:pPr>
      <w:r w:rsidRPr="00104227">
        <w:rPr>
          <w:rFonts w:eastAsiaTheme="minorHAnsi"/>
          <w:spacing w:val="0"/>
          <w:vertAlign w:val="superscript"/>
          <w:lang w:val="en-US"/>
        </w:rPr>
        <w:footnoteRef/>
      </w:r>
      <w:r w:rsidRPr="00104227">
        <w:rPr>
          <w:rFonts w:eastAsiaTheme="minorHAnsi"/>
          <w:spacing w:val="0"/>
          <w:lang w:val="en-US"/>
        </w:rPr>
        <w:t xml:space="preserve"> </w:t>
      </w:r>
      <w:r w:rsidRPr="00104227">
        <w:rPr>
          <w:rFonts w:eastAsiaTheme="minorHAnsi"/>
          <w:spacing w:val="0"/>
          <w:lang w:val="en-US"/>
        </w:rPr>
        <w:tab/>
      </w:r>
      <w:r w:rsidRPr="00104227">
        <w:rPr>
          <w:rFonts w:eastAsiaTheme="minorHAnsi"/>
          <w:i/>
          <w:spacing w:val="0"/>
          <w:lang w:val="en-US"/>
        </w:rPr>
        <w:t xml:space="preserve">Cf. </w:t>
      </w:r>
      <w:r w:rsidRPr="00104227">
        <w:rPr>
          <w:rFonts w:eastAsiaTheme="minorHAnsi"/>
          <w:spacing w:val="0"/>
          <w:lang w:val="en-US"/>
        </w:rPr>
        <w:t>Order of the Fourth Criminal Trial Court of the Toluca Judicial District of April 9, 2012 (evidence file, folios 6924 to 6939, 7022 to 7048, 7184 to 7216).</w:t>
      </w:r>
    </w:p>
  </w:footnote>
  <w:footnote w:id="189">
    <w:p w14:paraId="6E2E957C" w14:textId="37590FA0"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t>Appeal filed by the Public Prosecution Service of the PGJEM on April 12, 2012 (evidence file, folio 7218);</w:t>
      </w:r>
      <w:r w:rsidRPr="00104227">
        <w:rPr>
          <w:i/>
          <w:spacing w:val="0"/>
          <w:lang w:val="en-US"/>
        </w:rPr>
        <w:t xml:space="preserve"> </w:t>
      </w:r>
      <w:r w:rsidRPr="00104227">
        <w:rPr>
          <w:spacing w:val="0"/>
          <w:lang w:val="en-US"/>
        </w:rPr>
        <w:t>Order of the Fourth Criminal Trial Court of the Toluca Judicial District of April 16, 2012 (evidence file, folio 7221), and Order to constitute the First Criminal Trial Court in Toluca of October 15, 2014 (evidence file, folio 1648).</w:t>
      </w:r>
    </w:p>
  </w:footnote>
  <w:footnote w:id="190">
    <w:p w14:paraId="0C299E0D" w14:textId="3C58F989" w:rsidR="0080773E" w:rsidRPr="00104227" w:rsidRDefault="0080773E" w:rsidP="002755DF">
      <w:pPr>
        <w:pStyle w:val="Footnotes"/>
        <w:tabs>
          <w:tab w:val="left" w:pos="426"/>
        </w:tabs>
        <w:spacing w:before="120" w:after="120"/>
        <w:rPr>
          <w:spacing w:val="0"/>
          <w:lang w:val="en-US"/>
        </w:rPr>
      </w:pPr>
      <w:r w:rsidRPr="00104227">
        <w:rPr>
          <w:spacing w:val="0"/>
          <w:vertAlign w:val="superscript"/>
          <w:lang w:val="en-US"/>
        </w:rPr>
        <w:footnoteRef/>
      </w:r>
      <w:r w:rsidRPr="00104227">
        <w:rPr>
          <w:spacing w:val="0"/>
          <w:vertAlign w:val="superscript"/>
          <w:lang w:val="en-US"/>
        </w:rPr>
        <w:t xml:space="preserve"> </w:t>
      </w:r>
      <w:r w:rsidRPr="00104227">
        <w:rPr>
          <w:spacing w:val="0"/>
          <w:vertAlign w:val="superscript"/>
          <w:lang w:val="en-US"/>
        </w:rPr>
        <w:tab/>
      </w:r>
      <w:r w:rsidRPr="00104227">
        <w:rPr>
          <w:rFonts w:eastAsiaTheme="minorHAnsi" w:cs="Arial"/>
          <w:i/>
          <w:spacing w:val="0"/>
          <w:lang w:val="en-US" w:bidi="ar-SA"/>
        </w:rPr>
        <w:t xml:space="preserve">Cf. </w:t>
      </w:r>
      <w:r w:rsidRPr="00104227">
        <w:rPr>
          <w:spacing w:val="0"/>
          <w:lang w:val="en-US"/>
        </w:rPr>
        <w:t xml:space="preserve">Ruling of the Toluca First Collegiate Criminal Chamber of the Superior Court of Justice of the state of Mexico of July 17, 2012 (evidence file, folios </w:t>
      </w:r>
      <w:r w:rsidRPr="00104227">
        <w:rPr>
          <w:rFonts w:cs="Arial"/>
          <w:spacing w:val="0"/>
          <w:lang w:val="en-US"/>
        </w:rPr>
        <w:t xml:space="preserve">7813 to 7815 and </w:t>
      </w:r>
      <w:r w:rsidRPr="00104227">
        <w:rPr>
          <w:spacing w:val="0"/>
          <w:lang w:val="en-US"/>
        </w:rPr>
        <w:t>7835 to 7838) and Communication 1618 of the First Collegiate Criminal Chamber of Toluca of the Superior Court of Justice of the state of Mexico of July 17, 2012 (evidence file, folios 7842 to 7844).</w:t>
      </w:r>
    </w:p>
  </w:footnote>
  <w:footnote w:id="191">
    <w:p w14:paraId="33A110B2" w14:textId="597D1537"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Order to constitute the First Criminal Trial Court in Toluca of October 15, 2014 (evidence file, folios 1652 to 1658).</w:t>
      </w:r>
    </w:p>
  </w:footnote>
  <w:footnote w:id="192">
    <w:p w14:paraId="450A4A71" w14:textId="5B4952B3"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Order to constitute the First Criminal Trial Court in Toluca of October 15, 2014 (evidence file, folios 1658 to 1660).</w:t>
      </w:r>
    </w:p>
  </w:footnote>
  <w:footnote w:id="193">
    <w:p w14:paraId="36D6995C" w14:textId="5A06DFA0"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Order to constitute the First Criminal Trial Court in Toluca of October 15, 2014 (evidence file, folios 1658 to 1660).</w:t>
      </w:r>
    </w:p>
  </w:footnote>
  <w:footnote w:id="194">
    <w:p w14:paraId="61C61CC3" w14:textId="0448B534"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PGJEM brief correcting the criminal case of July 10, 2014 (evidence file, folios 8526 and 8527).</w:t>
      </w:r>
    </w:p>
  </w:footnote>
  <w:footnote w:id="195">
    <w:p w14:paraId="084A437A" w14:textId="357E1845" w:rsidR="0080773E" w:rsidRPr="00104227" w:rsidRDefault="0080773E" w:rsidP="002755DF">
      <w:pPr>
        <w:pStyle w:val="Textonotapie"/>
        <w:tabs>
          <w:tab w:val="left" w:pos="426"/>
        </w:tabs>
        <w:spacing w:before="120" w:after="120"/>
        <w:rPr>
          <w:color w:val="00B050"/>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 xml:space="preserve">The State’s report on compliance with the recommendations of the Merits Report of September 5, 2016 (evidence file, folios 24617 to 24629). </w:t>
      </w:r>
    </w:p>
  </w:footnote>
  <w:footnote w:id="196">
    <w:p w14:paraId="240B629C" w14:textId="5F810B79"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 xml:space="preserve">The State’s report on compliance with the recommendations of the Merits Report of September 5, 2016 (evidence file, folio 30498). </w:t>
      </w:r>
    </w:p>
  </w:footnote>
  <w:footnote w:id="197">
    <w:p w14:paraId="63D2B27E" w14:textId="3CD524CF"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Regarding the arrest warrants, the State reported that 13 police agents had filed an application for amparo, and it had been denied in all 13 cases; of these 13, two agents filed appeals for review, which are pending a decision. Regarding the order for preventive detention, of the 18 police agents committed to trial, seven filed appeals and these are pending a decision, and four filed applications for amparo which were denied. Of those four, one filed an appeal for review, which is pending a decision. The State also reported that, of the 18 agents committed to trial, two filed an application for amparo against the precautionary measure issued against them; of these, one was dismissed and the other granted. </w:t>
      </w:r>
      <w:r w:rsidRPr="00104227">
        <w:rPr>
          <w:i/>
          <w:lang w:val="en-US"/>
        </w:rPr>
        <w:t>Cf.</w:t>
      </w:r>
      <w:r w:rsidRPr="00104227">
        <w:rPr>
          <w:lang w:val="en-US"/>
        </w:rPr>
        <w:t xml:space="preserve"> The State’s report on compliance with the recommendations of the Merits Report of September 5, 2016 (evidence file, folios 30501 to 3509), and brief of the State dated October 30, 2017, addressed to the Miguel Agustín Pro Juárez Human Rights [PRODH] Center (evidence file, folios 38182 to 38189). </w:t>
      </w:r>
    </w:p>
  </w:footnote>
  <w:footnote w:id="198">
    <w:p w14:paraId="251671FA" w14:textId="139FEE2A" w:rsidR="0080773E" w:rsidRPr="00104227" w:rsidRDefault="0080773E" w:rsidP="004160EE">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The State did not provide this decision. However, it reported that “to counteract the prescription of the crime of torture established in the criminal laws of the state of Mexico, the PGJ argued, among other matters, that “the judicial authorities have the obligation to exercise control of conventionality when examining a specific case” and that, “as established in the consistent case law of the Inter-American Court, […] the crime of torture […] is not subject to a statute of limitations”; therefore, “if an individual who is probably responsible for the crime of torture in its different forms is identified, the judge of the case would need to determine that the crime is not subject to a statute of limitations and thus examine the merits of the matter.” According to the State, this argument was recognized by the domestic courts and this “made it possible to identify all the officials who could have had some degree of participation in the sexual abuse to which the victims in this case were subjected.” The State’s report on compliance with the recommendations of the Merits Report of September 5, 2016 (evidence file, folios 30516 and 30517).</w:t>
      </w:r>
    </w:p>
  </w:footnote>
  <w:footnote w:id="199">
    <w:p w14:paraId="691F545E" w14:textId="01EE1B82"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t xml:space="preserve">The State explained that the measure was taken “in order to avoid contradictory decisions and to ensure that they were decided promptly.” The State’s report on compliance with the recommendations of the Merits Report of September 5, 2016 (evidence file, folio 30518). </w:t>
      </w:r>
    </w:p>
  </w:footnote>
  <w:footnote w:id="200">
    <w:p w14:paraId="71F47E1A" w14:textId="61E8E235"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Work Plan for the investigation of Case No. 12,846 Mariana Selvas </w:t>
      </w:r>
      <w:r w:rsidRPr="00104227">
        <w:rPr>
          <w:i/>
          <w:iCs/>
          <w:lang w:val="en-US"/>
        </w:rPr>
        <w:t>et al</w:t>
      </w:r>
      <w:r w:rsidRPr="00104227">
        <w:rPr>
          <w:lang w:val="en-US"/>
        </w:rPr>
        <w:t>.” Annex 1 to the Mexican State’s fifth report on compliance of August 2, 2016 (evidence file, folios 24535 and</w:t>
      </w:r>
      <w:r w:rsidRPr="00104227">
        <w:rPr>
          <w:rFonts w:cs="Arial"/>
          <w:bCs/>
          <w:lang w:val="en-US" w:eastAsia="en-US"/>
        </w:rPr>
        <w:t xml:space="preserve"> 24536). </w:t>
      </w:r>
    </w:p>
  </w:footnote>
  <w:footnote w:id="201">
    <w:p w14:paraId="4B96911F" w14:textId="30B9B21D"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 xml:space="preserve">The State’s report on compliance with the recommendations of the Merits Report of September 5, 2016 (evidence file, folios 30533 and 30534). </w:t>
      </w:r>
    </w:p>
  </w:footnote>
  <w:footnote w:id="202">
    <w:p w14:paraId="6A4A3ED5" w14:textId="33F5472D"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Order on the constitutional time limit issued by the Toluca First Criminal Trial Court of October 18, 2014 (evidence file, folios 2490 to 2492);</w:t>
      </w:r>
      <w:r w:rsidRPr="00104227">
        <w:rPr>
          <w:b/>
          <w:spacing w:val="0"/>
          <w:lang w:val="en-US"/>
        </w:rPr>
        <w:t xml:space="preserve"> </w:t>
      </w:r>
      <w:r w:rsidRPr="00104227">
        <w:rPr>
          <w:spacing w:val="0"/>
          <w:lang w:val="en-US"/>
        </w:rPr>
        <w:t>Order on the constitutional time limit issued by the Toluca First Criminal Trial Court of October 21,, 2014 (evidence file, folios 3491 and 3492), Order on the constitutional time limit issued by the Toluca First Criminal Trial Court of October 27, 2014 (evidence file, folios 4391 and 2492), and the State’s brief of March 24, 2015 (evidence files, folios 14444 and 14445).</w:t>
      </w:r>
    </w:p>
  </w:footnote>
  <w:footnote w:id="203">
    <w:p w14:paraId="3D5952C9" w14:textId="23AE6B20"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 xml:space="preserve">Report of the Prosecutor General of the state of Mexico of October 31, 2017 (evidence file, folios 38187 to 38189), and The State’s report on compliance with the recommendations of the Merits Report of September 5, 2016 (evidence file, folio 30509). </w:t>
      </w:r>
    </w:p>
  </w:footnote>
  <w:footnote w:id="204">
    <w:p w14:paraId="26C9C7F5" w14:textId="55B32F56"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Report of the Prosecutor General of the state of Mexico of October 31, 2017 (evidence file, folios 38187 to 38189), and the State’s report on compliance with the recommendations of the Merits Report of September 5, 2016 (evidence file, folios 30510 to 30513).</w:t>
      </w:r>
    </w:p>
  </w:footnote>
  <w:footnote w:id="205">
    <w:p w14:paraId="2608BACD" w14:textId="2C2F6D4A"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 xml:space="preserve">Work Plan for the investigation of Case No. 12,846 Mariana Selvas </w:t>
      </w:r>
      <w:r w:rsidRPr="00104227">
        <w:rPr>
          <w:i/>
          <w:iCs/>
          <w:lang w:val="en-US"/>
        </w:rPr>
        <w:t>et al.</w:t>
      </w:r>
      <w:r w:rsidRPr="00104227">
        <w:rPr>
          <w:lang w:val="en-US"/>
        </w:rPr>
        <w:t xml:space="preserve"> Annex 1 to the Mexican State’s fifth report on compliance of August 2, 2016 (evidence file, folio 24532); The State’s report on compliance with the recommendations of the Merits Report of September 5, 2016 (evidence file, folio 30528). Also, according to the State, the other individual identified in the chain of command, who was the Deputy Director, died on February 17, 2011. In this regard, the State indicated that this meant that the PGJEM had filed charges against all those identified opportunely by the SCJN as the superior officers who were in command of the operation and whose omissive conduct had been presumptively established (evidence file, folios 30529 and 30530).</w:t>
      </w:r>
    </w:p>
  </w:footnote>
  <w:footnote w:id="206">
    <w:p w14:paraId="37F3182D" w14:textId="398307D4"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 xml:space="preserve">The State’s report on compliance with the recommendations of the Merits Report of September 5, 2016 (evidence file, folio 30529). </w:t>
      </w:r>
    </w:p>
  </w:footnote>
  <w:footnote w:id="207">
    <w:p w14:paraId="0A50AA5E" w14:textId="4BBE6CC4" w:rsidR="0080773E" w:rsidRPr="00104227" w:rsidRDefault="0080773E" w:rsidP="00114817">
      <w:pPr>
        <w:pStyle w:val="Textonotapie"/>
        <w:tabs>
          <w:tab w:val="clear" w:pos="567"/>
          <w:tab w:val="left" w:pos="450"/>
        </w:tabs>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The State’s brief dated October 30, 2017, addressed to the Miguel Agustín Pro Juárez Human Rights Center (evidence file, folio 38189).</w:t>
      </w:r>
    </w:p>
  </w:footnote>
  <w:footnote w:id="208">
    <w:p w14:paraId="03F337B0" w14:textId="5D66F031"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t xml:space="preserve">Article 270 of the Criminal Code of the state of Mexico, in force at the time, establishes: “Anyone who, in the absence of consent by a person who has reached puberty, shall execute an erotic sexual act on that person, without the direct or immediate purpose of intercourse, shall be sentenced to six months’ to two years’ imprisonment. […] If physical or moral violence is also used, the sentence shall be increased by a further one to four years’ imprisonment.” Order on the constitutional time limit issued by the First Criminal Trial Court in Tenango del Valle, state of Mexico, of August 28, 2006 (evidence file, folio 4955). </w:t>
      </w:r>
    </w:p>
  </w:footnote>
  <w:footnote w:id="209">
    <w:p w14:paraId="24AC1D67" w14:textId="7F5F1734" w:rsidR="0080773E" w:rsidRPr="00104227" w:rsidRDefault="0080773E" w:rsidP="002755DF">
      <w:pPr>
        <w:pStyle w:val="Footnotes"/>
        <w:tabs>
          <w:tab w:val="left" w:pos="426"/>
        </w:tabs>
        <w:spacing w:before="120" w:after="120"/>
        <w:rPr>
          <w:color w:val="FF0000"/>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 xml:space="preserve">Order on the constitutional time limit issued by the First Criminal Trial Court in Tenango del Valle, state of Mexico, of August 28, 2006 (evidence file, folio 5008), and the State’s brief before the Commission of July 27, 2010 (evidence file, folio 22139). </w:t>
      </w:r>
    </w:p>
  </w:footnote>
  <w:footnote w:id="210">
    <w:p w14:paraId="79F0B050" w14:textId="02815845" w:rsidR="0080773E" w:rsidRPr="00104227" w:rsidRDefault="0080773E" w:rsidP="002755DF">
      <w:pPr>
        <w:pStyle w:val="Textonotapie"/>
        <w:tabs>
          <w:tab w:val="left" w:pos="426"/>
        </w:tabs>
        <w:spacing w:before="120" w:after="120"/>
        <w:rPr>
          <w:vertAlign w:val="superscript"/>
          <w:lang w:val="en-US"/>
        </w:rPr>
      </w:pPr>
      <w:r w:rsidRPr="00104227">
        <w:rPr>
          <w:vertAlign w:val="superscript"/>
          <w:lang w:val="en-US"/>
        </w:rPr>
        <w:footnoteRef/>
      </w:r>
      <w:r w:rsidRPr="00104227">
        <w:rPr>
          <w:vertAlign w:val="superscript"/>
          <w:lang w:val="en-US"/>
        </w:rPr>
        <w:t xml:space="preserve"> </w:t>
      </w:r>
      <w:r w:rsidRPr="00104227">
        <w:rPr>
          <w:vertAlign w:val="superscript"/>
          <w:lang w:val="en-US"/>
        </w:rPr>
        <w:tab/>
      </w:r>
      <w:r w:rsidRPr="00104227">
        <w:rPr>
          <w:rFonts w:cs="Arial"/>
          <w:i/>
          <w:lang w:val="en-US" w:eastAsia="en-US"/>
        </w:rPr>
        <w:t xml:space="preserve">Cf. </w:t>
      </w:r>
      <w:r w:rsidRPr="00104227">
        <w:rPr>
          <w:rFonts w:cs="Arial"/>
          <w:lang w:val="en-US" w:eastAsia="en-US"/>
        </w:rPr>
        <w:t>The State’s brief before the</w:t>
      </w:r>
      <w:r w:rsidRPr="00104227">
        <w:rPr>
          <w:lang w:val="en-US"/>
        </w:rPr>
        <w:t xml:space="preserve"> Commission </w:t>
      </w:r>
      <w:r w:rsidRPr="00104227">
        <w:rPr>
          <w:rFonts w:cs="Arial"/>
          <w:lang w:val="en-US" w:eastAsia="en-US"/>
        </w:rPr>
        <w:t xml:space="preserve">of October 15, 2012 </w:t>
      </w:r>
      <w:r w:rsidRPr="00104227">
        <w:rPr>
          <w:lang w:val="en-US"/>
        </w:rPr>
        <w:t>(evidence file, folios 14335 and 14336).</w:t>
      </w:r>
    </w:p>
  </w:footnote>
  <w:footnote w:id="211">
    <w:p w14:paraId="21A8DA3C" w14:textId="5027001B" w:rsidR="0080773E" w:rsidRPr="00104227" w:rsidRDefault="0080773E" w:rsidP="002755DF">
      <w:pPr>
        <w:tabs>
          <w:tab w:val="left" w:pos="426"/>
        </w:tabs>
        <w:autoSpaceDE w:val="0"/>
        <w:autoSpaceDN w:val="0"/>
        <w:adjustRightInd w:val="0"/>
        <w:spacing w:before="120" w:after="120"/>
        <w:rPr>
          <w:rFonts w:eastAsia="Calibri" w:cs="Verdana"/>
          <w:sz w:val="16"/>
          <w:szCs w:val="16"/>
          <w:lang w:eastAsia="es-ES"/>
        </w:rPr>
      </w:pPr>
      <w:r w:rsidRPr="00104227">
        <w:rPr>
          <w:rFonts w:eastAsia="Calibri" w:cs="Verdana"/>
          <w:sz w:val="16"/>
          <w:szCs w:val="16"/>
          <w:vertAlign w:val="superscript"/>
          <w:lang w:eastAsia="es-ES"/>
        </w:rPr>
        <w:footnoteRef/>
      </w:r>
      <w:r w:rsidRPr="00104227">
        <w:rPr>
          <w:rFonts w:eastAsia="Calibri" w:cs="Verdana"/>
          <w:sz w:val="16"/>
          <w:szCs w:val="16"/>
          <w:lang w:eastAsia="es-ES"/>
        </w:rPr>
        <w:t xml:space="preserve"> </w:t>
      </w:r>
      <w:r w:rsidRPr="00104227">
        <w:rPr>
          <w:rFonts w:eastAsia="Calibri" w:cs="Verdana"/>
          <w:sz w:val="16"/>
          <w:szCs w:val="16"/>
          <w:lang w:eastAsia="es-ES"/>
        </w:rPr>
        <w:tab/>
      </w:r>
      <w:r w:rsidRPr="00104227">
        <w:rPr>
          <w:rFonts w:eastAsia="Calibri" w:cs="Verdana"/>
          <w:i/>
          <w:sz w:val="16"/>
          <w:szCs w:val="16"/>
          <w:lang w:eastAsia="es-ES"/>
        </w:rPr>
        <w:t xml:space="preserve">Cf. </w:t>
      </w:r>
      <w:r w:rsidRPr="00104227">
        <w:rPr>
          <w:rFonts w:eastAsia="Calibri" w:cs="Verdana"/>
          <w:sz w:val="16"/>
          <w:szCs w:val="16"/>
          <w:lang w:eastAsia="es-ES"/>
        </w:rPr>
        <w:t>Ruling of February 9, 2009, of the First collegiate Criminal Court of the Second Circuit domiciled in the state of Mexico (evidence file, folios 23276 and 23277).</w:t>
      </w:r>
    </w:p>
  </w:footnote>
  <w:footnote w:id="212">
    <w:p w14:paraId="65C8FC4C" w14:textId="44D82A59" w:rsidR="0080773E" w:rsidRPr="00104227" w:rsidRDefault="0080773E" w:rsidP="002755DF">
      <w:pPr>
        <w:pStyle w:val="Textonotapie"/>
        <w:tabs>
          <w:tab w:val="left" w:pos="426"/>
        </w:tabs>
        <w:spacing w:before="120" w:after="120"/>
        <w:rPr>
          <w:rFonts w:cs="Arial"/>
          <w:lang w:val="en-US" w:eastAsia="en-US"/>
        </w:rPr>
      </w:pPr>
      <w:r w:rsidRPr="00104227">
        <w:rPr>
          <w:vertAlign w:val="superscript"/>
          <w:lang w:val="en-US"/>
        </w:rPr>
        <w:footnoteRef/>
      </w:r>
      <w:r w:rsidRPr="00104227">
        <w:rPr>
          <w:vertAlign w:val="superscript"/>
          <w:lang w:val="en-US"/>
        </w:rPr>
        <w:t xml:space="preserve"> </w:t>
      </w:r>
      <w:r w:rsidRPr="00104227">
        <w:rPr>
          <w:vertAlign w:val="superscript"/>
          <w:lang w:val="en-US"/>
        </w:rPr>
        <w:tab/>
      </w:r>
      <w:r w:rsidRPr="00104227">
        <w:rPr>
          <w:rFonts w:cs="Arial"/>
          <w:lang w:val="en-US" w:eastAsia="en-US"/>
        </w:rPr>
        <w:t xml:space="preserve">Thus, the court considered that, “several inconsistencies are noted in the content of the offended party’s statements, such as that, when testifying before the investigating authority on May 4 […], she had the opportunity to inform the investigating authority of the sexual abuse […] but, nevertheless, she decided not to do so; it was only on May 5 […] that she stated that, on May 3 […], during the transfer several police agents had demanded that she perform oral sex and others had groped her. […] However, she did not identify the agent she now accuses […] despite only two days having passed since the events took place; therefore, the events were still very recent and she could recount them in detail, but she did not do so; and this was repeated when she came forward […] on May 12 […] and stated that […] she did not know to which police force the agents she complained about belonged and she could not see the faces of those who forced her to perform oral sex […], and this statement clearly proves that the passive party cannot identify her assailants […]; that although it is true that […], on May 25 […], she stated that while she was being sexual abused she remained with her eyes closed and […] [then] was able to open her eyes and could see the two police agents who helped her and can recognize them, at no time did she state that she had seen her assailant; and it was only on June 13 […], when making a written statement and having seen the photographs of the [state] police agents […] that she recognized the active party, without equivocation as the person who forced her to perform oral sex.” Judgment of the Superior Court of Justice of the state of Mexico, Second Unitary Criminal Chamber of Toluca, of February 18, 2009 (evidence file, folios 41479 to 41481). </w:t>
      </w:r>
    </w:p>
  </w:footnote>
  <w:footnote w:id="213">
    <w:p w14:paraId="6A83DAE8" w14:textId="6D0A2FDC"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Currently, this office is entitled the Special Prosecutor for Violent Crimes against Women and Human Trafficking (FEVIMTRA).</w:t>
      </w:r>
    </w:p>
  </w:footnote>
  <w:footnote w:id="214">
    <w:p w14:paraId="5F71D451" w14:textId="0D56D596"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Order to constitute the First Criminal Trial Court in Toluca, Mexico of October 15, 2014 (evidence file, folio 1638); Order on the constitutional time limit issued by the First Criminal Trial Court in Toluca, Mexico of October 18, 2014 (evidence file, folio 2486); Order on the constitutional time limit issued by the First Criminal Trial Court in Toluca, Mexico of October 21, 2014 (evidence file, folio 3486), and Order on the constitutional time limit issued by the First Criminal Trial Court in Toluca, Mexico of October 27, 2014 (evidence file, folio 4387).</w:t>
      </w:r>
    </w:p>
  </w:footnote>
  <w:footnote w:id="215">
    <w:p w14:paraId="2CEAFFB1" w14:textId="1D5A4498"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Complaints filed by the Center Prodh before the FEVIM on May 16 and 26, 2006, (evidence file, folios 8529, 8530 and 8536).</w:t>
      </w:r>
    </w:p>
  </w:footnote>
  <w:footnote w:id="216">
    <w:p w14:paraId="4E600217" w14:textId="66379830" w:rsidR="0080773E" w:rsidRPr="00104227" w:rsidRDefault="0080773E" w:rsidP="002755DF">
      <w:pPr>
        <w:pStyle w:val="Textonotapie"/>
        <w:tabs>
          <w:tab w:val="left" w:pos="426"/>
        </w:tabs>
        <w:rPr>
          <w:lang w:val="en-US"/>
        </w:rPr>
      </w:pPr>
      <w:r w:rsidRPr="00104227">
        <w:rPr>
          <w:rStyle w:val="Refdenotaalpie"/>
          <w:lang w:val="en-US"/>
        </w:rPr>
        <w:footnoteRef/>
      </w:r>
      <w:r w:rsidRPr="00104227">
        <w:rPr>
          <w:lang w:val="en-US"/>
        </w:rPr>
        <w:t xml:space="preserve"> </w:t>
      </w:r>
      <w:r w:rsidRPr="00104227">
        <w:rPr>
          <w:lang w:val="en-US"/>
        </w:rPr>
        <w:tab/>
        <w:t xml:space="preserve">In addition, among other matters, it requested copies of the CNDH case file and also lists and photographs of the members of the Federal Preventive Police who took part in the events, and obtained the reports of several police agents. </w:t>
      </w:r>
      <w:r w:rsidRPr="00104227">
        <w:rPr>
          <w:i/>
          <w:lang w:val="en-US"/>
        </w:rPr>
        <w:t xml:space="preserve">Cf. </w:t>
      </w:r>
      <w:r w:rsidRPr="00104227">
        <w:rPr>
          <w:lang w:val="en-US"/>
        </w:rPr>
        <w:t>The State’s brief before the Commission of October 15, 2012 (evidence file, folios 14318 and 14319).</w:t>
      </w:r>
    </w:p>
  </w:footnote>
  <w:footnote w:id="217">
    <w:p w14:paraId="543D0F8F" w14:textId="5F77E23E"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spacing w:val="0"/>
          <w:lang w:val="en-US"/>
        </w:rPr>
        <w:t xml:space="preserve">Cf. </w:t>
      </w:r>
      <w:r w:rsidRPr="00104227">
        <w:rPr>
          <w:spacing w:val="0"/>
          <w:lang w:val="en-US"/>
        </w:rPr>
        <w:t>Statement made by Norma Aidé Jiménez Osorio on May 25, 2006, before the FEVIM (evidence file, folio 802); statement made by Georgina Edith Rosales Gutiérrez on May 25, 2006, before the FEVIM (evidence file, folio 1114); statement made by Mar</w:t>
      </w:r>
      <w:r w:rsidRPr="00104227">
        <w:rPr>
          <w:rFonts w:cs="Times New Roman"/>
          <w:spacing w:val="0"/>
          <w:lang w:val="en-US"/>
        </w:rPr>
        <w:t>í</w:t>
      </w:r>
      <w:r w:rsidRPr="00104227">
        <w:rPr>
          <w:spacing w:val="0"/>
          <w:lang w:val="en-US"/>
        </w:rPr>
        <w:t>a Patricia Romero Hernández on May 25, 2006, before the FEVIM (evidence file, folio 904); statement made by Mariana Selvas Gómez on May 25, 2006, before the FEVIM (evidence file, folio 1012); statement made by Suhelen Gabriela Cuevas Jaramillo on May 25, 2006, before the FEVIM (evidence file, folio 1284); expansion of the complaint filed by Bárbara Italia Méndez Moreno on June 14, 2006, before the FEVIM (evidence file, folio 1439); expansion of the complaint filed by Claudia Hernández Martínez on June 14, 2006, before the FEVIM (evidence file, folio 1586); statement and expansion of the complaint filed by Ana María Velasco Rodríguez on June 15, 2006, before the FEVIM (evidence file, folio 1219); expansion of the complaint filed by Yolanda Muñoz Diosdada on June 15, 2006, before the FEVIM (evidence file, folio 701); statement made by Cristina Sánchez Hernández on June 15, 2006, before the FEVIM (evidence file, folio 8905), and statement made by Angélica Patricia Torres Linares on June 19, 2006, before the FEVIM (evidence file, folio 1511).</w:t>
      </w:r>
    </w:p>
  </w:footnote>
  <w:footnote w:id="218">
    <w:p w14:paraId="458ACDAC" w14:textId="685137F6"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rFonts w:cs="Arial"/>
          <w:lang w:val="en-US" w:eastAsia="en-US"/>
        </w:rPr>
        <w:t xml:space="preserve">Transcript of the decision waiving jurisdiction of July 13, 2009 (evidence file, folios 24522 to 24524). As the legal grounds for waiving jurisdiction, the FEVIM used PGR Decision </w:t>
      </w:r>
      <w:r w:rsidRPr="00104227">
        <w:rPr>
          <w:lang w:val="en-US"/>
        </w:rPr>
        <w:t>A/024/08 which indicated that “it has authority to investigate those acts of violence against women that fall within the federal jurisdiction or that are based on ordinary criminal laws related to federal offenses.” FEVIM communication</w:t>
      </w:r>
      <w:r w:rsidRPr="00104227">
        <w:rPr>
          <w:rFonts w:cs="Arial"/>
          <w:lang w:val="en-US" w:eastAsia="en-US"/>
        </w:rPr>
        <w:t xml:space="preserve"> FEVIMTRA-C/DAP/2218/2009 received on July 15, 2009 (evidence file, folio 5021).</w:t>
      </w:r>
    </w:p>
  </w:footnote>
  <w:footnote w:id="219">
    <w:p w14:paraId="79010876" w14:textId="7F7BFC3A"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rFonts w:cs="Arial"/>
          <w:lang w:val="en-US" w:eastAsia="en-US"/>
        </w:rPr>
        <w:t xml:space="preserve">Transcript of the decision waiving jurisdiction of July 13, 2009 (evidence file, folios 24522 to 24524), and </w:t>
      </w:r>
      <w:r w:rsidRPr="00104227">
        <w:rPr>
          <w:lang w:val="en-US"/>
        </w:rPr>
        <w:t>FEVIM communication</w:t>
      </w:r>
      <w:r w:rsidRPr="00104227">
        <w:rPr>
          <w:rFonts w:cs="Arial"/>
          <w:lang w:val="en-US" w:eastAsia="en-US"/>
        </w:rPr>
        <w:t xml:space="preserve"> FEVIMTRA-C/DAP/2218/2009 received on July 15, 2009 (evidence file, folio 5021).</w:t>
      </w:r>
    </w:p>
  </w:footnote>
  <w:footnote w:id="220">
    <w:p w14:paraId="00F610FE" w14:textId="750A7B7E" w:rsidR="0080773E" w:rsidRPr="00104227" w:rsidRDefault="0080773E" w:rsidP="00E2287B">
      <w:pPr>
        <w:tabs>
          <w:tab w:val="left" w:pos="480"/>
          <w:tab w:val="left" w:pos="1080"/>
          <w:tab w:val="left" w:pos="1680"/>
          <w:tab w:val="left" w:pos="5400"/>
        </w:tabs>
        <w:suppressAutoHyphens/>
        <w:spacing w:before="120" w:after="120"/>
        <w:rPr>
          <w:spacing w:val="-3"/>
          <w:sz w:val="16"/>
          <w:szCs w:val="16"/>
        </w:rPr>
      </w:pPr>
      <w:r w:rsidRPr="00104227">
        <w:rPr>
          <w:rStyle w:val="Refdenotaalpie"/>
        </w:rPr>
        <w:footnoteRef/>
      </w:r>
      <w:r w:rsidRPr="00104227">
        <w:rPr>
          <w:sz w:val="16"/>
          <w:szCs w:val="16"/>
        </w:rPr>
        <w:t xml:space="preserve"> </w:t>
      </w:r>
      <w:r w:rsidRPr="00104227">
        <w:rPr>
          <w:sz w:val="16"/>
          <w:szCs w:val="16"/>
        </w:rPr>
        <w:tab/>
        <w:t xml:space="preserve">The relevant part of Article 5 of the Convention establishes that: “1. </w:t>
      </w:r>
      <w:r w:rsidRPr="00104227">
        <w:rPr>
          <w:spacing w:val="-3"/>
          <w:sz w:val="16"/>
          <w:szCs w:val="16"/>
        </w:rPr>
        <w:t>Every person has the right to have his physical, mental, and moral integrity respected. 2. No one shall be subjected to torture or to cruel, inhuman, or degrading punishment or treatment.  All persons deprived of their liberty shall be treated with respect for the inherent dignity of the human person.</w:t>
      </w:r>
      <w:r w:rsidRPr="00104227">
        <w:rPr>
          <w:sz w:val="16"/>
          <w:szCs w:val="16"/>
        </w:rPr>
        <w:t>”</w:t>
      </w:r>
    </w:p>
  </w:footnote>
  <w:footnote w:id="221">
    <w:p w14:paraId="7AF69B63" w14:textId="2503C7D0" w:rsidR="0080773E" w:rsidRPr="00104227" w:rsidRDefault="0080773E" w:rsidP="00E2287B">
      <w:pPr>
        <w:tabs>
          <w:tab w:val="left" w:pos="480"/>
          <w:tab w:val="left" w:pos="1080"/>
          <w:tab w:val="left" w:pos="1680"/>
          <w:tab w:val="left" w:pos="5400"/>
        </w:tabs>
        <w:suppressAutoHyphens/>
        <w:spacing w:before="120" w:after="120"/>
        <w:rPr>
          <w:spacing w:val="-3"/>
          <w:sz w:val="16"/>
          <w:szCs w:val="16"/>
        </w:rPr>
      </w:pPr>
      <w:r w:rsidRPr="00104227">
        <w:rPr>
          <w:rStyle w:val="Refdenotaalpie"/>
        </w:rPr>
        <w:footnoteRef/>
      </w:r>
      <w:r w:rsidRPr="00104227">
        <w:rPr>
          <w:sz w:val="16"/>
          <w:szCs w:val="16"/>
        </w:rPr>
        <w:t xml:space="preserve"> </w:t>
      </w:r>
      <w:r w:rsidRPr="00104227">
        <w:rPr>
          <w:sz w:val="16"/>
          <w:szCs w:val="16"/>
        </w:rPr>
        <w:tab/>
        <w:t>Article 11(2) of the Convention establishes that: “</w:t>
      </w:r>
      <w:r w:rsidRPr="00104227">
        <w:rPr>
          <w:spacing w:val="-3"/>
          <w:sz w:val="16"/>
          <w:szCs w:val="16"/>
        </w:rPr>
        <w:t>No one may be the object of arbitrary or abusive interference with his private life, his family, his home, or his correspondence, or of unlawful attacks on his honor or reputation.</w:t>
      </w:r>
      <w:r w:rsidRPr="00104227">
        <w:rPr>
          <w:rFonts w:cs="Tahoma"/>
          <w:color w:val="000000"/>
          <w:sz w:val="16"/>
          <w:szCs w:val="16"/>
        </w:rPr>
        <w:t>”</w:t>
      </w:r>
    </w:p>
  </w:footnote>
  <w:footnote w:id="222">
    <w:p w14:paraId="05B36F7B" w14:textId="603C2F7D" w:rsidR="0080773E" w:rsidRPr="00104227" w:rsidRDefault="0080773E" w:rsidP="00E2287B">
      <w:pPr>
        <w:tabs>
          <w:tab w:val="left" w:pos="480"/>
          <w:tab w:val="left" w:pos="1080"/>
          <w:tab w:val="left" w:pos="1680"/>
          <w:tab w:val="left" w:pos="5400"/>
        </w:tabs>
        <w:suppressAutoHyphens/>
        <w:spacing w:before="120" w:after="120"/>
        <w:rPr>
          <w:spacing w:val="-3"/>
          <w:sz w:val="16"/>
          <w:szCs w:val="16"/>
        </w:rPr>
      </w:pPr>
      <w:r w:rsidRPr="00104227">
        <w:rPr>
          <w:rStyle w:val="Refdenotaalpie"/>
        </w:rPr>
        <w:footnoteRef/>
      </w:r>
      <w:r w:rsidRPr="00104227">
        <w:rPr>
          <w:sz w:val="16"/>
          <w:szCs w:val="16"/>
        </w:rPr>
        <w:t xml:space="preserve"> </w:t>
      </w:r>
      <w:r w:rsidRPr="00104227">
        <w:rPr>
          <w:sz w:val="16"/>
          <w:szCs w:val="16"/>
        </w:rPr>
        <w:tab/>
        <w:t>Article 15 of the Convention establishes that: “</w:t>
      </w:r>
      <w:r w:rsidRPr="00104227">
        <w:rPr>
          <w:spacing w:val="-3"/>
          <w:sz w:val="16"/>
          <w:szCs w:val="16"/>
        </w:rPr>
        <w:t>The right of peaceful assembly, without arms, is recognized.  No restrictions may be placed on the exercise of this right other than those imposed in conformity with the law and necessary in a democratic society in the interest of national security, public safety or public order, or to protect public health or morals or the rights or freedom of others.</w:t>
      </w:r>
      <w:r w:rsidRPr="00104227">
        <w:rPr>
          <w:rFonts w:cs="Tahoma"/>
          <w:color w:val="000000"/>
          <w:sz w:val="16"/>
          <w:szCs w:val="16"/>
        </w:rPr>
        <w:t>”</w:t>
      </w:r>
    </w:p>
  </w:footnote>
  <w:footnote w:id="223">
    <w:p w14:paraId="61B4313B" w14:textId="48596334" w:rsidR="0080773E" w:rsidRPr="00104227" w:rsidRDefault="0080773E" w:rsidP="00E2287B">
      <w:pPr>
        <w:pStyle w:val="Textocomentario"/>
        <w:tabs>
          <w:tab w:val="left" w:pos="426"/>
        </w:tabs>
        <w:spacing w:before="120" w:after="120"/>
        <w:rPr>
          <w:rFonts w:cs="Tahoma"/>
          <w:color w:val="000000"/>
          <w:sz w:val="16"/>
          <w:szCs w:val="16"/>
        </w:rPr>
      </w:pPr>
      <w:r w:rsidRPr="00104227">
        <w:rPr>
          <w:rStyle w:val="Refdenotaalpie"/>
        </w:rPr>
        <w:footnoteRef/>
      </w:r>
      <w:r w:rsidRPr="00104227">
        <w:rPr>
          <w:sz w:val="16"/>
          <w:szCs w:val="16"/>
        </w:rPr>
        <w:t xml:space="preserve"> </w:t>
      </w:r>
      <w:r w:rsidRPr="00104227">
        <w:rPr>
          <w:sz w:val="16"/>
          <w:szCs w:val="16"/>
        </w:rPr>
        <w:tab/>
        <w:t>Article 1(1) of the Convention establishes that:</w:t>
      </w:r>
      <w:r w:rsidRPr="00104227">
        <w:rPr>
          <w:rFonts w:cs="Tahoma"/>
          <w:color w:val="000000"/>
          <w:sz w:val="16"/>
          <w:szCs w:val="16"/>
        </w:rPr>
        <w:t xml:space="preserve"> “</w:t>
      </w:r>
      <w:r w:rsidRPr="00104227">
        <w:rPr>
          <w:spacing w:val="-3"/>
          <w:sz w:val="16"/>
          <w:szCs w:val="16"/>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r w:rsidRPr="00104227">
        <w:rPr>
          <w:rFonts w:cs="Tahoma"/>
          <w:color w:val="000000"/>
          <w:sz w:val="16"/>
          <w:szCs w:val="16"/>
        </w:rPr>
        <w:t>”</w:t>
      </w:r>
    </w:p>
  </w:footnote>
  <w:footnote w:id="224">
    <w:p w14:paraId="3DAB7B70" w14:textId="372E2CDB"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The representatives indicated that they made this allegation because, during the public hearing, the President of the Court at the time, under the </w:t>
      </w:r>
      <w:r w:rsidRPr="00104227">
        <w:rPr>
          <w:i/>
          <w:lang w:val="en-US"/>
        </w:rPr>
        <w:t>iura novit curia</w:t>
      </w:r>
      <w:r w:rsidRPr="00104227">
        <w:rPr>
          <w:lang w:val="en-US"/>
        </w:rPr>
        <w:t xml:space="preserve"> principle, had expressly asked them to refer to the violation of those rights. Indeed, during the hearing, the President asked that “in the final arguments, the representatives also refer to [the right of assembly], because the case was presented from the perspective of gender-based violence, and also from the perspective of gender, but the collective right of assembly, I believe also merits reflection in the final arguments.”</w:t>
      </w:r>
    </w:p>
  </w:footnote>
  <w:footnote w:id="225">
    <w:p w14:paraId="76AB5652" w14:textId="072058D6" w:rsidR="0080773E" w:rsidRPr="00104227" w:rsidRDefault="0080773E" w:rsidP="002755DF">
      <w:pPr>
        <w:tabs>
          <w:tab w:val="left" w:pos="426"/>
        </w:tabs>
        <w:spacing w:before="120" w:after="120"/>
        <w:ind w:right="149"/>
        <w:rPr>
          <w:rFonts w:eastAsia="Verdana" w:cs="Verdana"/>
          <w:sz w:val="16"/>
          <w:szCs w:val="16"/>
        </w:rPr>
      </w:pPr>
      <w:r w:rsidRPr="00104227">
        <w:rPr>
          <w:rStyle w:val="Refdenotaalpie"/>
        </w:rPr>
        <w:footnoteRef/>
      </w:r>
      <w:r w:rsidRPr="0080773E">
        <w:rPr>
          <w:sz w:val="16"/>
          <w:szCs w:val="16"/>
          <w:lang w:val="es-CR"/>
        </w:rPr>
        <w:t xml:space="preserve"> </w:t>
      </w:r>
      <w:r w:rsidRPr="0080773E">
        <w:rPr>
          <w:sz w:val="16"/>
          <w:szCs w:val="16"/>
          <w:lang w:val="es-CR"/>
        </w:rPr>
        <w:tab/>
      </w:r>
      <w:r w:rsidRPr="0080773E">
        <w:rPr>
          <w:i/>
          <w:sz w:val="16"/>
          <w:szCs w:val="16"/>
          <w:lang w:val="es-CR"/>
        </w:rPr>
        <w:t>Cf.</w:t>
      </w:r>
      <w:r w:rsidRPr="0080773E">
        <w:rPr>
          <w:sz w:val="16"/>
          <w:szCs w:val="16"/>
          <w:lang w:val="es-CR"/>
        </w:rPr>
        <w:t xml:space="preserve"> </w:t>
      </w:r>
      <w:r w:rsidRPr="0080773E">
        <w:rPr>
          <w:i/>
          <w:sz w:val="16"/>
          <w:szCs w:val="16"/>
          <w:lang w:val="es-CR"/>
        </w:rPr>
        <w:t xml:space="preserve">Case of Velásquez Rodríguez v. Honduras. </w:t>
      </w:r>
      <w:r w:rsidRPr="00104227">
        <w:rPr>
          <w:i/>
          <w:sz w:val="16"/>
          <w:szCs w:val="16"/>
        </w:rPr>
        <w:t xml:space="preserve">Merits. </w:t>
      </w:r>
      <w:r w:rsidRPr="00104227">
        <w:rPr>
          <w:sz w:val="16"/>
          <w:szCs w:val="16"/>
        </w:rPr>
        <w:t xml:space="preserve">Judgment of July 29, 1988. Series C No. 4, para. 154, and </w:t>
      </w:r>
      <w:r w:rsidRPr="00104227">
        <w:rPr>
          <w:i/>
          <w:sz w:val="16"/>
          <w:szCs w:val="16"/>
        </w:rPr>
        <w:t xml:space="preserve">Case of Cruz Sánchez et al. v. Peru. Preliminary objections, merits, reparations and costs. </w:t>
      </w:r>
      <w:r w:rsidRPr="00104227">
        <w:rPr>
          <w:sz w:val="16"/>
          <w:szCs w:val="16"/>
        </w:rPr>
        <w:t>Judgment of April 17, 2015. Series C No. 292, para. 264</w:t>
      </w:r>
      <w:r w:rsidRPr="00104227">
        <w:rPr>
          <w:rFonts w:eastAsia="Verdana" w:cs="Verdana"/>
          <w:bCs/>
          <w:sz w:val="16"/>
          <w:szCs w:val="16"/>
        </w:rPr>
        <w:t xml:space="preserve">. </w:t>
      </w:r>
    </w:p>
  </w:footnote>
  <w:footnote w:id="226">
    <w:p w14:paraId="261B7171" w14:textId="328B897A" w:rsidR="0080773E" w:rsidRPr="00104227" w:rsidRDefault="0080773E" w:rsidP="002755DF">
      <w:pPr>
        <w:pStyle w:val="Textonotapie"/>
        <w:tabs>
          <w:tab w:val="left" w:pos="426"/>
          <w:tab w:val="left" w:pos="709"/>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w:t>
      </w:r>
      <w:r w:rsidRPr="00104227">
        <w:rPr>
          <w:i/>
          <w:lang w:val="en-US"/>
        </w:rPr>
        <w:t>Case of Velásquez Rodríguez v. Honduras. Merits.</w:t>
      </w:r>
      <w:r w:rsidRPr="00104227">
        <w:rPr>
          <w:lang w:val="en-US"/>
        </w:rPr>
        <w:t xml:space="preserve"> Judgment of July 29, 1988. Series C No. 4, para. 154, and </w:t>
      </w:r>
      <w:r w:rsidRPr="00104227">
        <w:rPr>
          <w:i/>
          <w:lang w:val="en-US"/>
        </w:rPr>
        <w:t xml:space="preserve">Case of Cruz Sánchez et al. v. Peru. Preliminary objections, merits, reparations and costs. </w:t>
      </w:r>
      <w:r w:rsidRPr="00104227">
        <w:rPr>
          <w:lang w:val="en-US"/>
        </w:rPr>
        <w:t xml:space="preserve">Judgment of April 17, 2015. Series C No. 292, para. </w:t>
      </w:r>
      <w:r w:rsidRPr="00104227">
        <w:rPr>
          <w:rFonts w:eastAsia="Verdana"/>
          <w:bCs/>
          <w:lang w:val="en-US"/>
        </w:rPr>
        <w:t>262.</w:t>
      </w:r>
    </w:p>
  </w:footnote>
  <w:footnote w:id="227">
    <w:p w14:paraId="05DBB3E0" w14:textId="388D3DED" w:rsidR="0080773E" w:rsidRPr="00104227" w:rsidRDefault="0080773E" w:rsidP="002755DF">
      <w:pPr>
        <w:pStyle w:val="Textonotapie"/>
        <w:tabs>
          <w:tab w:val="left" w:pos="426"/>
          <w:tab w:val="left" w:pos="709"/>
        </w:tabs>
        <w:spacing w:before="120" w:after="120"/>
        <w:rPr>
          <w:lang w:val="en-US"/>
        </w:rPr>
      </w:pPr>
      <w:r w:rsidRPr="00104227">
        <w:rPr>
          <w:rStyle w:val="Refdenotaalpie"/>
          <w:lang w:val="en-US"/>
        </w:rPr>
        <w:footnoteRef/>
      </w:r>
      <w:r w:rsidRPr="00104227">
        <w:rPr>
          <w:lang w:val="en-US"/>
        </w:rPr>
        <w:t xml:space="preserve"> </w:t>
      </w:r>
      <w:r w:rsidRPr="00104227">
        <w:rPr>
          <w:lang w:val="en-US"/>
        </w:rPr>
        <w:tab/>
        <w:t>Basic Principles on the Use of Force and Firearms by Law Enforcement Officials (hereinafter, “Basic Principles on the Use of Force”) adopted at the Eighth United Nations Congress on the Prevention of Crime and the Treatment of  Offenders, held in Havana, Cuba, from August 27 to September 7, 1990.</w:t>
      </w:r>
    </w:p>
  </w:footnote>
  <w:footnote w:id="228">
    <w:p w14:paraId="58905836" w14:textId="05842735" w:rsidR="0080773E" w:rsidRPr="00104227" w:rsidRDefault="0080773E" w:rsidP="002755DF">
      <w:pPr>
        <w:pStyle w:val="Textonotapie"/>
        <w:tabs>
          <w:tab w:val="left" w:pos="426"/>
          <w:tab w:val="left" w:pos="709"/>
        </w:tabs>
        <w:spacing w:before="120" w:after="120"/>
        <w:rPr>
          <w:lang w:val="en-US"/>
        </w:rPr>
      </w:pPr>
      <w:r w:rsidRPr="00104227">
        <w:rPr>
          <w:rStyle w:val="Refdenotaalpie"/>
          <w:lang w:val="en-US"/>
        </w:rPr>
        <w:footnoteRef/>
      </w:r>
      <w:r w:rsidRPr="00104227">
        <w:rPr>
          <w:lang w:val="en-US"/>
        </w:rPr>
        <w:t xml:space="preserve"> </w:t>
      </w:r>
      <w:r w:rsidRPr="00104227">
        <w:rPr>
          <w:lang w:val="en-US"/>
        </w:rPr>
        <w:tab/>
        <w:t>Code of Conduct for Law Enforcement Officials, adopted by the United Nations General Assembly in Resolution 34/169, December 17, 1979.</w:t>
      </w:r>
    </w:p>
  </w:footnote>
  <w:footnote w:id="229">
    <w:p w14:paraId="34950688" w14:textId="5978EC3E" w:rsidR="0080773E" w:rsidRPr="00104227" w:rsidRDefault="0080773E" w:rsidP="002755DF">
      <w:pPr>
        <w:pStyle w:val="Textonotapie"/>
        <w:tabs>
          <w:tab w:val="left" w:pos="426"/>
          <w:tab w:val="left" w:pos="709"/>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Case of Montero Aranguren et al. </w:t>
      </w:r>
      <w:r w:rsidRPr="0080773E">
        <w:rPr>
          <w:i/>
          <w:lang w:val="es-CR"/>
        </w:rPr>
        <w:t xml:space="preserve">(Retén de Catia) v. Venezuela. </w:t>
      </w:r>
      <w:r w:rsidRPr="00104227">
        <w:rPr>
          <w:i/>
          <w:lang w:val="en-US"/>
        </w:rPr>
        <w:t>Preliminary objection, merits, reparations and costs.</w:t>
      </w:r>
      <w:r w:rsidRPr="00104227">
        <w:rPr>
          <w:lang w:val="en-US"/>
        </w:rPr>
        <w:t xml:space="preserve"> Judgment of July 5, 2006. Series C No. 150, paras. 68 and 69, and </w:t>
      </w:r>
      <w:r w:rsidRPr="00104227">
        <w:rPr>
          <w:i/>
          <w:lang w:val="en-US"/>
        </w:rPr>
        <w:t>Case of Cruz Sánchez et al. v. Peru. Preliminary objections, merits, reparations and costs.</w:t>
      </w:r>
      <w:r w:rsidRPr="00104227">
        <w:rPr>
          <w:lang w:val="en-US"/>
        </w:rPr>
        <w:t xml:space="preserve"> Judgment of April 17, 2015. Series C No. 292, para. 264</w:t>
      </w:r>
      <w:r w:rsidRPr="00104227">
        <w:rPr>
          <w:rFonts w:eastAsia="Verdana"/>
          <w:bCs/>
          <w:lang w:val="en-US"/>
        </w:rPr>
        <w:t>.</w:t>
      </w:r>
    </w:p>
  </w:footnote>
  <w:footnote w:id="230">
    <w:p w14:paraId="54284CFF" w14:textId="340203BF" w:rsidR="0080773E" w:rsidRPr="00104227" w:rsidRDefault="0080773E" w:rsidP="002755DF">
      <w:pPr>
        <w:pStyle w:val="Textonotapie"/>
        <w:tabs>
          <w:tab w:val="left" w:pos="426"/>
          <w:tab w:val="left" w:pos="709"/>
        </w:tabs>
        <w:spacing w:before="120" w:after="120"/>
        <w:rPr>
          <w:lang w:val="en-US"/>
        </w:rPr>
      </w:pPr>
      <w:r w:rsidRPr="00104227">
        <w:rPr>
          <w:rStyle w:val="Refdenotaalpie"/>
          <w:lang w:val="en-US"/>
        </w:rPr>
        <w:footnoteRef/>
      </w:r>
      <w:r w:rsidRPr="00104227">
        <w:rPr>
          <w:i/>
          <w:lang w:val="en-US"/>
        </w:rPr>
        <w:t xml:space="preserve"> </w:t>
      </w:r>
      <w:r w:rsidRPr="00104227">
        <w:rPr>
          <w:lang w:val="en-US"/>
        </w:rPr>
        <w:tab/>
        <w:t xml:space="preserve">Basic Principles on the Use of Force, Principles No. 13 and 14. Principle 9 establishes that: </w:t>
      </w:r>
      <w:r w:rsidRPr="00104227">
        <w:rPr>
          <w:color w:val="000000"/>
          <w:shd w:val="clear" w:color="auto" w:fill="FFFFFF"/>
          <w:lang w:val="en-US"/>
        </w:rPr>
        <w:t>“</w:t>
      </w:r>
      <w:r w:rsidRPr="00104227">
        <w:rPr>
          <w:lang w:val="en-US"/>
        </w:rPr>
        <w:t>Law enforcement officials shall not use firearms against persons except in self-defence or defence of others against the imminent threat of death or serious injury, to prevent the perpetration of a particularly serious crime involving grave threat to life, to arrest a person presenting such a danger and resisting their authority, or to prevent his or her escape, and only when less extreme means are insufficient to achieve these objectives. In any event, intentional lethal use of firearms may only be made when strictly unavoidable in order to protect life.</w:t>
      </w:r>
      <w:r w:rsidRPr="00104227">
        <w:rPr>
          <w:color w:val="000000"/>
          <w:shd w:val="clear" w:color="auto" w:fill="FFFFFF"/>
          <w:lang w:val="en-US"/>
        </w:rPr>
        <w:t xml:space="preserve">” </w:t>
      </w:r>
    </w:p>
  </w:footnote>
  <w:footnote w:id="231">
    <w:p w14:paraId="291EB851" w14:textId="055B2EDB" w:rsidR="0080773E" w:rsidRPr="00104227" w:rsidRDefault="0080773E" w:rsidP="002755DF">
      <w:pPr>
        <w:pStyle w:val="Textonotapie"/>
        <w:tabs>
          <w:tab w:val="left" w:pos="426"/>
          <w:tab w:val="left" w:pos="709"/>
        </w:tabs>
        <w:spacing w:before="120" w:after="120"/>
        <w:rPr>
          <w:lang w:val="en-US"/>
        </w:rPr>
      </w:pPr>
      <w:r w:rsidRPr="00104227">
        <w:rPr>
          <w:rStyle w:val="Refdenotaalpie"/>
          <w:lang w:val="en-US"/>
        </w:rPr>
        <w:footnoteRef/>
      </w:r>
      <w:r w:rsidRPr="0080773E">
        <w:rPr>
          <w:lang w:val="es-CR"/>
        </w:rPr>
        <w:t xml:space="preserve"> </w:t>
      </w:r>
      <w:r w:rsidRPr="0080773E">
        <w:rPr>
          <w:lang w:val="es-CR"/>
        </w:rPr>
        <w:tab/>
      </w:r>
      <w:r w:rsidRPr="0080773E">
        <w:rPr>
          <w:i/>
          <w:lang w:val="es-CR"/>
        </w:rPr>
        <w:t xml:space="preserve">Case of Zambrano Vélez et al. v. Ecuador. </w:t>
      </w:r>
      <w:r w:rsidRPr="00104227">
        <w:rPr>
          <w:i/>
          <w:lang w:val="en-US"/>
        </w:rPr>
        <w:t>Merits, reparations and costs.</w:t>
      </w:r>
      <w:r w:rsidRPr="00104227">
        <w:rPr>
          <w:lang w:val="en-US"/>
        </w:rPr>
        <w:t xml:space="preserve"> Judgment of July 4, 2007. Series C No. 166, para. 85, and </w:t>
      </w:r>
      <w:r w:rsidRPr="00104227">
        <w:rPr>
          <w:i/>
          <w:lang w:val="en-US"/>
        </w:rPr>
        <w:t>Case of Cruz Sánchez et al. v. Peru. Preliminary objections, merits, reparations and costs.</w:t>
      </w:r>
      <w:r w:rsidRPr="00104227">
        <w:rPr>
          <w:lang w:val="en-US"/>
        </w:rPr>
        <w:t xml:space="preserve"> Judgment of April 17, 2015. Series C No. 292, para. 264</w:t>
      </w:r>
      <w:r w:rsidRPr="00104227">
        <w:rPr>
          <w:rFonts w:eastAsia="Verdana"/>
          <w:bCs/>
          <w:lang w:val="en-US"/>
        </w:rPr>
        <w:t>.</w:t>
      </w:r>
    </w:p>
  </w:footnote>
  <w:footnote w:id="232">
    <w:p w14:paraId="1A91C190" w14:textId="3982CE8A"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w:t>
      </w:r>
      <w:r w:rsidRPr="00104227">
        <w:rPr>
          <w:rStyle w:val="Textoennegrita"/>
          <w:b w:val="0"/>
          <w:i/>
          <w:shd w:val="clear" w:color="auto" w:fill="FFFFFF"/>
          <w:lang w:val="en-US"/>
        </w:rPr>
        <w:t>Case of Zambrano Vélez et al. v. Ecuador. Merits, reparations and costs.</w:t>
      </w:r>
      <w:r w:rsidRPr="00104227">
        <w:rPr>
          <w:rStyle w:val="Textoennegrita"/>
          <w:b w:val="0"/>
          <w:shd w:val="clear" w:color="auto" w:fill="FFFFFF"/>
          <w:lang w:val="en-US"/>
        </w:rPr>
        <w:t xml:space="preserve"> Judgment of July 4, 2007. Series C No. 166, paras. 85 to 88.</w:t>
      </w:r>
      <w:r w:rsidRPr="00104227">
        <w:rPr>
          <w:rStyle w:val="Textoennegrita"/>
          <w:shd w:val="clear" w:color="auto" w:fill="FFFFFF"/>
          <w:lang w:val="en-US"/>
        </w:rPr>
        <w:t xml:space="preserve"> </w:t>
      </w:r>
    </w:p>
  </w:footnote>
  <w:footnote w:id="233">
    <w:p w14:paraId="64BB6563" w14:textId="08FCF997" w:rsidR="0080773E" w:rsidRPr="00104227" w:rsidRDefault="0080773E" w:rsidP="002755DF">
      <w:pPr>
        <w:pStyle w:val="Textonotapie"/>
        <w:tabs>
          <w:tab w:val="left" w:pos="426"/>
          <w:tab w:val="left" w:pos="709"/>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Nadege Dorzema et al. v. Dominican Republic. Merits, reparations and costs.</w:t>
      </w:r>
      <w:r w:rsidRPr="00104227">
        <w:rPr>
          <w:lang w:val="en-US"/>
        </w:rPr>
        <w:t xml:space="preserve"> Judgment of October 24, 2012. Series C No. 251, para. 85, and </w:t>
      </w:r>
      <w:r w:rsidRPr="00104227">
        <w:rPr>
          <w:i/>
          <w:lang w:val="en-US"/>
        </w:rPr>
        <w:t>Case of Cruz Sánchez et al. v. Peru. Preliminary objections, merits, reparations and costs.</w:t>
      </w:r>
      <w:r w:rsidRPr="00104227">
        <w:rPr>
          <w:lang w:val="en-US"/>
        </w:rPr>
        <w:t xml:space="preserve"> Judgment of April 17, 2015. Series C No. 292</w:t>
      </w:r>
      <w:r w:rsidRPr="00104227">
        <w:rPr>
          <w:rFonts w:eastAsia="Verdana"/>
          <w:bCs/>
          <w:lang w:val="en-US"/>
        </w:rPr>
        <w:t>, para. 265.</w:t>
      </w:r>
      <w:r w:rsidRPr="00104227">
        <w:rPr>
          <w:lang w:val="en-US"/>
        </w:rPr>
        <w:t xml:space="preserve"> Similarly, ECHR, </w:t>
      </w:r>
      <w:r w:rsidRPr="00104227">
        <w:rPr>
          <w:i/>
          <w:lang w:val="en-US"/>
        </w:rPr>
        <w:t>Case of Chumak v. Ukraine</w:t>
      </w:r>
      <w:r w:rsidRPr="00104227">
        <w:rPr>
          <w:lang w:val="en-US"/>
        </w:rPr>
        <w:t xml:space="preserve">, No.44529/09. Judgment of March 6, 2018, para. 40. </w:t>
      </w:r>
    </w:p>
  </w:footnote>
  <w:footnote w:id="234">
    <w:p w14:paraId="042D6A06" w14:textId="4E06DD1F" w:rsidR="0080773E" w:rsidRPr="00104227" w:rsidRDefault="0080773E" w:rsidP="002755DF">
      <w:pPr>
        <w:pStyle w:val="Textonotapie"/>
        <w:tabs>
          <w:tab w:val="left" w:pos="426"/>
          <w:tab w:val="left" w:pos="709"/>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Basic Principles on the Use of Force, Principles Nos. 1, 7, 8 and 11.</w:t>
      </w:r>
    </w:p>
  </w:footnote>
  <w:footnote w:id="235">
    <w:p w14:paraId="5D492099" w14:textId="103885D1" w:rsidR="0080773E" w:rsidRPr="00104227" w:rsidRDefault="0080773E" w:rsidP="002755DF">
      <w:pPr>
        <w:pStyle w:val="Textonotapie"/>
        <w:tabs>
          <w:tab w:val="left" w:pos="426"/>
          <w:tab w:val="left" w:pos="709"/>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Basic Principles on the Use of Force, Principle No. 4.</w:t>
      </w:r>
    </w:p>
  </w:footnote>
  <w:footnote w:id="236">
    <w:p w14:paraId="5974852B" w14:textId="40766342" w:rsidR="0080773E" w:rsidRPr="00104227" w:rsidRDefault="0080773E" w:rsidP="002755DF">
      <w:pPr>
        <w:pStyle w:val="Textonotapie"/>
        <w:tabs>
          <w:tab w:val="left" w:pos="426"/>
          <w:tab w:val="left" w:pos="709"/>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Basic Principles on the Use of Force, Principles Nos. 5 and 9.</w:t>
      </w:r>
    </w:p>
  </w:footnote>
  <w:footnote w:id="237">
    <w:p w14:paraId="66259890" w14:textId="30402D5D" w:rsidR="0080773E" w:rsidRPr="00104227" w:rsidRDefault="0080773E" w:rsidP="002755DF">
      <w:pPr>
        <w:pStyle w:val="Textonotapie"/>
        <w:tabs>
          <w:tab w:val="left" w:pos="426"/>
          <w:tab w:val="left" w:pos="709"/>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Basic Principles on the Use of Force, Principles Nos. 2, 4, 5 and 9.</w:t>
      </w:r>
    </w:p>
  </w:footnote>
  <w:footnote w:id="238">
    <w:p w14:paraId="4B5AB343" w14:textId="072ED849" w:rsidR="0080773E" w:rsidRPr="00104227" w:rsidRDefault="0080773E" w:rsidP="002755DF">
      <w:pPr>
        <w:pStyle w:val="Textonotapie"/>
        <w:tabs>
          <w:tab w:val="left" w:pos="426"/>
          <w:tab w:val="left" w:pos="709"/>
        </w:tabs>
        <w:spacing w:before="120" w:after="120"/>
        <w:rPr>
          <w:bCs/>
          <w:lang w:val="en-US"/>
        </w:rPr>
      </w:pPr>
      <w:r w:rsidRPr="00104227">
        <w:rPr>
          <w:rStyle w:val="Refdenotaalpie"/>
          <w:lang w:val="en-US"/>
        </w:rPr>
        <w:footnoteRef/>
      </w:r>
      <w:r w:rsidRPr="00104227">
        <w:rPr>
          <w:lang w:val="en-US"/>
        </w:rPr>
        <w:t xml:space="preserve"> </w:t>
      </w:r>
      <w:r w:rsidRPr="00104227">
        <w:rPr>
          <w:lang w:val="en-US"/>
        </w:rPr>
        <w:tab/>
      </w:r>
      <w:r w:rsidRPr="00104227">
        <w:rPr>
          <w:i/>
          <w:iCs/>
          <w:lang w:val="en-US"/>
        </w:rPr>
        <w:t>Cf.</w:t>
      </w:r>
      <w:r w:rsidRPr="00104227">
        <w:rPr>
          <w:lang w:val="en-US"/>
        </w:rPr>
        <w:t xml:space="preserve"> </w:t>
      </w:r>
      <w:r w:rsidRPr="00104227">
        <w:rPr>
          <w:i/>
          <w:lang w:val="en-US"/>
        </w:rPr>
        <w:t xml:space="preserve">Case of Montero Aranguren et al. </w:t>
      </w:r>
      <w:r w:rsidRPr="0080773E">
        <w:rPr>
          <w:i/>
          <w:lang w:val="es-CR"/>
        </w:rPr>
        <w:t xml:space="preserve">(Retén de Catia) v. Venezuela. </w:t>
      </w:r>
      <w:r w:rsidRPr="00104227">
        <w:rPr>
          <w:i/>
          <w:lang w:val="en-US"/>
        </w:rPr>
        <w:t>Preliminary objection, merits, reparations and costs.</w:t>
      </w:r>
      <w:r w:rsidRPr="00104227">
        <w:rPr>
          <w:lang w:val="en-US"/>
        </w:rPr>
        <w:t xml:space="preserve"> Judgment of July 5, 2006. Series C No. 150, para. 82, and </w:t>
      </w:r>
      <w:r w:rsidRPr="00104227">
        <w:rPr>
          <w:i/>
          <w:lang w:val="en-US"/>
        </w:rPr>
        <w:t>Case of Cruz Sánchez et al. v. Peru. Preliminary objections, merits, reparations and costs.</w:t>
      </w:r>
      <w:r w:rsidRPr="00104227">
        <w:rPr>
          <w:lang w:val="en-US"/>
        </w:rPr>
        <w:t xml:space="preserve"> Judgment of April 17, 2015. Series C No. 292</w:t>
      </w:r>
      <w:r w:rsidRPr="00104227">
        <w:rPr>
          <w:rFonts w:eastAsia="Verdana"/>
          <w:bCs/>
          <w:lang w:val="en-US"/>
        </w:rPr>
        <w:t>, para. 266.</w:t>
      </w:r>
    </w:p>
  </w:footnote>
  <w:footnote w:id="239">
    <w:p w14:paraId="349E6C27" w14:textId="579E2F47" w:rsidR="0080773E" w:rsidRPr="00104227" w:rsidRDefault="0080773E" w:rsidP="00D82DB8">
      <w:pPr>
        <w:shd w:val="clear" w:color="auto" w:fill="FFFFFF"/>
        <w:tabs>
          <w:tab w:val="left" w:pos="426"/>
        </w:tabs>
        <w:spacing w:before="120" w:after="120"/>
        <w:rPr>
          <w:rFonts w:eastAsia="Times New Roman" w:cs="Times New Roman"/>
          <w:color w:val="000000"/>
          <w:sz w:val="16"/>
          <w:szCs w:val="16"/>
        </w:rPr>
      </w:pPr>
      <w:r w:rsidRPr="00104227">
        <w:rPr>
          <w:rStyle w:val="Refdenotaalpie"/>
        </w:rPr>
        <w:footnoteRef/>
      </w:r>
      <w:r w:rsidRPr="00104227">
        <w:rPr>
          <w:sz w:val="16"/>
          <w:szCs w:val="16"/>
        </w:rPr>
        <w:t xml:space="preserve"> </w:t>
      </w:r>
      <w:r w:rsidRPr="00104227">
        <w:rPr>
          <w:sz w:val="16"/>
          <w:szCs w:val="16"/>
        </w:rPr>
        <w:tab/>
      </w:r>
      <w:r w:rsidRPr="00104227">
        <w:rPr>
          <w:rFonts w:eastAsia="Times New Roman" w:cs="Times New Roman"/>
          <w:color w:val="000000"/>
          <w:sz w:val="16"/>
          <w:szCs w:val="16"/>
        </w:rPr>
        <w:t>SCJN judgment of February 12, 2009 (evidence file, folio 31056).</w:t>
      </w:r>
    </w:p>
  </w:footnote>
  <w:footnote w:id="240">
    <w:p w14:paraId="7C290670" w14:textId="4ABEEBA1" w:rsidR="0080773E" w:rsidRPr="00104227" w:rsidRDefault="0080773E" w:rsidP="002755DF">
      <w:pPr>
        <w:shd w:val="clear" w:color="auto" w:fill="FFFFFF"/>
        <w:tabs>
          <w:tab w:val="left" w:pos="426"/>
        </w:tabs>
        <w:spacing w:before="120" w:after="120"/>
        <w:rPr>
          <w:rFonts w:eastAsia="Times New Roman" w:cs="Times New Roman"/>
          <w:color w:val="000000"/>
          <w:sz w:val="16"/>
          <w:szCs w:val="16"/>
        </w:rPr>
      </w:pPr>
      <w:r w:rsidRPr="00104227">
        <w:rPr>
          <w:rStyle w:val="Refdenotaalpie"/>
        </w:rPr>
        <w:footnoteRef/>
      </w:r>
      <w:r w:rsidRPr="00104227">
        <w:rPr>
          <w:sz w:val="16"/>
          <w:szCs w:val="16"/>
        </w:rPr>
        <w:t xml:space="preserve"> </w:t>
      </w:r>
      <w:r w:rsidRPr="00104227">
        <w:rPr>
          <w:sz w:val="16"/>
          <w:szCs w:val="16"/>
        </w:rPr>
        <w:tab/>
        <w:t>According to Article 7 of the Articles on Responsibility of States for Internationally Wrongful Acts drafted by the UN International Law Commission</w:t>
      </w:r>
      <w:r w:rsidRPr="00104227">
        <w:rPr>
          <w:rFonts w:eastAsia="Times New Roman" w:cs="Times New Roman"/>
          <w:color w:val="000000"/>
          <w:sz w:val="16"/>
          <w:szCs w:val="16"/>
        </w:rPr>
        <w:t>, an internationally wrongful act shall be attributed to the State for the “</w:t>
      </w:r>
      <w:r w:rsidRPr="00104227">
        <w:rPr>
          <w:sz w:val="16"/>
          <w:szCs w:val="16"/>
        </w:rPr>
        <w:t>conduct of an organ of a State or of a person or entity empowered to exercise elements of the governmental authority […] even if it exceeds its authority or contravenes instructions.” United Nations General Assembly, Responsibility of States for Internationally Wrongful Acts</w:t>
      </w:r>
      <w:r w:rsidRPr="00104227">
        <w:rPr>
          <w:rFonts w:eastAsia="Times New Roman" w:cs="Times New Roman"/>
          <w:color w:val="000000"/>
          <w:sz w:val="16"/>
          <w:szCs w:val="16"/>
        </w:rPr>
        <w:t>, A/RES/56/83, January 28, 2002.</w:t>
      </w:r>
    </w:p>
  </w:footnote>
  <w:footnote w:id="241">
    <w:p w14:paraId="5DF8E99A" w14:textId="76D66D87" w:rsidR="0080773E" w:rsidRPr="00104227" w:rsidRDefault="0080773E" w:rsidP="002755DF">
      <w:pPr>
        <w:shd w:val="clear" w:color="auto" w:fill="FFFFFF"/>
        <w:tabs>
          <w:tab w:val="left" w:pos="426"/>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t xml:space="preserve">In this regard, the SCJN indicated that: “far from taking actions that would reflect the agreement and commitment to tolerate the sales the following day, municipal police, together with state police, significantly increased the police presence during the early morning hours of that day. Thus, on the morning of May 3, when the flower sellers arrived with their supporters to set up their stalls, aware that the police presence had been increased during the night (they were already carrying their machetes and had requested the support of members of the Peoples’ Front), the people’s anger at the authorities heated up because, added to it was the perception that the state authorities had deceived them the previous day, ignoring their requests, and there was even a feeling that they were being goaded. […] In this specific factual context, the operation executed that day – even if its purpose had been dissuasive – was not only unjustified but, to the contrary, it was not difficult to see that it was inappropriate because, in the context of the facts, it was a provocative operation, a time bomb. And, based on the known record of the People’s Front, it was foreseeable that it would cause a great deal of anger among the civilians towards the police, which ended in the head-on confrontation already identified, when reciprocal defense became mutual aggression. On this basis, [this] operation […] which resulted in the confrontation between municipal police and inspectors and the sellers and their supporters, was not justified; thus, from the start, the use of force was not legitimate. […] Therefore, the confrontation can only be considered an inefficient, unprofessional, unnecessary and disproportionate action by the municipal authorities that, evidently, had no constitutional justification. </w:t>
      </w:r>
      <w:r w:rsidRPr="00104227">
        <w:rPr>
          <w:i/>
          <w:iCs/>
          <w:sz w:val="16"/>
          <w:szCs w:val="16"/>
        </w:rPr>
        <w:t xml:space="preserve">Cf. </w:t>
      </w:r>
      <w:r w:rsidRPr="00104227">
        <w:rPr>
          <w:sz w:val="16"/>
          <w:szCs w:val="16"/>
        </w:rPr>
        <w:t>SCJN judgment of February 12, 2009 (evidence file, folios 31172, 31173 and 31174</w:t>
      </w:r>
      <w:r w:rsidRPr="00104227">
        <w:rPr>
          <w:rFonts w:eastAsia="Times New Roman" w:cs="Times New Roman"/>
          <w:color w:val="000000"/>
          <w:sz w:val="16"/>
          <w:szCs w:val="16"/>
        </w:rPr>
        <w:t>).</w:t>
      </w:r>
    </w:p>
  </w:footnote>
  <w:footnote w:id="242">
    <w:p w14:paraId="3126A837" w14:textId="0EB94827"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SCJN judgment of February 12, 2009 (evidence file, folios 31055 to 31057</w:t>
      </w:r>
      <w:r w:rsidRPr="00104227">
        <w:rPr>
          <w:rFonts w:cs="Arial"/>
          <w:iCs/>
          <w:lang w:val="en-US" w:eastAsia="en-US"/>
        </w:rPr>
        <w:t>).</w:t>
      </w:r>
    </w:p>
  </w:footnote>
  <w:footnote w:id="243">
    <w:p w14:paraId="331015B5" w14:textId="151BDF17"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In this regard, the SCJN indicated that: “[i]t is logical to suppose that the consequent mood that such events naturally generate (frustration, courage, revenge, solidarity with the group) had an impact on the fact that they did not act in a calculated manner, but lost their objectivity when executing their task</w:t>
      </w:r>
      <w:r w:rsidRPr="00104227">
        <w:rPr>
          <w:rFonts w:eastAsia="Times New Roman" w:cs="Times New Roman"/>
          <w:color w:val="000000"/>
          <w:lang w:val="en-US"/>
        </w:rPr>
        <w:t xml:space="preserve">.” </w:t>
      </w:r>
      <w:r w:rsidRPr="00104227">
        <w:rPr>
          <w:lang w:val="en-US"/>
        </w:rPr>
        <w:t>SCJN judgment of February 12, 2009 (evidence file, folio 31068</w:t>
      </w:r>
      <w:r w:rsidRPr="00104227">
        <w:rPr>
          <w:rFonts w:cs="Arial"/>
          <w:iCs/>
          <w:lang w:val="en-US" w:eastAsia="en-US"/>
        </w:rPr>
        <w:t>).</w:t>
      </w:r>
    </w:p>
  </w:footnote>
  <w:footnote w:id="244">
    <w:p w14:paraId="0B1D7E6C" w14:textId="791D11CD"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SCJN judgment of February 12, 2009 (evidence file, folio 31070</w:t>
      </w:r>
      <w:r w:rsidRPr="00104227">
        <w:rPr>
          <w:rFonts w:cs="Arial"/>
          <w:iCs/>
          <w:lang w:val="en-US" w:eastAsia="en-US"/>
        </w:rPr>
        <w:t>).</w:t>
      </w:r>
    </w:p>
  </w:footnote>
  <w:footnote w:id="245">
    <w:p w14:paraId="0587BB85" w14:textId="326A7E99"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i/>
          <w:lang w:val="en-US"/>
        </w:rPr>
        <w:tab/>
      </w:r>
      <w:r w:rsidRPr="00104227">
        <w:rPr>
          <w:lang w:val="en-US"/>
        </w:rPr>
        <w:t>SCJN judgment of February 12, 2009 (evidence file, folio 31072</w:t>
      </w:r>
      <w:r w:rsidRPr="00104227">
        <w:rPr>
          <w:rFonts w:cs="Arial"/>
          <w:iCs/>
          <w:lang w:val="en-US" w:eastAsia="en-US"/>
        </w:rPr>
        <w:t>).</w:t>
      </w:r>
      <w:r w:rsidRPr="00104227">
        <w:rPr>
          <w:rFonts w:eastAsia="Times New Roman" w:cs="Times New Roman"/>
          <w:color w:val="000000"/>
          <w:lang w:val="en-US"/>
        </w:rPr>
        <w:t xml:space="preserve"> </w:t>
      </w:r>
    </w:p>
  </w:footnote>
  <w:footnote w:id="246">
    <w:p w14:paraId="43319F54" w14:textId="109216DF" w:rsidR="0080773E" w:rsidRPr="00104227" w:rsidRDefault="0080773E" w:rsidP="002755DF">
      <w:pPr>
        <w:pStyle w:val="PrrafodeSentencia"/>
        <w:numPr>
          <w:ilvl w:val="0"/>
          <w:numId w:val="0"/>
        </w:numPr>
        <w:tabs>
          <w:tab w:val="left" w:pos="426"/>
        </w:tabs>
        <w:spacing w:before="120" w:after="120"/>
        <w:rPr>
          <w:spacing w:val="0"/>
          <w:sz w:val="16"/>
          <w:szCs w:val="16"/>
          <w:lang w:val="en-US"/>
        </w:rPr>
      </w:pPr>
      <w:r w:rsidRPr="00104227">
        <w:rPr>
          <w:rStyle w:val="Refdenotaalpie"/>
          <w:spacing w:val="0"/>
          <w:lang w:val="en-US"/>
        </w:rPr>
        <w:footnoteRef/>
      </w:r>
      <w:r w:rsidRPr="00104227">
        <w:rPr>
          <w:spacing w:val="0"/>
          <w:sz w:val="16"/>
          <w:szCs w:val="16"/>
          <w:lang w:val="en-US"/>
        </w:rPr>
        <w:t xml:space="preserve"> </w:t>
      </w:r>
      <w:r w:rsidRPr="00104227">
        <w:rPr>
          <w:spacing w:val="0"/>
          <w:sz w:val="16"/>
          <w:szCs w:val="16"/>
          <w:lang w:val="en-US"/>
        </w:rPr>
        <w:tab/>
        <w:t>The SCJN concluded that its investigation “revealed important omissions [legislative] in the area of policing and public security that are not insignificant; rather, owing to their mere existence, they result in the vulnerability of human rights, particularly the rights of detainees. […] In general, there is almost no reference to this important issue in Mexican law. The circumstances in which the use of force is legal have not been established by law, especially the use of force exercised with lethal weapons. The obligations that the use of force generate for the State have not been established by law, or the obligations resulting from excesses and irregularities in the use of force, as occurred in Atenco, including the obligation to punish and to make reparation.” SCJN judgment of February 12, 2009 (evidence file, folio 31463 and 31464</w:t>
      </w:r>
      <w:r w:rsidRPr="00104227">
        <w:rPr>
          <w:rFonts w:cs="Arial"/>
          <w:iCs/>
          <w:spacing w:val="0"/>
          <w:sz w:val="16"/>
          <w:szCs w:val="16"/>
          <w:lang w:val="en-US" w:eastAsia="en-US"/>
        </w:rPr>
        <w:t>).</w:t>
      </w:r>
    </w:p>
  </w:footnote>
  <w:footnote w:id="247">
    <w:p w14:paraId="61BA3454" w14:textId="419E9216" w:rsidR="0080773E" w:rsidRPr="00104227" w:rsidRDefault="0080773E" w:rsidP="002755DF">
      <w:pPr>
        <w:pStyle w:val="SingleTxt"/>
        <w:tabs>
          <w:tab w:val="left" w:pos="426"/>
        </w:tabs>
        <w:spacing w:before="120" w:line="240" w:lineRule="auto"/>
        <w:ind w:left="0" w:right="18"/>
        <w:rPr>
          <w:rStyle w:val="FootnotesChar"/>
          <w:rFonts w:eastAsiaTheme="minorHAnsi"/>
          <w:lang w:val="en-US"/>
        </w:rPr>
      </w:pPr>
      <w:r w:rsidRPr="00104227">
        <w:rPr>
          <w:rStyle w:val="Refdenotaalpie"/>
          <w:spacing w:val="0"/>
          <w:lang w:val="en-US"/>
        </w:rPr>
        <w:footnoteRef/>
      </w:r>
      <w:r w:rsidRPr="00104227">
        <w:rPr>
          <w:rFonts w:ascii="Verdana" w:hAnsi="Verdana"/>
          <w:spacing w:val="0"/>
          <w:sz w:val="16"/>
          <w:szCs w:val="16"/>
          <w:lang w:val="en-US"/>
        </w:rPr>
        <w:t xml:space="preserve"> </w:t>
      </w:r>
      <w:r w:rsidRPr="00104227">
        <w:rPr>
          <w:rFonts w:ascii="Verdana" w:hAnsi="Verdana"/>
          <w:spacing w:val="0"/>
          <w:sz w:val="16"/>
          <w:szCs w:val="16"/>
          <w:lang w:val="en-US"/>
        </w:rPr>
        <w:tab/>
        <w:t>“</w:t>
      </w:r>
      <w:r w:rsidRPr="00104227">
        <w:rPr>
          <w:rStyle w:val="FootnotesChar"/>
          <w:rFonts w:eastAsiaTheme="minorHAnsi"/>
          <w:lang w:val="en-US"/>
        </w:rPr>
        <w:t xml:space="preserve">Law enforcement officials must be adequately trained in facilitating assemblies. This training should include proper knowledge of the legal framework governing assemblies, techniques of crowd facilitation and management, human rights in the context of assemblies and the important role assemblies play in a democratic order. Training must include soft skills such as effective communication, negotiation and mediation allowing law enforcement officials to avoid escalation of violence and minimize conflict.” </w:t>
      </w:r>
      <w:r w:rsidRPr="00104227">
        <w:rPr>
          <w:rStyle w:val="FootnotesChar"/>
          <w:rFonts w:eastAsiaTheme="minorHAnsi"/>
          <w:i/>
          <w:iCs w:val="0"/>
          <w:lang w:val="en-US"/>
        </w:rPr>
        <w:t>Cf.</w:t>
      </w:r>
      <w:r w:rsidRPr="00104227">
        <w:rPr>
          <w:rStyle w:val="FootnotesChar"/>
          <w:rFonts w:eastAsiaTheme="minorHAnsi"/>
          <w:lang w:val="en-US"/>
        </w:rPr>
        <w:t xml:space="preserve"> </w:t>
      </w:r>
      <w:bookmarkStart w:id="275" w:name="OLE_LINK4"/>
      <w:bookmarkStart w:id="276" w:name="OLE_LINK3"/>
      <w:r w:rsidRPr="00104227">
        <w:rPr>
          <w:rStyle w:val="FootnotesChar"/>
          <w:rFonts w:eastAsiaTheme="minorHAnsi"/>
          <w:lang w:val="en-US"/>
        </w:rPr>
        <w:t xml:space="preserve">Joint report of the Special Rapporteur on the rights to freedom of peaceful assembly and of association and the Special Rapporteur on extrajudicial, summary or arbitrary executions on </w:t>
      </w:r>
      <w:bookmarkEnd w:id="275"/>
      <w:bookmarkEnd w:id="276"/>
      <w:r w:rsidRPr="00104227">
        <w:rPr>
          <w:rStyle w:val="FootnotesChar"/>
          <w:rFonts w:eastAsiaTheme="minorHAnsi"/>
          <w:lang w:val="en-US"/>
        </w:rPr>
        <w:t>the proper management of assemblies of February 4, 2016, A/HRC/31/66, para. 42.</w:t>
      </w:r>
    </w:p>
  </w:footnote>
  <w:footnote w:id="248">
    <w:p w14:paraId="3F765A0D" w14:textId="0640DD06"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With regard to the sexual abuse, on this point the SCJN emphasized that, although “it was very difficult for the superior officers of the police to observe in real time while it was happening; […] what was reprehensible, and revealed lack of professionalism and efficacy due to lack of foresight, was that, aware of the magnitude of the operation, measures were not taken to prevent the perpetration of those conducts or to permit a record and testimony of what happened to be obtained.” SCJN judgment of February 12, 2009 (evidence file, folios 31199 and 31200</w:t>
      </w:r>
      <w:r w:rsidRPr="00104227">
        <w:rPr>
          <w:rFonts w:cs="Arial"/>
          <w:iCs/>
          <w:lang w:val="en-US" w:eastAsia="en-US"/>
        </w:rPr>
        <w:t>).</w:t>
      </w:r>
      <w:r w:rsidRPr="00104227">
        <w:rPr>
          <w:rFonts w:eastAsia="Times New Roman" w:cs="Times New Roman"/>
          <w:color w:val="000000"/>
          <w:lang w:val="en-US"/>
        </w:rPr>
        <w:t xml:space="preserve"> </w:t>
      </w:r>
    </w:p>
  </w:footnote>
  <w:footnote w:id="249">
    <w:p w14:paraId="3A696EE7" w14:textId="61AF5AF0"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In this regard, the SCJN underlined that: “[t]he said actions can be attributed to those who executed them, but they can also be attributed by omission to all those police agents, and their commanders and superior officers who, during the operations, exercised functions of supervision and control, and there were many of them. […] It is true, as some of the accused have argued that, at the time, a great deal was happening at the same time and in different places, and that a lot of this had taken place in a relatively short time; but, it is also true that, in an operation of this magnitude and sophistication, in which so many commanders and superior officers were looking on by air and land, it is incomprehensible and inexcusable that no action was taken to stop it.” </w:t>
      </w:r>
      <w:r w:rsidRPr="00104227">
        <w:rPr>
          <w:i/>
          <w:lang w:val="en-US"/>
        </w:rPr>
        <w:t xml:space="preserve">Cf. </w:t>
      </w:r>
      <w:r w:rsidRPr="00104227">
        <w:rPr>
          <w:lang w:val="en-US"/>
        </w:rPr>
        <w:t>SCJN judgment of February 12, 2009 (evidence file, folio 31197</w:t>
      </w:r>
      <w:r w:rsidRPr="00104227">
        <w:rPr>
          <w:rFonts w:cs="Arial"/>
          <w:iCs/>
          <w:lang w:val="en-US" w:eastAsia="en-US"/>
        </w:rPr>
        <w:t>).</w:t>
      </w:r>
      <w:r w:rsidRPr="00104227">
        <w:rPr>
          <w:lang w:val="en-US"/>
        </w:rPr>
        <w:t xml:space="preserve"> </w:t>
      </w:r>
    </w:p>
  </w:footnote>
  <w:footnote w:id="250">
    <w:p w14:paraId="79D06703" w14:textId="7B19C365" w:rsidR="0080773E" w:rsidRPr="00104227" w:rsidRDefault="0080773E" w:rsidP="002755DF">
      <w:pPr>
        <w:pStyle w:val="Textonotapie"/>
        <w:tabs>
          <w:tab w:val="left" w:pos="426"/>
        </w:tabs>
        <w:rPr>
          <w:lang w:val="en-US"/>
        </w:rPr>
      </w:pPr>
      <w:r w:rsidRPr="00104227">
        <w:rPr>
          <w:rStyle w:val="Refdenotaalpie"/>
          <w:lang w:val="en-US"/>
        </w:rPr>
        <w:footnoteRef/>
      </w:r>
      <w:r w:rsidRPr="00104227">
        <w:rPr>
          <w:lang w:val="en-US"/>
        </w:rPr>
        <w:t xml:space="preserve"> </w:t>
      </w:r>
      <w:r w:rsidRPr="00104227">
        <w:rPr>
          <w:lang w:val="en-US"/>
        </w:rPr>
        <w:tab/>
        <w:t>On this point, the SCJN concluded: “[t]he use of force by the State also entails obligations for the State once the operation has ended. There is no evidence that, in this case, the State complied with these obligations. It is evident that the State did provide information on the execution of the operations in response to the requests for information made by this court and also the National Human Rights Commission, describing the details, personnel and equipment used in the operation. However, beyond this, there is no evidence that it has carried out a self-assessment of the achievements and shortcomings of the operations and, above all, there is no evidence that it has complied with the obligation to hold people accountable for the violations that occurred; […] these obligations, which are compulsory after the use of force, have not been observed in this case.” SCJN judgment of February 12, 2009 (evidence file, folios 31201 and 31202).</w:t>
      </w:r>
    </w:p>
  </w:footnote>
  <w:footnote w:id="251">
    <w:p w14:paraId="4B0CC8CA" w14:textId="008D85B2"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In this regard, “[t]he Head of the Security Agency confirmed [to the SCJN] that the operation was supervised on land and by air by the superiors of those who were executing it. However, nothing allows it to be noted that, when the detentions began, accompanied by the physical assaults indicated (some, even captured on live television), the said superiors took measures to ensure that this ceased. It is true, as some of the accused argue, that at the time a great deal was happening at the same time and in different places, and that a lot of this had taken place in a relatively short time; but, it is also true that, in an operation of this magnitude and sophistication, in which so many commanders and superior officers were looking on by air and land, it is incomprehensible and inexcusable that no action was taken to stop it.” SCJN judgment of February 12, 2009 (evidence file, folio 31197). </w:t>
      </w:r>
    </w:p>
  </w:footnote>
  <w:footnote w:id="252">
    <w:p w14:paraId="14B88747" w14:textId="2ED01AEF"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Even though it is evident that law enforcement agents have a margin of discretion when deciding on the appropriate response to a specific situation, they should take into account that the use of force is an extreme measure of an exceptional nature; consequently, it “shall not be used unless it is strictly unavoidable, and if applied it must be done in accordance with international human rights law.” </w:t>
      </w:r>
      <w:r w:rsidRPr="00104227">
        <w:rPr>
          <w:rStyle w:val="FootnotesChar"/>
          <w:rFonts w:eastAsiaTheme="minorHAnsi"/>
          <w:lang w:val="en-US"/>
        </w:rPr>
        <w:t>Joint report of the Special Rapporteur on the rights to freedom of peaceful assembly and of association and the Special Rapporteur on extrajudicial, summary or arbitrary executions on the proper management of assemblies of February 4, 2016, A/HRC/31/66</w:t>
      </w:r>
      <w:r w:rsidRPr="00104227">
        <w:rPr>
          <w:lang w:val="en-US"/>
        </w:rPr>
        <w:t>, p. 12).</w:t>
      </w:r>
    </w:p>
  </w:footnote>
  <w:footnote w:id="253">
    <w:p w14:paraId="64D51405" w14:textId="4209761E"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See, similarly, ECHR, </w:t>
      </w:r>
      <w:r w:rsidRPr="00104227">
        <w:rPr>
          <w:i/>
          <w:lang w:val="en-US"/>
        </w:rPr>
        <w:t>Case of Frumkin v. Russia</w:t>
      </w:r>
      <w:r w:rsidRPr="00104227">
        <w:rPr>
          <w:lang w:val="en-US"/>
        </w:rPr>
        <w:t xml:space="preserve">, No. 74568/12. Judgment of January 5, 2016, paras. 99 and 137. </w:t>
      </w:r>
    </w:p>
  </w:footnote>
  <w:footnote w:id="254">
    <w:p w14:paraId="50891BB5" w14:textId="012FB3B7" w:rsidR="0080773E" w:rsidRPr="00104227" w:rsidRDefault="0080773E" w:rsidP="002755DF">
      <w:pPr>
        <w:pStyle w:val="Textonotapie"/>
        <w:tabs>
          <w:tab w:val="left" w:pos="426"/>
        </w:tabs>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Case of Montero Aranguren et al. </w:t>
      </w:r>
      <w:r w:rsidRPr="0080773E">
        <w:rPr>
          <w:i/>
          <w:lang w:val="es-CR"/>
        </w:rPr>
        <w:t xml:space="preserve">(Retén de Catia) v. Venezuela. </w:t>
      </w:r>
      <w:r w:rsidRPr="00104227">
        <w:rPr>
          <w:i/>
          <w:lang w:val="en-US"/>
        </w:rPr>
        <w:t>Preliminary objection, merits, reparations and costs.</w:t>
      </w:r>
      <w:r w:rsidRPr="00104227">
        <w:rPr>
          <w:lang w:val="en-US"/>
        </w:rPr>
        <w:t xml:space="preserve"> Judgment of July 5, 2006, Series C No. 150, para. 78.</w:t>
      </w:r>
    </w:p>
  </w:footnote>
  <w:footnote w:id="255">
    <w:p w14:paraId="5D6DEF30" w14:textId="18198224"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i/>
          <w:lang w:val="en-US"/>
        </w:rPr>
        <w:tab/>
        <w:t>Cf.</w:t>
      </w:r>
      <w:r w:rsidRPr="00104227">
        <w:rPr>
          <w:lang w:val="en-US"/>
        </w:rPr>
        <w:t xml:space="preserve"> SCJN judgment of February 12, 2009 (evidence file, folios 31254 and 31306</w:t>
      </w:r>
      <w:r w:rsidRPr="00104227">
        <w:rPr>
          <w:rFonts w:cs="Arial"/>
          <w:iCs/>
          <w:lang w:val="en-US" w:eastAsia="en-US"/>
        </w:rPr>
        <w:t xml:space="preserve">), and </w:t>
      </w:r>
      <w:r w:rsidRPr="00104227">
        <w:rPr>
          <w:lang w:val="en-US"/>
        </w:rPr>
        <w:t xml:space="preserve">CNDH Recommendation No. 38/2006 of October 16, 2006 (evidence file, folios 28523 and 28524). </w:t>
      </w:r>
    </w:p>
  </w:footnote>
  <w:footnote w:id="256">
    <w:p w14:paraId="5D7DE970" w14:textId="00A62206" w:rsidR="0080773E" w:rsidRPr="00104227" w:rsidRDefault="0080773E" w:rsidP="002755DF">
      <w:pPr>
        <w:pStyle w:val="Textonotapie"/>
        <w:tabs>
          <w:tab w:val="left" w:pos="426"/>
        </w:tabs>
        <w:rPr>
          <w:lang w:val="en-US"/>
        </w:rPr>
      </w:pPr>
      <w:r w:rsidRPr="00104227">
        <w:rPr>
          <w:rStyle w:val="Refdenotaalpie"/>
          <w:lang w:val="en-US"/>
        </w:rPr>
        <w:footnoteRef/>
      </w:r>
      <w:r w:rsidRPr="00104227">
        <w:rPr>
          <w:lang w:val="en-US"/>
        </w:rPr>
        <w:t xml:space="preserve"> </w:t>
      </w:r>
      <w:r w:rsidRPr="00104227">
        <w:rPr>
          <w:lang w:val="en-US"/>
        </w:rPr>
        <w:tab/>
        <w:t xml:space="preserve">Expert opinion provided by affidavit by Maina Kiai, former United Nations Special Rapporteur </w:t>
      </w:r>
      <w:r w:rsidRPr="00104227">
        <w:rPr>
          <w:rStyle w:val="st"/>
          <w:lang w:val="en-US"/>
        </w:rPr>
        <w:t xml:space="preserve">on the rights to </w:t>
      </w:r>
      <w:r w:rsidRPr="00104227">
        <w:rPr>
          <w:rStyle w:val="nfasis"/>
          <w:i w:val="0"/>
          <w:iCs w:val="0"/>
          <w:lang w:val="en-US"/>
        </w:rPr>
        <w:t>freedom</w:t>
      </w:r>
      <w:r w:rsidRPr="00104227">
        <w:rPr>
          <w:rStyle w:val="st"/>
          <w:i/>
          <w:iCs/>
          <w:lang w:val="en-US"/>
        </w:rPr>
        <w:t xml:space="preserve"> </w:t>
      </w:r>
      <w:r w:rsidRPr="00104227">
        <w:rPr>
          <w:rStyle w:val="st"/>
          <w:lang w:val="en-US"/>
        </w:rPr>
        <w:t>of peaceful</w:t>
      </w:r>
      <w:r w:rsidRPr="00104227">
        <w:rPr>
          <w:rStyle w:val="st"/>
          <w:i/>
          <w:iCs/>
          <w:lang w:val="en-US"/>
        </w:rPr>
        <w:t xml:space="preserve"> </w:t>
      </w:r>
      <w:r w:rsidRPr="00104227">
        <w:rPr>
          <w:rStyle w:val="nfasis"/>
          <w:i w:val="0"/>
          <w:iCs w:val="0"/>
          <w:lang w:val="en-US"/>
        </w:rPr>
        <w:t>assembly</w:t>
      </w:r>
      <w:r w:rsidRPr="00104227">
        <w:rPr>
          <w:rStyle w:val="st"/>
          <w:i/>
          <w:iCs/>
          <w:lang w:val="en-US"/>
        </w:rPr>
        <w:t xml:space="preserve"> </w:t>
      </w:r>
      <w:r w:rsidRPr="00104227">
        <w:rPr>
          <w:rStyle w:val="st"/>
          <w:lang w:val="en-US"/>
        </w:rPr>
        <w:t>and of association,</w:t>
      </w:r>
      <w:r w:rsidRPr="00104227">
        <w:rPr>
          <w:lang w:val="en-US"/>
        </w:rPr>
        <w:t xml:space="preserve"> on October 31, 2017 (evidence file, folio 37344).</w:t>
      </w:r>
    </w:p>
  </w:footnote>
  <w:footnote w:id="257">
    <w:p w14:paraId="719C0135" w14:textId="500B6B12" w:rsidR="0080773E" w:rsidRPr="00104227" w:rsidRDefault="0080773E" w:rsidP="002755DF">
      <w:pPr>
        <w:tabs>
          <w:tab w:val="left" w:pos="426"/>
          <w:tab w:val="left" w:pos="567"/>
        </w:tabs>
        <w:spacing w:before="120" w:after="120"/>
        <w:rPr>
          <w:rFonts w:cs="Arial"/>
          <w:b/>
          <w:bCs/>
          <w:color w:val="000000" w:themeColor="text1"/>
          <w:sz w:val="16"/>
          <w:szCs w:val="16"/>
          <w:shd w:val="clear" w:color="auto" w:fill="C1C0C0"/>
        </w:rPr>
      </w:pPr>
      <w:r w:rsidRPr="00104227">
        <w:rPr>
          <w:rStyle w:val="Refdenotaalpie"/>
          <w:color w:val="000000" w:themeColor="text1"/>
        </w:rPr>
        <w:footnoteRef/>
      </w:r>
      <w:r w:rsidRPr="00104227">
        <w:rPr>
          <w:color w:val="000000" w:themeColor="text1"/>
          <w:sz w:val="16"/>
          <w:szCs w:val="16"/>
        </w:rPr>
        <w:t xml:space="preserve"> </w:t>
      </w:r>
      <w:r w:rsidRPr="00104227">
        <w:rPr>
          <w:color w:val="000000" w:themeColor="text1"/>
          <w:sz w:val="16"/>
          <w:szCs w:val="16"/>
        </w:rPr>
        <w:tab/>
      </w:r>
      <w:r w:rsidRPr="00104227">
        <w:rPr>
          <w:i/>
          <w:color w:val="000000" w:themeColor="text1"/>
          <w:sz w:val="16"/>
          <w:szCs w:val="16"/>
        </w:rPr>
        <w:t>Case of López Lone et al. v. Honduras. Preliminary objection, merits, reparations and costs</w:t>
      </w:r>
      <w:r w:rsidRPr="00104227">
        <w:rPr>
          <w:color w:val="000000" w:themeColor="text1"/>
          <w:sz w:val="16"/>
          <w:szCs w:val="16"/>
        </w:rPr>
        <w:t xml:space="preserve">. Judgment of October 5, 2015. Series C No. 302, para. 167 citing </w:t>
      </w:r>
      <w:r w:rsidRPr="00104227">
        <w:rPr>
          <w:i/>
          <w:color w:val="000000" w:themeColor="text1"/>
          <w:sz w:val="16"/>
          <w:szCs w:val="16"/>
        </w:rPr>
        <w:t xml:space="preserve">Cf. </w:t>
      </w:r>
      <w:r w:rsidRPr="00104227">
        <w:rPr>
          <w:color w:val="000000" w:themeColor="text1"/>
          <w:sz w:val="16"/>
          <w:szCs w:val="16"/>
        </w:rPr>
        <w:t xml:space="preserve">ECHR, </w:t>
      </w:r>
      <w:r w:rsidRPr="00104227">
        <w:rPr>
          <w:rFonts w:cs="Arial"/>
          <w:i/>
          <w:iCs/>
          <w:color w:val="000000" w:themeColor="text1"/>
          <w:sz w:val="16"/>
          <w:szCs w:val="16"/>
          <w:shd w:val="clear" w:color="auto" w:fill="FFFFFF"/>
        </w:rPr>
        <w:t xml:space="preserve">Case of Djavit An v. Turkey, </w:t>
      </w:r>
      <w:r w:rsidRPr="00104227">
        <w:rPr>
          <w:rFonts w:cs="Arial"/>
          <w:iCs/>
          <w:color w:val="000000" w:themeColor="text1"/>
          <w:sz w:val="16"/>
          <w:szCs w:val="16"/>
          <w:shd w:val="clear" w:color="auto" w:fill="FFFFFF"/>
        </w:rPr>
        <w:t xml:space="preserve">No, 20652/92. Judgment of February 20, 2003, para. 56, and </w:t>
      </w:r>
      <w:r w:rsidRPr="00104227">
        <w:rPr>
          <w:rFonts w:cs="Arial"/>
          <w:i/>
          <w:iCs/>
          <w:color w:val="000000" w:themeColor="text1"/>
          <w:sz w:val="16"/>
          <w:szCs w:val="16"/>
          <w:shd w:val="clear" w:color="auto" w:fill="FFFFFF"/>
        </w:rPr>
        <w:t>Case of Yilmaz Yildiz and Others. v. Turkey</w:t>
      </w:r>
      <w:r w:rsidRPr="00104227">
        <w:rPr>
          <w:rFonts w:cs="Arial"/>
          <w:iCs/>
          <w:color w:val="000000" w:themeColor="text1"/>
          <w:sz w:val="16"/>
          <w:szCs w:val="16"/>
          <w:shd w:val="clear" w:color="auto" w:fill="FFFFFF"/>
        </w:rPr>
        <w:t>, No.</w:t>
      </w:r>
      <w:r w:rsidRPr="00104227">
        <w:rPr>
          <w:rStyle w:val="apple-converted-space"/>
          <w:rFonts w:cs="Arial"/>
          <w:iCs/>
          <w:color w:val="000000" w:themeColor="text1"/>
          <w:sz w:val="16"/>
          <w:szCs w:val="16"/>
          <w:shd w:val="clear" w:color="auto" w:fill="FFFFFF"/>
        </w:rPr>
        <w:t> </w:t>
      </w:r>
      <w:hyperlink r:id="rId3" w:anchor="{&quot;appno&quot;:[&quot;4524/06&quot;]}" w:tgtFrame="_blank" w:history="1">
        <w:r w:rsidRPr="00104227">
          <w:rPr>
            <w:rStyle w:val="Hipervnculo"/>
            <w:rFonts w:cs="Arial"/>
            <w:iCs/>
            <w:color w:val="000000" w:themeColor="text1"/>
            <w:sz w:val="16"/>
            <w:szCs w:val="16"/>
            <w:u w:val="none"/>
            <w:shd w:val="clear" w:color="auto" w:fill="FFFFFF"/>
          </w:rPr>
          <w:t>4524/06</w:t>
        </w:r>
      </w:hyperlink>
      <w:r w:rsidRPr="00104227">
        <w:rPr>
          <w:rFonts w:cs="Arial"/>
          <w:iCs/>
          <w:color w:val="000000" w:themeColor="text1"/>
          <w:sz w:val="16"/>
          <w:szCs w:val="16"/>
          <w:shd w:val="clear" w:color="auto" w:fill="FFFFFF"/>
        </w:rPr>
        <w:t>. Judgment of October 14, 2014, para. 41.</w:t>
      </w:r>
    </w:p>
  </w:footnote>
  <w:footnote w:id="258">
    <w:p w14:paraId="08E72F5D" w14:textId="69ABF570" w:rsidR="0080773E" w:rsidRPr="00104227" w:rsidRDefault="0080773E" w:rsidP="002755DF">
      <w:pPr>
        <w:tabs>
          <w:tab w:val="left" w:pos="426"/>
          <w:tab w:val="left" w:pos="567"/>
        </w:tabs>
        <w:spacing w:before="120" w:after="120"/>
        <w:rPr>
          <w:rFonts w:cs="Arial"/>
          <w:b/>
          <w:bCs/>
          <w:color w:val="000000" w:themeColor="text1"/>
          <w:sz w:val="16"/>
          <w:szCs w:val="16"/>
          <w:shd w:val="clear" w:color="auto" w:fill="C1C0C0"/>
        </w:rPr>
      </w:pPr>
      <w:r w:rsidRPr="00104227">
        <w:rPr>
          <w:rStyle w:val="Refdenotaalpie"/>
          <w:color w:val="000000" w:themeColor="text1"/>
        </w:rPr>
        <w:footnoteRef/>
      </w:r>
      <w:r w:rsidRPr="00104227">
        <w:rPr>
          <w:color w:val="000000" w:themeColor="text1"/>
          <w:sz w:val="16"/>
          <w:szCs w:val="16"/>
        </w:rPr>
        <w:t xml:space="preserve"> </w:t>
      </w:r>
      <w:r w:rsidRPr="00104227">
        <w:rPr>
          <w:color w:val="000000" w:themeColor="text1"/>
          <w:sz w:val="16"/>
          <w:szCs w:val="16"/>
        </w:rPr>
        <w:tab/>
      </w:r>
      <w:r w:rsidRPr="00104227">
        <w:rPr>
          <w:i/>
          <w:color w:val="000000" w:themeColor="text1"/>
          <w:sz w:val="16"/>
          <w:szCs w:val="16"/>
        </w:rPr>
        <w:t>Case of López Lone et al. v. Honduras. Preliminary objection, merits, reparations and costs</w:t>
      </w:r>
      <w:r w:rsidRPr="00104227">
        <w:rPr>
          <w:color w:val="000000" w:themeColor="text1"/>
          <w:sz w:val="16"/>
          <w:szCs w:val="16"/>
        </w:rPr>
        <w:t xml:space="preserve">. Judgment of October 5, 2015. Series C No. 302, para. 167 citing </w:t>
      </w:r>
      <w:r w:rsidRPr="00104227">
        <w:rPr>
          <w:i/>
          <w:color w:val="000000" w:themeColor="text1"/>
          <w:sz w:val="16"/>
          <w:szCs w:val="16"/>
        </w:rPr>
        <w:t xml:space="preserve">Cf. </w:t>
      </w:r>
      <w:r w:rsidRPr="00104227">
        <w:rPr>
          <w:color w:val="000000" w:themeColor="text1"/>
          <w:sz w:val="16"/>
          <w:szCs w:val="16"/>
        </w:rPr>
        <w:t xml:space="preserve">UN, </w:t>
      </w:r>
      <w:r w:rsidRPr="00104227">
        <w:rPr>
          <w:sz w:val="16"/>
          <w:szCs w:val="16"/>
        </w:rPr>
        <w:t>Resolution of the Human Rights Council on t</w:t>
      </w:r>
      <w:r w:rsidRPr="00104227">
        <w:rPr>
          <w:rFonts w:cs="Arial"/>
          <w:sz w:val="16"/>
          <w:szCs w:val="16"/>
        </w:rPr>
        <w:t>he promotion and protection of human rights in the context of peaceful protests</w:t>
      </w:r>
      <w:r w:rsidRPr="00104227">
        <w:rPr>
          <w:sz w:val="16"/>
          <w:szCs w:val="16"/>
        </w:rPr>
        <w:t>. A/HRC/RES/19/35, March 23, 2012; Resolution of the Human Rights Council on t</w:t>
      </w:r>
      <w:r w:rsidRPr="00104227">
        <w:rPr>
          <w:rFonts w:cs="Arial"/>
          <w:sz w:val="16"/>
          <w:szCs w:val="16"/>
        </w:rPr>
        <w:t>he promotion and protection of human rights in the context of peaceful protests</w:t>
      </w:r>
      <w:r w:rsidRPr="00104227">
        <w:rPr>
          <w:sz w:val="16"/>
          <w:szCs w:val="16"/>
        </w:rPr>
        <w:t>. A/HRC/RES/22/10, March 21, 2013, and Resolution of the Human Rights Council on t</w:t>
      </w:r>
      <w:r w:rsidRPr="00104227">
        <w:rPr>
          <w:rFonts w:cs="Arial"/>
          <w:sz w:val="16"/>
          <w:szCs w:val="16"/>
        </w:rPr>
        <w:t>he promotion and protection of human rights in the context of peaceful protests</w:t>
      </w:r>
      <w:r w:rsidRPr="00104227">
        <w:rPr>
          <w:sz w:val="16"/>
          <w:szCs w:val="16"/>
        </w:rPr>
        <w:t>. A/HRC/25/L.20, March 24, 2014.</w:t>
      </w:r>
    </w:p>
  </w:footnote>
  <w:footnote w:id="259">
    <w:p w14:paraId="2810C5D9" w14:textId="5F33D38B" w:rsidR="0080773E" w:rsidRPr="00104227" w:rsidRDefault="0080773E" w:rsidP="002755DF">
      <w:pPr>
        <w:tabs>
          <w:tab w:val="left" w:pos="426"/>
          <w:tab w:val="left" w:pos="567"/>
        </w:tabs>
        <w:spacing w:before="120" w:after="120"/>
        <w:rPr>
          <w:rFonts w:cs="Arial"/>
          <w:b/>
          <w:bCs/>
          <w:color w:val="000000" w:themeColor="text1"/>
          <w:sz w:val="16"/>
          <w:szCs w:val="16"/>
          <w:shd w:val="clear" w:color="auto" w:fill="C1C0C0"/>
        </w:rPr>
      </w:pPr>
      <w:r w:rsidRPr="00104227">
        <w:rPr>
          <w:rStyle w:val="Refdenotaalpie"/>
          <w:color w:val="000000" w:themeColor="text1"/>
        </w:rPr>
        <w:footnoteRef/>
      </w:r>
      <w:r w:rsidRPr="00104227">
        <w:rPr>
          <w:color w:val="000000" w:themeColor="text1"/>
          <w:sz w:val="16"/>
          <w:szCs w:val="16"/>
        </w:rPr>
        <w:t xml:space="preserve"> </w:t>
      </w:r>
      <w:r w:rsidRPr="00104227">
        <w:rPr>
          <w:color w:val="000000" w:themeColor="text1"/>
          <w:sz w:val="16"/>
          <w:szCs w:val="16"/>
        </w:rPr>
        <w:tab/>
      </w:r>
      <w:r w:rsidRPr="00104227">
        <w:rPr>
          <w:i/>
          <w:color w:val="000000" w:themeColor="text1"/>
          <w:sz w:val="16"/>
          <w:szCs w:val="16"/>
        </w:rPr>
        <w:t>Case of López Lone et al. v. Honduras. Preliminary objection, merits, reparations and costs</w:t>
      </w:r>
      <w:r w:rsidRPr="00104227">
        <w:rPr>
          <w:color w:val="000000" w:themeColor="text1"/>
          <w:sz w:val="16"/>
          <w:szCs w:val="16"/>
        </w:rPr>
        <w:t xml:space="preserve">. Judgment of October 5, 2015. Series C No. 302, para. 167 citing ECHR, </w:t>
      </w:r>
      <w:r w:rsidRPr="00104227">
        <w:rPr>
          <w:rFonts w:cs="Arial"/>
          <w:i/>
          <w:iCs/>
          <w:color w:val="000000" w:themeColor="text1"/>
          <w:sz w:val="16"/>
          <w:szCs w:val="16"/>
          <w:shd w:val="clear" w:color="auto" w:fill="FFFFFF"/>
        </w:rPr>
        <w:t xml:space="preserve">Case of Djavit An v. Turkey, </w:t>
      </w:r>
      <w:r w:rsidRPr="00104227">
        <w:rPr>
          <w:rFonts w:cs="Arial"/>
          <w:iCs/>
          <w:color w:val="000000" w:themeColor="text1"/>
          <w:sz w:val="16"/>
          <w:szCs w:val="16"/>
          <w:shd w:val="clear" w:color="auto" w:fill="FFFFFF"/>
        </w:rPr>
        <w:t xml:space="preserve">No, 20652/92. Judgment of February 20, 2003, para. 56, and </w:t>
      </w:r>
      <w:r w:rsidRPr="00104227">
        <w:rPr>
          <w:rFonts w:cs="Arial"/>
          <w:i/>
          <w:iCs/>
          <w:color w:val="000000" w:themeColor="text1"/>
          <w:sz w:val="16"/>
          <w:szCs w:val="16"/>
          <w:shd w:val="clear" w:color="auto" w:fill="FFFFFF"/>
        </w:rPr>
        <w:t>Case of Yilmaz Yildiz and Others. v. Turkey</w:t>
      </w:r>
      <w:r w:rsidRPr="00104227">
        <w:rPr>
          <w:rFonts w:cs="Arial"/>
          <w:iCs/>
          <w:color w:val="000000" w:themeColor="text1"/>
          <w:sz w:val="16"/>
          <w:szCs w:val="16"/>
          <w:shd w:val="clear" w:color="auto" w:fill="FFFFFF"/>
        </w:rPr>
        <w:t>, No.</w:t>
      </w:r>
      <w:r w:rsidRPr="00104227">
        <w:rPr>
          <w:rStyle w:val="apple-converted-space"/>
          <w:rFonts w:cs="Arial"/>
          <w:iCs/>
          <w:color w:val="000000" w:themeColor="text1"/>
          <w:sz w:val="16"/>
          <w:szCs w:val="16"/>
          <w:shd w:val="clear" w:color="auto" w:fill="FFFFFF"/>
        </w:rPr>
        <w:t> </w:t>
      </w:r>
      <w:hyperlink r:id="rId4" w:anchor="{&quot;appno&quot;:[&quot;4524/06&quot;]}" w:tgtFrame="_blank" w:history="1">
        <w:r w:rsidRPr="00104227">
          <w:rPr>
            <w:rStyle w:val="Hipervnculo"/>
            <w:rFonts w:cs="Arial"/>
            <w:iCs/>
            <w:color w:val="000000" w:themeColor="text1"/>
            <w:sz w:val="16"/>
            <w:szCs w:val="16"/>
            <w:u w:val="none"/>
            <w:shd w:val="clear" w:color="auto" w:fill="FFFFFF"/>
          </w:rPr>
          <w:t>4524/06</w:t>
        </w:r>
      </w:hyperlink>
      <w:r w:rsidRPr="00104227">
        <w:rPr>
          <w:rFonts w:cs="Arial"/>
          <w:iCs/>
          <w:color w:val="000000" w:themeColor="text1"/>
          <w:sz w:val="16"/>
          <w:szCs w:val="16"/>
          <w:shd w:val="clear" w:color="auto" w:fill="FFFFFF"/>
        </w:rPr>
        <w:t>. Judgment of October 14, 2014, para. 41.</w:t>
      </w:r>
    </w:p>
  </w:footnote>
  <w:footnote w:id="260">
    <w:p w14:paraId="2682DF1D" w14:textId="48518E5D" w:rsidR="0080773E" w:rsidRPr="00104227" w:rsidRDefault="0080773E" w:rsidP="00541029">
      <w:pPr>
        <w:tabs>
          <w:tab w:val="left" w:pos="426"/>
          <w:tab w:val="left" w:pos="567"/>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t xml:space="preserve">Expert opinion provided by affidavit by Maina Kiai, former United Nations Special Rapporteur </w:t>
      </w:r>
      <w:r w:rsidRPr="00104227">
        <w:rPr>
          <w:rStyle w:val="st"/>
          <w:sz w:val="16"/>
          <w:szCs w:val="16"/>
        </w:rPr>
        <w:t xml:space="preserve">on the rights to </w:t>
      </w:r>
      <w:r w:rsidRPr="00104227">
        <w:rPr>
          <w:rStyle w:val="nfasis"/>
          <w:i w:val="0"/>
          <w:iCs w:val="0"/>
          <w:sz w:val="16"/>
          <w:szCs w:val="16"/>
        </w:rPr>
        <w:t>freedom</w:t>
      </w:r>
      <w:r w:rsidRPr="00104227">
        <w:rPr>
          <w:rStyle w:val="st"/>
          <w:i/>
          <w:iCs/>
          <w:sz w:val="16"/>
          <w:szCs w:val="16"/>
        </w:rPr>
        <w:t xml:space="preserve"> </w:t>
      </w:r>
      <w:r w:rsidRPr="00104227">
        <w:rPr>
          <w:rStyle w:val="st"/>
          <w:sz w:val="16"/>
          <w:szCs w:val="16"/>
        </w:rPr>
        <w:t>of peaceful</w:t>
      </w:r>
      <w:r w:rsidRPr="00104227">
        <w:rPr>
          <w:rStyle w:val="st"/>
          <w:i/>
          <w:iCs/>
          <w:sz w:val="16"/>
          <w:szCs w:val="16"/>
        </w:rPr>
        <w:t xml:space="preserve"> </w:t>
      </w:r>
      <w:r w:rsidRPr="00104227">
        <w:rPr>
          <w:rStyle w:val="nfasis"/>
          <w:i w:val="0"/>
          <w:iCs w:val="0"/>
          <w:sz w:val="16"/>
          <w:szCs w:val="16"/>
        </w:rPr>
        <w:t>assembly</w:t>
      </w:r>
      <w:r w:rsidRPr="00104227">
        <w:rPr>
          <w:rStyle w:val="st"/>
          <w:i/>
          <w:iCs/>
          <w:sz w:val="16"/>
          <w:szCs w:val="16"/>
        </w:rPr>
        <w:t xml:space="preserve"> </w:t>
      </w:r>
      <w:r w:rsidRPr="00104227">
        <w:rPr>
          <w:rStyle w:val="st"/>
          <w:sz w:val="16"/>
          <w:szCs w:val="16"/>
        </w:rPr>
        <w:t>and of association</w:t>
      </w:r>
      <w:r w:rsidRPr="00104227">
        <w:rPr>
          <w:sz w:val="16"/>
          <w:szCs w:val="16"/>
        </w:rPr>
        <w:t>, on October 31, 2017 (evidence file, folio 37344).</w:t>
      </w:r>
    </w:p>
  </w:footnote>
  <w:footnote w:id="261">
    <w:p w14:paraId="05B627BE" w14:textId="6D411708" w:rsidR="0080773E" w:rsidRPr="00104227" w:rsidRDefault="0080773E" w:rsidP="002755DF">
      <w:pPr>
        <w:pStyle w:val="Textonotapie"/>
        <w:tabs>
          <w:tab w:val="left" w:pos="426"/>
        </w:tabs>
        <w:rPr>
          <w:lang w:val="en-US"/>
        </w:rPr>
      </w:pPr>
      <w:r w:rsidRPr="00104227">
        <w:rPr>
          <w:rStyle w:val="Refdenotaalpie"/>
          <w:lang w:val="en-US"/>
        </w:rPr>
        <w:footnoteRef/>
      </w:r>
      <w:r w:rsidRPr="00104227">
        <w:rPr>
          <w:lang w:val="en-US"/>
        </w:rPr>
        <w:t xml:space="preserve"> </w:t>
      </w:r>
      <w:r w:rsidRPr="00104227">
        <w:rPr>
          <w:lang w:val="en-US"/>
        </w:rPr>
        <w:tab/>
        <w:t xml:space="preserve">Expert opinion provided by affidavit by Maina Kiai, former United Nations Special Rapporteur </w:t>
      </w:r>
      <w:r w:rsidRPr="00104227">
        <w:rPr>
          <w:rStyle w:val="st"/>
          <w:lang w:val="en-US"/>
        </w:rPr>
        <w:t xml:space="preserve">on the rights to </w:t>
      </w:r>
      <w:r w:rsidRPr="00104227">
        <w:rPr>
          <w:rStyle w:val="nfasis"/>
          <w:i w:val="0"/>
          <w:iCs w:val="0"/>
          <w:lang w:val="en-US"/>
        </w:rPr>
        <w:t>freedom</w:t>
      </w:r>
      <w:r w:rsidRPr="00104227">
        <w:rPr>
          <w:rStyle w:val="st"/>
          <w:i/>
          <w:iCs/>
          <w:lang w:val="en-US"/>
        </w:rPr>
        <w:t xml:space="preserve"> </w:t>
      </w:r>
      <w:r w:rsidRPr="00104227">
        <w:rPr>
          <w:rStyle w:val="st"/>
          <w:lang w:val="en-US"/>
        </w:rPr>
        <w:t>of peaceful</w:t>
      </w:r>
      <w:r w:rsidRPr="00104227">
        <w:rPr>
          <w:rStyle w:val="st"/>
          <w:i/>
          <w:iCs/>
          <w:lang w:val="en-US"/>
        </w:rPr>
        <w:t xml:space="preserve"> </w:t>
      </w:r>
      <w:r w:rsidRPr="00104227">
        <w:rPr>
          <w:rStyle w:val="nfasis"/>
          <w:i w:val="0"/>
          <w:iCs w:val="0"/>
          <w:lang w:val="en-US"/>
        </w:rPr>
        <w:t>assembly</w:t>
      </w:r>
      <w:r w:rsidRPr="00104227">
        <w:rPr>
          <w:rStyle w:val="st"/>
          <w:i/>
          <w:iCs/>
          <w:lang w:val="en-US"/>
        </w:rPr>
        <w:t xml:space="preserve"> </w:t>
      </w:r>
      <w:r w:rsidRPr="00104227">
        <w:rPr>
          <w:rStyle w:val="st"/>
          <w:lang w:val="en-US"/>
        </w:rPr>
        <w:t>and of association</w:t>
      </w:r>
      <w:r w:rsidRPr="00104227">
        <w:rPr>
          <w:lang w:val="en-US"/>
        </w:rPr>
        <w:t>, on October 31, 2017 (evidence file, folios 37344 and 37359).</w:t>
      </w:r>
    </w:p>
  </w:footnote>
  <w:footnote w:id="262">
    <w:p w14:paraId="381F4D16" w14:textId="22FE657F" w:rsidR="0080773E" w:rsidRPr="00104227" w:rsidRDefault="0080773E" w:rsidP="002755DF">
      <w:pPr>
        <w:tabs>
          <w:tab w:val="left" w:pos="426"/>
          <w:tab w:val="left" w:pos="567"/>
        </w:tabs>
        <w:spacing w:before="120" w:after="120"/>
        <w:rPr>
          <w:color w:val="000000" w:themeColor="text1"/>
          <w:sz w:val="16"/>
          <w:szCs w:val="16"/>
        </w:rPr>
      </w:pPr>
      <w:r w:rsidRPr="00104227">
        <w:rPr>
          <w:rStyle w:val="Refdenotaalpie"/>
        </w:rPr>
        <w:footnoteRef/>
      </w:r>
      <w:r w:rsidRPr="00104227">
        <w:rPr>
          <w:rFonts w:eastAsia="Times New Roman" w:cs="Times New Roman"/>
          <w:sz w:val="16"/>
          <w:szCs w:val="16"/>
        </w:rPr>
        <w:t xml:space="preserve"> </w:t>
      </w:r>
      <w:r w:rsidRPr="00104227">
        <w:rPr>
          <w:rFonts w:eastAsia="Times New Roman" w:cs="Times New Roman"/>
          <w:sz w:val="16"/>
          <w:szCs w:val="16"/>
        </w:rPr>
        <w:tab/>
        <w:t xml:space="preserve">Indeed, the European Court has recognized that the protection of freedom of thought and expression is one of the purposes of the right of assembly. </w:t>
      </w:r>
      <w:r w:rsidRPr="00104227">
        <w:rPr>
          <w:i/>
          <w:color w:val="000000" w:themeColor="text1"/>
          <w:sz w:val="16"/>
          <w:szCs w:val="16"/>
        </w:rPr>
        <w:t xml:space="preserve">Cf. </w:t>
      </w:r>
      <w:r w:rsidRPr="00104227">
        <w:rPr>
          <w:color w:val="000000" w:themeColor="text1"/>
          <w:sz w:val="16"/>
          <w:szCs w:val="16"/>
        </w:rPr>
        <w:t xml:space="preserve">ECHR, </w:t>
      </w:r>
      <w:r w:rsidRPr="00104227">
        <w:rPr>
          <w:i/>
          <w:color w:val="000000" w:themeColor="text1"/>
          <w:sz w:val="16"/>
          <w:szCs w:val="16"/>
        </w:rPr>
        <w:t xml:space="preserve">Case of Taranenko v. </w:t>
      </w:r>
      <w:r w:rsidRPr="00104227">
        <w:rPr>
          <w:color w:val="000000" w:themeColor="text1"/>
          <w:sz w:val="16"/>
          <w:szCs w:val="16"/>
        </w:rPr>
        <w:t xml:space="preserve">Russia, </w:t>
      </w:r>
      <w:r w:rsidRPr="00104227">
        <w:rPr>
          <w:rFonts w:cs="Arial"/>
          <w:iCs/>
          <w:color w:val="000000" w:themeColor="text1"/>
          <w:sz w:val="16"/>
          <w:szCs w:val="16"/>
          <w:shd w:val="clear" w:color="auto" w:fill="FFFFFF"/>
        </w:rPr>
        <w:t>No.</w:t>
      </w:r>
      <w:r w:rsidRPr="00104227">
        <w:rPr>
          <w:rStyle w:val="apple-converted-space"/>
          <w:rFonts w:cs="Arial"/>
          <w:iCs/>
          <w:color w:val="000000" w:themeColor="text1"/>
          <w:sz w:val="16"/>
          <w:szCs w:val="16"/>
          <w:shd w:val="clear" w:color="auto" w:fill="FFFFFF"/>
        </w:rPr>
        <w:t> </w:t>
      </w:r>
      <w:hyperlink r:id="rId5" w:anchor="{&quot;appno&quot;:[&quot;19554/05&quot;]}" w:tgtFrame="_blank" w:history="1">
        <w:r w:rsidRPr="00104227">
          <w:rPr>
            <w:rStyle w:val="Hipervnculo"/>
            <w:rFonts w:cs="Arial"/>
            <w:iCs/>
            <w:color w:val="000000" w:themeColor="text1"/>
            <w:sz w:val="16"/>
            <w:szCs w:val="16"/>
            <w:u w:val="none"/>
            <w:shd w:val="clear" w:color="auto" w:fill="FFFFFF"/>
          </w:rPr>
          <w:t>19554/05</w:t>
        </w:r>
      </w:hyperlink>
      <w:r w:rsidRPr="00104227">
        <w:rPr>
          <w:rFonts w:cs="Arial"/>
          <w:iCs/>
          <w:color w:val="000000" w:themeColor="text1"/>
          <w:sz w:val="16"/>
          <w:szCs w:val="16"/>
          <w:shd w:val="clear" w:color="auto" w:fill="FFFFFF"/>
        </w:rPr>
        <w:t>.</w:t>
      </w:r>
      <w:r w:rsidRPr="00104227">
        <w:rPr>
          <w:color w:val="000000" w:themeColor="text1"/>
          <w:sz w:val="16"/>
          <w:szCs w:val="16"/>
        </w:rPr>
        <w:t xml:space="preserve"> Judgment of May 15, 2014, para. 64; </w:t>
      </w:r>
      <w:r w:rsidRPr="00104227">
        <w:rPr>
          <w:rFonts w:cs="Arial"/>
          <w:bCs/>
          <w:i/>
          <w:color w:val="000000" w:themeColor="text1"/>
          <w:sz w:val="16"/>
          <w:szCs w:val="16"/>
          <w:shd w:val="clear" w:color="auto" w:fill="FFFFFF"/>
        </w:rPr>
        <w:t>Case of Women on Waves and Others v. Portugal</w:t>
      </w:r>
      <w:r w:rsidRPr="00104227">
        <w:rPr>
          <w:rFonts w:cs="Arial"/>
          <w:bCs/>
          <w:color w:val="000000" w:themeColor="text1"/>
          <w:sz w:val="16"/>
          <w:szCs w:val="16"/>
          <w:shd w:val="clear" w:color="auto" w:fill="FFFFFF"/>
        </w:rPr>
        <w:t xml:space="preserve">, </w:t>
      </w:r>
      <w:r w:rsidRPr="00104227">
        <w:rPr>
          <w:sz w:val="16"/>
          <w:szCs w:val="16"/>
        </w:rPr>
        <w:t>No 31276/05.</w:t>
      </w:r>
      <w:r w:rsidRPr="00104227">
        <w:rPr>
          <w:rFonts w:cs="Arial"/>
          <w:bCs/>
          <w:color w:val="000000" w:themeColor="text1"/>
          <w:sz w:val="16"/>
          <w:szCs w:val="16"/>
          <w:shd w:val="clear" w:color="auto" w:fill="FFFFFF"/>
        </w:rPr>
        <w:t xml:space="preserve"> Judgment of February 3, 2009, para. 28; </w:t>
      </w:r>
      <w:r w:rsidRPr="00104227">
        <w:rPr>
          <w:rFonts w:cs="Arial"/>
          <w:bCs/>
          <w:i/>
          <w:color w:val="000000" w:themeColor="text1"/>
          <w:sz w:val="16"/>
          <w:szCs w:val="16"/>
          <w:shd w:val="clear" w:color="auto" w:fill="FFFFFF"/>
        </w:rPr>
        <w:t xml:space="preserve">Case of </w:t>
      </w:r>
      <w:r w:rsidRPr="00104227">
        <w:rPr>
          <w:i/>
          <w:color w:val="000000" w:themeColor="text1"/>
          <w:sz w:val="16"/>
          <w:szCs w:val="16"/>
        </w:rPr>
        <w:t>Galystan v. Armenia,</w:t>
      </w:r>
      <w:r w:rsidRPr="00104227">
        <w:rPr>
          <w:color w:val="000000" w:themeColor="text1"/>
          <w:sz w:val="16"/>
          <w:szCs w:val="16"/>
        </w:rPr>
        <w:t xml:space="preserve"> </w:t>
      </w:r>
      <w:r w:rsidRPr="00104227">
        <w:rPr>
          <w:rFonts w:cs="Arial"/>
          <w:iCs/>
          <w:color w:val="000000" w:themeColor="text1"/>
          <w:sz w:val="16"/>
          <w:szCs w:val="16"/>
          <w:shd w:val="clear" w:color="auto" w:fill="FFFFFF"/>
        </w:rPr>
        <w:t>No.</w:t>
      </w:r>
      <w:r w:rsidRPr="00104227">
        <w:rPr>
          <w:rStyle w:val="apple-converted-space"/>
          <w:rFonts w:cs="Arial"/>
          <w:iCs/>
          <w:color w:val="000000" w:themeColor="text1"/>
          <w:sz w:val="16"/>
          <w:szCs w:val="16"/>
          <w:shd w:val="clear" w:color="auto" w:fill="FFFFFF"/>
        </w:rPr>
        <w:t> </w:t>
      </w:r>
      <w:hyperlink r:id="rId6" w:anchor="{&quot;appno&quot;:[&quot;26986/03&quot;]}" w:tgtFrame="_blank" w:history="1">
        <w:r w:rsidRPr="00104227">
          <w:rPr>
            <w:rStyle w:val="Hipervnculo"/>
            <w:rFonts w:cs="Arial"/>
            <w:iCs/>
            <w:color w:val="000000" w:themeColor="text1"/>
            <w:sz w:val="16"/>
            <w:szCs w:val="16"/>
            <w:u w:val="none"/>
            <w:shd w:val="clear" w:color="auto" w:fill="FFFFFF"/>
          </w:rPr>
          <w:t>26986/03</w:t>
        </w:r>
      </w:hyperlink>
      <w:r w:rsidRPr="00104227">
        <w:rPr>
          <w:rFonts w:cs="Arial"/>
          <w:iCs/>
          <w:color w:val="000000" w:themeColor="text1"/>
          <w:sz w:val="16"/>
          <w:szCs w:val="16"/>
          <w:shd w:val="clear" w:color="auto" w:fill="FFFFFF"/>
        </w:rPr>
        <w:t xml:space="preserve">. Judgment of November 15, 2007, </w:t>
      </w:r>
      <w:r w:rsidRPr="00104227">
        <w:rPr>
          <w:color w:val="000000" w:themeColor="text1"/>
          <w:sz w:val="16"/>
          <w:szCs w:val="16"/>
        </w:rPr>
        <w:t xml:space="preserve">paras. 95 and 96; </w:t>
      </w:r>
      <w:r w:rsidRPr="00104227">
        <w:rPr>
          <w:i/>
          <w:color w:val="000000" w:themeColor="text1"/>
          <w:sz w:val="16"/>
          <w:szCs w:val="16"/>
        </w:rPr>
        <w:t xml:space="preserve">Case of Stankov and </w:t>
      </w:r>
      <w:r w:rsidRPr="00104227">
        <w:rPr>
          <w:rStyle w:val="st"/>
          <w:i/>
          <w:iCs/>
          <w:sz w:val="16"/>
          <w:szCs w:val="16"/>
        </w:rPr>
        <w:t>the United Macedonian Organisation Ilinden</w:t>
      </w:r>
      <w:r w:rsidRPr="00104227">
        <w:rPr>
          <w:i/>
          <w:iCs/>
          <w:color w:val="000000" w:themeColor="text1"/>
          <w:sz w:val="16"/>
          <w:szCs w:val="16"/>
        </w:rPr>
        <w:t xml:space="preserve"> </w:t>
      </w:r>
      <w:r w:rsidRPr="00104227">
        <w:rPr>
          <w:i/>
          <w:color w:val="000000" w:themeColor="text1"/>
          <w:sz w:val="16"/>
          <w:szCs w:val="16"/>
        </w:rPr>
        <w:t>v.</w:t>
      </w:r>
      <w:r w:rsidRPr="00104227">
        <w:rPr>
          <w:color w:val="000000" w:themeColor="text1"/>
          <w:sz w:val="16"/>
          <w:szCs w:val="16"/>
        </w:rPr>
        <w:t xml:space="preserve"> </w:t>
      </w:r>
      <w:r w:rsidRPr="00104227">
        <w:rPr>
          <w:i/>
          <w:iCs/>
          <w:color w:val="000000" w:themeColor="text1"/>
          <w:sz w:val="16"/>
          <w:szCs w:val="16"/>
        </w:rPr>
        <w:t>Bulgaria</w:t>
      </w:r>
      <w:r w:rsidRPr="00104227">
        <w:rPr>
          <w:color w:val="000000" w:themeColor="text1"/>
          <w:sz w:val="16"/>
          <w:szCs w:val="16"/>
        </w:rPr>
        <w:t xml:space="preserve">, </w:t>
      </w:r>
      <w:r w:rsidRPr="00104227">
        <w:rPr>
          <w:rFonts w:cs="Arial"/>
          <w:iCs/>
          <w:color w:val="000000" w:themeColor="text1"/>
          <w:sz w:val="16"/>
          <w:szCs w:val="16"/>
          <w:shd w:val="clear" w:color="auto" w:fill="FFFFFF"/>
        </w:rPr>
        <w:t>Nos.</w:t>
      </w:r>
      <w:r w:rsidRPr="00104227">
        <w:rPr>
          <w:rStyle w:val="apple-converted-space"/>
          <w:rFonts w:cs="Arial"/>
          <w:iCs/>
          <w:color w:val="000000" w:themeColor="text1"/>
          <w:sz w:val="16"/>
          <w:szCs w:val="16"/>
          <w:shd w:val="clear" w:color="auto" w:fill="FFFFFF"/>
        </w:rPr>
        <w:t> </w:t>
      </w:r>
      <w:hyperlink r:id="rId7" w:anchor="{&quot;appno&quot;:[&quot;29221/95&quot;]}" w:tgtFrame="_blank" w:history="1">
        <w:r w:rsidRPr="00104227">
          <w:rPr>
            <w:rStyle w:val="Hipervnculo"/>
            <w:rFonts w:cs="Arial"/>
            <w:iCs/>
            <w:color w:val="000000" w:themeColor="text1"/>
            <w:sz w:val="16"/>
            <w:szCs w:val="16"/>
            <w:u w:val="none"/>
            <w:shd w:val="clear" w:color="auto" w:fill="FFFFFF"/>
          </w:rPr>
          <w:t>29221/95</w:t>
        </w:r>
      </w:hyperlink>
      <w:r w:rsidRPr="00104227">
        <w:rPr>
          <w:rStyle w:val="apple-converted-space"/>
          <w:rFonts w:cs="Arial"/>
          <w:iCs/>
          <w:color w:val="000000" w:themeColor="text1"/>
          <w:sz w:val="16"/>
          <w:szCs w:val="16"/>
          <w:shd w:val="clear" w:color="auto" w:fill="FFFFFF"/>
        </w:rPr>
        <w:t> </w:t>
      </w:r>
      <w:r w:rsidRPr="00104227">
        <w:rPr>
          <w:rFonts w:cs="Arial"/>
          <w:iCs/>
          <w:color w:val="000000" w:themeColor="text1"/>
          <w:sz w:val="16"/>
          <w:szCs w:val="16"/>
          <w:shd w:val="clear" w:color="auto" w:fill="FFFFFF"/>
        </w:rPr>
        <w:t>and</w:t>
      </w:r>
      <w:r w:rsidRPr="00104227">
        <w:rPr>
          <w:rStyle w:val="apple-converted-space"/>
          <w:rFonts w:cs="Arial"/>
          <w:iCs/>
          <w:color w:val="000000" w:themeColor="text1"/>
          <w:sz w:val="16"/>
          <w:szCs w:val="16"/>
          <w:shd w:val="clear" w:color="auto" w:fill="FFFFFF"/>
        </w:rPr>
        <w:t> </w:t>
      </w:r>
      <w:hyperlink r:id="rId8" w:anchor="{&quot;appno&quot;:[&quot;29225/95&quot;]}" w:tgtFrame="_blank" w:history="1">
        <w:r w:rsidRPr="00104227">
          <w:rPr>
            <w:rStyle w:val="Hipervnculo"/>
            <w:rFonts w:cs="Arial"/>
            <w:iCs/>
            <w:color w:val="000000" w:themeColor="text1"/>
            <w:sz w:val="16"/>
            <w:szCs w:val="16"/>
            <w:u w:val="none"/>
            <w:shd w:val="clear" w:color="auto" w:fill="FFFFFF"/>
          </w:rPr>
          <w:t>29225/95</w:t>
        </w:r>
      </w:hyperlink>
      <w:r w:rsidRPr="00104227">
        <w:rPr>
          <w:rFonts w:cs="Arial"/>
          <w:iCs/>
          <w:color w:val="000000" w:themeColor="text1"/>
          <w:sz w:val="16"/>
          <w:szCs w:val="16"/>
          <w:shd w:val="clear" w:color="auto" w:fill="FFFFFF"/>
        </w:rPr>
        <w:t xml:space="preserve">. Judgment of October 2, 2001, para. 85, and </w:t>
      </w:r>
      <w:r w:rsidRPr="00104227">
        <w:rPr>
          <w:rFonts w:cs="Arial"/>
          <w:i/>
          <w:iCs/>
          <w:color w:val="000000" w:themeColor="text1"/>
          <w:sz w:val="16"/>
          <w:szCs w:val="16"/>
          <w:shd w:val="clear" w:color="auto" w:fill="FFFFFF"/>
        </w:rPr>
        <w:t xml:space="preserve">Case of Ezelin v. France, </w:t>
      </w:r>
      <w:r w:rsidRPr="00104227">
        <w:rPr>
          <w:rFonts w:cs="Arial"/>
          <w:iCs/>
          <w:color w:val="000000" w:themeColor="text1"/>
          <w:sz w:val="16"/>
          <w:szCs w:val="16"/>
          <w:shd w:val="clear" w:color="auto" w:fill="FFFFFF"/>
        </w:rPr>
        <w:t>No. 11800/85. Judgment of April 26, 1991,</w:t>
      </w:r>
      <w:r w:rsidRPr="00104227">
        <w:rPr>
          <w:color w:val="000000" w:themeColor="text1"/>
          <w:sz w:val="16"/>
          <w:szCs w:val="16"/>
        </w:rPr>
        <w:t xml:space="preserve"> para. 37.</w:t>
      </w:r>
    </w:p>
  </w:footnote>
  <w:footnote w:id="263">
    <w:p w14:paraId="23DD0D26" w14:textId="718F1FC8"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rFonts w:cs="Arial"/>
          <w:i/>
          <w:lang w:val="en-US"/>
        </w:rPr>
        <w:t>Cf.</w:t>
      </w:r>
      <w:r w:rsidRPr="00104227">
        <w:rPr>
          <w:i/>
          <w:lang w:val="en-US"/>
        </w:rPr>
        <w:t xml:space="preserve"> Case of Manuel Cepeda Vargas v. Colombia. Preliminary objections, merits and reparations</w:t>
      </w:r>
      <w:r w:rsidRPr="00104227">
        <w:rPr>
          <w:lang w:val="en-US"/>
        </w:rPr>
        <w:t xml:space="preserve">. Judgment of May 26, 2010. Series C No. 213, para. 171, and </w:t>
      </w:r>
      <w:r w:rsidRPr="00104227">
        <w:rPr>
          <w:bCs/>
          <w:i/>
          <w:color w:val="000000"/>
          <w:lang w:val="en-US"/>
        </w:rPr>
        <w:t xml:space="preserve">Case of Liakat Ali Alibux v. Suriname. Preliminary objections, merits, reparations and costs. </w:t>
      </w:r>
      <w:r w:rsidRPr="00104227">
        <w:rPr>
          <w:bCs/>
          <w:color w:val="000000"/>
          <w:lang w:val="en-US"/>
        </w:rPr>
        <w:t>Judgment of January 30, 2014. Series C No. 276, para. 119.</w:t>
      </w:r>
    </w:p>
  </w:footnote>
  <w:footnote w:id="264">
    <w:p w14:paraId="724E4192" w14:textId="105839FF"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Cs/>
          <w:lang w:val="en-US"/>
        </w:rPr>
        <w:t>See,</w:t>
      </w:r>
      <w:r w:rsidRPr="00104227">
        <w:rPr>
          <w:i/>
          <w:lang w:val="en-US"/>
        </w:rPr>
        <w:t xml:space="preserve"> inter alia,</w:t>
      </w:r>
      <w:r w:rsidRPr="00104227">
        <w:rPr>
          <w:lang w:val="en-US"/>
        </w:rPr>
        <w:t xml:space="preserve"> </w:t>
      </w:r>
      <w:r w:rsidRPr="00104227">
        <w:rPr>
          <w:i/>
          <w:lang w:val="en-US"/>
        </w:rPr>
        <w:t xml:space="preserve">The Word “Laws” in Article 30 of the American Convention on Human Rights. </w:t>
      </w:r>
      <w:r w:rsidRPr="00104227">
        <w:rPr>
          <w:lang w:val="en-US"/>
        </w:rPr>
        <w:t xml:space="preserve">Advisory Opinion OC-6/86 of May 9, 1986. Series A No. 6, paras. 35 and 37, and </w:t>
      </w:r>
      <w:r w:rsidRPr="00104227">
        <w:rPr>
          <w:bCs/>
          <w:i/>
          <w:lang w:val="en-US"/>
        </w:rPr>
        <w:t>Case of Artavia Murillo et al. (In vitro fertilization) v. Costa Rica. Preliminary objections, merits, reparations and costs</w:t>
      </w:r>
      <w:r w:rsidRPr="00104227">
        <w:rPr>
          <w:bCs/>
          <w:lang w:val="en-US"/>
        </w:rPr>
        <w:t xml:space="preserve">. Judgment of November 28, 2012. Series C No. 257, para. 273; </w:t>
      </w:r>
      <w:r w:rsidRPr="00104227">
        <w:rPr>
          <w:i/>
          <w:lang w:val="en-US"/>
        </w:rPr>
        <w:t xml:space="preserve">Case of Herrera Ulloa v. Costa Rica. </w:t>
      </w:r>
      <w:r w:rsidRPr="00104227">
        <w:rPr>
          <w:lang w:val="en-US"/>
        </w:rPr>
        <w:t xml:space="preserve">Judgment of July 2, 2004. Series C No. 107, para. 120; </w:t>
      </w:r>
      <w:r w:rsidRPr="00104227">
        <w:rPr>
          <w:bCs/>
          <w:i/>
          <w:lang w:val="en-US"/>
        </w:rPr>
        <w:t xml:space="preserve">Case of Fontevecchia and D’Amico v. Argentina. </w:t>
      </w:r>
      <w:r w:rsidRPr="00104227">
        <w:rPr>
          <w:i/>
          <w:lang w:val="en-US"/>
        </w:rPr>
        <w:t>Merits, reparations and costs.</w:t>
      </w:r>
      <w:r w:rsidRPr="00104227">
        <w:rPr>
          <w:lang w:val="en-US"/>
        </w:rPr>
        <w:t xml:space="preserve"> Judgment of November 29, 2011. Series C No. 238, para. 43, and </w:t>
      </w:r>
      <w:r w:rsidRPr="00104227">
        <w:rPr>
          <w:i/>
          <w:color w:val="000000" w:themeColor="text1"/>
          <w:lang w:val="en-US"/>
        </w:rPr>
        <w:t>Case of López Lone et al. v. Honduras. Preliminary objection, merits, reparations and costs</w:t>
      </w:r>
      <w:r w:rsidRPr="00104227">
        <w:rPr>
          <w:color w:val="000000" w:themeColor="text1"/>
          <w:lang w:val="en-US"/>
        </w:rPr>
        <w:t>. Judgment of October 5, 2015. Series C No. 302, para. 168.</w:t>
      </w:r>
    </w:p>
  </w:footnote>
  <w:footnote w:id="265">
    <w:p w14:paraId="6AEACF1C" w14:textId="4690239D" w:rsidR="0080773E" w:rsidRPr="00104227" w:rsidRDefault="0080773E" w:rsidP="002755DF">
      <w:pPr>
        <w:pStyle w:val="Textonotapie"/>
        <w:tabs>
          <w:tab w:val="left" w:pos="0"/>
          <w:tab w:val="left" w:pos="426"/>
        </w:tabs>
        <w:spacing w:before="120" w:after="120"/>
        <w:ind w:right="18"/>
        <w:rPr>
          <w:lang w:val="en-US"/>
        </w:rPr>
      </w:pPr>
      <w:r w:rsidRPr="00104227">
        <w:rPr>
          <w:rStyle w:val="Refdenotaalpie"/>
          <w:w w:val="104"/>
          <w:lang w:val="en-US"/>
        </w:rPr>
        <w:footnoteRef/>
      </w:r>
      <w:r w:rsidRPr="00104227">
        <w:rPr>
          <w:lang w:val="en-US"/>
        </w:rPr>
        <w:t xml:space="preserve"> </w:t>
      </w:r>
      <w:r w:rsidRPr="00104227">
        <w:rPr>
          <w:lang w:val="en-US"/>
        </w:rPr>
        <w:tab/>
      </w:r>
      <w:r w:rsidRPr="00104227">
        <w:rPr>
          <w:rStyle w:val="FootnotesChar"/>
          <w:rFonts w:eastAsiaTheme="minorHAnsi"/>
          <w:lang w:val="en-US"/>
        </w:rPr>
        <w:t>Joint report of the Special Rapporteur on the rights to freedom of peaceful assembly and of association and the Special Rapporteur on extrajudicial, summary or arbitrary executions on the proper management of assemblies of February 4, 2016</w:t>
      </w:r>
      <w:r w:rsidRPr="00104227">
        <w:rPr>
          <w:lang w:val="en-US"/>
        </w:rPr>
        <w:t xml:space="preserve">, A/HRC/31/66, para. 20, and ECHR, </w:t>
      </w:r>
      <w:r w:rsidRPr="00104227">
        <w:rPr>
          <w:i/>
          <w:lang w:val="en-US"/>
        </w:rPr>
        <w:t>Case of</w:t>
      </w:r>
      <w:r w:rsidRPr="00104227">
        <w:rPr>
          <w:lang w:val="en-US"/>
        </w:rPr>
        <w:t xml:space="preserve"> </w:t>
      </w:r>
      <w:r w:rsidRPr="00104227">
        <w:rPr>
          <w:i/>
          <w:lang w:val="en-US"/>
        </w:rPr>
        <w:t>Ziliberberg v. Moldova</w:t>
      </w:r>
      <w:r w:rsidRPr="00104227">
        <w:rPr>
          <w:lang w:val="en-US"/>
        </w:rPr>
        <w:t>, No. 61821/00. Judgment of February 1, 2005.</w:t>
      </w:r>
    </w:p>
  </w:footnote>
  <w:footnote w:id="266">
    <w:p w14:paraId="4D186200" w14:textId="17E36E22"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ECHR, </w:t>
      </w:r>
      <w:r w:rsidRPr="00104227">
        <w:rPr>
          <w:i/>
          <w:iCs/>
          <w:lang w:val="en-US"/>
        </w:rPr>
        <w:t>Case of Gsell v. Switzerland</w:t>
      </w:r>
      <w:r w:rsidRPr="00104227">
        <w:rPr>
          <w:lang w:val="en-US"/>
        </w:rPr>
        <w:t xml:space="preserve">, No.12675/05. Judgment of October 8, 2009, para. 60. </w:t>
      </w:r>
    </w:p>
  </w:footnote>
  <w:footnote w:id="267">
    <w:p w14:paraId="3B748B5E" w14:textId="01CDF838"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rStyle w:val="FootnotesChar"/>
          <w:rFonts w:eastAsiaTheme="minorHAnsi"/>
          <w:lang w:val="en-US"/>
        </w:rPr>
        <w:t>Joint report of the Special Rapporteur on the rights to freedom of peaceful assembly and of association and the Special Rapporteur on extrajudicial, summary or arbitrary executions on the proper management of assemblies of February 4, 2016, A/HRC/31/66</w:t>
      </w:r>
      <w:r w:rsidRPr="00104227">
        <w:rPr>
          <w:lang w:val="en-US"/>
        </w:rPr>
        <w:t>, para. 8.</w:t>
      </w:r>
    </w:p>
  </w:footnote>
  <w:footnote w:id="268">
    <w:p w14:paraId="0113682C" w14:textId="17822C48" w:rsidR="0080773E" w:rsidRPr="00104227" w:rsidRDefault="0080773E" w:rsidP="002755DF">
      <w:pPr>
        <w:tabs>
          <w:tab w:val="left" w:pos="426"/>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r>
      <w:r w:rsidRPr="00104227">
        <w:rPr>
          <w:rStyle w:val="FootnotesChar"/>
          <w:rFonts w:eastAsiaTheme="minorHAnsi"/>
          <w:lang w:val="en-US"/>
        </w:rPr>
        <w:t>Joint report of the Special Rapporteur on the rights to freedom of peaceful assembly and of association and the Special Rapporteur on extrajudicial, summary or arbitrary executions on the proper management of assemblies of February 4, 2016, A/HRC/31/66</w:t>
      </w:r>
      <w:r w:rsidRPr="00104227">
        <w:rPr>
          <w:sz w:val="16"/>
          <w:szCs w:val="16"/>
        </w:rPr>
        <w:t>, para. 9.</w:t>
      </w:r>
    </w:p>
  </w:footnote>
  <w:footnote w:id="269">
    <w:p w14:paraId="1C9C05DD" w14:textId="3756A9F4" w:rsidR="0080773E" w:rsidRPr="00104227" w:rsidRDefault="0080773E" w:rsidP="0073065B">
      <w:pPr>
        <w:tabs>
          <w:tab w:val="left" w:pos="426"/>
        </w:tabs>
        <w:spacing w:before="120" w:after="120"/>
        <w:rPr>
          <w:bCs/>
          <w:iCs/>
          <w:sz w:val="16"/>
          <w:szCs w:val="16"/>
        </w:rPr>
      </w:pPr>
      <w:r w:rsidRPr="00104227">
        <w:rPr>
          <w:rStyle w:val="Refdenotaalpie"/>
          <w:rFonts w:eastAsia="Calibri"/>
        </w:rPr>
        <w:footnoteRef/>
      </w:r>
      <w:r w:rsidRPr="00104227">
        <w:rPr>
          <w:sz w:val="16"/>
          <w:szCs w:val="16"/>
        </w:rPr>
        <w:t xml:space="preserve"> </w:t>
      </w:r>
      <w:r w:rsidRPr="00104227">
        <w:rPr>
          <w:sz w:val="16"/>
          <w:szCs w:val="16"/>
        </w:rPr>
        <w:tab/>
      </w:r>
      <w:r w:rsidRPr="00104227">
        <w:rPr>
          <w:i/>
          <w:sz w:val="16"/>
          <w:szCs w:val="16"/>
        </w:rPr>
        <w:t xml:space="preserve">Cf. </w:t>
      </w:r>
      <w:r w:rsidRPr="00104227">
        <w:rPr>
          <w:bCs/>
          <w:i/>
          <w:sz w:val="16"/>
          <w:szCs w:val="16"/>
        </w:rPr>
        <w:t xml:space="preserve">Case of Yvon Neptune </w:t>
      </w:r>
      <w:r w:rsidRPr="00104227">
        <w:rPr>
          <w:i/>
          <w:sz w:val="16"/>
          <w:szCs w:val="16"/>
        </w:rPr>
        <w:t xml:space="preserve">v. Haiti, Merits, reparations and costs. </w:t>
      </w:r>
      <w:r w:rsidRPr="00104227">
        <w:rPr>
          <w:sz w:val="16"/>
          <w:szCs w:val="16"/>
        </w:rPr>
        <w:t>Judgment of May 6, 2008. Series C No. 180</w:t>
      </w:r>
      <w:r w:rsidRPr="00104227">
        <w:rPr>
          <w:i/>
          <w:sz w:val="16"/>
          <w:szCs w:val="16"/>
        </w:rPr>
        <w:t xml:space="preserve">, </w:t>
      </w:r>
      <w:r w:rsidRPr="00104227">
        <w:rPr>
          <w:bCs/>
          <w:sz w:val="16"/>
          <w:szCs w:val="16"/>
        </w:rPr>
        <w:t xml:space="preserve">para. 129, and </w:t>
      </w:r>
      <w:r w:rsidRPr="00104227">
        <w:rPr>
          <w:bCs/>
          <w:i/>
          <w:iCs/>
          <w:sz w:val="16"/>
          <w:szCs w:val="16"/>
        </w:rPr>
        <w:t xml:space="preserve">Case of San Miguel Sosa et al. v. Venezuela. Merits, reparations and costs. </w:t>
      </w:r>
      <w:r w:rsidRPr="00104227">
        <w:rPr>
          <w:bCs/>
          <w:iCs/>
          <w:sz w:val="16"/>
          <w:szCs w:val="16"/>
        </w:rPr>
        <w:t>Judgment of February 8, 2018. Series C No. 348</w:t>
      </w:r>
      <w:r w:rsidRPr="00104227">
        <w:rPr>
          <w:bCs/>
          <w:i/>
          <w:iCs/>
          <w:sz w:val="16"/>
          <w:szCs w:val="16"/>
        </w:rPr>
        <w:t xml:space="preserve">, </w:t>
      </w:r>
      <w:r w:rsidRPr="00104227">
        <w:rPr>
          <w:bCs/>
          <w:iCs/>
          <w:sz w:val="16"/>
          <w:szCs w:val="16"/>
        </w:rPr>
        <w:t>para. 169</w:t>
      </w:r>
      <w:r w:rsidRPr="00104227">
        <w:rPr>
          <w:i/>
          <w:sz w:val="16"/>
          <w:szCs w:val="16"/>
        </w:rPr>
        <w:t>.</w:t>
      </w:r>
      <w:r w:rsidRPr="00104227">
        <w:rPr>
          <w:bCs/>
          <w:iCs/>
          <w:sz w:val="16"/>
          <w:szCs w:val="16"/>
        </w:rPr>
        <w:t xml:space="preserve"> </w:t>
      </w:r>
    </w:p>
  </w:footnote>
  <w:footnote w:id="270">
    <w:p w14:paraId="55F9367E" w14:textId="62706403" w:rsidR="0080773E" w:rsidRPr="00104227" w:rsidRDefault="0080773E" w:rsidP="0073065B">
      <w:pPr>
        <w:tabs>
          <w:tab w:val="left" w:pos="426"/>
          <w:tab w:val="left" w:pos="720"/>
        </w:tabs>
        <w:spacing w:before="240" w:after="120"/>
        <w:contextualSpacing/>
        <w:rPr>
          <w:sz w:val="16"/>
          <w:szCs w:val="16"/>
        </w:rPr>
      </w:pPr>
      <w:r w:rsidRPr="00104227">
        <w:rPr>
          <w:rStyle w:val="Refdenotaalpie"/>
          <w:rFonts w:eastAsia="Calibri"/>
        </w:rPr>
        <w:footnoteRef/>
      </w:r>
      <w:r w:rsidRPr="00104227">
        <w:rPr>
          <w:sz w:val="16"/>
          <w:szCs w:val="16"/>
        </w:rPr>
        <w:t xml:space="preserve"> </w:t>
      </w:r>
      <w:r w:rsidRPr="00104227">
        <w:rPr>
          <w:sz w:val="16"/>
          <w:szCs w:val="16"/>
        </w:rPr>
        <w:tab/>
      </w:r>
      <w:r w:rsidRPr="00104227">
        <w:rPr>
          <w:i/>
          <w:sz w:val="16"/>
          <w:szCs w:val="16"/>
        </w:rPr>
        <w:t>Cf.</w:t>
      </w:r>
      <w:r w:rsidRPr="00104227">
        <w:rPr>
          <w:bCs/>
          <w:sz w:val="16"/>
          <w:szCs w:val="16"/>
        </w:rPr>
        <w:t xml:space="preserve"> </w:t>
      </w:r>
      <w:r w:rsidRPr="00104227">
        <w:rPr>
          <w:bCs/>
          <w:i/>
          <w:sz w:val="16"/>
          <w:szCs w:val="16"/>
        </w:rPr>
        <w:t xml:space="preserve">Case of Yvon Neptune </w:t>
      </w:r>
      <w:r w:rsidRPr="00104227">
        <w:rPr>
          <w:i/>
          <w:sz w:val="16"/>
          <w:szCs w:val="16"/>
        </w:rPr>
        <w:t xml:space="preserve">v. Haiti, Merits, reparations and costs. </w:t>
      </w:r>
      <w:r w:rsidRPr="00104227">
        <w:rPr>
          <w:sz w:val="16"/>
          <w:szCs w:val="16"/>
        </w:rPr>
        <w:t>Judgment of May 6, 2008. Series C No. 180</w:t>
      </w:r>
      <w:r w:rsidRPr="00104227">
        <w:rPr>
          <w:i/>
          <w:sz w:val="16"/>
          <w:szCs w:val="16"/>
        </w:rPr>
        <w:t xml:space="preserve">, </w:t>
      </w:r>
      <w:r w:rsidRPr="00104227">
        <w:rPr>
          <w:bCs/>
          <w:sz w:val="16"/>
          <w:szCs w:val="16"/>
        </w:rPr>
        <w:t xml:space="preserve">para. 129, and </w:t>
      </w:r>
      <w:r w:rsidRPr="00104227">
        <w:rPr>
          <w:bCs/>
          <w:i/>
          <w:iCs/>
          <w:sz w:val="16"/>
          <w:szCs w:val="16"/>
        </w:rPr>
        <w:t xml:space="preserve">Case of Quispialaya Vilcapoma v. Peru. Preliminary objections, merits, reparations and costs. </w:t>
      </w:r>
      <w:r w:rsidRPr="00104227">
        <w:rPr>
          <w:bCs/>
          <w:iCs/>
          <w:sz w:val="16"/>
          <w:szCs w:val="16"/>
        </w:rPr>
        <w:t>Judgment of November 23, 2015. Series C No. 308, para. 125.</w:t>
      </w:r>
    </w:p>
  </w:footnote>
  <w:footnote w:id="271">
    <w:p w14:paraId="54AC5078" w14:textId="0C674BD9" w:rsidR="0080773E" w:rsidRPr="00104227" w:rsidRDefault="0080773E" w:rsidP="002755DF">
      <w:pPr>
        <w:pStyle w:val="Textonotapie"/>
        <w:tabs>
          <w:tab w:val="left" w:pos="426"/>
        </w:tabs>
        <w:spacing w:before="120" w:after="120"/>
        <w:rPr>
          <w:b/>
          <w:bCs/>
          <w:i/>
          <w:iCs/>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bCs/>
          <w:i/>
          <w:lang w:val="en-US"/>
        </w:rPr>
        <w:t>Case of Loayza Tamayo v. Peru. Merits.</w:t>
      </w:r>
      <w:r w:rsidRPr="00104227">
        <w:rPr>
          <w:bCs/>
          <w:lang w:val="en-US"/>
        </w:rPr>
        <w:t xml:space="preserve"> Judgment of September 17, 1997. Series C No. 33, paras. 57 and 58, and </w:t>
      </w:r>
      <w:r w:rsidRPr="00104227">
        <w:rPr>
          <w:bCs/>
          <w:i/>
          <w:iCs/>
          <w:lang w:val="en-US"/>
        </w:rPr>
        <w:t xml:space="preserve">Case of López Soto et al. v. Venezuela. Merits, reparations and costs. </w:t>
      </w:r>
      <w:r w:rsidRPr="00104227">
        <w:rPr>
          <w:bCs/>
          <w:iCs/>
          <w:lang w:val="en-US"/>
        </w:rPr>
        <w:t xml:space="preserve">Judgment of September 26, 2018. Series C No. 362, para. 185. </w:t>
      </w:r>
    </w:p>
  </w:footnote>
  <w:footnote w:id="272">
    <w:p w14:paraId="7197FD7B" w14:textId="07FB7B8C" w:rsidR="0080773E" w:rsidRPr="00104227" w:rsidRDefault="0080773E" w:rsidP="002755DF">
      <w:pPr>
        <w:tabs>
          <w:tab w:val="left" w:pos="426"/>
          <w:tab w:val="left" w:pos="720"/>
        </w:tabs>
        <w:spacing w:before="120" w:after="120"/>
        <w:contextualSpacing/>
        <w:rPr>
          <w:sz w:val="16"/>
          <w:szCs w:val="16"/>
        </w:rPr>
      </w:pPr>
      <w:r w:rsidRPr="00104227">
        <w:rPr>
          <w:rStyle w:val="Refdenotaalpie"/>
          <w:rFonts w:eastAsia="Calibri"/>
        </w:rPr>
        <w:footnoteRef/>
      </w:r>
      <w:r w:rsidRPr="00104227">
        <w:rPr>
          <w:sz w:val="16"/>
          <w:szCs w:val="16"/>
        </w:rPr>
        <w:t xml:space="preserve"> </w:t>
      </w:r>
      <w:r w:rsidRPr="00104227">
        <w:rPr>
          <w:sz w:val="16"/>
          <w:szCs w:val="16"/>
        </w:rPr>
        <w:tab/>
      </w:r>
      <w:r w:rsidRPr="00104227">
        <w:rPr>
          <w:i/>
          <w:sz w:val="16"/>
          <w:szCs w:val="16"/>
        </w:rPr>
        <w:t>Cf.</w:t>
      </w:r>
      <w:r w:rsidRPr="00104227">
        <w:rPr>
          <w:bCs/>
          <w:sz w:val="16"/>
          <w:szCs w:val="16"/>
        </w:rPr>
        <w:t xml:space="preserve"> </w:t>
      </w:r>
      <w:r w:rsidRPr="00104227">
        <w:rPr>
          <w:i/>
          <w:sz w:val="16"/>
          <w:szCs w:val="16"/>
        </w:rPr>
        <w:t xml:space="preserve">Case of Lori Berenson Mejía v. Peru. </w:t>
      </w:r>
      <w:r w:rsidRPr="00104227">
        <w:rPr>
          <w:rStyle w:val="Textoennegrita"/>
          <w:b w:val="0"/>
          <w:i/>
          <w:color w:val="000000"/>
          <w:sz w:val="16"/>
          <w:szCs w:val="16"/>
          <w:shd w:val="clear" w:color="auto" w:fill="FFFFFF"/>
        </w:rPr>
        <w:t>Merits, reparations and costs.</w:t>
      </w:r>
      <w:r w:rsidRPr="00104227">
        <w:rPr>
          <w:rStyle w:val="Textoennegrita"/>
          <w:b w:val="0"/>
          <w:color w:val="000000"/>
          <w:sz w:val="16"/>
          <w:szCs w:val="16"/>
          <w:shd w:val="clear" w:color="auto" w:fill="FFFFFF"/>
        </w:rPr>
        <w:t xml:space="preserve"> Judgment of November 25, 2004. Series C No. 119</w:t>
      </w:r>
      <w:r w:rsidRPr="00104227">
        <w:rPr>
          <w:sz w:val="16"/>
          <w:szCs w:val="16"/>
        </w:rPr>
        <w:t xml:space="preserve">, para. 100, and </w:t>
      </w:r>
      <w:r w:rsidRPr="00104227">
        <w:rPr>
          <w:bCs/>
          <w:i/>
          <w:iCs/>
          <w:sz w:val="16"/>
          <w:szCs w:val="16"/>
        </w:rPr>
        <w:t xml:space="preserve">Case of Quispialaya Vilcapoma v. Peru. Preliminary objections, merits, reparations and costs. </w:t>
      </w:r>
      <w:r w:rsidRPr="00104227">
        <w:rPr>
          <w:bCs/>
          <w:iCs/>
          <w:sz w:val="16"/>
          <w:szCs w:val="16"/>
        </w:rPr>
        <w:t>Judgment of November 23, 2015. Series C No. 308, para. 126.</w:t>
      </w:r>
    </w:p>
  </w:footnote>
  <w:footnote w:id="273">
    <w:p w14:paraId="6EE45B7B" w14:textId="6E8B240B" w:rsidR="0080773E" w:rsidRPr="00104227" w:rsidRDefault="0080773E" w:rsidP="0098670E">
      <w:pPr>
        <w:pStyle w:val="Textonotapie"/>
        <w:tabs>
          <w:tab w:val="left" w:pos="426"/>
        </w:tabs>
        <w:spacing w:before="120" w:after="120"/>
        <w:rPr>
          <w:i/>
          <w:lang w:val="en-US"/>
        </w:rPr>
      </w:pPr>
      <w:r w:rsidRPr="00104227">
        <w:rPr>
          <w:rStyle w:val="Refdenotaalpie"/>
          <w:rFonts w:eastAsia="Calibri"/>
          <w:lang w:val="en-US"/>
        </w:rPr>
        <w:footnoteRef/>
      </w:r>
      <w:r w:rsidRPr="00104227">
        <w:rPr>
          <w:lang w:val="en-US"/>
        </w:rPr>
        <w:t xml:space="preserve"> </w:t>
      </w:r>
      <w:r w:rsidRPr="00104227">
        <w:rPr>
          <w:lang w:val="en-US"/>
        </w:rPr>
        <w:tab/>
      </w:r>
      <w:r w:rsidRPr="00104227">
        <w:rPr>
          <w:i/>
          <w:lang w:val="en-US"/>
        </w:rPr>
        <w:t>Cf.</w:t>
      </w:r>
      <w:r w:rsidRPr="00104227">
        <w:rPr>
          <w:bCs/>
          <w:lang w:val="en-US"/>
        </w:rPr>
        <w:t xml:space="preserve"> </w:t>
      </w:r>
      <w:r w:rsidRPr="00104227">
        <w:rPr>
          <w:i/>
          <w:lang w:val="en-US"/>
        </w:rPr>
        <w:t xml:space="preserve">Caesar v. Trinidad and Tobago. Merits, reparations and costs. </w:t>
      </w:r>
      <w:r w:rsidRPr="00104227">
        <w:rPr>
          <w:lang w:val="en-US"/>
        </w:rPr>
        <w:t>Judgment of March 11, 2005. Series C No. 123, para. 100</w:t>
      </w:r>
      <w:r w:rsidRPr="00104227">
        <w:rPr>
          <w:bCs/>
          <w:iCs/>
          <w:lang w:val="en-US"/>
        </w:rPr>
        <w:t xml:space="preserve">, and </w:t>
      </w:r>
      <w:r w:rsidRPr="00104227">
        <w:rPr>
          <w:bCs/>
          <w:i/>
          <w:iCs/>
          <w:lang w:val="en-US"/>
        </w:rPr>
        <w:t>Case of Herzog et al. v. Brazil. Preliminary objections, merits, reparations and costs.</w:t>
      </w:r>
      <w:r w:rsidRPr="00104227">
        <w:rPr>
          <w:bCs/>
          <w:iCs/>
          <w:lang w:val="en-US"/>
        </w:rPr>
        <w:t xml:space="preserve"> Judgment of March 15, 2018. Series C No. 353, para. 220. </w:t>
      </w:r>
    </w:p>
  </w:footnote>
  <w:footnote w:id="274">
    <w:p w14:paraId="49966B01" w14:textId="77179D18" w:rsidR="0080773E" w:rsidRPr="00104227" w:rsidRDefault="0080773E" w:rsidP="0098670E">
      <w:pPr>
        <w:pStyle w:val="Textonotapie"/>
        <w:tabs>
          <w:tab w:val="left" w:pos="426"/>
        </w:tabs>
        <w:spacing w:before="120" w:after="120"/>
        <w:rPr>
          <w:lang w:val="en-US"/>
        </w:rPr>
      </w:pPr>
      <w:r w:rsidRPr="00104227">
        <w:rPr>
          <w:rStyle w:val="Refdenotaalpie"/>
          <w:rFonts w:eastAsia="Calibri"/>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 xml:space="preserve">International Covenant on Civil and Political Rights, Article 7; Convention against Torture </w:t>
      </w:r>
      <w:r w:rsidRPr="00104227">
        <w:rPr>
          <w:spacing w:val="-3"/>
          <w:lang w:val="en-US"/>
        </w:rPr>
        <w:t>and Other Cruel, Inhuman or Degrading Treatment or Punishment</w:t>
      </w:r>
      <w:r w:rsidRPr="00104227">
        <w:rPr>
          <w:lang w:val="en-US"/>
        </w:rPr>
        <w:t>, Article 2; Convention on the Rights of the Child, Article 37, and International Convention on the Protection of the Rights of All Migrant Workers and Members of their Families, Article 10.</w:t>
      </w:r>
    </w:p>
  </w:footnote>
  <w:footnote w:id="275">
    <w:p w14:paraId="2A93DFCE" w14:textId="7DD1912A" w:rsidR="0080773E" w:rsidRPr="00104227" w:rsidRDefault="0080773E" w:rsidP="002755DF">
      <w:pPr>
        <w:tabs>
          <w:tab w:val="left" w:pos="426"/>
          <w:tab w:val="left" w:pos="720"/>
        </w:tabs>
        <w:spacing w:before="120" w:after="120"/>
        <w:contextualSpacing/>
        <w:rPr>
          <w:sz w:val="16"/>
          <w:szCs w:val="16"/>
        </w:rPr>
      </w:pPr>
      <w:r w:rsidRPr="00104227">
        <w:rPr>
          <w:rStyle w:val="Refdenotaalpie"/>
          <w:rFonts w:eastAsia="Calibri"/>
        </w:rPr>
        <w:footnoteRef/>
      </w:r>
      <w:r w:rsidRPr="00104227">
        <w:rPr>
          <w:sz w:val="16"/>
          <w:szCs w:val="16"/>
        </w:rPr>
        <w:t xml:space="preserve"> </w:t>
      </w:r>
      <w:r w:rsidRPr="00104227">
        <w:rPr>
          <w:sz w:val="16"/>
          <w:szCs w:val="16"/>
        </w:rPr>
        <w:tab/>
      </w:r>
      <w:r w:rsidRPr="00104227">
        <w:rPr>
          <w:i/>
          <w:sz w:val="16"/>
          <w:szCs w:val="16"/>
        </w:rPr>
        <w:t>Cf.</w:t>
      </w:r>
      <w:r w:rsidRPr="00104227">
        <w:rPr>
          <w:sz w:val="16"/>
          <w:szCs w:val="16"/>
        </w:rPr>
        <w:t xml:space="preserve"> Inter-American Convention to Prevent and Punish Torture,</w:t>
      </w:r>
      <w:r w:rsidRPr="00104227">
        <w:rPr>
          <w:rFonts w:cs="Verdana"/>
          <w:sz w:val="16"/>
          <w:szCs w:val="16"/>
        </w:rPr>
        <w:t xml:space="preserve"> Articles 1 and 5; African Charter of Human and Peoples’ Rights, Article 5; African Charter on the Rights and Welfare of the Child, Article 16; Convention of Belém do Pará, Article 4, and European Convention on Human Rights, Article 3.</w:t>
      </w:r>
    </w:p>
  </w:footnote>
  <w:footnote w:id="276">
    <w:p w14:paraId="05FD9E88" w14:textId="56AC6C38"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80773E">
        <w:rPr>
          <w:lang w:val="es-CR"/>
        </w:rPr>
        <w:t xml:space="preserve"> </w:t>
      </w:r>
      <w:r w:rsidRPr="0080773E">
        <w:rPr>
          <w:lang w:val="es-CR"/>
        </w:rPr>
        <w:tab/>
      </w:r>
      <w:r w:rsidRPr="0080773E">
        <w:rPr>
          <w:i/>
          <w:lang w:val="es-CR"/>
        </w:rPr>
        <w:t xml:space="preserve">Cf. Case of Fernández Ortega et al. v. Mexico. </w:t>
      </w:r>
      <w:r w:rsidRPr="00104227">
        <w:rPr>
          <w:i/>
          <w:lang w:val="en-US"/>
        </w:rPr>
        <w:t xml:space="preserve">Preliminary objection, merits, reparations and costs. </w:t>
      </w:r>
      <w:r w:rsidRPr="00104227">
        <w:rPr>
          <w:lang w:val="en-US"/>
        </w:rPr>
        <w:t>Judgment of August 30, 2010. Series C No. 215</w:t>
      </w:r>
      <w:r w:rsidRPr="00104227">
        <w:rPr>
          <w:i/>
          <w:lang w:val="en-US"/>
        </w:rPr>
        <w:t>,</w:t>
      </w:r>
      <w:r w:rsidRPr="00104227">
        <w:rPr>
          <w:lang w:val="en-US"/>
        </w:rPr>
        <w:t xml:space="preserve"> para. 129, and </w:t>
      </w:r>
      <w:r w:rsidRPr="00104227">
        <w:rPr>
          <w:bCs/>
          <w:i/>
          <w:iCs/>
          <w:lang w:val="en-US"/>
        </w:rPr>
        <w:t xml:space="preserve">Case of López Soto et al. v. Venezuela. Merits, reparations and costs. </w:t>
      </w:r>
      <w:r w:rsidRPr="00104227">
        <w:rPr>
          <w:bCs/>
          <w:iCs/>
          <w:lang w:val="en-US"/>
        </w:rPr>
        <w:t>Judgment of September 26, 2018. Series C No. 362, footnote 206</w:t>
      </w:r>
      <w:r w:rsidRPr="00104227">
        <w:rPr>
          <w:lang w:val="en-US"/>
        </w:rPr>
        <w:t>.</w:t>
      </w:r>
    </w:p>
  </w:footnote>
  <w:footnote w:id="277">
    <w:p w14:paraId="6DB77FD3" w14:textId="780745D3"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Case of J. v. Peru. Preliminary objection, merits, reparations and costs. </w:t>
      </w:r>
      <w:r w:rsidRPr="00104227">
        <w:rPr>
          <w:lang w:val="en-US"/>
        </w:rPr>
        <w:t>Judgment of November 27, 2013. Series C No. 275</w:t>
      </w:r>
      <w:r w:rsidRPr="00104227">
        <w:rPr>
          <w:i/>
          <w:lang w:val="en-US"/>
        </w:rPr>
        <w:t>,</w:t>
      </w:r>
      <w:r w:rsidRPr="00104227">
        <w:rPr>
          <w:lang w:val="en-US"/>
        </w:rPr>
        <w:t xml:space="preserve"> para. 367, and </w:t>
      </w:r>
      <w:r w:rsidRPr="00104227">
        <w:rPr>
          <w:i/>
          <w:lang w:val="en-US"/>
        </w:rPr>
        <w:t>Case of Espinoza Gonzales v. Peru. Preliminary objections, merits, reparations and costs</w:t>
      </w:r>
      <w:r w:rsidRPr="00104227">
        <w:rPr>
          <w:lang w:val="en-US"/>
        </w:rPr>
        <w:t>. Judgment of November 20, 2014. Series C No. 289, para. 197.</w:t>
      </w:r>
    </w:p>
  </w:footnote>
  <w:footnote w:id="278">
    <w:p w14:paraId="33AFB93D" w14:textId="0F642C58"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The Convention of Belém do Pará defines violence against women in its Article 1 as “</w:t>
      </w:r>
      <w:r w:rsidRPr="00104227">
        <w:rPr>
          <w:rFonts w:cs="Arial"/>
          <w:lang w:val="en-US"/>
        </w:rPr>
        <w:t>any act or conduct, based on gender, which causes death or physical, sexual or psychological harm or suffering to women, whether in the public or the private sphere</w:t>
      </w:r>
      <w:r w:rsidRPr="00104227">
        <w:rPr>
          <w:i/>
          <w:lang w:val="en-US"/>
        </w:rPr>
        <w:t>.</w:t>
      </w:r>
      <w:r w:rsidRPr="00104227">
        <w:rPr>
          <w:lang w:val="en-US"/>
        </w:rPr>
        <w:t xml:space="preserve">” </w:t>
      </w:r>
    </w:p>
  </w:footnote>
  <w:footnote w:id="279">
    <w:p w14:paraId="77622F1A" w14:textId="0E28CBD1"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Case of the Miguel Castro Castro Prison v. Peru. Merits, reparations and costs. </w:t>
      </w:r>
      <w:r w:rsidRPr="00104227">
        <w:rPr>
          <w:lang w:val="en-US"/>
        </w:rPr>
        <w:t xml:space="preserve">Judgment of November 25, 2006. Series C No. 160, para. 346, and </w:t>
      </w:r>
      <w:r w:rsidRPr="00104227">
        <w:rPr>
          <w:bCs/>
          <w:i/>
          <w:iCs/>
          <w:lang w:val="en-US"/>
        </w:rPr>
        <w:t xml:space="preserve">Case of López Soto et al. v. Venezuela. Merits, reparations and costs. </w:t>
      </w:r>
      <w:r w:rsidRPr="00104227">
        <w:rPr>
          <w:bCs/>
          <w:iCs/>
          <w:lang w:val="en-US"/>
        </w:rPr>
        <w:t>Judgment of September 26, 2018. Series C No. 362, para. 131</w:t>
      </w:r>
      <w:r w:rsidRPr="00104227">
        <w:rPr>
          <w:lang w:val="en-US"/>
        </w:rPr>
        <w:t>.</w:t>
      </w:r>
    </w:p>
  </w:footnote>
  <w:footnote w:id="280">
    <w:p w14:paraId="0CB5DF66" w14:textId="342BB02D"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Case of González et al. (“Cotton Field”) v. Mexico. Preliminary objection, merits, reparations and costs. </w:t>
      </w:r>
      <w:r w:rsidRPr="00104227">
        <w:rPr>
          <w:lang w:val="en-US"/>
        </w:rPr>
        <w:t xml:space="preserve">Judgment of November 16, 2009. Series C No. 205, para. 258, and </w:t>
      </w:r>
      <w:r w:rsidRPr="00104227">
        <w:rPr>
          <w:i/>
          <w:lang w:val="en-US"/>
        </w:rPr>
        <w:t>Velásquez Paiz et al. v. Guatemala. Preliminary objections, merits, reparations and costs</w:t>
      </w:r>
      <w:r w:rsidRPr="00104227">
        <w:rPr>
          <w:lang w:val="en-US"/>
        </w:rPr>
        <w:t>. Judgment of November 19, 2015. Series C No. 307, para. 108.</w:t>
      </w:r>
    </w:p>
  </w:footnote>
  <w:footnote w:id="281">
    <w:p w14:paraId="0279D4A6" w14:textId="791294F2" w:rsidR="0080773E" w:rsidRPr="00104227" w:rsidRDefault="0080773E" w:rsidP="002755DF">
      <w:pPr>
        <w:pStyle w:val="Textonotapie"/>
        <w:tabs>
          <w:tab w:val="left" w:pos="426"/>
        </w:tabs>
        <w:spacing w:before="120" w:after="120"/>
        <w:rPr>
          <w:b/>
          <w:bCs/>
          <w:iCs/>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See, inter alia</w:t>
      </w:r>
      <w:r w:rsidRPr="00104227">
        <w:rPr>
          <w:lang w:val="en-US"/>
        </w:rPr>
        <w:t xml:space="preserve">, </w:t>
      </w:r>
      <w:r w:rsidRPr="00104227">
        <w:rPr>
          <w:bCs/>
          <w:i/>
          <w:iCs/>
          <w:lang w:val="en-US"/>
        </w:rPr>
        <w:t xml:space="preserve">Case of the Miguel Castro Castro Prison v. Peru. Merits, reparations and costs. </w:t>
      </w:r>
      <w:r w:rsidRPr="00104227">
        <w:rPr>
          <w:bCs/>
          <w:iCs/>
          <w:lang w:val="en-US"/>
        </w:rPr>
        <w:t>Judgment of November 25, 2006. Series C No. 160,</w:t>
      </w:r>
      <w:r w:rsidRPr="00104227">
        <w:rPr>
          <w:bCs/>
          <w:i/>
          <w:iCs/>
          <w:lang w:val="en-US"/>
        </w:rPr>
        <w:t xml:space="preserve"> </w:t>
      </w:r>
      <w:r w:rsidRPr="00104227">
        <w:rPr>
          <w:bCs/>
          <w:lang w:val="en-US"/>
        </w:rPr>
        <w:t xml:space="preserve">para. 306; </w:t>
      </w:r>
      <w:r w:rsidRPr="00104227">
        <w:rPr>
          <w:bCs/>
          <w:i/>
          <w:lang w:val="en-US"/>
        </w:rPr>
        <w:t xml:space="preserve">Case of Espinoza Gonzáles v. Peru. Preliminary objections, merits, reparations and costs. </w:t>
      </w:r>
      <w:r w:rsidRPr="00104227">
        <w:rPr>
          <w:bCs/>
          <w:lang w:val="en-US"/>
        </w:rPr>
        <w:t xml:space="preserve">Judgment of November 20, 2014. Series C No. 289, para. 191, and </w:t>
      </w:r>
      <w:r w:rsidRPr="00104227">
        <w:rPr>
          <w:bCs/>
          <w:i/>
          <w:iCs/>
          <w:lang w:val="en-US"/>
        </w:rPr>
        <w:t xml:space="preserve">Case of Favela Nova Brasília v. Brazil. Preliminary objections, merits, reparations and costs. </w:t>
      </w:r>
      <w:r w:rsidRPr="00104227">
        <w:rPr>
          <w:bCs/>
          <w:iCs/>
          <w:lang w:val="en-US"/>
        </w:rPr>
        <w:t xml:space="preserve">Judgment of February 16, 2017. Series C No. 333, para. 246. </w:t>
      </w:r>
    </w:p>
  </w:footnote>
  <w:footnote w:id="282">
    <w:p w14:paraId="16DFA858" w14:textId="6F357A0F" w:rsidR="0080773E" w:rsidRPr="00104227" w:rsidRDefault="0080773E" w:rsidP="002755DF">
      <w:pPr>
        <w:pStyle w:val="Textonotapie"/>
        <w:tabs>
          <w:tab w:val="left" w:pos="426"/>
        </w:tabs>
        <w:spacing w:before="120" w:after="120"/>
        <w:rPr>
          <w:b/>
          <w:bCs/>
          <w:iCs/>
          <w:lang w:val="en-US"/>
        </w:rPr>
      </w:pPr>
      <w:r w:rsidRPr="00104227">
        <w:rPr>
          <w:rStyle w:val="Refdenotaalpie"/>
          <w:lang w:val="en-US"/>
        </w:rPr>
        <w:footnoteRef/>
      </w:r>
      <w:r w:rsidRPr="00104227">
        <w:rPr>
          <w:lang w:val="en-US"/>
        </w:rPr>
        <w:t xml:space="preserve"> </w:t>
      </w:r>
      <w:r w:rsidRPr="00104227">
        <w:rPr>
          <w:lang w:val="en-US"/>
        </w:rPr>
        <w:tab/>
      </w:r>
      <w:r w:rsidRPr="00104227">
        <w:rPr>
          <w:bCs/>
          <w:i/>
          <w:iCs/>
          <w:lang w:val="en-US"/>
        </w:rPr>
        <w:t>Case of the Miguel Castro Castro Prison v. Peru. Merits, reparations and costs.</w:t>
      </w:r>
      <w:r w:rsidRPr="00104227">
        <w:rPr>
          <w:bCs/>
          <w:iCs/>
          <w:lang w:val="en-US"/>
        </w:rPr>
        <w:t xml:space="preserve"> Judgment of November 25, 2006. Series C No. 160,</w:t>
      </w:r>
      <w:r w:rsidRPr="00104227">
        <w:rPr>
          <w:b/>
          <w:bCs/>
          <w:i/>
          <w:iCs/>
          <w:lang w:val="en-US"/>
        </w:rPr>
        <w:t xml:space="preserve"> </w:t>
      </w:r>
      <w:r w:rsidRPr="00104227">
        <w:rPr>
          <w:lang w:val="en-US"/>
        </w:rPr>
        <w:t xml:space="preserve">para. 310; </w:t>
      </w:r>
      <w:r w:rsidRPr="00104227">
        <w:rPr>
          <w:bCs/>
          <w:i/>
          <w:lang w:val="en-US"/>
        </w:rPr>
        <w:t xml:space="preserve">Case of Espinoza Gonzáles v. Peru. Preliminary objections, merits, reparations and costs. </w:t>
      </w:r>
      <w:r w:rsidRPr="00104227">
        <w:rPr>
          <w:bCs/>
          <w:lang w:val="en-US"/>
        </w:rPr>
        <w:t xml:space="preserve">Judgment of November 20, 2014. Series C No. 289, para. 192, and </w:t>
      </w:r>
      <w:r w:rsidRPr="00104227">
        <w:rPr>
          <w:bCs/>
          <w:i/>
          <w:iCs/>
          <w:lang w:val="en-US"/>
        </w:rPr>
        <w:t xml:space="preserve">Case of Favela Nova Brasília v. Brazil. Preliminary objections, merits, reparations and costs. </w:t>
      </w:r>
      <w:r w:rsidRPr="00104227">
        <w:rPr>
          <w:bCs/>
          <w:iCs/>
          <w:lang w:val="en-US"/>
        </w:rPr>
        <w:t xml:space="preserve">Judgment of February 16, 2017. Series C No. 333, para. 247. </w:t>
      </w:r>
    </w:p>
  </w:footnote>
  <w:footnote w:id="283">
    <w:p w14:paraId="1D49E8C0" w14:textId="31C7C782"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iCs/>
          <w:lang w:val="en-US"/>
        </w:rPr>
        <w:t xml:space="preserve">Cf. </w:t>
      </w:r>
      <w:r w:rsidRPr="00104227">
        <w:rPr>
          <w:lang w:val="en-US"/>
        </w:rPr>
        <w:t xml:space="preserve">International Criminal Tribunal for the former Yugoslavia, </w:t>
      </w:r>
      <w:r w:rsidRPr="00104227">
        <w:rPr>
          <w:i/>
          <w:iCs/>
          <w:lang w:val="en-US"/>
        </w:rPr>
        <w:t>Prosecutor v. Anto Furundzija</w:t>
      </w:r>
      <w:r w:rsidRPr="00104227">
        <w:rPr>
          <w:lang w:val="en-US"/>
        </w:rPr>
        <w:t xml:space="preserve">, Judgment of December 10, 1998, case No. IT-95-17/1-T, para. 185; International Criminal Tribunal for the former Yugoslavia, </w:t>
      </w:r>
      <w:r w:rsidRPr="00104227">
        <w:rPr>
          <w:i/>
          <w:iCs/>
          <w:lang w:val="en-US"/>
        </w:rPr>
        <w:t>Prosecutor v. Kunarac et al.</w:t>
      </w:r>
      <w:r w:rsidRPr="00104227">
        <w:rPr>
          <w:lang w:val="en-US"/>
        </w:rPr>
        <w:t xml:space="preserve">, Judgment of February 22, 2001, case No. IT-96-23-T and IT-96-23/1-T, paras. 437 and 438; International Criminal Tribunal for the former Yugoslavia, </w:t>
      </w:r>
      <w:r w:rsidRPr="00104227">
        <w:rPr>
          <w:i/>
          <w:iCs/>
          <w:lang w:val="en-US"/>
        </w:rPr>
        <w:t>Prosecutor v. Kunarac et al.,</w:t>
      </w:r>
      <w:r w:rsidRPr="00104227">
        <w:rPr>
          <w:lang w:val="en-US"/>
        </w:rPr>
        <w:t xml:space="preserve"> Judgment on Appeal of June 12, 2002, case No. IT-96-23-T and IT-96-23/1-T, para. 127.</w:t>
      </w:r>
    </w:p>
  </w:footnote>
  <w:footnote w:id="284">
    <w:p w14:paraId="3772E1BF" w14:textId="28E40F64"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Case of J. v. Peru. Preliminary objection, merits, reparations and costs.</w:t>
      </w:r>
      <w:r w:rsidRPr="00104227">
        <w:rPr>
          <w:lang w:val="en-US"/>
        </w:rPr>
        <w:t xml:space="preserve"> Judgment of November 27, 2013. Series C No. 275, para. 359, and </w:t>
      </w:r>
      <w:r w:rsidRPr="00104227">
        <w:rPr>
          <w:rStyle w:val="Textoennegrita"/>
          <w:b w:val="0"/>
          <w:i/>
          <w:color w:val="000000"/>
          <w:shd w:val="clear" w:color="auto" w:fill="FFFFFF"/>
          <w:lang w:val="en-US"/>
        </w:rPr>
        <w:t>Case of V.R.P., V.P.C. et al. v. Nicaragua. Preliminary objections, merits, reparations and costs.</w:t>
      </w:r>
      <w:r w:rsidRPr="00104227">
        <w:rPr>
          <w:rStyle w:val="Textoennegrita"/>
          <w:b w:val="0"/>
          <w:color w:val="000000"/>
          <w:shd w:val="clear" w:color="auto" w:fill="FFFFFF"/>
          <w:lang w:val="en-US"/>
        </w:rPr>
        <w:t xml:space="preserve"> Judgment of March 8, 2018. Series C No. 350, para. 290</w:t>
      </w:r>
      <w:r w:rsidRPr="00104227">
        <w:rPr>
          <w:bCs/>
          <w:lang w:val="en-US"/>
        </w:rPr>
        <w:t>.</w:t>
      </w:r>
    </w:p>
  </w:footnote>
  <w:footnote w:id="285">
    <w:p w14:paraId="4D4B279D" w14:textId="30BD48C6"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bCs/>
          <w:i/>
          <w:iCs/>
          <w:lang w:val="en-US"/>
        </w:rPr>
        <w:t xml:space="preserve">Case of Fernández Ortega et al. v. Mexico. Preliminary objection, merits, reparations and costs. </w:t>
      </w:r>
      <w:r w:rsidRPr="00104227">
        <w:rPr>
          <w:bCs/>
          <w:iCs/>
          <w:lang w:val="en-US"/>
        </w:rPr>
        <w:t xml:space="preserve">Judgment of August 30, 2010. Series C No. 215, para. 119, and </w:t>
      </w:r>
      <w:r w:rsidRPr="00104227">
        <w:rPr>
          <w:rStyle w:val="Textoennegrita"/>
          <w:b w:val="0"/>
          <w:i/>
          <w:color w:val="000000"/>
          <w:shd w:val="clear" w:color="auto" w:fill="FFFFFF"/>
          <w:lang w:val="en-US"/>
        </w:rPr>
        <w:t>Case of López Soto et al. v. Venezuela. Merits, reparations and costs.</w:t>
      </w:r>
      <w:r w:rsidRPr="00104227">
        <w:rPr>
          <w:rStyle w:val="Textoennegrita"/>
          <w:b w:val="0"/>
          <w:color w:val="000000"/>
          <w:shd w:val="clear" w:color="auto" w:fill="FFFFFF"/>
          <w:lang w:val="en-US"/>
        </w:rPr>
        <w:t xml:space="preserve"> Judgment of September 26, 2018. Series C No. 362, para. 187</w:t>
      </w:r>
      <w:r w:rsidRPr="00104227">
        <w:rPr>
          <w:bCs/>
          <w:iCs/>
          <w:lang w:val="en-US"/>
        </w:rPr>
        <w:t>.</w:t>
      </w:r>
    </w:p>
  </w:footnote>
  <w:footnote w:id="286">
    <w:p w14:paraId="573B99F6" w14:textId="00EB3587" w:rsidR="0080773E" w:rsidRPr="00104227" w:rsidRDefault="0080773E" w:rsidP="002755DF">
      <w:pPr>
        <w:pStyle w:val="Textonotapie"/>
        <w:tabs>
          <w:tab w:val="left" w:pos="426"/>
        </w:tabs>
        <w:spacing w:before="120" w:after="120"/>
        <w:rPr>
          <w:b/>
          <w:bCs/>
          <w:i/>
          <w:iCs/>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Case of the Miguel Castro Castro Prison v. Peru. Merits, reparations and costs.</w:t>
      </w:r>
      <w:r w:rsidRPr="00104227">
        <w:rPr>
          <w:lang w:val="en-US"/>
        </w:rPr>
        <w:t xml:space="preserve"> Judgment of November 25, 2006. Series C No. 160, para. 311, and </w:t>
      </w:r>
      <w:r w:rsidRPr="00104227">
        <w:rPr>
          <w:bCs/>
          <w:i/>
          <w:iCs/>
          <w:lang w:val="en-US"/>
        </w:rPr>
        <w:t xml:space="preserve">Case of Favela Nova Brasília v. Brazil. Preliminary objections, merits, reparations and costs. </w:t>
      </w:r>
      <w:r w:rsidRPr="00104227">
        <w:rPr>
          <w:bCs/>
          <w:iCs/>
          <w:lang w:val="en-US"/>
        </w:rPr>
        <w:t xml:space="preserve">Judgment of February 16, 2017. Series C No. 333, para. 255. </w:t>
      </w:r>
    </w:p>
  </w:footnote>
  <w:footnote w:id="287">
    <w:p w14:paraId="3747D547" w14:textId="5E5A2DDC"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SCJN judgment of February 12, 2009 (evidence file, folio 30937).</w:t>
      </w:r>
    </w:p>
  </w:footnote>
  <w:footnote w:id="288">
    <w:p w14:paraId="4548DD18" w14:textId="36327065" w:rsidR="0080773E" w:rsidRPr="00104227" w:rsidRDefault="0080773E" w:rsidP="002755DF">
      <w:pPr>
        <w:tabs>
          <w:tab w:val="left" w:pos="426"/>
          <w:tab w:val="left" w:pos="567"/>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t xml:space="preserve">Subjecting women to forced nudity, while they are guarded by armed men constitutes sexual violence. </w:t>
      </w:r>
      <w:r w:rsidRPr="00104227">
        <w:rPr>
          <w:i/>
          <w:sz w:val="16"/>
          <w:szCs w:val="16"/>
        </w:rPr>
        <w:t>Cf.</w:t>
      </w:r>
      <w:r w:rsidRPr="00104227">
        <w:rPr>
          <w:sz w:val="16"/>
          <w:szCs w:val="16"/>
        </w:rPr>
        <w:t xml:space="preserve"> </w:t>
      </w:r>
      <w:r w:rsidRPr="00104227">
        <w:rPr>
          <w:bCs/>
          <w:i/>
          <w:iCs/>
          <w:sz w:val="16"/>
          <w:szCs w:val="16"/>
        </w:rPr>
        <w:t xml:space="preserve">Case of the Miguel Castro Castro Prison v. Peru. Merits, reparations and costs. </w:t>
      </w:r>
      <w:r w:rsidRPr="00104227">
        <w:rPr>
          <w:bCs/>
          <w:iCs/>
          <w:sz w:val="16"/>
          <w:szCs w:val="16"/>
        </w:rPr>
        <w:t>Judgment of November 25, 2006. Series C No. 160,</w:t>
      </w:r>
      <w:r w:rsidRPr="00104227">
        <w:rPr>
          <w:bCs/>
          <w:i/>
          <w:iCs/>
          <w:sz w:val="16"/>
          <w:szCs w:val="16"/>
        </w:rPr>
        <w:t xml:space="preserve"> </w:t>
      </w:r>
      <w:r w:rsidRPr="00104227">
        <w:rPr>
          <w:bCs/>
          <w:sz w:val="16"/>
          <w:szCs w:val="16"/>
        </w:rPr>
        <w:t xml:space="preserve">para. 306, and </w:t>
      </w:r>
      <w:r w:rsidRPr="00104227">
        <w:rPr>
          <w:bCs/>
          <w:i/>
          <w:color w:val="000000"/>
          <w:sz w:val="16"/>
          <w:szCs w:val="16"/>
        </w:rPr>
        <w:t xml:space="preserve">Case of López Soto et al. v. Venezuela. Merits, reparations and costs. </w:t>
      </w:r>
      <w:r w:rsidRPr="00104227">
        <w:rPr>
          <w:bCs/>
          <w:color w:val="000000"/>
          <w:sz w:val="16"/>
          <w:szCs w:val="16"/>
        </w:rPr>
        <w:t>Judgment of September 26, 2018. Series C No. 362, para. 131.</w:t>
      </w:r>
      <w:r w:rsidRPr="00104227">
        <w:rPr>
          <w:bCs/>
          <w:sz w:val="16"/>
          <w:szCs w:val="16"/>
        </w:rPr>
        <w:t xml:space="preserve"> In this regard, in addition to the nudity to which many of them were subjected during the transfer, </w:t>
      </w:r>
      <w:r w:rsidRPr="00104227">
        <w:rPr>
          <w:sz w:val="16"/>
          <w:szCs w:val="16"/>
        </w:rPr>
        <w:t>Yolanda Muñoz Diosdada recounter, for example, that on arriving at the CEPRESO they “entered a room in which there were already men and women who were naked,” they were ordered to undress and she was left “naked in front of everyone, men and women,” and suffered a strong “impression on seeing [herself] there among everyone, several of them bleeding” (</w:t>
      </w:r>
      <w:r w:rsidRPr="00104227">
        <w:rPr>
          <w:i/>
          <w:sz w:val="16"/>
          <w:szCs w:val="16"/>
        </w:rPr>
        <w:t>supra</w:t>
      </w:r>
      <w:r w:rsidRPr="00104227">
        <w:rPr>
          <w:sz w:val="16"/>
          <w:szCs w:val="16"/>
        </w:rPr>
        <w:t xml:space="preserve"> para. </w:t>
      </w:r>
      <w:r w:rsidRPr="00104227">
        <w:rPr>
          <w:sz w:val="16"/>
          <w:szCs w:val="16"/>
        </w:rPr>
        <w:fldChar w:fldCharType="begin"/>
      </w:r>
      <w:r w:rsidRPr="00104227">
        <w:rPr>
          <w:sz w:val="16"/>
          <w:szCs w:val="16"/>
        </w:rPr>
        <w:instrText xml:space="preserve"> REF _Ref532907363 \r \h  \* MERGEFORMAT </w:instrText>
      </w:r>
      <w:r w:rsidRPr="00104227">
        <w:rPr>
          <w:sz w:val="16"/>
          <w:szCs w:val="16"/>
        </w:rPr>
      </w:r>
      <w:r w:rsidRPr="00104227">
        <w:rPr>
          <w:sz w:val="16"/>
          <w:szCs w:val="16"/>
        </w:rPr>
        <w:fldChar w:fldCharType="separate"/>
      </w:r>
      <w:r w:rsidR="004276BD">
        <w:rPr>
          <w:sz w:val="16"/>
          <w:szCs w:val="16"/>
        </w:rPr>
        <w:t>103</w:t>
      </w:r>
      <w:r w:rsidRPr="00104227">
        <w:rPr>
          <w:sz w:val="16"/>
          <w:szCs w:val="16"/>
        </w:rPr>
        <w:fldChar w:fldCharType="end"/>
      </w:r>
      <w:r w:rsidRPr="00104227">
        <w:rPr>
          <w:sz w:val="16"/>
          <w:szCs w:val="16"/>
        </w:rPr>
        <w:t xml:space="preserve">). </w:t>
      </w:r>
    </w:p>
  </w:footnote>
  <w:footnote w:id="289">
    <w:p w14:paraId="1756C9F3" w14:textId="1062D2F0" w:rsidR="0080773E" w:rsidRPr="00104227" w:rsidRDefault="0080773E" w:rsidP="002755DF">
      <w:pPr>
        <w:tabs>
          <w:tab w:val="left" w:pos="426"/>
          <w:tab w:val="left" w:pos="720"/>
        </w:tabs>
        <w:spacing w:before="120" w:after="120"/>
        <w:contextualSpacing/>
        <w:rPr>
          <w:sz w:val="16"/>
          <w:szCs w:val="16"/>
        </w:rPr>
      </w:pPr>
      <w:r w:rsidRPr="00104227">
        <w:rPr>
          <w:rStyle w:val="Refdenotaalpie"/>
          <w:rFonts w:eastAsia="Calibri"/>
        </w:rPr>
        <w:footnoteRef/>
      </w:r>
      <w:r w:rsidRPr="00104227">
        <w:rPr>
          <w:rStyle w:val="Refdenotaalpie"/>
          <w:rFonts w:eastAsia="Calibri"/>
        </w:rPr>
        <w:t xml:space="preserve"> </w:t>
      </w:r>
      <w:r w:rsidRPr="00104227">
        <w:rPr>
          <w:sz w:val="16"/>
          <w:szCs w:val="16"/>
        </w:rPr>
        <w:tab/>
      </w:r>
      <w:r w:rsidRPr="00104227">
        <w:rPr>
          <w:i/>
          <w:sz w:val="16"/>
          <w:szCs w:val="16"/>
        </w:rPr>
        <w:t xml:space="preserve">Cf. Case of Bueno Alves v. Argentina. Merits, reparations and costs. </w:t>
      </w:r>
      <w:r w:rsidRPr="00104227">
        <w:rPr>
          <w:sz w:val="16"/>
          <w:szCs w:val="16"/>
        </w:rPr>
        <w:t xml:space="preserve">Judgment of May 11, 2007. Series C No. 164, para. 79, and </w:t>
      </w:r>
      <w:r w:rsidRPr="00104227">
        <w:rPr>
          <w:bCs/>
          <w:i/>
          <w:iCs/>
          <w:sz w:val="16"/>
          <w:szCs w:val="16"/>
        </w:rPr>
        <w:t xml:space="preserve">Case of López Soto et al. v. Venezuela. Merits, reparations and costs. </w:t>
      </w:r>
      <w:r w:rsidRPr="00104227">
        <w:rPr>
          <w:bCs/>
          <w:iCs/>
          <w:sz w:val="16"/>
          <w:szCs w:val="16"/>
        </w:rPr>
        <w:t>Judgment of September 26, 2018. Series C No. 362, para. 186.</w:t>
      </w:r>
    </w:p>
  </w:footnote>
  <w:footnote w:id="290">
    <w:p w14:paraId="778E2CCA" w14:textId="2423390D" w:rsidR="0080773E" w:rsidRPr="0080773E" w:rsidRDefault="0080773E" w:rsidP="00EB2EA4">
      <w:pPr>
        <w:pStyle w:val="Textonotapie"/>
        <w:tabs>
          <w:tab w:val="left" w:pos="426"/>
        </w:tabs>
        <w:spacing w:before="120" w:after="120"/>
        <w:rPr>
          <w:lang w:val="es-CR"/>
        </w:rPr>
      </w:pPr>
      <w:r w:rsidRPr="00104227">
        <w:rPr>
          <w:rStyle w:val="Refdenotaalpie"/>
          <w:rFonts w:eastAsia="Calibri"/>
          <w:lang w:val="en-US"/>
        </w:rPr>
        <w:footnoteRef/>
      </w:r>
      <w:r w:rsidRPr="00104227">
        <w:rPr>
          <w:lang w:val="en-US"/>
        </w:rPr>
        <w:tab/>
      </w:r>
      <w:r w:rsidRPr="00104227">
        <w:rPr>
          <w:i/>
          <w:lang w:val="en-US"/>
        </w:rPr>
        <w:t xml:space="preserve">Cf. Case of Cantoral Benavides v. Peru. Reparations and costs. </w:t>
      </w:r>
      <w:r w:rsidRPr="00104227">
        <w:rPr>
          <w:lang w:val="en-US"/>
        </w:rPr>
        <w:t xml:space="preserve">Judgment of December 3, 2001. Series C No. 88, para. 102, and </w:t>
      </w:r>
      <w:r w:rsidRPr="00104227">
        <w:rPr>
          <w:bCs/>
          <w:i/>
          <w:iCs/>
          <w:lang w:val="en-US"/>
        </w:rPr>
        <w:t xml:space="preserve">Case of López Soto et al. v. Venezuela. Merits, reparations and costs. </w:t>
      </w:r>
      <w:r w:rsidRPr="00104227">
        <w:rPr>
          <w:bCs/>
          <w:iCs/>
          <w:lang w:val="en-US"/>
        </w:rPr>
        <w:t xml:space="preserve">Judgment of September 26, 2018. Series C No. 362, para. </w:t>
      </w:r>
      <w:r w:rsidRPr="0080773E">
        <w:rPr>
          <w:bCs/>
          <w:iCs/>
          <w:lang w:val="es-CR"/>
        </w:rPr>
        <w:t>183</w:t>
      </w:r>
      <w:r w:rsidRPr="0080773E">
        <w:rPr>
          <w:bCs/>
          <w:lang w:val="es-CR"/>
        </w:rPr>
        <w:t>.</w:t>
      </w:r>
    </w:p>
  </w:footnote>
  <w:footnote w:id="291">
    <w:p w14:paraId="24594675" w14:textId="09CFF152"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80773E">
        <w:rPr>
          <w:lang w:val="es-CR"/>
        </w:rPr>
        <w:t xml:space="preserve"> </w:t>
      </w:r>
      <w:r w:rsidRPr="0080773E">
        <w:rPr>
          <w:lang w:val="es-CR"/>
        </w:rPr>
        <w:tab/>
      </w:r>
      <w:r w:rsidRPr="0080773E">
        <w:rPr>
          <w:iCs/>
          <w:lang w:val="es-CR"/>
        </w:rPr>
        <w:t>See,</w:t>
      </w:r>
      <w:r w:rsidRPr="0080773E">
        <w:rPr>
          <w:i/>
          <w:lang w:val="es-CR"/>
        </w:rPr>
        <w:t xml:space="preserve"> inter alia,</w:t>
      </w:r>
      <w:r w:rsidRPr="0080773E">
        <w:rPr>
          <w:lang w:val="es-CR"/>
        </w:rPr>
        <w:t xml:space="preserve"> </w:t>
      </w:r>
      <w:r w:rsidRPr="0080773E">
        <w:rPr>
          <w:i/>
          <w:lang w:val="es-CR"/>
        </w:rPr>
        <w:t xml:space="preserve">Case of Fernández Ortega et al. v. Mexico. </w:t>
      </w:r>
      <w:r w:rsidRPr="00104227">
        <w:rPr>
          <w:i/>
          <w:lang w:val="en-US"/>
        </w:rPr>
        <w:t>Preliminary objection, merits, reparations and costs.</w:t>
      </w:r>
      <w:r w:rsidRPr="00104227">
        <w:rPr>
          <w:lang w:val="en-US"/>
        </w:rPr>
        <w:t xml:space="preserve"> Judgment of August 30, 2010. Series C No. 215, para. 128; </w:t>
      </w:r>
      <w:r w:rsidRPr="00104227">
        <w:rPr>
          <w:i/>
          <w:lang w:val="en-US"/>
        </w:rPr>
        <w:t>Case of Rosendo Cantú et al. v. Mexico. Preliminary objection, merits, reparations and costs.</w:t>
      </w:r>
      <w:r w:rsidRPr="00104227">
        <w:rPr>
          <w:lang w:val="en-US"/>
        </w:rPr>
        <w:t xml:space="preserve"> Judgment of August 31, 2010. Series C No. 216, para. 118; and </w:t>
      </w:r>
      <w:r w:rsidRPr="00104227">
        <w:rPr>
          <w:rStyle w:val="Textoennegrita"/>
          <w:b w:val="0"/>
          <w:i/>
          <w:lang w:val="en-US"/>
        </w:rPr>
        <w:t>Case of the Río Negro Massacres v. Guatemala. Preliminary objection, merits, reparations and costs.</w:t>
      </w:r>
      <w:r w:rsidRPr="00104227">
        <w:rPr>
          <w:rStyle w:val="Textoennegrita"/>
          <w:b w:val="0"/>
          <w:lang w:val="en-US"/>
        </w:rPr>
        <w:t xml:space="preserve"> Judgment of September 4, 2012. Series C No. 250, para. 132; </w:t>
      </w:r>
      <w:r w:rsidRPr="00104227">
        <w:rPr>
          <w:rStyle w:val="Textoennegrita"/>
          <w:b w:val="0"/>
          <w:i/>
          <w:lang w:val="en-US"/>
        </w:rPr>
        <w:t>Case of Favela Nova Brasília v. Brazil. Preliminary objections, merits, reparations and costs.</w:t>
      </w:r>
      <w:r w:rsidRPr="00104227">
        <w:rPr>
          <w:rStyle w:val="Textoennegrita"/>
          <w:b w:val="0"/>
          <w:lang w:val="en-US"/>
        </w:rPr>
        <w:t xml:space="preserve"> Judgment of February 16, 2017. Series C No. 333, para. 252</w:t>
      </w:r>
    </w:p>
  </w:footnote>
  <w:footnote w:id="292">
    <w:p w14:paraId="0FF0C0C3" w14:textId="6ED757C8" w:rsidR="0080773E" w:rsidRPr="00104227" w:rsidRDefault="0080773E" w:rsidP="002755DF">
      <w:pPr>
        <w:pStyle w:val="Textonotapie"/>
        <w:tabs>
          <w:tab w:val="left" w:pos="426"/>
        </w:tabs>
        <w:spacing w:before="120" w:after="120"/>
        <w:rPr>
          <w:lang w:val="en-US"/>
        </w:rPr>
      </w:pPr>
      <w:r w:rsidRPr="00104227">
        <w:rPr>
          <w:rStyle w:val="Refdenotaalpie"/>
          <w:rFonts w:eastAsia="Calibri"/>
          <w:lang w:val="en-US"/>
        </w:rPr>
        <w:footnoteRef/>
      </w:r>
      <w:r w:rsidRPr="00104227">
        <w:rPr>
          <w:lang w:val="en-US"/>
        </w:rPr>
        <w:t xml:space="preserve"> </w:t>
      </w:r>
      <w:r w:rsidRPr="00104227">
        <w:rPr>
          <w:lang w:val="en-US"/>
        </w:rPr>
        <w:tab/>
      </w:r>
      <w:r w:rsidRPr="00104227">
        <w:rPr>
          <w:i/>
          <w:lang w:val="en-US"/>
        </w:rPr>
        <w:t xml:space="preserve">Cf. </w:t>
      </w:r>
      <w:r w:rsidRPr="00104227">
        <w:rPr>
          <w:rStyle w:val="Textoennegrita"/>
          <w:b w:val="0"/>
          <w:i/>
          <w:color w:val="000000"/>
          <w:shd w:val="clear" w:color="auto" w:fill="FFFFFF"/>
          <w:lang w:val="en-US"/>
        </w:rPr>
        <w:t>Case of Fernández Ortega et al. v. Mexico. Preliminary objection, merits, reparations and costs.</w:t>
      </w:r>
      <w:r w:rsidRPr="00104227">
        <w:rPr>
          <w:rStyle w:val="Textoennegrita"/>
          <w:b w:val="0"/>
          <w:color w:val="000000"/>
          <w:shd w:val="clear" w:color="auto" w:fill="FFFFFF"/>
          <w:lang w:val="en-US"/>
        </w:rPr>
        <w:t xml:space="preserve"> Judgment of August 30, 2010. Series C No. 215</w:t>
      </w:r>
      <w:r w:rsidRPr="00104227">
        <w:rPr>
          <w:lang w:val="en-US"/>
        </w:rPr>
        <w:t xml:space="preserve">, para. 127, and </w:t>
      </w:r>
      <w:r w:rsidRPr="00104227">
        <w:rPr>
          <w:rStyle w:val="Textoennegrita"/>
          <w:b w:val="0"/>
          <w:i/>
          <w:color w:val="000000"/>
          <w:shd w:val="clear" w:color="auto" w:fill="FFFFFF"/>
          <w:lang w:val="en-US"/>
        </w:rPr>
        <w:t>Case of López Soto et al. v. Venezuela. Merits, reparations and costs.</w:t>
      </w:r>
      <w:r w:rsidRPr="00104227">
        <w:rPr>
          <w:rStyle w:val="Textoennegrita"/>
          <w:b w:val="0"/>
          <w:color w:val="000000"/>
          <w:shd w:val="clear" w:color="auto" w:fill="FFFFFF"/>
          <w:lang w:val="en-US"/>
        </w:rPr>
        <w:t xml:space="preserve"> Judgment of September 26, 2018. Series C No. 362, para. 187</w:t>
      </w:r>
      <w:r w:rsidRPr="00104227">
        <w:rPr>
          <w:lang w:val="en-US"/>
        </w:rPr>
        <w:t>.</w:t>
      </w:r>
    </w:p>
  </w:footnote>
  <w:footnote w:id="293">
    <w:p w14:paraId="221FAC8B" w14:textId="6064B839"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Rosendo Cantú et al. v. Mexico</w:t>
      </w:r>
      <w:r w:rsidRPr="00104227">
        <w:rPr>
          <w:lang w:val="en-US"/>
        </w:rPr>
        <w:t xml:space="preserve">. </w:t>
      </w:r>
      <w:r w:rsidRPr="00104227">
        <w:rPr>
          <w:rStyle w:val="Textoennegrita"/>
          <w:b w:val="0"/>
          <w:i/>
          <w:color w:val="000000"/>
          <w:shd w:val="clear" w:color="auto" w:fill="FFFFFF"/>
          <w:lang w:val="en-US"/>
        </w:rPr>
        <w:t>Preliminary objection, merits, reparations and costs.</w:t>
      </w:r>
      <w:r w:rsidRPr="00104227">
        <w:rPr>
          <w:rStyle w:val="Textoennegrita"/>
          <w:b w:val="0"/>
          <w:color w:val="000000"/>
          <w:shd w:val="clear" w:color="auto" w:fill="FFFFFF"/>
          <w:lang w:val="en-US"/>
        </w:rPr>
        <w:t xml:space="preserve"> Judgment of August 31, 2010. Series C No. 216</w:t>
      </w:r>
      <w:r w:rsidRPr="00104227">
        <w:rPr>
          <w:rStyle w:val="Textoennegrita"/>
          <w:color w:val="000000"/>
          <w:shd w:val="clear" w:color="auto" w:fill="FFFFFF"/>
          <w:lang w:val="en-US"/>
        </w:rPr>
        <w:t xml:space="preserve">, </w:t>
      </w:r>
      <w:r w:rsidRPr="00104227">
        <w:rPr>
          <w:lang w:val="en-US"/>
        </w:rPr>
        <w:t xml:space="preserve">paras. 110 and 112, and </w:t>
      </w:r>
      <w:r w:rsidRPr="00104227">
        <w:rPr>
          <w:rStyle w:val="Textoennegrita"/>
          <w:b w:val="0"/>
          <w:i/>
          <w:color w:val="000000"/>
          <w:shd w:val="clear" w:color="auto" w:fill="FFFFFF"/>
          <w:lang w:val="en-US"/>
        </w:rPr>
        <w:t>Case of López Soto et al. v. Venezuela. Merits, reparations and costs.</w:t>
      </w:r>
      <w:r w:rsidRPr="00104227">
        <w:rPr>
          <w:rStyle w:val="Textoennegrita"/>
          <w:b w:val="0"/>
          <w:color w:val="000000"/>
          <w:shd w:val="clear" w:color="auto" w:fill="FFFFFF"/>
          <w:lang w:val="en-US"/>
        </w:rPr>
        <w:t xml:space="preserve"> Judgment of September 26, 2018. Series C No. 362, para. 184</w:t>
      </w:r>
      <w:r w:rsidRPr="00104227">
        <w:rPr>
          <w:bCs/>
          <w:iCs/>
          <w:lang w:val="en-US"/>
        </w:rPr>
        <w:t>.</w:t>
      </w:r>
    </w:p>
  </w:footnote>
  <w:footnote w:id="294">
    <w:p w14:paraId="342B10B6" w14:textId="501F2B33"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Case of the Miguel Castro Castro Prison v. Peru. Merits, reparations and costs.</w:t>
      </w:r>
      <w:r w:rsidRPr="00104227">
        <w:rPr>
          <w:lang w:val="en-US"/>
        </w:rPr>
        <w:t xml:space="preserve"> Judgment of November 25, 2006. Series C No. 160, para. 311, and </w:t>
      </w:r>
      <w:r w:rsidRPr="00104227">
        <w:rPr>
          <w:bCs/>
          <w:i/>
          <w:iCs/>
          <w:lang w:val="en-US"/>
        </w:rPr>
        <w:t xml:space="preserve">Case of Favela Nova Brasília v. Brazil. Preliminary objections, merits, reparations and costs. </w:t>
      </w:r>
      <w:r w:rsidRPr="00104227">
        <w:rPr>
          <w:bCs/>
          <w:iCs/>
          <w:lang w:val="en-US"/>
        </w:rPr>
        <w:t>Judgment of February 16, 2017. Series C No. 333, para. 255</w:t>
      </w:r>
      <w:r w:rsidRPr="00104227">
        <w:rPr>
          <w:lang w:val="en-US"/>
        </w:rPr>
        <w:t xml:space="preserve">. </w:t>
      </w:r>
    </w:p>
  </w:footnote>
  <w:footnote w:id="295">
    <w:p w14:paraId="732CE324" w14:textId="0C07E12C" w:rsidR="0080773E" w:rsidRPr="00104227" w:rsidRDefault="0080773E" w:rsidP="002755DF">
      <w:pPr>
        <w:tabs>
          <w:tab w:val="left" w:pos="426"/>
          <w:tab w:val="left" w:pos="709"/>
        </w:tabs>
        <w:spacing w:before="120" w:after="120"/>
        <w:rPr>
          <w:rFonts w:eastAsia="ヒラギノ角ゴ Pro W3"/>
          <w:color w:val="000000"/>
          <w:sz w:val="16"/>
          <w:szCs w:val="16"/>
        </w:rPr>
      </w:pPr>
      <w:r w:rsidRPr="00104227">
        <w:rPr>
          <w:rStyle w:val="Refdenotaalpie"/>
          <w:rFonts w:eastAsia="Calibri"/>
        </w:rPr>
        <w:footnoteRef/>
      </w:r>
      <w:r w:rsidRPr="00104227">
        <w:rPr>
          <w:i/>
          <w:sz w:val="16"/>
          <w:szCs w:val="16"/>
        </w:rPr>
        <w:tab/>
        <w:t>Cf.</w:t>
      </w:r>
      <w:r w:rsidRPr="00104227">
        <w:rPr>
          <w:sz w:val="16"/>
          <w:szCs w:val="16"/>
        </w:rPr>
        <w:t xml:space="preserve"> </w:t>
      </w:r>
      <w:r w:rsidRPr="00104227">
        <w:rPr>
          <w:i/>
          <w:sz w:val="16"/>
          <w:szCs w:val="16"/>
        </w:rPr>
        <w:t>Case of the Miguel Castro Castro Prison v. Peru. Merits, reparations and costs.</w:t>
      </w:r>
      <w:r w:rsidRPr="00104227">
        <w:rPr>
          <w:sz w:val="16"/>
          <w:szCs w:val="16"/>
        </w:rPr>
        <w:t xml:space="preserve"> Judgment of November 25, 2006. Series C No. 160, para. 311, and </w:t>
      </w:r>
      <w:r w:rsidRPr="00104227">
        <w:rPr>
          <w:bCs/>
          <w:i/>
          <w:iCs/>
          <w:sz w:val="16"/>
          <w:szCs w:val="16"/>
        </w:rPr>
        <w:t xml:space="preserve">Case of López Soto et al. v. Venezuela. Merits, reparations and costs. </w:t>
      </w:r>
      <w:r w:rsidRPr="00104227">
        <w:rPr>
          <w:bCs/>
          <w:iCs/>
          <w:sz w:val="16"/>
          <w:szCs w:val="16"/>
        </w:rPr>
        <w:t>Judgment of September 26, 2018. Series C No. 362, para. 187.</w:t>
      </w:r>
      <w:r w:rsidRPr="00104227">
        <w:rPr>
          <w:sz w:val="16"/>
          <w:szCs w:val="16"/>
        </w:rPr>
        <w:t xml:space="preserve"> Similarly, ECHR, </w:t>
      </w:r>
      <w:r w:rsidRPr="00104227">
        <w:rPr>
          <w:i/>
          <w:iCs/>
          <w:sz w:val="16"/>
          <w:szCs w:val="16"/>
        </w:rPr>
        <w:t>Case of Aydin v. Turkey</w:t>
      </w:r>
      <w:r w:rsidRPr="00104227">
        <w:rPr>
          <w:sz w:val="16"/>
          <w:szCs w:val="16"/>
        </w:rPr>
        <w:t xml:space="preserve">, No 23178/94. Judgment of September 25, 1997, para. 83. </w:t>
      </w:r>
    </w:p>
  </w:footnote>
  <w:footnote w:id="296">
    <w:p w14:paraId="1C12D1CB" w14:textId="42A516CC"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Case of Espinoza Gonzáles v. Peru. Preliminary objections, merits, reparations and costs.</w:t>
      </w:r>
      <w:r w:rsidRPr="00104227">
        <w:rPr>
          <w:lang w:val="en-US"/>
        </w:rPr>
        <w:t xml:space="preserve"> Judgment of November 20, 2014. Series C No. 289, para. 193, and </w:t>
      </w:r>
      <w:r w:rsidRPr="00104227">
        <w:rPr>
          <w:bCs/>
          <w:i/>
          <w:iCs/>
          <w:lang w:val="en-US"/>
        </w:rPr>
        <w:t xml:space="preserve">Case of López Soto et al. v. Venezuela. Merits, reparations and costs. </w:t>
      </w:r>
      <w:r w:rsidRPr="00104227">
        <w:rPr>
          <w:bCs/>
          <w:iCs/>
          <w:lang w:val="en-US"/>
        </w:rPr>
        <w:t>Judgment of September 26, 2018. Series C No. 362, para. 187.</w:t>
      </w:r>
    </w:p>
  </w:footnote>
  <w:footnote w:id="297">
    <w:p w14:paraId="19071A03" w14:textId="0A2B6729"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bCs/>
          <w:i/>
          <w:iCs/>
          <w:lang w:val="en-US"/>
        </w:rPr>
        <w:t xml:space="preserve">Case of Espinoza Gonzáles v. Peru. Preliminary objections, merits, reparations and costs. </w:t>
      </w:r>
      <w:r w:rsidRPr="00104227">
        <w:rPr>
          <w:bCs/>
          <w:iCs/>
          <w:lang w:val="en-US"/>
        </w:rPr>
        <w:t xml:space="preserve">Judgment of November 20, 2014. Series C No. 289, para. 193, and  </w:t>
      </w:r>
      <w:r w:rsidRPr="00104227">
        <w:rPr>
          <w:rStyle w:val="Textoennegrita"/>
          <w:b w:val="0"/>
          <w:i/>
          <w:color w:val="000000"/>
          <w:shd w:val="clear" w:color="auto" w:fill="FFFFFF"/>
          <w:lang w:val="en-US"/>
        </w:rPr>
        <w:t>Case of López Soto et al. v. Venezuela. Merits, reparations and costs.</w:t>
      </w:r>
      <w:r w:rsidRPr="00104227">
        <w:rPr>
          <w:rStyle w:val="Textoennegrita"/>
          <w:b w:val="0"/>
          <w:color w:val="000000"/>
          <w:shd w:val="clear" w:color="auto" w:fill="FFFFFF"/>
          <w:lang w:val="en-US"/>
        </w:rPr>
        <w:t xml:space="preserve"> Judgment of September 26, 2018. Series C No. 362, para. 184</w:t>
      </w:r>
      <w:r w:rsidRPr="00104227">
        <w:rPr>
          <w:bCs/>
          <w:iCs/>
          <w:lang w:val="en-US"/>
        </w:rPr>
        <w:t>.</w:t>
      </w:r>
    </w:p>
  </w:footnote>
  <w:footnote w:id="298">
    <w:p w14:paraId="407DA095" w14:textId="6E9A0A61"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In this regard, it determined that “the police agents were not only aware of the attacks that their colleagues had suffered, but also they believed that they were dead” and this could have had an impact on their mindset. The interviews with several police agents conducted by the Commission of Inquiry reveal that some of them coincided in indicating that the excesses could be due to the anger they felt owing to the attacks they had suffered. </w:t>
      </w:r>
      <w:r w:rsidRPr="00104227">
        <w:rPr>
          <w:i/>
          <w:lang w:val="en-US"/>
        </w:rPr>
        <w:t>Cf.</w:t>
      </w:r>
      <w:r w:rsidRPr="00104227">
        <w:rPr>
          <w:lang w:val="en-US"/>
        </w:rPr>
        <w:t xml:space="preserve"> SCJN judgment of February 12, 2009 (evidence file, folios </w:t>
      </w:r>
      <w:r w:rsidRPr="00104227">
        <w:rPr>
          <w:rFonts w:cs="Arial"/>
          <w:lang w:val="en-US"/>
        </w:rPr>
        <w:t>31048 to 31050</w:t>
      </w:r>
      <w:r w:rsidRPr="00104227">
        <w:rPr>
          <w:lang w:val="en-US"/>
        </w:rPr>
        <w:t>).</w:t>
      </w:r>
    </w:p>
  </w:footnote>
  <w:footnote w:id="299">
    <w:p w14:paraId="2E865683" w14:textId="3AEC486E" w:rsidR="0080773E" w:rsidRPr="00104227" w:rsidRDefault="0080773E" w:rsidP="002755DF">
      <w:pPr>
        <w:tabs>
          <w:tab w:val="left" w:pos="426"/>
        </w:tabs>
        <w:spacing w:before="120" w:after="120"/>
        <w:contextualSpacing/>
        <w:rPr>
          <w:sz w:val="16"/>
          <w:szCs w:val="16"/>
        </w:rPr>
      </w:pPr>
      <w:r w:rsidRPr="00104227">
        <w:rPr>
          <w:rStyle w:val="Refdenotaalpie"/>
          <w:rFonts w:eastAsia="Calibri"/>
        </w:rPr>
        <w:footnoteRef/>
      </w:r>
      <w:r w:rsidRPr="00104227">
        <w:rPr>
          <w:sz w:val="16"/>
          <w:szCs w:val="16"/>
        </w:rPr>
        <w:t xml:space="preserve"> </w:t>
      </w:r>
      <w:r w:rsidRPr="00104227">
        <w:rPr>
          <w:sz w:val="16"/>
          <w:szCs w:val="16"/>
        </w:rPr>
        <w:tab/>
      </w:r>
      <w:r w:rsidRPr="00104227">
        <w:rPr>
          <w:i/>
          <w:iCs/>
          <w:sz w:val="16"/>
          <w:szCs w:val="16"/>
        </w:rPr>
        <w:t>Cf.</w:t>
      </w:r>
      <w:r w:rsidRPr="00104227">
        <w:rPr>
          <w:i/>
          <w:sz w:val="16"/>
          <w:szCs w:val="16"/>
        </w:rPr>
        <w:t xml:space="preserve"> Case of Juan Humberto Sánchez v. Honduras. </w:t>
      </w:r>
      <w:r w:rsidRPr="00104227">
        <w:rPr>
          <w:rStyle w:val="Textoennegrita"/>
          <w:b w:val="0"/>
          <w:i/>
          <w:color w:val="000000"/>
          <w:sz w:val="16"/>
          <w:szCs w:val="16"/>
          <w:shd w:val="clear" w:color="auto" w:fill="FFFFFF"/>
        </w:rPr>
        <w:t xml:space="preserve">Preliminary objection, merits, reparations and costs. </w:t>
      </w:r>
      <w:r w:rsidRPr="00104227">
        <w:rPr>
          <w:rStyle w:val="Textoennegrita"/>
          <w:b w:val="0"/>
          <w:color w:val="000000"/>
          <w:sz w:val="16"/>
          <w:szCs w:val="16"/>
          <w:shd w:val="clear" w:color="auto" w:fill="FFFFFF"/>
        </w:rPr>
        <w:t>Judgment of June 7, 2003. Series C No. 99</w:t>
      </w:r>
      <w:r w:rsidRPr="00104227">
        <w:rPr>
          <w:i/>
          <w:iCs/>
          <w:sz w:val="16"/>
          <w:szCs w:val="16"/>
        </w:rPr>
        <w:t>,</w:t>
      </w:r>
      <w:r w:rsidRPr="00104227">
        <w:rPr>
          <w:iCs/>
          <w:sz w:val="16"/>
          <w:szCs w:val="16"/>
        </w:rPr>
        <w:t xml:space="preserve"> </w:t>
      </w:r>
      <w:r w:rsidRPr="00104227">
        <w:rPr>
          <w:sz w:val="16"/>
          <w:szCs w:val="16"/>
        </w:rPr>
        <w:t xml:space="preserve">paras. 99 and 100, and </w:t>
      </w:r>
      <w:r w:rsidRPr="00104227">
        <w:rPr>
          <w:rStyle w:val="Textoennegrita"/>
          <w:b w:val="0"/>
          <w:i/>
          <w:color w:val="000000"/>
          <w:sz w:val="16"/>
          <w:szCs w:val="16"/>
          <w:shd w:val="clear" w:color="auto" w:fill="FFFFFF"/>
        </w:rPr>
        <w:t>Case of Favela Nova Brasília v. Brazil. Preliminary objections, merits, reparations and costs.</w:t>
      </w:r>
      <w:r w:rsidRPr="00104227">
        <w:rPr>
          <w:rStyle w:val="Textoennegrita"/>
          <w:b w:val="0"/>
          <w:color w:val="000000"/>
          <w:sz w:val="16"/>
          <w:szCs w:val="16"/>
          <w:shd w:val="clear" w:color="auto" w:fill="FFFFFF"/>
        </w:rPr>
        <w:t xml:space="preserve"> Judgment of February 16, 2017. Series C No. 333, para. 255</w:t>
      </w:r>
      <w:r w:rsidRPr="00104227">
        <w:rPr>
          <w:sz w:val="16"/>
          <w:szCs w:val="16"/>
        </w:rPr>
        <w:t>.</w:t>
      </w:r>
    </w:p>
  </w:footnote>
  <w:footnote w:id="300">
    <w:p w14:paraId="72B1A605" w14:textId="70CC5D54" w:rsidR="0080773E" w:rsidRPr="00104227" w:rsidRDefault="0080773E" w:rsidP="002755DF">
      <w:pPr>
        <w:pStyle w:val="Footnotes"/>
        <w:tabs>
          <w:tab w:val="clear" w:pos="567"/>
          <w:tab w:val="left" w:pos="426"/>
        </w:tabs>
        <w:rPr>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t>“Noting that […] women and girls are particularly targeted by the use of sexual violence, including as a tactic of war to humiliate, dominate, instill fear in, disperse and/or forcibly relocate civilian members of a community or ethnic group; and that sexual violence perpetrated in this manner may in some instances persist after the cessation of hostilities; […] 1. Stresses that sexual violence, when used or commissioned as a tactic of war in order to deliberately target civilians or as a part of a widespread or systematic attack against civilian populations, can significantly exacerbate situations of armed conflict and may impede the restoration of international peace and security, [… and therefore] effective steps to prevent and respond to such acts of sexual violence can significantly contribute to the maintenance of international peace and security, and expresses its readiness, when considering situations on the agenda of the Council, to, where necessary, adopt appropriate steps to address widespread or systematic sexual violence</w:t>
      </w:r>
      <w:r w:rsidRPr="00104227">
        <w:rPr>
          <w:lang w:val="en-US"/>
        </w:rPr>
        <w:t>.</w:t>
      </w:r>
      <w:r w:rsidRPr="00104227">
        <w:rPr>
          <w:spacing w:val="0"/>
          <w:lang w:val="en-US"/>
        </w:rPr>
        <w:t xml:space="preserve">” UN Security Council. Resolution 1820 of June 19, 2008, S/RES/1820 (2008), preamble and first operative paragraph. </w:t>
      </w:r>
    </w:p>
  </w:footnote>
  <w:footnote w:id="301">
    <w:p w14:paraId="243B0421" w14:textId="3CA20AE7" w:rsidR="0080773E" w:rsidRPr="00104227" w:rsidRDefault="0080773E" w:rsidP="002755DF">
      <w:pPr>
        <w:tabs>
          <w:tab w:val="left" w:pos="426"/>
        </w:tabs>
        <w:spacing w:before="120" w:after="120"/>
        <w:rPr>
          <w:color w:val="00B050"/>
          <w:sz w:val="16"/>
          <w:szCs w:val="16"/>
        </w:rPr>
      </w:pPr>
      <w:r w:rsidRPr="00104227">
        <w:rPr>
          <w:rStyle w:val="Refdenotaalpie"/>
        </w:rPr>
        <w:footnoteRef/>
      </w:r>
      <w:r w:rsidRPr="00104227">
        <w:rPr>
          <w:sz w:val="16"/>
          <w:szCs w:val="16"/>
        </w:rPr>
        <w:t xml:space="preserve"> </w:t>
      </w:r>
      <w:r w:rsidRPr="00104227">
        <w:rPr>
          <w:sz w:val="16"/>
          <w:szCs w:val="16"/>
        </w:rPr>
        <w:tab/>
        <w:t xml:space="preserve">ICTY, </w:t>
      </w:r>
      <w:r w:rsidRPr="00104227">
        <w:rPr>
          <w:i/>
          <w:sz w:val="16"/>
          <w:szCs w:val="16"/>
        </w:rPr>
        <w:t xml:space="preserve">Prosecutor v. Kunarac, Kovac and Vukovic. </w:t>
      </w:r>
      <w:r w:rsidRPr="00104227">
        <w:rPr>
          <w:sz w:val="16"/>
          <w:szCs w:val="16"/>
        </w:rPr>
        <w:t xml:space="preserve">Judgment of February 22, 2001, paras. 583 to 585; ICTR, </w:t>
      </w:r>
      <w:r w:rsidRPr="00104227">
        <w:rPr>
          <w:i/>
          <w:sz w:val="16"/>
          <w:szCs w:val="16"/>
        </w:rPr>
        <w:t>The Prosecutor v. Jean-Paul Akayesu</w:t>
      </w:r>
      <w:r w:rsidRPr="00104227">
        <w:rPr>
          <w:sz w:val="16"/>
          <w:szCs w:val="16"/>
        </w:rPr>
        <w:t xml:space="preserve">. Judgment on appeal of June 1, 2001, para. 731; Special Court for Sierra Leone, </w:t>
      </w:r>
      <w:r w:rsidRPr="00104227">
        <w:rPr>
          <w:i/>
          <w:iCs/>
          <w:sz w:val="16"/>
          <w:szCs w:val="16"/>
        </w:rPr>
        <w:t>Prosecutor against Issa Hassan Sesay</w:t>
      </w:r>
      <w:r w:rsidRPr="00104227">
        <w:rPr>
          <w:sz w:val="16"/>
          <w:szCs w:val="16"/>
        </w:rPr>
        <w:t xml:space="preserve">, </w:t>
      </w:r>
      <w:r w:rsidRPr="00104227">
        <w:rPr>
          <w:i/>
          <w:iCs/>
          <w:sz w:val="16"/>
          <w:szCs w:val="16"/>
        </w:rPr>
        <w:t>Morris</w:t>
      </w:r>
      <w:r w:rsidRPr="00104227">
        <w:rPr>
          <w:sz w:val="16"/>
          <w:szCs w:val="16"/>
        </w:rPr>
        <w:t xml:space="preserve"> </w:t>
      </w:r>
      <w:r w:rsidRPr="00104227">
        <w:rPr>
          <w:i/>
          <w:iCs/>
          <w:sz w:val="16"/>
          <w:szCs w:val="16"/>
        </w:rPr>
        <w:t>Kallon and Augustine Gbao</w:t>
      </w:r>
      <w:r w:rsidRPr="00104227">
        <w:rPr>
          <w:sz w:val="16"/>
          <w:szCs w:val="16"/>
        </w:rPr>
        <w:t xml:space="preserve"> (Case No. SCSL-04-15-T). Judgment of March 2, 2009 (Trial Chamber 1), paras. 1347 and 1348 </w:t>
      </w:r>
    </w:p>
  </w:footnote>
  <w:footnote w:id="302">
    <w:p w14:paraId="071A38A3" w14:textId="7C886479"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Cs/>
          <w:lang w:val="en-US"/>
        </w:rPr>
        <w:t>See</w:t>
      </w:r>
      <w:r w:rsidRPr="00104227">
        <w:rPr>
          <w:i/>
          <w:lang w:val="en-US"/>
        </w:rPr>
        <w:t>, inter alia,</w:t>
      </w:r>
      <w:r w:rsidRPr="00104227">
        <w:rPr>
          <w:lang w:val="en-US"/>
        </w:rPr>
        <w:t xml:space="preserve"> Constitutional Court of Colombia. </w:t>
      </w:r>
      <w:r w:rsidRPr="00104227">
        <w:rPr>
          <w:bdr w:val="none" w:sz="0" w:space="0" w:color="auto" w:frame="1"/>
          <w:shd w:val="clear" w:color="auto" w:fill="FFFFFF"/>
          <w:lang w:val="en-US"/>
        </w:rPr>
        <w:t xml:space="preserve">Ruling 092/08 in the context of surmounting the situation of unconstitutionality declared in judgment T-025/04 and </w:t>
      </w:r>
      <w:r w:rsidRPr="00104227">
        <w:rPr>
          <w:lang w:val="en-US"/>
        </w:rPr>
        <w:t>judgment T-126/18 of April 12, 2018</w:t>
      </w:r>
      <w:r w:rsidRPr="00104227">
        <w:rPr>
          <w:bdr w:val="none" w:sz="0" w:space="0" w:color="auto" w:frame="1"/>
          <w:shd w:val="clear" w:color="auto" w:fill="FFFFFF"/>
          <w:lang w:val="en-US"/>
        </w:rPr>
        <w:t>.</w:t>
      </w:r>
    </w:p>
  </w:footnote>
  <w:footnote w:id="303">
    <w:p w14:paraId="13FB861B" w14:textId="074AB59D" w:rsidR="0080773E" w:rsidRPr="00104227" w:rsidRDefault="0080773E" w:rsidP="002755DF">
      <w:pPr>
        <w:tabs>
          <w:tab w:val="left" w:pos="426"/>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t>United Nations Security Council. Resolution 1820 of June 19, 2008, S/RES/1820 (2008), Preamble. See, similarly, a 2018 Report of the Secretary-General on conflict-related sexual violence, which underscored that ten years after the adoption of that resolution, “[w]</w:t>
      </w:r>
      <w:r w:rsidRPr="00104227">
        <w:rPr>
          <w:rFonts w:cs="Arial"/>
          <w:sz w:val="16"/>
          <w:szCs w:val="16"/>
        </w:rPr>
        <w:t>ars are still being fought on and over the bodies of women, to control their production and reproduction by force. Across regions, sexual violence has been perpetrated in public or witnessed by loved ones, to terrorize communities and fracture families through the violation of taboos, signifying that nothing is sacred and no one is safe.</w:t>
      </w:r>
      <w:r w:rsidRPr="00104227">
        <w:rPr>
          <w:sz w:val="16"/>
          <w:szCs w:val="16"/>
        </w:rPr>
        <w:t>” “</w:t>
      </w:r>
      <w:r w:rsidRPr="00104227">
        <w:rPr>
          <w:rFonts w:cs="Arial"/>
          <w:sz w:val="16"/>
          <w:szCs w:val="16"/>
        </w:rPr>
        <w:t>The recognition of the fact that such incidents are not random or isolated but integral to the operations, ideology and economic strategy of a range of State actors and non-State armed groups marked a shift in the classic security paradigm.</w:t>
      </w:r>
      <w:r w:rsidRPr="00104227">
        <w:rPr>
          <w:sz w:val="16"/>
          <w:szCs w:val="16"/>
        </w:rPr>
        <w:t xml:space="preserve">” Report of the Secretary-General on conflict-related sexual violence, March 23, 2018, UN Doc. S/2018/250, para. 9. </w:t>
      </w:r>
    </w:p>
  </w:footnote>
  <w:footnote w:id="304">
    <w:p w14:paraId="335478D3" w14:textId="0D0B9863" w:rsidR="0080773E" w:rsidRPr="00104227" w:rsidRDefault="0080773E" w:rsidP="002755DF">
      <w:pPr>
        <w:pStyle w:val="Textonotapie"/>
        <w:tabs>
          <w:tab w:val="left" w:pos="426"/>
        </w:tabs>
        <w:spacing w:before="120" w:after="120"/>
        <w:rPr>
          <w:b/>
          <w:bCs/>
          <w:i/>
          <w:iCs/>
          <w:lang w:val="en-US"/>
        </w:rPr>
      </w:pPr>
      <w:r w:rsidRPr="00104227">
        <w:rPr>
          <w:rStyle w:val="Refdenotaalpie"/>
          <w:lang w:val="en-US"/>
        </w:rPr>
        <w:footnoteRef/>
      </w:r>
      <w:r w:rsidRPr="00104227">
        <w:rPr>
          <w:lang w:val="en-US"/>
        </w:rPr>
        <w:t xml:space="preserve"> </w:t>
      </w:r>
      <w:r w:rsidRPr="00104227">
        <w:rPr>
          <w:lang w:val="en-US"/>
        </w:rPr>
        <w:tab/>
      </w:r>
      <w:r w:rsidRPr="00104227">
        <w:rPr>
          <w:bCs/>
          <w:i/>
          <w:iCs/>
          <w:lang w:val="en-US"/>
        </w:rPr>
        <w:t>Case of the Miguel Castro Castro Prison v. Peru. Merits, reparations and costs.</w:t>
      </w:r>
      <w:r w:rsidRPr="00104227">
        <w:rPr>
          <w:bCs/>
          <w:iCs/>
          <w:lang w:val="en-US"/>
        </w:rPr>
        <w:t xml:space="preserve"> Judgment of November 25, 2006. Series C No. 160, paras. 223 and 224</w:t>
      </w:r>
      <w:r w:rsidRPr="00104227">
        <w:rPr>
          <w:b/>
          <w:bCs/>
          <w:iCs/>
          <w:lang w:val="en-US"/>
        </w:rPr>
        <w:t xml:space="preserve">; </w:t>
      </w:r>
      <w:r w:rsidRPr="00104227">
        <w:rPr>
          <w:rStyle w:val="Textoennegrita"/>
          <w:b w:val="0"/>
          <w:i/>
          <w:lang w:val="en-US"/>
        </w:rPr>
        <w:t>Case of the Massacres of El Mozote and neighboring places v. El Salvador. Merits, reparations and costs.</w:t>
      </w:r>
      <w:r w:rsidRPr="00104227">
        <w:rPr>
          <w:rStyle w:val="Textoennegrita"/>
          <w:b w:val="0"/>
          <w:lang w:val="en-US"/>
        </w:rPr>
        <w:t xml:space="preserve"> Judgment of October 25, 2012. Series C No. 252, para. 165, and </w:t>
      </w:r>
      <w:r w:rsidRPr="00104227">
        <w:rPr>
          <w:bCs/>
          <w:i/>
          <w:iCs/>
          <w:lang w:val="en-US"/>
        </w:rPr>
        <w:t xml:space="preserve">Case of Espinoza Gonzáles v. Peru. Preliminary objections, merits, reparations and costs. </w:t>
      </w:r>
      <w:r w:rsidRPr="00104227">
        <w:rPr>
          <w:bCs/>
          <w:iCs/>
          <w:lang w:val="en-US"/>
        </w:rPr>
        <w:t>Judgment of November 20, 2014. Series C No. 289, para. 226.</w:t>
      </w:r>
    </w:p>
  </w:footnote>
  <w:footnote w:id="305">
    <w:p w14:paraId="3698ECF7" w14:textId="1AB33204"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African Commission on Human and Peoples’ Rights, </w:t>
      </w:r>
      <w:r w:rsidRPr="00104227">
        <w:rPr>
          <w:i/>
          <w:lang w:val="en-US"/>
        </w:rPr>
        <w:t>Case of the Egyptian Initiative for Personal Rights and INTERIGHTS v. Arab Republic of Egypt</w:t>
      </w:r>
      <w:r w:rsidRPr="00104227">
        <w:rPr>
          <w:lang w:val="en-US"/>
        </w:rPr>
        <w:t xml:space="preserve">. Decision of December 12, 2011, para. 166. </w:t>
      </w:r>
    </w:p>
  </w:footnote>
  <w:footnote w:id="306">
    <w:p w14:paraId="76CE25EA" w14:textId="5E2DD094" w:rsidR="0080773E" w:rsidRPr="00104227" w:rsidRDefault="0080773E" w:rsidP="00E3413B">
      <w:pPr>
        <w:pStyle w:val="Textonotapie"/>
        <w:tabs>
          <w:tab w:val="left" w:pos="426"/>
          <w:tab w:val="left" w:pos="709"/>
        </w:tabs>
        <w:spacing w:after="120"/>
        <w:rPr>
          <w:rFonts w:eastAsia="Times New Roman" w:cs="Times New Roman"/>
          <w:color w:val="000000"/>
          <w:lang w:val="en-US"/>
        </w:rPr>
      </w:pPr>
      <w:r w:rsidRPr="00104227">
        <w:rPr>
          <w:rStyle w:val="Refdenotaalpie"/>
          <w:lang w:val="en-US"/>
        </w:rPr>
        <w:footnoteRef/>
      </w:r>
      <w:r w:rsidRPr="00104227">
        <w:rPr>
          <w:lang w:val="en-US"/>
        </w:rPr>
        <w:t xml:space="preserve"> </w:t>
      </w:r>
      <w:r w:rsidRPr="00104227">
        <w:rPr>
          <w:lang w:val="en-US"/>
        </w:rPr>
        <w:tab/>
        <w:t>In this regard, the Court notes that, according to the Articles on Responsibility of States for Internationally Wrongful Acts drafted by the UN International Law Commission</w:t>
      </w:r>
      <w:r w:rsidRPr="00104227">
        <w:rPr>
          <w:rFonts w:eastAsia="Times New Roman" w:cs="Times New Roman"/>
          <w:color w:val="000000"/>
          <w:lang w:val="en-US"/>
        </w:rPr>
        <w:t>, the internationally wrongful act may not only be attributed to any entity that is an organ of the State under its domestic law (Article 4), but also to any person or entity “</w:t>
      </w:r>
      <w:r w:rsidRPr="00104227">
        <w:rPr>
          <w:lang w:val="en-US"/>
        </w:rPr>
        <w:t>empowered by the law of that State to exercise elements of the governmental authority</w:t>
      </w:r>
      <w:r w:rsidRPr="00104227">
        <w:rPr>
          <w:rFonts w:eastAsia="Times New Roman" w:cs="Times New Roman"/>
          <w:color w:val="000000"/>
          <w:lang w:val="en-US"/>
        </w:rPr>
        <w:t xml:space="preserve">, […] </w:t>
      </w:r>
      <w:r w:rsidRPr="00104227">
        <w:rPr>
          <w:lang w:val="en-US"/>
        </w:rPr>
        <w:t>provided the person or entity is acting in that capacity in the particular instance</w:t>
      </w:r>
      <w:r w:rsidRPr="00104227">
        <w:rPr>
          <w:rFonts w:eastAsia="Times New Roman" w:cs="Times New Roman"/>
          <w:color w:val="000000"/>
          <w:lang w:val="en-US"/>
        </w:rPr>
        <w:t xml:space="preserve">” (Article 5). UN, General Assembly, </w:t>
      </w:r>
      <w:r w:rsidRPr="00104227">
        <w:rPr>
          <w:lang w:val="en-US"/>
        </w:rPr>
        <w:t>Responsibility of States for Internationally Wrongful Acts</w:t>
      </w:r>
      <w:r w:rsidRPr="00104227">
        <w:rPr>
          <w:rFonts w:eastAsia="Times New Roman" w:cs="Times New Roman"/>
          <w:color w:val="000000"/>
          <w:lang w:val="en-US"/>
        </w:rPr>
        <w:t>, A/RES/56/83, January 28, 2002.</w:t>
      </w:r>
      <w:r w:rsidRPr="00104227">
        <w:rPr>
          <w:lang w:val="en-US"/>
        </w:rPr>
        <w:t xml:space="preserve"> </w:t>
      </w:r>
    </w:p>
  </w:footnote>
  <w:footnote w:id="307">
    <w:p w14:paraId="6A398DED" w14:textId="046618FE" w:rsidR="0080773E" w:rsidRPr="00104227" w:rsidRDefault="0080773E" w:rsidP="00E3413B">
      <w:pPr>
        <w:pStyle w:val="Textonotapie"/>
        <w:tabs>
          <w:tab w:val="left" w:pos="426"/>
          <w:tab w:val="left" w:pos="709"/>
        </w:tabs>
        <w:spacing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w:t>
      </w:r>
      <w:r w:rsidRPr="00104227">
        <w:rPr>
          <w:i/>
          <w:lang w:val="en-US"/>
        </w:rPr>
        <w:t>Case of</w:t>
      </w:r>
      <w:r w:rsidRPr="00104227">
        <w:rPr>
          <w:lang w:val="en-US"/>
        </w:rPr>
        <w:t xml:space="preserve"> </w:t>
      </w:r>
      <w:r w:rsidRPr="00104227">
        <w:rPr>
          <w:i/>
          <w:lang w:val="en-US"/>
        </w:rPr>
        <w:t>I.V. v. Bolivia. Preliminary objections, merits, reparations and costs</w:t>
      </w:r>
      <w:r w:rsidRPr="00104227">
        <w:rPr>
          <w:lang w:val="en-US"/>
        </w:rPr>
        <w:t xml:space="preserve">. Judgment of November 30, 2016. Series C No. 329, para. 263, and </w:t>
      </w:r>
      <w:r w:rsidRPr="00104227">
        <w:rPr>
          <w:rStyle w:val="Textoennegrita"/>
          <w:b w:val="0"/>
          <w:i/>
          <w:color w:val="000000"/>
          <w:shd w:val="clear" w:color="auto" w:fill="FFFFFF"/>
          <w:lang w:val="en-US"/>
        </w:rPr>
        <w:t xml:space="preserve">Case of V.R.P., V.P.C. et al. v. Nicaragua. Preliminary objections, merits, reparations and costs. </w:t>
      </w:r>
      <w:r w:rsidRPr="00104227">
        <w:rPr>
          <w:rStyle w:val="Textoennegrita"/>
          <w:b w:val="0"/>
          <w:color w:val="000000"/>
          <w:shd w:val="clear" w:color="auto" w:fill="FFFFFF"/>
          <w:lang w:val="en-US"/>
        </w:rPr>
        <w:t xml:space="preserve">Judgment of March 8, 2018. Series C No. 350, paras. 174 to 177. </w:t>
      </w:r>
      <w:r w:rsidRPr="00104227">
        <w:rPr>
          <w:lang w:val="en-US"/>
        </w:rPr>
        <w:t xml:space="preserve"> </w:t>
      </w:r>
      <w:r w:rsidRPr="00104227">
        <w:rPr>
          <w:i/>
          <w:lang w:val="en-US"/>
        </w:rPr>
        <w:t>See,</w:t>
      </w:r>
      <w:r w:rsidRPr="00104227">
        <w:rPr>
          <w:lang w:val="en-US"/>
        </w:rPr>
        <w:t xml:space="preserve"> similarly, UN, Report of the Special Rapporteur on torture and other cruel, inhuman or degrading treatment or punishment, Juan E. Méndez, A/HRC/31/57, January 5, 2016, paras. 5 and 9. </w:t>
      </w:r>
    </w:p>
  </w:footnote>
  <w:footnote w:id="308">
    <w:p w14:paraId="3D06B8A8" w14:textId="4298A30C" w:rsidR="0080773E" w:rsidRPr="00104227" w:rsidRDefault="0080773E" w:rsidP="002755DF">
      <w:pPr>
        <w:pStyle w:val="Textonotapie"/>
        <w:tabs>
          <w:tab w:val="left" w:pos="426"/>
          <w:tab w:val="left" w:pos="709"/>
        </w:tabs>
        <w:spacing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w:t>
      </w:r>
      <w:r w:rsidRPr="00104227">
        <w:rPr>
          <w:i/>
          <w:lang w:val="en-US"/>
        </w:rPr>
        <w:t>Case of Tibi v. Ecuador. Preliminary objections, merits, reparations and costs</w:t>
      </w:r>
      <w:r w:rsidRPr="00104227">
        <w:rPr>
          <w:lang w:val="en-US"/>
        </w:rPr>
        <w:t xml:space="preserve">. Judgment of September 7, 2004. Series C No. 114, paras. 152 to 156, and </w:t>
      </w:r>
      <w:r w:rsidRPr="00104227">
        <w:rPr>
          <w:rStyle w:val="Textoennegrita"/>
          <w:b w:val="0"/>
          <w:i/>
          <w:color w:val="000000"/>
          <w:shd w:val="clear" w:color="auto" w:fill="FFFFFF"/>
          <w:lang w:val="en-US"/>
        </w:rPr>
        <w:t xml:space="preserve">Case of V.R.P., V.P.C. et al. v. Nicaragua. Preliminary objections, merits, reparations and costs. </w:t>
      </w:r>
      <w:r w:rsidRPr="00104227">
        <w:rPr>
          <w:rStyle w:val="Textoennegrita"/>
          <w:b w:val="0"/>
          <w:color w:val="000000"/>
          <w:shd w:val="clear" w:color="auto" w:fill="FFFFFF"/>
          <w:lang w:val="en-US"/>
        </w:rPr>
        <w:t>Judgment of March 8, 2018. Series C No. 350, paras. 174 to 177</w:t>
      </w:r>
      <w:r w:rsidRPr="00104227">
        <w:rPr>
          <w:lang w:val="en-US"/>
        </w:rPr>
        <w:t xml:space="preserve">. </w:t>
      </w:r>
    </w:p>
  </w:footnote>
  <w:footnote w:id="309">
    <w:p w14:paraId="45E6CCAA" w14:textId="1209FC49" w:rsidR="0080773E" w:rsidRPr="00104227" w:rsidRDefault="0080773E" w:rsidP="002755DF">
      <w:pPr>
        <w:pStyle w:val="Textonotapie"/>
        <w:tabs>
          <w:tab w:val="left" w:pos="426"/>
          <w:tab w:val="left" w:pos="720"/>
        </w:tabs>
        <w:spacing w:before="120" w:after="120"/>
        <w:contextualSpacing/>
        <w:rPr>
          <w:lang w:val="en-US"/>
        </w:rPr>
      </w:pPr>
      <w:r w:rsidRPr="00104227">
        <w:rPr>
          <w:rStyle w:val="Refdenotaalpie"/>
          <w:rFonts w:eastAsia="Calibri"/>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 xml:space="preserve">ECHR, </w:t>
      </w:r>
      <w:r w:rsidRPr="00104227">
        <w:rPr>
          <w:i/>
          <w:lang w:val="en-US"/>
        </w:rPr>
        <w:t xml:space="preserve">Korobov v. Ukraine, </w:t>
      </w:r>
      <w:r w:rsidRPr="00104227">
        <w:rPr>
          <w:lang w:val="en-US"/>
        </w:rPr>
        <w:t xml:space="preserve">No. 39598/03, Judgment of July 21, 2011, para. 69, </w:t>
      </w:r>
      <w:r w:rsidRPr="00104227">
        <w:rPr>
          <w:i/>
          <w:iCs/>
          <w:lang w:val="en-US"/>
        </w:rPr>
        <w:t xml:space="preserve">Salmanoğlu and Polattaş v. Turkey, </w:t>
      </w:r>
      <w:r w:rsidRPr="00104227">
        <w:rPr>
          <w:iCs/>
          <w:lang w:val="en-US"/>
        </w:rPr>
        <w:t xml:space="preserve">No. 15828/03, Judgment of March 7, 2009, para. 79, and </w:t>
      </w:r>
      <w:r w:rsidRPr="00104227">
        <w:rPr>
          <w:i/>
          <w:iCs/>
          <w:lang w:val="en-US"/>
        </w:rPr>
        <w:t xml:space="preserve">Case of J. v. Peru. Preliminary objection, merits, reparations and costs. </w:t>
      </w:r>
      <w:r w:rsidRPr="00104227">
        <w:rPr>
          <w:iCs/>
          <w:lang w:val="en-US"/>
        </w:rPr>
        <w:t>Judgment of November 27, 2013. Series C No. 275, para. 333</w:t>
      </w:r>
      <w:r w:rsidRPr="00104227">
        <w:rPr>
          <w:lang w:val="en-US"/>
        </w:rPr>
        <w:t>.</w:t>
      </w:r>
    </w:p>
    <w:p w14:paraId="1A6FF30E" w14:textId="77777777" w:rsidR="0080773E" w:rsidRPr="00104227" w:rsidRDefault="0080773E" w:rsidP="002755DF">
      <w:pPr>
        <w:pStyle w:val="Textonotapie"/>
        <w:tabs>
          <w:tab w:val="left" w:pos="426"/>
          <w:tab w:val="left" w:pos="720"/>
        </w:tabs>
        <w:spacing w:before="120" w:after="120"/>
        <w:contextualSpacing/>
        <w:rPr>
          <w:lang w:val="en-US"/>
        </w:rPr>
      </w:pPr>
    </w:p>
  </w:footnote>
  <w:footnote w:id="310">
    <w:p w14:paraId="2760FAE8" w14:textId="6D567B58"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ab/>
      </w:r>
      <w:r w:rsidRPr="00104227">
        <w:rPr>
          <w:i/>
          <w:lang w:val="en-US"/>
        </w:rPr>
        <w:t xml:space="preserve">Cf. Proposed Amendments to the Naturalization Provisions of the Constitution of Costa Rica. </w:t>
      </w:r>
      <w:r w:rsidRPr="00104227">
        <w:rPr>
          <w:lang w:val="en-US"/>
        </w:rPr>
        <w:t xml:space="preserve">Advisory Opinion OC-4/84 of January 19, 1984. Series A No. 4, para. 53, and </w:t>
      </w:r>
      <w:r w:rsidRPr="00104227">
        <w:rPr>
          <w:i/>
          <w:lang w:val="en-US"/>
        </w:rPr>
        <w:t>Case of Ramírez Escobar et al. v. Guatemala</w:t>
      </w:r>
      <w:r w:rsidRPr="00104227">
        <w:rPr>
          <w:lang w:val="en-US"/>
        </w:rPr>
        <w:t xml:space="preserve">. </w:t>
      </w:r>
      <w:r w:rsidRPr="00104227">
        <w:rPr>
          <w:i/>
          <w:lang w:val="en-US"/>
        </w:rPr>
        <w:t xml:space="preserve">Merits, reparations and costs. </w:t>
      </w:r>
      <w:r w:rsidRPr="00104227">
        <w:rPr>
          <w:lang w:val="en-US"/>
        </w:rPr>
        <w:t>Judgment of March 9, 2018. Series C No. 351, para. 271.</w:t>
      </w:r>
    </w:p>
  </w:footnote>
  <w:footnote w:id="311">
    <w:p w14:paraId="4E86567F" w14:textId="30A78AA7"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iCs/>
          <w:lang w:val="en-US"/>
        </w:rPr>
        <w:t>Cf.</w:t>
      </w:r>
      <w:r w:rsidRPr="00104227">
        <w:rPr>
          <w:lang w:val="en-US"/>
        </w:rPr>
        <w:t xml:space="preserve"> </w:t>
      </w:r>
      <w:r w:rsidRPr="00104227">
        <w:rPr>
          <w:i/>
          <w:lang w:val="en-US"/>
        </w:rPr>
        <w:t xml:space="preserve">Juridical Status and Rights of Undocumented Migrants. </w:t>
      </w:r>
      <w:r w:rsidRPr="00104227">
        <w:rPr>
          <w:lang w:val="en-US"/>
        </w:rPr>
        <w:t xml:space="preserve">Advisory Opinion OC-18/03 of September 17, 2003. Series A No. 18, para. 85, and </w:t>
      </w:r>
      <w:r w:rsidRPr="00104227">
        <w:rPr>
          <w:i/>
          <w:lang w:val="en-US"/>
        </w:rPr>
        <w:t xml:space="preserve">Case of Ramírez Escobar et al. v. Guatemala. Merits, reparations and costs. </w:t>
      </w:r>
      <w:r w:rsidRPr="00104227">
        <w:rPr>
          <w:lang w:val="en-US"/>
        </w:rPr>
        <w:t>Judgment of March 9, 2018. Series C No. 351, para. 271.</w:t>
      </w:r>
    </w:p>
  </w:footnote>
  <w:footnote w:id="312">
    <w:p w14:paraId="19276833" w14:textId="6DFBCB92" w:rsidR="0080773E" w:rsidRPr="00104227" w:rsidRDefault="0080773E" w:rsidP="002755DF">
      <w:pPr>
        <w:pStyle w:val="Textonotapie"/>
        <w:tabs>
          <w:tab w:val="left" w:pos="426"/>
        </w:tabs>
        <w:spacing w:before="120" w:after="120"/>
        <w:rPr>
          <w:bCs/>
          <w:i/>
          <w:iCs/>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w:t>
      </w:r>
      <w:r w:rsidRPr="00104227">
        <w:rPr>
          <w:i/>
          <w:lang w:val="en-US"/>
        </w:rPr>
        <w:t>Case of the Miguel Castro Castro Prison v. Peru</w:t>
      </w:r>
      <w:r w:rsidRPr="00104227">
        <w:rPr>
          <w:lang w:val="en-US"/>
        </w:rPr>
        <w:t xml:space="preserve">. </w:t>
      </w:r>
      <w:r w:rsidRPr="00104227">
        <w:rPr>
          <w:i/>
          <w:lang w:val="en-US"/>
        </w:rPr>
        <w:t>Merits, reparations and costs.</w:t>
      </w:r>
      <w:r w:rsidRPr="00104227">
        <w:rPr>
          <w:lang w:val="en-US"/>
        </w:rPr>
        <w:t xml:space="preserve"> Judgment of November 25, 2006. Series C No. 160.</w:t>
      </w:r>
      <w:r w:rsidRPr="00104227">
        <w:rPr>
          <w:i/>
          <w:lang w:val="en-US"/>
        </w:rPr>
        <w:t xml:space="preserve"> </w:t>
      </w:r>
      <w:r w:rsidRPr="00104227">
        <w:rPr>
          <w:lang w:val="en-US"/>
        </w:rPr>
        <w:t xml:space="preserve">para. 303, and </w:t>
      </w:r>
      <w:r w:rsidRPr="00104227">
        <w:rPr>
          <w:i/>
          <w:lang w:val="en-US"/>
        </w:rPr>
        <w:t xml:space="preserve">Case of Espinoza Gonzáles v. Peru. Preliminary objections, merits, reparations and costs. </w:t>
      </w:r>
      <w:r w:rsidRPr="00104227">
        <w:rPr>
          <w:lang w:val="en-US"/>
        </w:rPr>
        <w:t>Judgment of November 20, 2014. Series C No. 289, para. 223</w:t>
      </w:r>
      <w:r w:rsidRPr="00104227">
        <w:rPr>
          <w:bCs/>
          <w:iCs/>
          <w:lang w:val="en-US"/>
        </w:rPr>
        <w:t>.</w:t>
      </w:r>
    </w:p>
  </w:footnote>
  <w:footnote w:id="313">
    <w:p w14:paraId="17D53835" w14:textId="5170DF81" w:rsidR="0080773E" w:rsidRPr="00104227" w:rsidRDefault="0080773E" w:rsidP="002755DF">
      <w:pPr>
        <w:pStyle w:val="Textonotapie"/>
        <w:tabs>
          <w:tab w:val="left" w:pos="426"/>
          <w:tab w:val="left" w:pos="720"/>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Case of González et al. (“Cotton Field” )v. Mexico. Preliminary objection, merits, reparations and costs. </w:t>
      </w:r>
      <w:r w:rsidRPr="00104227">
        <w:rPr>
          <w:lang w:val="en-US"/>
        </w:rPr>
        <w:t xml:space="preserve">Judgment of November 16, 2009. Series C No. 205, paras. 394 and 395, citing the Convention of Belém do Pará, Preamble and Article 6; the Convention on the Elimination of All Forms of Discrimination against Women of December 18, 1979, Article 1, and the Committee for the Elimination of Discrimination against Women, General Recommendation No. 19: Violence against women, UN Doc. A/47/38, January 29, 1992, paras. 1 and 6. See also, </w:t>
      </w:r>
      <w:r w:rsidRPr="00104227">
        <w:rPr>
          <w:i/>
          <w:iCs/>
          <w:lang w:val="en-US"/>
        </w:rPr>
        <w:t>inter alia,</w:t>
      </w:r>
      <w:r w:rsidRPr="00104227">
        <w:rPr>
          <w:lang w:val="en-US"/>
        </w:rPr>
        <w:t xml:space="preserve"> </w:t>
      </w:r>
      <w:r w:rsidRPr="00104227">
        <w:rPr>
          <w:i/>
          <w:lang w:val="en-US"/>
        </w:rPr>
        <w:t>Case of V.R.P., V.P.C. et al. v. Nicaragua</w:t>
      </w:r>
      <w:r w:rsidRPr="00104227">
        <w:rPr>
          <w:lang w:val="en-US"/>
        </w:rPr>
        <w:t xml:space="preserve">. </w:t>
      </w:r>
      <w:r w:rsidRPr="00104227">
        <w:rPr>
          <w:i/>
          <w:lang w:val="en-US"/>
        </w:rPr>
        <w:t>Preliminary objections, merits, reparations and costs.</w:t>
      </w:r>
      <w:r w:rsidRPr="00104227">
        <w:rPr>
          <w:lang w:val="en-US"/>
        </w:rPr>
        <w:t xml:space="preserve"> Judgment of March 8, 2018. Series C No. 350, para. 290.</w:t>
      </w:r>
    </w:p>
  </w:footnote>
  <w:footnote w:id="314">
    <w:p w14:paraId="449FF35A" w14:textId="1D30DD49" w:rsidR="0080773E" w:rsidRPr="00104227" w:rsidRDefault="0080773E" w:rsidP="002755DF">
      <w:pPr>
        <w:pStyle w:val="Textonotapie"/>
        <w:tabs>
          <w:tab w:val="left" w:pos="426"/>
        </w:tabs>
        <w:spacing w:before="120" w:after="120"/>
        <w:rPr>
          <w:bCs/>
          <w:iCs/>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Case of González et al. (“Cotton Field” )v. Mexico. Preliminary objection, merits, reparations and costs. </w:t>
      </w:r>
      <w:r w:rsidRPr="00104227">
        <w:rPr>
          <w:lang w:val="en-US"/>
        </w:rPr>
        <w:t xml:space="preserve">Judgment of November 16, 2009. Series C No. 205, para. 401, and </w:t>
      </w:r>
      <w:r w:rsidRPr="00104227">
        <w:rPr>
          <w:i/>
          <w:lang w:val="en-US"/>
        </w:rPr>
        <w:t xml:space="preserve">Case of López Soto et al. v. Venezuela. Merits, reparations and costs. </w:t>
      </w:r>
      <w:r w:rsidRPr="00104227">
        <w:rPr>
          <w:lang w:val="en-US"/>
        </w:rPr>
        <w:t>Judgment of September 26, 2018. Series C No. 362, para. 235</w:t>
      </w:r>
      <w:r w:rsidRPr="00104227">
        <w:rPr>
          <w:bCs/>
          <w:iCs/>
          <w:lang w:val="en-US"/>
        </w:rPr>
        <w:t>.</w:t>
      </w:r>
    </w:p>
  </w:footnote>
  <w:footnote w:id="315">
    <w:p w14:paraId="370CE791" w14:textId="4933B00E" w:rsidR="0080773E" w:rsidRPr="00104227" w:rsidRDefault="0080773E" w:rsidP="00C1003E">
      <w:pPr>
        <w:shd w:val="clear" w:color="auto" w:fill="FFFFFF"/>
        <w:tabs>
          <w:tab w:val="left" w:pos="426"/>
        </w:tabs>
        <w:spacing w:before="120" w:after="120"/>
        <w:rPr>
          <w:rFonts w:eastAsia="Times New Roman" w:cs="Times New Roman"/>
          <w:color w:val="000000"/>
          <w:sz w:val="16"/>
          <w:szCs w:val="16"/>
        </w:rPr>
      </w:pPr>
      <w:r w:rsidRPr="00104227">
        <w:rPr>
          <w:rStyle w:val="Refdenotaalpie"/>
        </w:rPr>
        <w:footnoteRef/>
      </w:r>
      <w:r w:rsidRPr="00104227">
        <w:rPr>
          <w:sz w:val="16"/>
          <w:szCs w:val="16"/>
        </w:rPr>
        <w:t xml:space="preserve"> </w:t>
      </w:r>
      <w:r w:rsidRPr="00104227">
        <w:rPr>
          <w:sz w:val="16"/>
          <w:szCs w:val="16"/>
        </w:rPr>
        <w:tab/>
        <w:t xml:space="preserve">The Court underscores that, according to the evidence gathered by the SCJN, the testimony exists of at least one other person who indicated that “during the transfer, she heard the voice of a man who said to someone ‘say I’m a cowboy!’” which agrees with what Bárbara described. </w:t>
      </w:r>
      <w:r w:rsidRPr="00104227">
        <w:rPr>
          <w:i/>
          <w:sz w:val="16"/>
          <w:szCs w:val="16"/>
        </w:rPr>
        <w:t>Cf.</w:t>
      </w:r>
      <w:r w:rsidRPr="00104227">
        <w:rPr>
          <w:sz w:val="16"/>
          <w:szCs w:val="16"/>
        </w:rPr>
        <w:t xml:space="preserve"> SCJN judgment of February 12, 2009 (evidence file, folios 30946 and 30947</w:t>
      </w:r>
      <w:r w:rsidRPr="00104227">
        <w:rPr>
          <w:rFonts w:eastAsia="Times New Roman" w:cs="Times New Roman"/>
          <w:color w:val="000000"/>
          <w:sz w:val="16"/>
          <w:szCs w:val="16"/>
        </w:rPr>
        <w:t>).</w:t>
      </w:r>
    </w:p>
  </w:footnote>
  <w:footnote w:id="316">
    <w:p w14:paraId="229B751F" w14:textId="03669AFA" w:rsidR="0080773E" w:rsidRPr="00104227" w:rsidRDefault="0080773E" w:rsidP="002755DF">
      <w:pPr>
        <w:pStyle w:val="Textonotapie"/>
        <w:tabs>
          <w:tab w:val="left" w:pos="426"/>
        </w:tabs>
        <w:spacing w:before="120" w:after="120"/>
        <w:rPr>
          <w:b/>
          <w:lang w:val="en-US"/>
        </w:rPr>
      </w:pPr>
      <w:r w:rsidRPr="00104227">
        <w:rPr>
          <w:rStyle w:val="Refdenotaalpie"/>
          <w:lang w:val="en-US"/>
        </w:rPr>
        <w:footnoteRef/>
      </w:r>
      <w:r w:rsidRPr="00104227">
        <w:rPr>
          <w:lang w:val="en-US"/>
        </w:rPr>
        <w:t xml:space="preserve"> </w:t>
      </w:r>
      <w:r w:rsidRPr="00104227">
        <w:rPr>
          <w:lang w:val="en-US"/>
        </w:rPr>
        <w:tab/>
        <w:t xml:space="preserve">The Committee for the Elimination of Discrimination against Women (CEDAW) has ruled similarly with regard to the general obligations of the Convention on the Elimination of All Forms of Discrimination against Women. </w:t>
      </w:r>
      <w:r w:rsidRPr="00104227">
        <w:rPr>
          <w:i/>
          <w:lang w:val="en-US"/>
        </w:rPr>
        <w:t xml:space="preserve">Cf. </w:t>
      </w:r>
      <w:r w:rsidRPr="00104227">
        <w:rPr>
          <w:lang w:val="en-US"/>
        </w:rPr>
        <w:t xml:space="preserve">CEDAW, </w:t>
      </w:r>
      <w:r w:rsidRPr="00104227">
        <w:rPr>
          <w:i/>
          <w:lang w:val="en-US"/>
        </w:rPr>
        <w:t>General Recommendation No. 35</w:t>
      </w:r>
      <w:r w:rsidRPr="00104227">
        <w:rPr>
          <w:lang w:val="en-US"/>
        </w:rPr>
        <w:t xml:space="preserve">, para. 26. </w:t>
      </w:r>
    </w:p>
  </w:footnote>
  <w:footnote w:id="317">
    <w:p w14:paraId="40E8FD2E" w14:textId="3B296C0A"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Case of Velásquez Paiz et al. v. Guatemala. Preliminary objections, merits, reparations and costs. </w:t>
      </w:r>
      <w:r w:rsidRPr="00104227">
        <w:rPr>
          <w:lang w:val="en-US"/>
        </w:rPr>
        <w:t xml:space="preserve">Judgment of November 19, 2015, para. 183, and </w:t>
      </w:r>
      <w:r w:rsidRPr="00104227">
        <w:rPr>
          <w:i/>
          <w:lang w:val="en-US"/>
        </w:rPr>
        <w:t xml:space="preserve">Case of López Soto et al. v. Venezuela. Merits, reparations and costs. </w:t>
      </w:r>
      <w:r w:rsidRPr="00104227">
        <w:rPr>
          <w:lang w:val="en-US"/>
        </w:rPr>
        <w:t>Judgment of September 26, 2018. Series C No. 362,</w:t>
      </w:r>
      <w:r w:rsidRPr="00104227">
        <w:rPr>
          <w:i/>
          <w:lang w:val="en-US"/>
        </w:rPr>
        <w:t xml:space="preserve"> </w:t>
      </w:r>
      <w:r w:rsidRPr="00104227">
        <w:rPr>
          <w:lang w:val="en-US"/>
        </w:rPr>
        <w:t xml:space="preserve">paras. 235 and 236. </w:t>
      </w:r>
    </w:p>
  </w:footnote>
  <w:footnote w:id="318">
    <w:p w14:paraId="5801E4C2" w14:textId="2ADB7A4D"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The SCJN determined that “in the climate of violence, confrontation and excesses in which these events took place, and since the competent authorities made almost no effort to clarify them, it is not only credible that the violence was also verbal and moral, but also logical and explicable; and that is sufficient, in the instant case, for it to be considered that there were cases in which, added to, or independently of, the physical violence, there was also violence of this type.” SCJN judgment of February 12, 2009 (evidence file, folio 30861).</w:t>
      </w:r>
    </w:p>
  </w:footnote>
  <w:footnote w:id="319">
    <w:p w14:paraId="5BB1DD89" w14:textId="027A3F11"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Gutiérrez Hernández et al. v. Guatemala.</w:t>
      </w:r>
      <w:r w:rsidRPr="00104227">
        <w:rPr>
          <w:lang w:val="en-US"/>
        </w:rPr>
        <w:t xml:space="preserve"> </w:t>
      </w:r>
      <w:r w:rsidRPr="00104227">
        <w:rPr>
          <w:i/>
          <w:lang w:val="en-US"/>
        </w:rPr>
        <w:t xml:space="preserve">Preliminary objections, merits, reparations and costs. </w:t>
      </w:r>
      <w:r w:rsidRPr="00104227">
        <w:rPr>
          <w:lang w:val="en-US"/>
        </w:rPr>
        <w:t>Judgment of August 24, 2017. Series C No. 339,</w:t>
      </w:r>
      <w:r w:rsidRPr="00104227">
        <w:rPr>
          <w:i/>
          <w:lang w:val="en-US"/>
        </w:rPr>
        <w:t xml:space="preserve"> </w:t>
      </w:r>
      <w:r w:rsidRPr="00104227">
        <w:rPr>
          <w:lang w:val="en-US"/>
        </w:rPr>
        <w:t xml:space="preserve">para. 173, and </w:t>
      </w:r>
      <w:r w:rsidRPr="00104227">
        <w:rPr>
          <w:i/>
          <w:lang w:val="en-US"/>
        </w:rPr>
        <w:t xml:space="preserve">Case of López Soto et al. v. Venezuela. Merits, reparations and costs. </w:t>
      </w:r>
      <w:r w:rsidRPr="00104227">
        <w:rPr>
          <w:lang w:val="en-US"/>
        </w:rPr>
        <w:t>Judgment of September 26, 2018. Series C No. 362,</w:t>
      </w:r>
      <w:r w:rsidRPr="00104227">
        <w:rPr>
          <w:i/>
          <w:lang w:val="en-US"/>
        </w:rPr>
        <w:t xml:space="preserve"> </w:t>
      </w:r>
      <w:r w:rsidRPr="00104227">
        <w:rPr>
          <w:lang w:val="en-US"/>
        </w:rPr>
        <w:t>para. 236</w:t>
      </w:r>
      <w:r w:rsidRPr="00104227">
        <w:rPr>
          <w:bCs/>
          <w:iCs/>
          <w:lang w:val="en-US"/>
        </w:rPr>
        <w:t>.</w:t>
      </w:r>
    </w:p>
  </w:footnote>
  <w:footnote w:id="320">
    <w:p w14:paraId="518CC2A9" w14:textId="45DFAC97" w:rsidR="0080773E" w:rsidRPr="00104227" w:rsidRDefault="0080773E" w:rsidP="002755DF">
      <w:pPr>
        <w:pStyle w:val="Textonotapie"/>
        <w:tabs>
          <w:tab w:val="left" w:pos="426"/>
        </w:tabs>
        <w:rPr>
          <w:lang w:val="en-US"/>
        </w:rPr>
      </w:pPr>
      <w:r w:rsidRPr="00104227">
        <w:rPr>
          <w:rStyle w:val="Refdenotaalpie"/>
          <w:lang w:val="en-US"/>
        </w:rPr>
        <w:footnoteRef/>
      </w:r>
      <w:r w:rsidRPr="00104227">
        <w:rPr>
          <w:lang w:val="en-US"/>
        </w:rPr>
        <w:t xml:space="preserve"> </w:t>
      </w:r>
      <w:r w:rsidRPr="00104227">
        <w:rPr>
          <w:lang w:val="en-US"/>
        </w:rPr>
        <w:tab/>
        <w:t xml:space="preserve">As in other cases, the authorities based their response on a gender-based stereotype according to which women who are detained or subjected to judicial proceedings would inherently lie and be unreliable, and this constituted a negative stereotype found in this case. </w:t>
      </w:r>
      <w:r w:rsidRPr="00104227">
        <w:rPr>
          <w:i/>
          <w:lang w:val="en-US"/>
        </w:rPr>
        <w:t xml:space="preserve">Cf. Case of Espinoza Gonzáles v. Peru. Preliminary objections, merits, reparations and costs. </w:t>
      </w:r>
      <w:r w:rsidRPr="00104227">
        <w:rPr>
          <w:lang w:val="en-US"/>
        </w:rPr>
        <w:t>Judgment of November 20, 2014. Series C No. 289, para. 272.</w:t>
      </w:r>
    </w:p>
  </w:footnote>
  <w:footnote w:id="321">
    <w:p w14:paraId="061B7B0C" w14:textId="6CE3C76C"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Article 7(1) of the Convention establishes that: “1. </w:t>
      </w:r>
      <w:r w:rsidRPr="00104227">
        <w:rPr>
          <w:spacing w:val="-3"/>
          <w:lang w:val="en-US"/>
        </w:rPr>
        <w:t>Every person has the right to personal liberty and security.</w:t>
      </w:r>
      <w:r w:rsidRPr="00104227">
        <w:rPr>
          <w:rFonts w:cs="Tahoma"/>
          <w:bCs/>
          <w:color w:val="000000"/>
          <w:lang w:val="en-US"/>
        </w:rPr>
        <w:t>”</w:t>
      </w:r>
    </w:p>
  </w:footnote>
  <w:footnote w:id="322">
    <w:p w14:paraId="674C3DF8" w14:textId="62DD9568" w:rsidR="0080773E" w:rsidRPr="00104227" w:rsidRDefault="0080773E" w:rsidP="002755DF">
      <w:pPr>
        <w:pStyle w:val="Textonotapie"/>
        <w:tabs>
          <w:tab w:val="left" w:pos="426"/>
        </w:tabs>
        <w:spacing w:before="120" w:after="120"/>
        <w:rPr>
          <w:spacing w:val="-3"/>
          <w:lang w:val="en-US"/>
        </w:rPr>
      </w:pPr>
      <w:r w:rsidRPr="00104227">
        <w:rPr>
          <w:rStyle w:val="Refdenotaalpie"/>
          <w:lang w:val="en-US"/>
        </w:rPr>
        <w:footnoteRef/>
      </w:r>
      <w:r w:rsidRPr="00104227">
        <w:rPr>
          <w:lang w:val="en-US"/>
        </w:rPr>
        <w:t xml:space="preserve"> </w:t>
      </w:r>
      <w:r w:rsidRPr="00104227">
        <w:rPr>
          <w:lang w:val="en-US"/>
        </w:rPr>
        <w:tab/>
        <w:t>The relevant part of Article 8 of the Convention establishes that:</w:t>
      </w:r>
      <w:r w:rsidRPr="00104227">
        <w:rPr>
          <w:rFonts w:cs="Tahoma"/>
          <w:color w:val="000000"/>
          <w:lang w:val="en-US"/>
        </w:rPr>
        <w:t> “</w:t>
      </w:r>
      <w:r w:rsidRPr="00104227">
        <w:rPr>
          <w:spacing w:val="-3"/>
          <w:lang w:val="en-US"/>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r w:rsidRPr="00104227">
        <w:rPr>
          <w:rFonts w:cs="Tahoma"/>
          <w:color w:val="000000"/>
          <w:lang w:val="en-US"/>
        </w:rPr>
        <w:t xml:space="preserve">. 2. </w:t>
      </w:r>
      <w:r w:rsidRPr="00104227">
        <w:rPr>
          <w:spacing w:val="-3"/>
          <w:lang w:val="en-US"/>
        </w:rPr>
        <w:t>Every person accused of a criminal offense has the right to be presumed innocent so long as his guilt has not been proven according to law.  During the proceedings, every person is entitled, with full equality, to the following minimum guarantees</w:t>
      </w:r>
      <w:r w:rsidRPr="00104227">
        <w:rPr>
          <w:rFonts w:cs="Tahoma"/>
          <w:color w:val="000000"/>
          <w:lang w:val="en-US"/>
        </w:rPr>
        <w:t xml:space="preserve">: […] (b) </w:t>
      </w:r>
      <w:r w:rsidRPr="00104227">
        <w:rPr>
          <w:spacing w:val="-3"/>
          <w:lang w:val="en-US"/>
        </w:rPr>
        <w:t>prior notification in detail to the accused of the charges against him</w:t>
      </w:r>
      <w:r w:rsidRPr="00104227">
        <w:rPr>
          <w:rFonts w:cs="Tahoma"/>
          <w:color w:val="000000"/>
          <w:lang w:val="en-US"/>
        </w:rPr>
        <w:t xml:space="preserve">; […] (d) </w:t>
      </w:r>
      <w:r w:rsidRPr="00104227">
        <w:rPr>
          <w:spacing w:val="-3"/>
          <w:lang w:val="en-US"/>
        </w:rPr>
        <w:t>the right of the accused to defend himself personally or to be assisted by legal counsel of his own choosing, and to communicate freely and privately with his counsel</w:t>
      </w:r>
      <w:r w:rsidRPr="00104227">
        <w:rPr>
          <w:rFonts w:cs="Tahoma"/>
          <w:color w:val="000000"/>
          <w:lang w:val="en-US"/>
        </w:rPr>
        <w:t xml:space="preserve">; (e) </w:t>
      </w:r>
      <w:r w:rsidRPr="00104227">
        <w:rPr>
          <w:spacing w:val="-3"/>
          <w:lang w:val="en-US"/>
        </w:rPr>
        <w:t xml:space="preserve">the inalienable right to be assisted by counsel provided by the state, paid or not as the domestic law provides, if the accused does not defend himself personally or engage his own counsel within the time period established by law.” </w:t>
      </w:r>
    </w:p>
  </w:footnote>
  <w:footnote w:id="323">
    <w:p w14:paraId="72F23F4A" w14:textId="5EED47B2"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Chaparro Álvarez and Lapo Íñiguez v. Ecuador. Preliminary objections, merits, reparations and costs.</w:t>
      </w:r>
      <w:r w:rsidRPr="00104227">
        <w:rPr>
          <w:lang w:val="en-US"/>
        </w:rPr>
        <w:t xml:space="preserve"> Judgment of November 21, 2007. Series C No. 170, para. 54, and </w:t>
      </w:r>
      <w:r w:rsidRPr="00104227">
        <w:rPr>
          <w:i/>
          <w:lang w:val="en-US"/>
        </w:rPr>
        <w:t>Case of Amrhein et al. v. Costa Rica.</w:t>
      </w:r>
      <w:r w:rsidRPr="00104227">
        <w:rPr>
          <w:lang w:val="en-US"/>
        </w:rPr>
        <w:t xml:space="preserve"> </w:t>
      </w:r>
      <w:r w:rsidRPr="00104227">
        <w:rPr>
          <w:i/>
          <w:lang w:val="en-US"/>
        </w:rPr>
        <w:t xml:space="preserve">Preliminary objections, merits, reparations and costs. </w:t>
      </w:r>
      <w:r w:rsidRPr="00104227">
        <w:rPr>
          <w:lang w:val="en-US"/>
        </w:rPr>
        <w:t>Judgment of April 25, 2018. Series C No. 354, paras. 351 and 352.</w:t>
      </w:r>
    </w:p>
  </w:footnote>
  <w:footnote w:id="324">
    <w:p w14:paraId="5272DECF" w14:textId="7B47129D"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Chaparro Álvarez and Lapo Íñiguez v. Ecuador. Preliminary objections, merits, reparations and costs.</w:t>
      </w:r>
      <w:r w:rsidRPr="00104227">
        <w:rPr>
          <w:lang w:val="en-US"/>
        </w:rPr>
        <w:t xml:space="preserve"> Judgment of November 21, 2007. Series C No. 170, para. 57, and </w:t>
      </w:r>
      <w:r w:rsidRPr="00104227">
        <w:rPr>
          <w:i/>
          <w:lang w:val="en-US"/>
        </w:rPr>
        <w:t>Case of Amrhein et al. v. Costa Rica.</w:t>
      </w:r>
      <w:r w:rsidRPr="00104227">
        <w:rPr>
          <w:lang w:val="en-US"/>
        </w:rPr>
        <w:t xml:space="preserve"> </w:t>
      </w:r>
      <w:r w:rsidRPr="00104227">
        <w:rPr>
          <w:i/>
          <w:lang w:val="en-US"/>
        </w:rPr>
        <w:t xml:space="preserve">Preliminary objections, merits, reparations and costs. </w:t>
      </w:r>
      <w:r w:rsidRPr="00104227">
        <w:rPr>
          <w:lang w:val="en-US"/>
        </w:rPr>
        <w:t xml:space="preserve">Judgment of April 25, 2018. Series C No. 354, para. 354. </w:t>
      </w:r>
    </w:p>
  </w:footnote>
  <w:footnote w:id="325">
    <w:p w14:paraId="1BDA9ED1" w14:textId="71E89317"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Case of Gangaram Panday v. Suriname. Merits, reparations and costs. </w:t>
      </w:r>
      <w:r w:rsidRPr="00104227">
        <w:rPr>
          <w:lang w:val="en-US"/>
        </w:rPr>
        <w:t xml:space="preserve">Judgment of January 21, 1994. Series C No. 16, para. 47, and </w:t>
      </w:r>
      <w:r w:rsidRPr="00104227">
        <w:rPr>
          <w:i/>
          <w:lang w:val="en-US"/>
        </w:rPr>
        <w:t>Case of Amrhein et al. v. Costa Rica.</w:t>
      </w:r>
      <w:r w:rsidRPr="00104227">
        <w:rPr>
          <w:lang w:val="en-US"/>
        </w:rPr>
        <w:t xml:space="preserve"> </w:t>
      </w:r>
      <w:r w:rsidRPr="00104227">
        <w:rPr>
          <w:i/>
          <w:lang w:val="en-US"/>
        </w:rPr>
        <w:t xml:space="preserve">Preliminary objections, merits, reparations and costs. </w:t>
      </w:r>
      <w:r w:rsidRPr="00104227">
        <w:rPr>
          <w:lang w:val="en-US"/>
        </w:rPr>
        <w:t xml:space="preserve">Judgment of April 25, 2018. Series C No. 354, para. 355. </w:t>
      </w:r>
    </w:p>
  </w:footnote>
  <w:footnote w:id="326">
    <w:p w14:paraId="2D0B75D1" w14:textId="09A2995A"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Chaparro Álvarez and Lapo Íñiguez v. Ecuador. Preliminary objections, merits, reparations and costs.</w:t>
      </w:r>
      <w:r w:rsidRPr="00104227">
        <w:rPr>
          <w:lang w:val="en-US"/>
        </w:rPr>
        <w:t xml:space="preserve"> Judgment of November 21, 2007. Series C No. 170, para. 91, and </w:t>
      </w:r>
      <w:r w:rsidRPr="00104227">
        <w:rPr>
          <w:i/>
          <w:lang w:val="en-US"/>
        </w:rPr>
        <w:t xml:space="preserve">Case of Wong Ho Wing v. Peru. Preliminary objection, merits, reparations and costs. </w:t>
      </w:r>
      <w:r w:rsidRPr="00104227">
        <w:rPr>
          <w:lang w:val="en-US"/>
        </w:rPr>
        <w:t xml:space="preserve">Judgment of June 30, 2015. Series C No. 297, para. 238. </w:t>
      </w:r>
    </w:p>
  </w:footnote>
  <w:footnote w:id="327">
    <w:p w14:paraId="2BB3AE1D" w14:textId="3527A582"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Chaparro Álvarez and Lapo Íñiguez v. Ecuador. Preliminary objections, merits, reparations and costs.</w:t>
      </w:r>
      <w:r w:rsidRPr="00104227">
        <w:rPr>
          <w:lang w:val="en-US"/>
        </w:rPr>
        <w:t xml:space="preserve"> Judgment of November 21, 2007. Series C No. 170, para. 92, and </w:t>
      </w:r>
      <w:r w:rsidRPr="00104227">
        <w:rPr>
          <w:i/>
          <w:lang w:val="en-US"/>
        </w:rPr>
        <w:t>Case of Amrhein et al. v. Costa Rica.</w:t>
      </w:r>
      <w:r w:rsidRPr="00104227">
        <w:rPr>
          <w:lang w:val="en-US"/>
        </w:rPr>
        <w:t xml:space="preserve"> </w:t>
      </w:r>
      <w:r w:rsidRPr="00104227">
        <w:rPr>
          <w:i/>
          <w:lang w:val="en-US"/>
        </w:rPr>
        <w:t xml:space="preserve">Preliminary objections, merits, reparations and costs. </w:t>
      </w:r>
      <w:r w:rsidRPr="00104227">
        <w:rPr>
          <w:lang w:val="en-US"/>
        </w:rPr>
        <w:t xml:space="preserve">Judgment of April 25, 2018. Series C No. 354, para. 355. </w:t>
      </w:r>
    </w:p>
  </w:footnote>
  <w:footnote w:id="328">
    <w:p w14:paraId="272B6A8D" w14:textId="21E082E9"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Case of Osorio Rivera and family v. Peru. Preliminary objections, merits, reparations and costs. </w:t>
      </w:r>
      <w:r w:rsidRPr="00104227">
        <w:rPr>
          <w:lang w:val="en-US"/>
        </w:rPr>
        <w:t xml:space="preserve">Judgment of November 26, 2013. Series C No. 274, para. 120, and </w:t>
      </w:r>
      <w:r w:rsidRPr="00104227">
        <w:rPr>
          <w:i/>
          <w:lang w:val="en-US"/>
        </w:rPr>
        <w:t xml:space="preserve">Case of Rodríguez Vera et al. (Disappeared from the Palace of Justice) v. Colombia. Preliminary objections, merits, reparations and costs. </w:t>
      </w:r>
      <w:r w:rsidRPr="00104227">
        <w:rPr>
          <w:lang w:val="en-US"/>
        </w:rPr>
        <w:t xml:space="preserve">Judgment of November 14, 2014. Series C No. 287, para. 402. </w:t>
      </w:r>
    </w:p>
  </w:footnote>
  <w:footnote w:id="329">
    <w:p w14:paraId="47A358CC" w14:textId="336AFB44" w:rsidR="0080773E" w:rsidRPr="00104227" w:rsidRDefault="0080773E" w:rsidP="002755DF">
      <w:pPr>
        <w:pStyle w:val="Textonotapie"/>
        <w:tabs>
          <w:tab w:val="left" w:pos="426"/>
        </w:tabs>
        <w:spacing w:before="120" w:after="120"/>
        <w:rPr>
          <w:b/>
          <w:lang w:val="en-US"/>
        </w:rPr>
      </w:pPr>
      <w:r w:rsidRPr="00104227">
        <w:rPr>
          <w:rStyle w:val="Refdenotaalpie"/>
          <w:lang w:val="en-US"/>
        </w:rPr>
        <w:footnoteRef/>
      </w:r>
      <w:r w:rsidRPr="00104227">
        <w:rPr>
          <w:lang w:val="en-US"/>
        </w:rPr>
        <w:t xml:space="preserve"> </w:t>
      </w:r>
      <w:r w:rsidRPr="00104227">
        <w:rPr>
          <w:lang w:val="en-US"/>
        </w:rPr>
        <w:tab/>
        <w:t>Constitution of the United Mexican States in force at the time of the facts (evidence file, folio 42772). It should be noted that, in their brief with observations on the helpful evidence presented on September 21, 2018, the representatives clarified that although the Constitution provided by the State was not in force at the time of the events, it contained the text of article 16 of the Constitution that was in force on May 3 and 4, 2006</w:t>
      </w:r>
      <w:r w:rsidRPr="00104227">
        <w:rPr>
          <w:rFonts w:eastAsia="Calibri"/>
          <w:lang w:val="en-US"/>
        </w:rPr>
        <w:t xml:space="preserve">. </w:t>
      </w:r>
    </w:p>
  </w:footnote>
  <w:footnote w:id="330">
    <w:p w14:paraId="2F1E30AC" w14:textId="125408E5" w:rsidR="0080773E" w:rsidRPr="00104227" w:rsidRDefault="0080773E" w:rsidP="004B326D">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Initial brief with observations on the merits (evidence file, folio 9992). In addition, according to article 193 of the Federal Code of Criminal Procedure in force at the time of the facts, it is considered that </w:t>
      </w:r>
      <w:r w:rsidRPr="00104227">
        <w:rPr>
          <w:i/>
          <w:iCs/>
          <w:lang w:val="en-US"/>
        </w:rPr>
        <w:t>flagrante delicto</w:t>
      </w:r>
      <w:r w:rsidRPr="00104227">
        <w:rPr>
          <w:lang w:val="en-US"/>
        </w:rPr>
        <w:t xml:space="preserve"> exists when: “I. The accused is detained as he commits the offense; II. Immediately after execution of the offense, the accused is pursued substantively, or III. The accused is indicated as responsible by the victim, an eyewitness, or someone who has taken part with him in the perpetration of the offense, or the object, instrument or product of the offense is found in his possession, or there are traces and evidence that justify presumption of his participation in the offense; provided that it is a serious offense classified as such by law, that less than 48 hours have passed since the moment that the criminal acts were perpetrated, that the preliminary inquiry has started, and that the prosecution of the offense has not been interrupted.” Federal Code of Criminal Procedure (in force in 2006) (evidence file, folio 23325). Initial brief with observations on the merits (evidence file, folio 9992). </w:t>
      </w:r>
    </w:p>
  </w:footnote>
  <w:footnote w:id="331">
    <w:p w14:paraId="6A565B5A" w14:textId="38EC798A"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 xml:space="preserve">Initial brief with observations on the merits (evidence file, folios 11745 and 11756). </w:t>
      </w:r>
    </w:p>
  </w:footnote>
  <w:footnote w:id="332">
    <w:p w14:paraId="0DFB8AC7" w14:textId="3C5BED95"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Case of Rodríguez Vera et al. (Disappeared from the Palace of Justice) v. Colombia. Preliminary objections, merits, reparations and costs. </w:t>
      </w:r>
      <w:r w:rsidRPr="00104227">
        <w:rPr>
          <w:lang w:val="en-US"/>
        </w:rPr>
        <w:t>Judgment of November 14, 2014. Series C No. 287, para. 405.</w:t>
      </w:r>
    </w:p>
  </w:footnote>
  <w:footnote w:id="333">
    <w:p w14:paraId="729DAC67" w14:textId="715D795A" w:rsidR="0080773E" w:rsidRPr="00104227" w:rsidRDefault="0080773E" w:rsidP="00534B6A">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López Álvarez v. Honduras. Merits, reparations and costs.</w:t>
      </w:r>
      <w:r w:rsidRPr="00104227">
        <w:rPr>
          <w:lang w:val="en-US"/>
        </w:rPr>
        <w:t xml:space="preserve"> Judgment of February 1, 2006. Series C No. 141, para. 65, and </w:t>
      </w:r>
      <w:r w:rsidRPr="00104227">
        <w:rPr>
          <w:i/>
          <w:lang w:val="en-US"/>
        </w:rPr>
        <w:t xml:space="preserve">Case of Rodríguez Vera et al. (Disappeared from the Palace of Justice) v. Colombia. Preliminary objections, merits, reparations and costs. </w:t>
      </w:r>
      <w:r w:rsidRPr="00104227">
        <w:rPr>
          <w:lang w:val="en-US"/>
        </w:rPr>
        <w:t>Judgment of November 14, 2014. Series C No. 287,</w:t>
      </w:r>
      <w:r w:rsidRPr="00104227">
        <w:rPr>
          <w:i/>
          <w:lang w:val="en-US"/>
        </w:rPr>
        <w:t xml:space="preserve"> </w:t>
      </w:r>
      <w:r w:rsidRPr="00104227">
        <w:rPr>
          <w:lang w:val="en-US"/>
        </w:rPr>
        <w:t xml:space="preserve">para. 413. </w:t>
      </w:r>
    </w:p>
  </w:footnote>
  <w:footnote w:id="334">
    <w:p w14:paraId="6F17FE19" w14:textId="75C151CA"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CNDH Recommendation No. 38/2006 of October 16, 2006 (evidence file, folios 28923, 28924, 29139, 29140, 29457, 29781, 29852, 29921, 29922, 29967 and 30079). Also, the CNDH highlighted other irregularities in the detentions and the preliminary inquiry in relation to the eleven women victims in this case (</w:t>
      </w:r>
      <w:r w:rsidRPr="00104227">
        <w:rPr>
          <w:i/>
          <w:lang w:val="en-US"/>
        </w:rPr>
        <w:t>supra</w:t>
      </w:r>
      <w:r w:rsidRPr="00104227">
        <w:rPr>
          <w:lang w:val="en-US"/>
        </w:rPr>
        <w:t xml:space="preserve"> para. </w:t>
      </w:r>
      <w:r w:rsidRPr="00104227">
        <w:rPr>
          <w:lang w:val="en-US"/>
        </w:rPr>
        <w:fldChar w:fldCharType="begin"/>
      </w:r>
      <w:r w:rsidRPr="00104227">
        <w:rPr>
          <w:lang w:val="en-US"/>
        </w:rPr>
        <w:instrText xml:space="preserve"> REF _Ref532934828 \r \h  \* MERGEFORMAT </w:instrText>
      </w:r>
      <w:r w:rsidRPr="00104227">
        <w:rPr>
          <w:lang w:val="en-US"/>
        </w:rPr>
      </w:r>
      <w:r w:rsidRPr="00104227">
        <w:rPr>
          <w:lang w:val="en-US"/>
        </w:rPr>
        <w:fldChar w:fldCharType="separate"/>
      </w:r>
      <w:r w:rsidR="004276BD">
        <w:rPr>
          <w:lang w:val="en-US"/>
        </w:rPr>
        <w:t>120</w:t>
      </w:r>
      <w:r w:rsidRPr="00104227">
        <w:rPr>
          <w:lang w:val="en-US"/>
        </w:rPr>
        <w:fldChar w:fldCharType="end"/>
      </w:r>
      <w:r w:rsidRPr="00104227">
        <w:rPr>
          <w:lang w:val="en-US"/>
        </w:rPr>
        <w:t xml:space="preserve">). </w:t>
      </w:r>
    </w:p>
  </w:footnote>
  <w:footnote w:id="335">
    <w:p w14:paraId="067BF40E" w14:textId="3C89EF93"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 xml:space="preserve">SCJN judgment of February 12, 2009 (evidence file, folios 31253 and 31254). </w:t>
      </w:r>
    </w:p>
  </w:footnote>
  <w:footnote w:id="336">
    <w:p w14:paraId="5C4E7103" w14:textId="5207542F"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Servellón García et al. v. Honduras</w:t>
      </w:r>
      <w:r w:rsidRPr="00104227">
        <w:rPr>
          <w:lang w:val="en-US"/>
        </w:rPr>
        <w:t xml:space="preserve">. Judgment of September 21, 2006. Series C No. 152, para. 92, and </w:t>
      </w:r>
      <w:r w:rsidRPr="00104227">
        <w:rPr>
          <w:i/>
          <w:lang w:val="en-US"/>
        </w:rPr>
        <w:t>Case of Pacheco Teruel et al. v. Honduras. Merits, reparations and costs.</w:t>
      </w:r>
      <w:r w:rsidRPr="00104227">
        <w:rPr>
          <w:lang w:val="en-US"/>
        </w:rPr>
        <w:t xml:space="preserve"> Judgment of April 27, 2012. Series C No. 241, para. 107.</w:t>
      </w:r>
    </w:p>
  </w:footnote>
  <w:footnote w:id="337">
    <w:p w14:paraId="48525535" w14:textId="63E6B515"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Servellón García</w:t>
      </w:r>
      <w:r w:rsidRPr="00104227">
        <w:rPr>
          <w:lang w:val="en-US"/>
        </w:rPr>
        <w:t xml:space="preserve">. Judgment of September 21, 2006. Series C No. 152, para. 92, and </w:t>
      </w:r>
      <w:r w:rsidRPr="00104227">
        <w:rPr>
          <w:i/>
          <w:lang w:val="en-US"/>
        </w:rPr>
        <w:t>Case of Pacheco Teruel et al. v. Honduras</w:t>
      </w:r>
      <w:r w:rsidRPr="00104227">
        <w:rPr>
          <w:lang w:val="en-US"/>
        </w:rPr>
        <w:t xml:space="preserve">. </w:t>
      </w:r>
      <w:r w:rsidRPr="00104227">
        <w:rPr>
          <w:i/>
          <w:lang w:val="en-US"/>
        </w:rPr>
        <w:t>Merits, reparations and costs.</w:t>
      </w:r>
      <w:r w:rsidRPr="00104227">
        <w:rPr>
          <w:lang w:val="en-US"/>
        </w:rPr>
        <w:t xml:space="preserve"> Judgment of April 27, 2012. Series C No. 241, para. 107.</w:t>
      </w:r>
    </w:p>
  </w:footnote>
  <w:footnote w:id="338">
    <w:p w14:paraId="7C9795D6" w14:textId="2DA323B7" w:rsidR="0080773E" w:rsidRPr="00104227" w:rsidRDefault="0080773E" w:rsidP="009618F3">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Pacheco Teruel et al. v. Honduras. Merits, reparations and costs.</w:t>
      </w:r>
      <w:r w:rsidRPr="00104227">
        <w:rPr>
          <w:lang w:val="en-US"/>
        </w:rPr>
        <w:t xml:space="preserve"> Judgment of April 27, 2012. Series C No. 241, para. 106, and </w:t>
      </w:r>
      <w:r w:rsidRPr="00104227">
        <w:rPr>
          <w:i/>
          <w:lang w:val="en-US"/>
        </w:rPr>
        <w:t>Case of Amrhein et al. v. Costa Rica.</w:t>
      </w:r>
      <w:r w:rsidRPr="00104227">
        <w:rPr>
          <w:lang w:val="en-US"/>
        </w:rPr>
        <w:t xml:space="preserve"> </w:t>
      </w:r>
      <w:r w:rsidRPr="00104227">
        <w:rPr>
          <w:i/>
          <w:lang w:val="en-US"/>
        </w:rPr>
        <w:t xml:space="preserve">Preliminary objections, merits, reparations and costs. </w:t>
      </w:r>
      <w:r w:rsidRPr="00104227">
        <w:rPr>
          <w:lang w:val="en-US"/>
        </w:rPr>
        <w:t xml:space="preserve">Judgment of April 25, 2018. Series C No. 354, para. 353. Similarly, the UN Working Group on Arbitrary Detention has said that detention will be arbitrary, “when it is apparent that persons have been deprived of their liberty specifically […] because of their real or suspected membership of a distinct […] group.” UN, General Assembly, Report of the Working Group on Arbitrary Detention, July 19, 2017, Doc. UN A/HRC/36/37, para. 48. </w:t>
      </w:r>
    </w:p>
  </w:footnote>
  <w:footnote w:id="339">
    <w:p w14:paraId="5E5C3BEF" w14:textId="1146892A" w:rsidR="0080773E" w:rsidRPr="00104227" w:rsidRDefault="0080773E" w:rsidP="002755DF">
      <w:pPr>
        <w:pStyle w:val="Textonotapie"/>
        <w:tabs>
          <w:tab w:val="left" w:pos="426"/>
        </w:tabs>
        <w:spacing w:before="120" w:after="120"/>
        <w:rPr>
          <w:rStyle w:val="Refdenotaalpie"/>
          <w:lang w:val="en-US"/>
        </w:rPr>
      </w:pPr>
      <w:r w:rsidRPr="00104227">
        <w:rPr>
          <w:rStyle w:val="Refdenotaalpie"/>
          <w:lang w:val="en-US"/>
        </w:rPr>
        <w:footnoteRef/>
      </w:r>
      <w:r w:rsidRPr="00104227">
        <w:rPr>
          <w:rStyle w:val="Refdenotaalpie"/>
          <w:lang w:val="en-US"/>
        </w:rPr>
        <w:t xml:space="preserve"> </w:t>
      </w:r>
      <w:r w:rsidRPr="00104227">
        <w:rPr>
          <w:rStyle w:val="Refdenotaalpie"/>
          <w:lang w:val="en-US"/>
        </w:rPr>
        <w:tab/>
      </w:r>
      <w:r w:rsidRPr="00104227">
        <w:rPr>
          <w:lang w:val="en-US"/>
        </w:rPr>
        <w:t xml:space="preserve">UN, Special Rapporteur on the rights to freedom of peaceful assembly </w:t>
      </w:r>
      <w:r w:rsidRPr="00104227">
        <w:rPr>
          <w:rStyle w:val="st"/>
          <w:lang w:val="en-US"/>
        </w:rPr>
        <w:t>and of association</w:t>
      </w:r>
      <w:r w:rsidRPr="00104227">
        <w:rPr>
          <w:lang w:val="en-US"/>
        </w:rPr>
        <w:t>, Report on his mission to Chile, September 30, 2015, UN Doc. A/HRC/32/36/Add.1, para. 43.</w:t>
      </w:r>
    </w:p>
  </w:footnote>
  <w:footnote w:id="340">
    <w:p w14:paraId="13743025" w14:textId="3CE06881"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rStyle w:val="Refdenotaalpie"/>
          <w:lang w:val="en-US"/>
        </w:rPr>
        <w:t xml:space="preserve"> </w:t>
      </w:r>
      <w:r w:rsidRPr="00104227">
        <w:rPr>
          <w:rStyle w:val="Refdenotaalpie"/>
          <w:lang w:val="en-US"/>
        </w:rPr>
        <w:tab/>
      </w:r>
      <w:r w:rsidRPr="00104227">
        <w:rPr>
          <w:i/>
          <w:lang w:val="en-US"/>
        </w:rPr>
        <w:t xml:space="preserve">Cf. </w:t>
      </w:r>
      <w:r w:rsidRPr="00104227">
        <w:rPr>
          <w:lang w:val="en-US"/>
        </w:rPr>
        <w:t xml:space="preserve">UN, General Assembly, Human Rights Council, Report of the United Nations High Commissioner for Human Rights </w:t>
      </w:r>
      <w:bookmarkStart w:id="320" w:name="_Hlk30146466"/>
      <w:r w:rsidRPr="00104227">
        <w:rPr>
          <w:lang w:val="en-US"/>
        </w:rPr>
        <w:t>on Effective measures and best practices to ensure the promotion and protection of human rights in the context of peaceful protests, January 21, 2013, UN Doc. A/HRC/22/28</w:t>
      </w:r>
      <w:bookmarkEnd w:id="320"/>
      <w:r w:rsidRPr="00104227">
        <w:rPr>
          <w:lang w:val="en-US"/>
        </w:rPr>
        <w:t xml:space="preserve">, para. 10. </w:t>
      </w:r>
    </w:p>
  </w:footnote>
  <w:footnote w:id="341">
    <w:p w14:paraId="150B11E4" w14:textId="77777777" w:rsidR="0080773E" w:rsidRPr="00104227" w:rsidRDefault="0080773E" w:rsidP="000A170E">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SCJN judgment of February 12, 2009 (evidence file, folios 31249, 31253 and 31254). </w:t>
      </w:r>
    </w:p>
  </w:footnote>
  <w:footnote w:id="342">
    <w:p w14:paraId="73F32876" w14:textId="6CF35A03"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Recommendation No. 38/2009 of the CNDH of October 16, 2006 (evidence file, folios 504 to 506). </w:t>
      </w:r>
    </w:p>
  </w:footnote>
  <w:footnote w:id="343">
    <w:p w14:paraId="655A50A2" w14:textId="78923F06"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Thus, for example, Cristina Sánchez Hernández recounted that “[t]he </w:t>
      </w:r>
      <w:r w:rsidRPr="00104227">
        <w:rPr>
          <w:i/>
          <w:iCs/>
          <w:lang w:val="en-US"/>
        </w:rPr>
        <w:t>grenadiers</w:t>
      </w:r>
      <w:r w:rsidRPr="00104227">
        <w:rPr>
          <w:lang w:val="en-US"/>
        </w:rPr>
        <w:t xml:space="preserve"> were there and we asked them to let us through, that we had nothing to do with the situation and asked for permission to leave, but they said no, that we were fucked because we were already there and we would just have to be sorry; […] the police agents […] did not ask whether or not you were involved, simply “here you are and here you go’ to everyone.” Affidavit made by Cristina Sánchez Hernández on October 31, 2017 (evidence file, folio 37173). She also stated that an agent of the Public Prosecution Service told her that it was not worth trying to explain anything because “it was as if you were in a car and ran over someone who had crossed in front of you, and even though it was not intentional, you were there and were responsible.” Statements and briefs of the eleven victims before the Social Institution (evidence file, folio 32058). Suhelen Gabriela Cuevas Jaramillo recalled that “they did not respect children, dogs or old people, they did not respect anyone.” Statement made by Suhelen Gabriela Cuevas Jaramillo during the public hearing held before the Court.</w:t>
      </w:r>
    </w:p>
  </w:footnote>
  <w:footnote w:id="344">
    <w:p w14:paraId="54D43B68" w14:textId="6F624C38"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CNDH Recommendation No. 38/2006 of October 16, 2006 (evidence file, folio 28529). </w:t>
      </w:r>
    </w:p>
  </w:footnote>
  <w:footnote w:id="345">
    <w:p w14:paraId="6CF7D57A" w14:textId="2DE3D6D2"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López Álvarez v. Honduras. Merits, reparations and costs.</w:t>
      </w:r>
      <w:r w:rsidRPr="00104227">
        <w:rPr>
          <w:lang w:val="en-US"/>
        </w:rPr>
        <w:t xml:space="preserve"> Judgment of February 1, 2006. Series C No. 141, para. 66.</w:t>
      </w:r>
    </w:p>
  </w:footnote>
  <w:footnote w:id="346">
    <w:p w14:paraId="755623F8" w14:textId="73B4FB2B"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w:t>
      </w:r>
      <w:r w:rsidRPr="00104227">
        <w:rPr>
          <w:i/>
          <w:lang w:val="en-US"/>
        </w:rPr>
        <w:t>Case of Yvon Neptune v. Haiti. Merits, reparations and costs.</w:t>
      </w:r>
      <w:r w:rsidRPr="00104227">
        <w:rPr>
          <w:lang w:val="en-US"/>
        </w:rPr>
        <w:t xml:space="preserve"> Judgment of May 6, 2008. Series C No. 180, para. 109, and </w:t>
      </w:r>
      <w:r w:rsidRPr="00104227">
        <w:rPr>
          <w:i/>
          <w:lang w:val="en-US"/>
        </w:rPr>
        <w:t>Case of Espinoza Gonzáles v. Peru. Preliminary objections, merits, reparations and costs.</w:t>
      </w:r>
      <w:r w:rsidRPr="00104227">
        <w:rPr>
          <w:lang w:val="en-US"/>
        </w:rPr>
        <w:t xml:space="preserve"> Judgment of November 20, 2014. Series C No. 289, para. 124. </w:t>
      </w:r>
      <w:r w:rsidRPr="00104227">
        <w:rPr>
          <w:iCs/>
          <w:lang w:val="en-US"/>
        </w:rPr>
        <w:t>See also,</w:t>
      </w:r>
      <w:r w:rsidRPr="00104227">
        <w:rPr>
          <w:lang w:val="en-US"/>
        </w:rPr>
        <w:t xml:space="preserve"> </w:t>
      </w:r>
      <w:r w:rsidRPr="00104227">
        <w:rPr>
          <w:i/>
          <w:lang w:val="en-US"/>
        </w:rPr>
        <w:t>Case of Herrera Espinoza et al. v. Ecuador. Preliminary objections, merits, reparations and costs.</w:t>
      </w:r>
      <w:r w:rsidRPr="00104227">
        <w:rPr>
          <w:lang w:val="en-US"/>
        </w:rPr>
        <w:t xml:space="preserve"> Judgment of September 1, 2016. Series C No. 316, para. 154.</w:t>
      </w:r>
    </w:p>
  </w:footnote>
  <w:footnote w:id="347">
    <w:p w14:paraId="28D20D8F" w14:textId="108163C8" w:rsidR="0080773E" w:rsidRPr="00104227" w:rsidRDefault="0080773E" w:rsidP="00E33210">
      <w:pPr>
        <w:pStyle w:val="Textonotapie"/>
        <w:tabs>
          <w:tab w:val="left" w:pos="426"/>
        </w:tabs>
        <w:spacing w:before="120" w:after="120"/>
        <w:rPr>
          <w:lang w:val="en-US"/>
        </w:rPr>
      </w:pPr>
      <w:r w:rsidRPr="00104227">
        <w:rPr>
          <w:rStyle w:val="Refdenotaalpie"/>
          <w:lang w:val="en-US"/>
        </w:rPr>
        <w:footnoteRef/>
      </w:r>
      <w:r w:rsidRPr="00104227">
        <w:rPr>
          <w:i/>
          <w:lang w:val="en-US"/>
        </w:rPr>
        <w:t xml:space="preserve"> </w:t>
      </w:r>
      <w:r w:rsidRPr="00104227">
        <w:rPr>
          <w:i/>
          <w:lang w:val="en-US"/>
        </w:rPr>
        <w:tab/>
        <w:t xml:space="preserve">Cf. Case of Tibi v. Ecuador. Preliminary objections, merits, reparations and costs. </w:t>
      </w:r>
      <w:r w:rsidRPr="00104227">
        <w:rPr>
          <w:lang w:val="en-US"/>
        </w:rPr>
        <w:t xml:space="preserve">Judgment of September 7, 2004. Series C No. 114, para. 187, and </w:t>
      </w:r>
      <w:r w:rsidRPr="00104227">
        <w:rPr>
          <w:i/>
          <w:lang w:val="en-US"/>
        </w:rPr>
        <w:t>Case of Herrera Espinoza et al. v. Ecuador. Preliminary objections, merits, reparations and costs.</w:t>
      </w:r>
      <w:r w:rsidRPr="00104227">
        <w:rPr>
          <w:lang w:val="en-US"/>
        </w:rPr>
        <w:t xml:space="preserve"> Judgment of September 1, 2016. Series C No. 316, </w:t>
      </w:r>
      <w:r w:rsidRPr="00104227">
        <w:rPr>
          <w:bCs/>
          <w:iCs/>
          <w:lang w:val="en-US"/>
        </w:rPr>
        <w:t>para. 182.</w:t>
      </w:r>
    </w:p>
  </w:footnote>
  <w:footnote w:id="348">
    <w:p w14:paraId="1D5EEAC3" w14:textId="6781064F" w:rsidR="0080773E" w:rsidRPr="00104227" w:rsidRDefault="0080773E" w:rsidP="002755DF">
      <w:pPr>
        <w:pStyle w:val="Textonotapie"/>
        <w:tabs>
          <w:tab w:val="left" w:pos="426"/>
        </w:tabs>
        <w:rPr>
          <w:lang w:val="en-US"/>
        </w:rPr>
      </w:pPr>
      <w:r w:rsidRPr="00104227">
        <w:rPr>
          <w:rStyle w:val="Refdenotaalpie"/>
          <w:rFonts w:eastAsia="Calibri"/>
          <w:lang w:val="en-US"/>
        </w:rPr>
        <w:footnoteRef/>
      </w:r>
      <w:r w:rsidRPr="00104227">
        <w:rPr>
          <w:rFonts w:cs="Arial"/>
          <w:i/>
          <w:lang w:val="en-US"/>
        </w:rPr>
        <w:t xml:space="preserve"> </w:t>
      </w:r>
      <w:r w:rsidRPr="00104227">
        <w:rPr>
          <w:rFonts w:cs="Arial"/>
          <w:i/>
          <w:lang w:val="en-US"/>
        </w:rPr>
        <w:tab/>
        <w:t xml:space="preserve">Cf. </w:t>
      </w:r>
      <w:r w:rsidRPr="00104227">
        <w:rPr>
          <w:i/>
          <w:lang w:val="en-US"/>
        </w:rPr>
        <w:t>Case of Barreto Leiva v. Venezuela. Merits, reparations and costs.</w:t>
      </w:r>
      <w:r w:rsidRPr="00104227">
        <w:rPr>
          <w:lang w:val="en-US"/>
        </w:rPr>
        <w:t xml:space="preserve"> Judgment of November 17, 2009. Series C No. 206, para. 30, and </w:t>
      </w:r>
      <w:r w:rsidRPr="00104227">
        <w:rPr>
          <w:i/>
          <w:lang w:val="en-US"/>
        </w:rPr>
        <w:t>Case of Herrera Espinoza et al. v. Ecuador. Preliminary objections, merits, reparations and costs.</w:t>
      </w:r>
      <w:r w:rsidRPr="00104227">
        <w:rPr>
          <w:lang w:val="en-US"/>
        </w:rPr>
        <w:t xml:space="preserve"> Judgment of September 1, 2016. Series C No. 316, </w:t>
      </w:r>
      <w:r w:rsidRPr="00104227">
        <w:rPr>
          <w:bCs/>
          <w:iCs/>
          <w:lang w:val="en-US"/>
        </w:rPr>
        <w:t>para. 182.</w:t>
      </w:r>
    </w:p>
  </w:footnote>
  <w:footnote w:id="349">
    <w:p w14:paraId="70034D13" w14:textId="5E62A075" w:rsidR="0080773E" w:rsidRPr="00104227" w:rsidRDefault="0080773E" w:rsidP="00A82EAE">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IACHR, Merits Report No. 74/15 of October 28, 2015 (merits file, folios 122, 126, 129, 134, 136, 138 and 143). (i) Yolanda Muñoz Diosdada explained that she “did not want to make a statement because [she] did not know what [she] was accused of”; (ii) Mariana Selvas Gómez recounted that “they wanted to take a statement but they did not identify themselves or tell [the women] why they had brought” them to the prison, and that she did not know the reasons for her detention until May 10, when the formal order of imprisonment was issued; (iii) Ana María Velasco Rodríguez recounted that they “took [her] fingerprints and photograph, asking her to hold up a piece of wood with [her] name, a number and the indication of ‘unspecified offense’, but at no time did they tell [her] why [she] was there […] of what offense [she] was accused”; (iv) Bárbara Italia Méndez Moreno described how she was taken to make a statement “before someone who she later found out was an agent of the Public Prosecution Service, because at the time he did not identify himself,” and that “[u]naware of legal procedures, [she] asked what she was accused of and the agent told [her] that the offense was unknown”; consequently, she reserved her right to make a statement, and (v) Angélica Patricia Torres Linares recalled that she was taken to the prison dining hall where “there were some men waiting to take our statements,” and that she “did not understand who they were; she only knew that [she] could reserve her right to make a statement, and that is what [she] did.” Statement by Yolanda Muñoz Diosdada before the FEVIM on June 15, 2006 (evidence file, folio 709); statement by Mariana Selvas Gómez before the FEVIM on May 25, 2006 (evidence file, folio 1016); video of the statement by Mariana Selvas Gómez (evidence file, folios 1009 and 1010); statement and expansion of the complaint before the FEVIM on June 15, 2006 (evidence file, folio 1223). </w:t>
      </w:r>
      <w:r w:rsidRPr="00104227">
        <w:rPr>
          <w:iCs/>
          <w:lang w:val="en-US"/>
        </w:rPr>
        <w:t>See also,</w:t>
      </w:r>
      <w:r w:rsidRPr="00104227">
        <w:rPr>
          <w:lang w:val="en-US"/>
        </w:rPr>
        <w:t xml:space="preserve"> affidavit made by Ana María Velasco Rodríguez, victim in this case, on October 31, 2017 (evidence file, folio 37161); expansion of the complaint by Bárbara Italia Méndez Moreno before the FEVIM on June 14, 2006 (evidence file, folio 1442); statement by Angélica Patricia Torres Linares during preliminary inquiry TOL/DR/I/466/2006 (evidence file, folio 1508). Also, on May 24, four of the eleven women victims in this case advised the CNDH that the authorities had not informed them of the reason for their detention. </w:t>
      </w:r>
      <w:r w:rsidRPr="00104227">
        <w:rPr>
          <w:i/>
          <w:lang w:val="en-US"/>
        </w:rPr>
        <w:t>Cf.</w:t>
      </w:r>
      <w:r w:rsidRPr="00104227">
        <w:rPr>
          <w:lang w:val="en-US"/>
        </w:rPr>
        <w:t xml:space="preserve"> Detailed record of the Deputy Inspector of May 24, 2006, with regard to several persons on hunger strike (evidence file, folio 1596).</w:t>
      </w:r>
    </w:p>
  </w:footnote>
  <w:footnote w:id="350">
    <w:p w14:paraId="49B0B8EE" w14:textId="6489406F"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IACHR, Merits Report No. 74/15 of October 28, 2015 (merits file, folios 122, 126, 129, 136, 138 and 143). In addition, Yolanda Muñoz Diosdada indicated that they “were never able to ask for help, file complaints, nothing; because [they] were kept incommunicado.” Statement by Yolanda Muñoz Diosdada before the FEVIM on June 15, 2006 (evidence file, folio 709). María Patricia Romero Hernández recounted that “even though they appointed her a defense counsel, she never had contact with him and he did not advise her of her rights.” Report of the CNDH of May 6, 2006 (evidence file, folio 835). The CNDH also documented, with regard to three of the eleven women victims in this case, that “there was no evidence that legal counsel had been provided by the State, even though she indicated that she had not been </w:t>
      </w:r>
      <w:bookmarkStart w:id="323" w:name="_Hlk30151563"/>
      <w:r w:rsidRPr="00104227">
        <w:rPr>
          <w:spacing w:val="-3"/>
          <w:lang w:val="en-US"/>
        </w:rPr>
        <w:t>assisted by legal counsel of her own choosing</w:t>
      </w:r>
      <w:bookmarkEnd w:id="323"/>
      <w:r w:rsidRPr="00104227">
        <w:rPr>
          <w:spacing w:val="-3"/>
          <w:lang w:val="en-US"/>
        </w:rPr>
        <w:t xml:space="preserve"> or a private lawyer,” while in the other eight cases, it noted that “the […] corresponding public defender failed to handle the defense of their cases starting when [the women] were contacted by the investigating authority.” </w:t>
      </w:r>
      <w:r w:rsidRPr="00104227">
        <w:rPr>
          <w:i/>
          <w:lang w:val="en-US"/>
        </w:rPr>
        <w:t>Cf.</w:t>
      </w:r>
      <w:r w:rsidRPr="00104227">
        <w:rPr>
          <w:lang w:val="en-US"/>
        </w:rPr>
        <w:t xml:space="preserve"> CNDH Recommendation No. 38/2006 of October 16, 2006 (evidence file, folios 28927, 29142, 29204, 29392, 29393, 29459, 29764, 29784, 29855, 29924, 29999. 30081 and 30082).</w:t>
      </w:r>
    </w:p>
  </w:footnote>
  <w:footnote w:id="351">
    <w:p w14:paraId="1BB35303" w14:textId="33875088"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80773E">
        <w:rPr>
          <w:lang w:val="es-CR"/>
        </w:rPr>
        <w:t xml:space="preserve"> </w:t>
      </w:r>
      <w:r w:rsidRPr="0080773E">
        <w:rPr>
          <w:lang w:val="es-CR"/>
        </w:rPr>
        <w:tab/>
        <w:t xml:space="preserve">Yolanda Muñoz Diosdada, Ana María Velasco Rodríguez and María Cristina Sánchez Hernández were detained on May 3. </w:t>
      </w:r>
      <w:r w:rsidRPr="00104227">
        <w:rPr>
          <w:lang w:val="en-US"/>
        </w:rPr>
        <w:t xml:space="preserve">The same day, the SPEM16 opened preliminary inquiry TOL/MD/I/330/2006. On May 7, 2006, they were brought before the Second Criminal Trial Court of Toluca for the offenses of attacks on highways and means of transportation, felony kidnapping, and organized crime. Norma Aidé Jiménez Osorio, Mariana Selvas Gómez, Georgina Edith Rosales Gutiérrez, Suhelen Gabriela Cuevas Jaramillo, Bárbara Italia Méndez Moreno, Angélica Patricia Torres Linares and Claudia Hernández Martínez were detained on May 4. The same day, the SPEM19 opened preliminary inquiry TOL/MD/III/332/2006. On May 7, 2006, they were brought before the Second Criminal Trial Court of Toluca for the offense of felony kidnapping and its consequences. On May 10, in the context of criminal proceedings 96/2006, preventive detention was ordered for ten women, while awaiting trial for the offense of attacks on highways and means of transportation, as well as for felony kidnapping in the case of Suhelen Gabriela Cuevas Jaramillo. In addition, María Patricia Romero Hernández was detained on May 3. The same day, the SPEM9 opened preliminary inquiry TEX/AMOD/III/603/2006. On May 4, 2006, she was brought before the Second Criminal Trial Court of Toluca for the offenses of carrying a prohibited weapon, assault and malicious injury. On May 10, 2006, in the context of criminal proceedings 95/2006, her preventive detention was ordered while awaiting trial for the offenses of carrying a prohibited weapon and injury. </w:t>
      </w:r>
      <w:r w:rsidRPr="00104227">
        <w:rPr>
          <w:i/>
          <w:lang w:val="en-US"/>
        </w:rPr>
        <w:t>Cf.</w:t>
      </w:r>
      <w:r w:rsidRPr="00104227">
        <w:rPr>
          <w:lang w:val="en-US"/>
        </w:rPr>
        <w:t xml:space="preserve"> CNDH Recommendation No. 38/2006 of October 16, 2006 (evidence file, folios 28923, 29139, 29201, 29389, 29456, 29761, 29780, 29781, 29851, 29852, 29921, 29996 and 30078); order on the constitutional time limit of the preventive detention of the victim, María Patricia Romero Hernández (evidence file, folios 32110, 32111 and 32238), and order on the constitutional time limit of the preventive detention of several victims (evidence file, folios 32242 to 32252 and 32580 to 32583). </w:t>
      </w:r>
    </w:p>
  </w:footnote>
  <w:footnote w:id="352">
    <w:p w14:paraId="498457AE" w14:textId="08CBBB01"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w:t>
      </w:r>
      <w:r w:rsidRPr="00104227">
        <w:rPr>
          <w:i/>
          <w:lang w:val="en-US"/>
        </w:rPr>
        <w:t>Case of García Asto and Ramírez Rojas v. Peru.</w:t>
      </w:r>
      <w:r w:rsidRPr="00104227">
        <w:rPr>
          <w:lang w:val="en-US"/>
        </w:rPr>
        <w:t xml:space="preserve"> Judgment of November 25, 2005. Series C No. 137, paras. 128 and 129, and </w:t>
      </w:r>
      <w:r w:rsidRPr="00104227">
        <w:rPr>
          <w:i/>
          <w:lang w:val="en-US"/>
        </w:rPr>
        <w:t>Case of Amrhein v. Costa Rica. Preliminary objections, merits, reparations and costs.</w:t>
      </w:r>
      <w:r w:rsidRPr="00104227">
        <w:rPr>
          <w:lang w:val="en-US"/>
        </w:rPr>
        <w:t xml:space="preserve"> Judgment of April 25, 2018. Series C No. 354, para. 356. </w:t>
      </w:r>
    </w:p>
  </w:footnote>
  <w:footnote w:id="353">
    <w:p w14:paraId="752493E3" w14:textId="1F06F3E7"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Servellón García</w:t>
      </w:r>
      <w:r w:rsidRPr="00104227">
        <w:rPr>
          <w:lang w:val="en-US"/>
        </w:rPr>
        <w:t xml:space="preserve">. Judgment of September 21, 2006. Series C No. 152, para. 90, and </w:t>
      </w:r>
      <w:r w:rsidRPr="00104227">
        <w:rPr>
          <w:i/>
          <w:lang w:val="en-US"/>
        </w:rPr>
        <w:t>Case of Amrhein et al. v. Costa Rica.</w:t>
      </w:r>
      <w:r w:rsidRPr="00104227">
        <w:rPr>
          <w:lang w:val="en-US"/>
        </w:rPr>
        <w:t xml:space="preserve"> </w:t>
      </w:r>
      <w:r w:rsidRPr="00104227">
        <w:rPr>
          <w:i/>
          <w:lang w:val="en-US"/>
        </w:rPr>
        <w:t xml:space="preserve">Preliminary objections, merits, reparations and costs. </w:t>
      </w:r>
      <w:r w:rsidRPr="00104227">
        <w:rPr>
          <w:lang w:val="en-US"/>
        </w:rPr>
        <w:t>Judgment of April 25, 2018. Series C No. 354, para. 353.</w:t>
      </w:r>
    </w:p>
  </w:footnote>
  <w:footnote w:id="354">
    <w:p w14:paraId="174A57F7" w14:textId="1D59C148"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Barreto Leiva v. Venezuela. Merits, reparations and costs.</w:t>
      </w:r>
      <w:r w:rsidRPr="00104227">
        <w:rPr>
          <w:lang w:val="en-US"/>
        </w:rPr>
        <w:t xml:space="preserve"> Judgment of November 17, 2009. Series C No. 206, para. 115, and </w:t>
      </w:r>
      <w:r w:rsidRPr="00104227">
        <w:rPr>
          <w:i/>
          <w:lang w:val="en-US"/>
        </w:rPr>
        <w:t xml:space="preserve">Case of Wong Ho Wing v. Peru. Preliminary objection, merits, reparations and costs. </w:t>
      </w:r>
      <w:r w:rsidRPr="00104227">
        <w:rPr>
          <w:lang w:val="en-US"/>
        </w:rPr>
        <w:t xml:space="preserve">Judgment of June 30, 2015. Series C No. 297, para. 250. </w:t>
      </w:r>
    </w:p>
  </w:footnote>
  <w:footnote w:id="355">
    <w:p w14:paraId="5F014D16" w14:textId="05C4D95E"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 xml:space="preserve">Order on the constitutional time limit of the preventive detention of the victim, Patricia Romero Hernández (evidence file, folios 32110 and 32238), and order on the constitutional time limit of the preventive detention of several victims (evidence file, folios 32253, 32254 and 32580 a 32583). </w:t>
      </w:r>
    </w:p>
  </w:footnote>
  <w:footnote w:id="356">
    <w:p w14:paraId="190AC056" w14:textId="38A97038"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Case of Suárez Rosero v. Ecuador. Merits. </w:t>
      </w:r>
      <w:r w:rsidRPr="00104227">
        <w:rPr>
          <w:lang w:val="en-US"/>
        </w:rPr>
        <w:t xml:space="preserve">Judgment of November 12, 1997. Series C No. 35, para. 77, and </w:t>
      </w:r>
      <w:r w:rsidRPr="00104227">
        <w:rPr>
          <w:i/>
          <w:lang w:val="en-US"/>
        </w:rPr>
        <w:t>Case of López Álvarez v. Honduras. Merits, reparations and costs.</w:t>
      </w:r>
      <w:r w:rsidRPr="00104227">
        <w:rPr>
          <w:lang w:val="en-US"/>
        </w:rPr>
        <w:t xml:space="preserve"> Judgment of February 1, 2006. Series C No. 141, paras. 68 and 69. </w:t>
      </w:r>
    </w:p>
  </w:footnote>
  <w:footnote w:id="357">
    <w:p w14:paraId="4C8159CA" w14:textId="15D8F23A"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Case of Suárez Rosero v. Ecuador. Merits. </w:t>
      </w:r>
      <w:r w:rsidRPr="00104227">
        <w:rPr>
          <w:lang w:val="en-US"/>
        </w:rPr>
        <w:t xml:space="preserve">Judgment of November 12, 1997. Series C No. 35, para. 77, and </w:t>
      </w:r>
      <w:r w:rsidRPr="00104227">
        <w:rPr>
          <w:i/>
          <w:lang w:val="en-US"/>
        </w:rPr>
        <w:t>Case of Bayarri v. Argentina. Preliminary objection, merits, reparations and costs.</w:t>
      </w:r>
      <w:r w:rsidRPr="00104227">
        <w:rPr>
          <w:lang w:val="en-US"/>
        </w:rPr>
        <w:t xml:space="preserve"> Judgment of October 30, 2008. Series C No, 187, para. 69.</w:t>
      </w:r>
    </w:p>
  </w:footnote>
  <w:footnote w:id="358">
    <w:p w14:paraId="01548583" w14:textId="28FED262"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Bayarri v. Argentina. Preliminary objection, merits, reparations and costs.</w:t>
      </w:r>
      <w:r w:rsidRPr="00104227">
        <w:rPr>
          <w:lang w:val="en-US"/>
        </w:rPr>
        <w:t xml:space="preserve"> Judgment of October 30, 2008. Series C No, 187, para. 74, and </w:t>
      </w:r>
      <w:r w:rsidRPr="00104227">
        <w:rPr>
          <w:i/>
          <w:lang w:val="en-US"/>
        </w:rPr>
        <w:t>Case of J. v. Peru. Preliminary objection, merits, reparations and costs.</w:t>
      </w:r>
      <w:r w:rsidRPr="00104227">
        <w:rPr>
          <w:lang w:val="en-US"/>
        </w:rPr>
        <w:t xml:space="preserve"> Judgment of November 27, 2013. Series C No. 275, para. 163.</w:t>
      </w:r>
    </w:p>
  </w:footnote>
  <w:footnote w:id="359">
    <w:p w14:paraId="73F305F3" w14:textId="6F666C98" w:rsidR="0080773E" w:rsidRPr="00104227" w:rsidRDefault="0080773E" w:rsidP="002F0E51">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The Court notes that the State refers to the “release” [</w:t>
      </w:r>
      <w:r w:rsidRPr="00104227">
        <w:rPr>
          <w:i/>
          <w:iCs/>
          <w:lang w:val="en-US"/>
        </w:rPr>
        <w:t>externación</w:t>
      </w:r>
      <w:r w:rsidRPr="00104227">
        <w:rPr>
          <w:lang w:val="en-US"/>
        </w:rPr>
        <w:t>] of those indicated, a term that would appear to refer to the moment when the court took the decision to release them on bail, which might or might not be the date on which the women left prison.</w:t>
      </w:r>
    </w:p>
  </w:footnote>
  <w:footnote w:id="360">
    <w:p w14:paraId="1ED4D20D" w14:textId="0928182E"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The facts acknowledged by the State reveal that Claudia Hernández Martínez was released on January 26, 2007, almost nine months after her detention. Norma Aidé Jiménez Osorio was released on April 16, 2007, more than 11 months after her detention. Mariana Selvas Gómez was released on April 30, 2007, almost a year after being detained. Suhelen Gabriela Cuevas Jaramillo and Georgina Edith Rosales Gutiérrez were released on June 2 and 4, 2007, respectively, 13 months after their detention. Finally, María Patricia Romero Hernández was released on August 29, 2008, after being sentenced to four years’ imprisonment and a fine equal to 205 days, and having received the benefit of commutation of the prison sentence. </w:t>
      </w:r>
      <w:r w:rsidRPr="00104227">
        <w:rPr>
          <w:i/>
          <w:iCs/>
          <w:lang w:val="en-US"/>
        </w:rPr>
        <w:t>Cf.</w:t>
      </w:r>
      <w:r w:rsidRPr="00104227">
        <w:rPr>
          <w:lang w:val="en-US"/>
        </w:rPr>
        <w:t xml:space="preserve"> Judgment of the Third Criminal Trial Court of Texcoco of August 21, 2008 (evidence file, folios 41949 to 42335). </w:t>
      </w:r>
    </w:p>
  </w:footnote>
  <w:footnote w:id="361">
    <w:p w14:paraId="43994ED6" w14:textId="03A00F98" w:rsidR="0080773E" w:rsidRPr="00104227" w:rsidRDefault="0080773E" w:rsidP="002755DF">
      <w:pPr>
        <w:pStyle w:val="Textonotapie"/>
        <w:tabs>
          <w:tab w:val="left" w:pos="426"/>
        </w:tabs>
        <w:spacing w:before="120" w:after="120"/>
        <w:rPr>
          <w:rFonts w:cs="Tahoma"/>
          <w:color w:val="000000"/>
          <w:lang w:val="en-US"/>
        </w:rPr>
      </w:pPr>
      <w:r w:rsidRPr="00104227">
        <w:rPr>
          <w:rStyle w:val="Refdenotaalpie"/>
          <w:lang w:val="en-US"/>
        </w:rPr>
        <w:footnoteRef/>
      </w:r>
      <w:r w:rsidRPr="00104227">
        <w:rPr>
          <w:rFonts w:cs="Tahoma"/>
          <w:color w:val="000000"/>
          <w:lang w:val="en-US"/>
        </w:rPr>
        <w:tab/>
      </w:r>
      <w:r w:rsidRPr="00104227">
        <w:rPr>
          <w:lang w:val="en-US"/>
        </w:rPr>
        <w:t>Article 8(1) of the Convention establishes that:</w:t>
      </w:r>
      <w:r w:rsidRPr="00104227">
        <w:rPr>
          <w:rFonts w:cs="Tahoma"/>
          <w:color w:val="000000"/>
          <w:lang w:val="en-US"/>
        </w:rPr>
        <w:t> “</w:t>
      </w:r>
      <w:r w:rsidRPr="00104227">
        <w:rPr>
          <w:spacing w:val="-3"/>
          <w:lang w:val="en-US"/>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r w:rsidRPr="00104227">
        <w:rPr>
          <w:rFonts w:cs="Tahoma"/>
          <w:color w:val="000000"/>
          <w:lang w:val="en-US"/>
        </w:rPr>
        <w:t>”</w:t>
      </w:r>
    </w:p>
  </w:footnote>
  <w:footnote w:id="362">
    <w:p w14:paraId="6B7237C3" w14:textId="5F845BFD"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Article 25(1) of the Convention establishes that:</w:t>
      </w:r>
      <w:r w:rsidRPr="00104227">
        <w:rPr>
          <w:rFonts w:cs="Tahoma"/>
          <w:color w:val="000000"/>
          <w:lang w:val="en-US"/>
        </w:rPr>
        <w:t> “</w:t>
      </w:r>
      <w:r w:rsidRPr="00104227">
        <w:rPr>
          <w:spacing w:val="-3"/>
          <w:lang w:val="en-US"/>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r w:rsidRPr="00104227">
        <w:rPr>
          <w:rFonts w:cs="Tahoma"/>
          <w:color w:val="000000"/>
          <w:lang w:val="en-US"/>
        </w:rPr>
        <w:t>”</w:t>
      </w:r>
    </w:p>
  </w:footnote>
  <w:footnote w:id="363">
    <w:p w14:paraId="17D233BF" w14:textId="7F4D995D"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80773E">
        <w:rPr>
          <w:lang w:val="es-CR"/>
        </w:rPr>
        <w:t xml:space="preserve"> </w:t>
      </w:r>
      <w:r w:rsidRPr="0080773E">
        <w:rPr>
          <w:lang w:val="es-CR"/>
        </w:rPr>
        <w:tab/>
      </w:r>
      <w:r w:rsidRPr="0080773E">
        <w:rPr>
          <w:i/>
          <w:lang w:val="es-CR"/>
        </w:rPr>
        <w:t xml:space="preserve">Cf. Case of Velásquez Rodríguez v. Honduras. </w:t>
      </w:r>
      <w:r w:rsidRPr="00104227">
        <w:rPr>
          <w:i/>
          <w:lang w:val="en-US"/>
        </w:rPr>
        <w:t>Preliminary objections.</w:t>
      </w:r>
      <w:r w:rsidRPr="00104227">
        <w:rPr>
          <w:lang w:val="en-US"/>
        </w:rPr>
        <w:t xml:space="preserve"> Judgment of June 26, 1987. Series C No. 1, para. 91, and </w:t>
      </w:r>
      <w:r w:rsidRPr="00104227">
        <w:rPr>
          <w:i/>
          <w:lang w:val="en-US"/>
        </w:rPr>
        <w:t xml:space="preserve">Case of López Soto et al. v. Venezuela. Merits, reparations and costs. </w:t>
      </w:r>
      <w:r w:rsidRPr="00104227">
        <w:rPr>
          <w:lang w:val="en-US"/>
        </w:rPr>
        <w:t xml:space="preserve">Judgment of September 26, 2018. Series C No. 362, para. 217. </w:t>
      </w:r>
    </w:p>
  </w:footnote>
  <w:footnote w:id="364">
    <w:p w14:paraId="7617DC42" w14:textId="27CC5675"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Case of Bulacio v. Argentina. Merits, reparations and costs. </w:t>
      </w:r>
      <w:r w:rsidRPr="00104227">
        <w:rPr>
          <w:lang w:val="en-US"/>
        </w:rPr>
        <w:t xml:space="preserve">Judgment of September 18, 2003. Series C No. 100, para. 114, and </w:t>
      </w:r>
      <w:r w:rsidRPr="00104227">
        <w:rPr>
          <w:i/>
          <w:lang w:val="en-US"/>
        </w:rPr>
        <w:t xml:space="preserve">Case of López Soto et al. v. Venezuela. Merits, reparations and costs. </w:t>
      </w:r>
      <w:r w:rsidRPr="00104227">
        <w:rPr>
          <w:lang w:val="en-US"/>
        </w:rPr>
        <w:t>Judgment of September 26, 2018. Series C No. 362, para. 217.</w:t>
      </w:r>
    </w:p>
  </w:footnote>
  <w:footnote w:id="365">
    <w:p w14:paraId="0C69C0D2" w14:textId="45B472FF"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w:t>
      </w:r>
      <w:r w:rsidRPr="00104227">
        <w:rPr>
          <w:i/>
          <w:lang w:val="en-US"/>
        </w:rPr>
        <w:t>Case of Fernández Ortega et al. v. Mexico. Preliminary objection, merits, reparations and costs</w:t>
      </w:r>
      <w:r w:rsidRPr="00104227">
        <w:rPr>
          <w:lang w:val="en-US"/>
        </w:rPr>
        <w:t xml:space="preserve">. Judgment of August 30, 2010. Series C No. 215, para. 193, and </w:t>
      </w:r>
      <w:r w:rsidRPr="00104227">
        <w:rPr>
          <w:i/>
          <w:lang w:val="en-US"/>
        </w:rPr>
        <w:t xml:space="preserve">Case of V.R.P., V.P.C. et al. v. Nicaragua. Preliminary objections, merits, reparations and costs. </w:t>
      </w:r>
      <w:r w:rsidRPr="00104227">
        <w:rPr>
          <w:lang w:val="en-US"/>
        </w:rPr>
        <w:t>Judgment of March 8, 2018. Series C No. 350</w:t>
      </w:r>
      <w:r w:rsidRPr="00104227">
        <w:rPr>
          <w:i/>
          <w:lang w:val="en-US"/>
        </w:rPr>
        <w:t>,</w:t>
      </w:r>
      <w:r w:rsidRPr="00104227">
        <w:rPr>
          <w:lang w:val="en-US"/>
        </w:rPr>
        <w:t xml:space="preserve"> para. 152.</w:t>
      </w:r>
      <w:r w:rsidRPr="00104227">
        <w:rPr>
          <w:i/>
          <w:lang w:val="en-US"/>
        </w:rPr>
        <w:t xml:space="preserve"> </w:t>
      </w:r>
    </w:p>
  </w:footnote>
  <w:footnote w:id="366">
    <w:p w14:paraId="501700E5" w14:textId="127BC524"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i/>
          <w:lang w:val="en-US"/>
        </w:rPr>
        <w:t xml:space="preserve"> </w:t>
      </w:r>
      <w:r w:rsidRPr="00104227">
        <w:rPr>
          <w:i/>
          <w:lang w:val="en-US"/>
        </w:rPr>
        <w:tab/>
        <w:t>Cf. Case of Fernández Ortega et al. v. Mexico. Preliminary objection, merits, reparations and costs</w:t>
      </w:r>
      <w:r w:rsidRPr="00104227">
        <w:rPr>
          <w:lang w:val="en-US"/>
        </w:rPr>
        <w:t>. Judgment of August 30, 2010. Series C No. 215</w:t>
      </w:r>
      <w:r w:rsidRPr="00104227">
        <w:rPr>
          <w:i/>
          <w:lang w:val="en-US"/>
        </w:rPr>
        <w:t xml:space="preserve">, </w:t>
      </w:r>
      <w:r w:rsidRPr="00104227">
        <w:rPr>
          <w:lang w:val="en-US"/>
        </w:rPr>
        <w:t>para. 194</w:t>
      </w:r>
      <w:r w:rsidRPr="00104227">
        <w:rPr>
          <w:i/>
          <w:lang w:val="en-US"/>
        </w:rPr>
        <w:t xml:space="preserve">, and Case of V.R.P., V.P.C. et al. v. Nicaragua. Preliminary objections, merits, reparations and costs. </w:t>
      </w:r>
      <w:r w:rsidRPr="00104227">
        <w:rPr>
          <w:lang w:val="en-US"/>
        </w:rPr>
        <w:t>Judgment of March 8, 2018. Series C No. 350,</w:t>
      </w:r>
      <w:r w:rsidRPr="00104227">
        <w:rPr>
          <w:i/>
          <w:lang w:val="en-US"/>
        </w:rPr>
        <w:t xml:space="preserve"> </w:t>
      </w:r>
      <w:r w:rsidRPr="00104227">
        <w:rPr>
          <w:lang w:val="en-US"/>
        </w:rPr>
        <w:t>para. 154.</w:t>
      </w:r>
    </w:p>
  </w:footnote>
  <w:footnote w:id="367">
    <w:p w14:paraId="1D8A2B68" w14:textId="54DEBDDD"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UN, Office of the United Nations High Commissioner for Human Rights, </w:t>
      </w:r>
      <w:r w:rsidRPr="00104227">
        <w:rPr>
          <w:i/>
          <w:lang w:val="en-US"/>
        </w:rPr>
        <w:t>Istanbul Protocol (Manual</w:t>
      </w:r>
      <w:r w:rsidRPr="00104227">
        <w:rPr>
          <w:rStyle w:val="Ttulo1Car"/>
          <w:sz w:val="16"/>
          <w:lang w:val="en-US"/>
        </w:rPr>
        <w:t xml:space="preserve"> </w:t>
      </w:r>
      <w:r w:rsidRPr="00104227">
        <w:rPr>
          <w:rStyle w:val="st"/>
          <w:i/>
          <w:iCs/>
          <w:lang w:val="en-US"/>
        </w:rPr>
        <w:t>on the Effective Investigation and. Documentation of Torture and Other Cruel, Inhuman or Degrading Treatment or Punishment</w:t>
      </w:r>
      <w:r w:rsidRPr="00104227">
        <w:rPr>
          <w:i/>
          <w:lang w:val="en-US"/>
        </w:rPr>
        <w:t>)</w:t>
      </w:r>
      <w:r w:rsidRPr="00104227">
        <w:rPr>
          <w:lang w:val="en-US"/>
        </w:rPr>
        <w:t xml:space="preserve">, New York and Geneva, 2004, paras. 100 and 135 to 141, and </w:t>
      </w:r>
      <w:r w:rsidRPr="00104227">
        <w:rPr>
          <w:i/>
          <w:lang w:val="en-US"/>
        </w:rPr>
        <w:t>Case of Espinoza Gonzáles v. Peru. Preliminary objections, merits, reparations and costs.</w:t>
      </w:r>
      <w:r w:rsidRPr="00104227">
        <w:rPr>
          <w:lang w:val="en-US"/>
        </w:rPr>
        <w:t xml:space="preserve"> Judgment of November 20, 2014. Series C No. 289, para. 248. </w:t>
      </w:r>
    </w:p>
  </w:footnote>
  <w:footnote w:id="368">
    <w:p w14:paraId="58B002EE" w14:textId="3EAD1C7E"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Fernández Ortega et al. v. Mexico. Preliminary objection, merits, reparations and costs</w:t>
      </w:r>
      <w:r w:rsidRPr="00104227">
        <w:rPr>
          <w:lang w:val="en-US"/>
        </w:rPr>
        <w:t>. Judgment of August 30, 2010. Series C No. 215</w:t>
      </w:r>
      <w:r w:rsidRPr="00104227">
        <w:rPr>
          <w:i/>
          <w:lang w:val="en-US"/>
        </w:rPr>
        <w:t xml:space="preserve"> </w:t>
      </w:r>
      <w:r w:rsidRPr="00104227">
        <w:rPr>
          <w:lang w:val="en-US"/>
        </w:rPr>
        <w:t xml:space="preserve">para. 194, and </w:t>
      </w:r>
      <w:r w:rsidRPr="00104227">
        <w:rPr>
          <w:i/>
          <w:lang w:val="en-US"/>
        </w:rPr>
        <w:t>Case of Espinoza Gonzáles v. Peru. Preliminary objections, merits, reparations and costs</w:t>
      </w:r>
      <w:r w:rsidRPr="00104227">
        <w:rPr>
          <w:lang w:val="en-US"/>
        </w:rPr>
        <w:t xml:space="preserve">. Judgment of November 20, 2014. Series C No. 289, para. 249. </w:t>
      </w:r>
    </w:p>
  </w:footnote>
  <w:footnote w:id="369">
    <w:p w14:paraId="736D4F9B" w14:textId="04164601"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In fact, the Court notes that the authorities told them that they were not there to file complaints, but rather to make a statement with regard to the offenses of which they were accused, or that they would have to file the complaint on their release from prison, and they were even expressly ordered not to include that information in their statement  (</w:t>
      </w:r>
      <w:r w:rsidRPr="00104227">
        <w:rPr>
          <w:i/>
          <w:lang w:val="en-US"/>
        </w:rPr>
        <w:t xml:space="preserve">supra </w:t>
      </w:r>
      <w:r w:rsidRPr="00104227">
        <w:rPr>
          <w:lang w:val="en-US"/>
        </w:rPr>
        <w:t xml:space="preserve">para. </w:t>
      </w:r>
      <w:r w:rsidRPr="00104227">
        <w:rPr>
          <w:lang w:val="en-US"/>
        </w:rPr>
        <w:fldChar w:fldCharType="begin"/>
      </w:r>
      <w:r w:rsidRPr="00104227">
        <w:rPr>
          <w:lang w:val="en-US"/>
        </w:rPr>
        <w:instrText xml:space="preserve"> REF _Ref532935645 \r \h  \* MERGEFORMAT </w:instrText>
      </w:r>
      <w:r w:rsidRPr="00104227">
        <w:rPr>
          <w:lang w:val="en-US"/>
        </w:rPr>
      </w:r>
      <w:r w:rsidRPr="00104227">
        <w:rPr>
          <w:lang w:val="en-US"/>
        </w:rPr>
        <w:fldChar w:fldCharType="separate"/>
      </w:r>
      <w:r w:rsidR="004276BD">
        <w:rPr>
          <w:lang w:val="en-US"/>
        </w:rPr>
        <w:t>105</w:t>
      </w:r>
      <w:r w:rsidRPr="00104227">
        <w:rPr>
          <w:lang w:val="en-US"/>
        </w:rPr>
        <w:fldChar w:fldCharType="end"/>
      </w:r>
      <w:r w:rsidRPr="00104227">
        <w:rPr>
          <w:lang w:val="en-US"/>
        </w:rPr>
        <w:t>). Similarly, the SCJN concluded that, even though “some of the women who said that they had been sexually assaulted indicated this in their initial statement […] this did not lead to prompt inquiries or verification.” SCJN judgment of February 12, 2009 (evidence file, folio 30922).</w:t>
      </w:r>
    </w:p>
  </w:footnote>
  <w:footnote w:id="370">
    <w:p w14:paraId="4E2B2B25" w14:textId="45EB9E79" w:rsidR="0080773E" w:rsidRPr="00104227" w:rsidRDefault="0080773E" w:rsidP="00C030C8">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In this regard, the Court has stipulated that the corresponding reports should include, at least: (a) </w:t>
      </w:r>
      <w:r w:rsidRPr="00104227">
        <w:rPr>
          <w:rFonts w:cs="Arial"/>
          <w:lang w:val="en-US"/>
        </w:rPr>
        <w:t>The circumstances of the interview. The name of the subject and name and affiliation of those present at the examination; the exact time and date, location, nature and address of the institution (including, where appropriate, the room) where the examination is being conducted (e.g. detention centre, clinic, house, etc.); any appropriate circumstances at the time of the examination (e.g. nature of any restraints on arrival or during the examination, presence of law enforcement personnel during the examination, demeanour of those accompanying the prisoner, threatening statements to the examiner, etc.); and any other relevant factor; (b) The background. A detailed record of the subject’s story as given during the interview, including alleged methods of torture or ill-treatment, the time when torture or ill-treatment was alleged to have occurred and all complaints of physical and psychological symptoms; (c) A physical and psychological examination. A record of all physical and psychological findings upon clinical examination including appropriate diagnostic tests and, where possible, colour photographs of all injuries; (d) An opinion. An interpretation as to the probable relationship of physical and psychological findings to possible torture or ill-treatment. A recommendation for any necessary medical and psychological treatment or further examination should also be given, and (e) A record of authorship. The report should clearly identify those carrying out the examination and should be signed.</w:t>
      </w:r>
      <w:r w:rsidRPr="00104227">
        <w:rPr>
          <w:lang w:val="en-US"/>
        </w:rPr>
        <w:t xml:space="preserve"> </w:t>
      </w:r>
      <w:r w:rsidRPr="00104227">
        <w:rPr>
          <w:i/>
          <w:lang w:val="en-US"/>
        </w:rPr>
        <w:t>Cf. Case of Espinoza Gonzáles v. Peru. Preliminary objections, merits, reparations and costs.</w:t>
      </w:r>
      <w:r w:rsidRPr="00104227">
        <w:rPr>
          <w:lang w:val="en-US"/>
        </w:rPr>
        <w:t xml:space="preserve"> Judgment of November 20, 2014. Series C No. 289, para. 251.</w:t>
      </w:r>
    </w:p>
  </w:footnote>
  <w:footnote w:id="371">
    <w:p w14:paraId="1B95DD27" w14:textId="545214C7"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Bayarri v. Argentina. Preliminary objection, merits, reparations and costs.</w:t>
      </w:r>
      <w:r w:rsidRPr="00104227">
        <w:rPr>
          <w:lang w:val="en-US"/>
        </w:rPr>
        <w:t xml:space="preserve"> Judgment of October 30, 2008. Series C No, 187, para. 92, and </w:t>
      </w:r>
      <w:r w:rsidRPr="00104227">
        <w:rPr>
          <w:i/>
          <w:lang w:val="en-US"/>
        </w:rPr>
        <w:t>Case of Espinoza Gonzáles v. Peru. Preliminary objections, merits, reparations and costs.</w:t>
      </w:r>
      <w:r w:rsidRPr="00104227">
        <w:rPr>
          <w:lang w:val="en-US"/>
        </w:rPr>
        <w:t xml:space="preserve"> Judgment of November 20, 2014. Series C No. 289, paras. 258 and 260. </w:t>
      </w:r>
    </w:p>
  </w:footnote>
  <w:footnote w:id="372">
    <w:p w14:paraId="5F51D9D0" w14:textId="2E191D2E"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This examination was not performed until the CNDH applied the Istanbul Protocol to Yolanda Muñoz Diosdada, Norma Aidé Jiménez Osorio, María Patricia Romero Hernández, Mariana Selvas Gómez, Georgina Edith Rosales Gutiérrez, Ana María Velasco Rodríguez and Suhelen Gabriela Cuevas Jaramillo between two and three weeks after their detention. Also, Norma Aidé Jiménez Osorio, María Patricia Romero Hernández, Mariana Selvas Gómez, Georgina Edith Rosales Gutiérrez, Suhelen Gabriela Cuevas Jaramillo, Bárbara Italia Méndez Moreno and Claudia Hernández Martínez had recourse to the CCTI to request application of the Istanbul Protocol and this began on October 24 and 25 in the case of the last two, and between July 11 and 14 for the others (</w:t>
      </w:r>
      <w:r w:rsidRPr="00104227">
        <w:rPr>
          <w:i/>
          <w:lang w:val="en-US"/>
        </w:rPr>
        <w:t xml:space="preserve">supra </w:t>
      </w:r>
      <w:r w:rsidRPr="00104227">
        <w:rPr>
          <w:lang w:val="en-US"/>
        </w:rPr>
        <w:t xml:space="preserve">paras. </w:t>
      </w:r>
      <w:r w:rsidRPr="00104227">
        <w:rPr>
          <w:lang w:val="en-US"/>
        </w:rPr>
        <w:fldChar w:fldCharType="begin"/>
      </w:r>
      <w:r w:rsidRPr="00104227">
        <w:rPr>
          <w:lang w:val="en-US"/>
        </w:rPr>
        <w:instrText xml:space="preserve"> REF _Ref532939823 \r \h  \* MERGEFORMAT </w:instrText>
      </w:r>
      <w:r w:rsidRPr="00104227">
        <w:rPr>
          <w:lang w:val="en-US"/>
        </w:rPr>
      </w:r>
      <w:r w:rsidRPr="00104227">
        <w:rPr>
          <w:lang w:val="en-US"/>
        </w:rPr>
        <w:fldChar w:fldCharType="separate"/>
      </w:r>
      <w:r w:rsidR="004276BD">
        <w:rPr>
          <w:lang w:val="en-US"/>
        </w:rPr>
        <w:t>111</w:t>
      </w:r>
      <w:r w:rsidRPr="00104227">
        <w:rPr>
          <w:lang w:val="en-US"/>
        </w:rPr>
        <w:fldChar w:fldCharType="end"/>
      </w:r>
      <w:r w:rsidRPr="00104227">
        <w:rPr>
          <w:lang w:val="en-US"/>
        </w:rPr>
        <w:t xml:space="preserve"> and </w:t>
      </w:r>
      <w:r w:rsidRPr="00104227">
        <w:rPr>
          <w:lang w:val="en-US"/>
        </w:rPr>
        <w:fldChar w:fldCharType="begin"/>
      </w:r>
      <w:r w:rsidRPr="00104227">
        <w:rPr>
          <w:lang w:val="en-US"/>
        </w:rPr>
        <w:instrText xml:space="preserve"> REF _Ref532906158 \r \h  \* MERGEFORMAT </w:instrText>
      </w:r>
      <w:r w:rsidRPr="00104227">
        <w:rPr>
          <w:lang w:val="en-US"/>
        </w:rPr>
      </w:r>
      <w:r w:rsidRPr="00104227">
        <w:rPr>
          <w:lang w:val="en-US"/>
        </w:rPr>
        <w:fldChar w:fldCharType="separate"/>
      </w:r>
      <w:r w:rsidR="004276BD">
        <w:rPr>
          <w:lang w:val="en-US"/>
        </w:rPr>
        <w:t>112</w:t>
      </w:r>
      <w:r w:rsidRPr="00104227">
        <w:rPr>
          <w:lang w:val="en-US"/>
        </w:rPr>
        <w:fldChar w:fldCharType="end"/>
      </w:r>
      <w:r w:rsidRPr="00104227">
        <w:rPr>
          <w:lang w:val="en-US"/>
        </w:rPr>
        <w:t>). Finally, there is no record that the Istanbul Protocol was applied to Cristina Sánchez Hernández and Angélica Patricia Torres Linares.</w:t>
      </w:r>
    </w:p>
  </w:footnote>
  <w:footnote w:id="373">
    <w:p w14:paraId="621DE6B0" w14:textId="5B12C9FE"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80773E">
        <w:rPr>
          <w:lang w:val="es-CR"/>
        </w:rPr>
        <w:t xml:space="preserve"> </w:t>
      </w:r>
      <w:r w:rsidRPr="0080773E">
        <w:rPr>
          <w:lang w:val="es-CR"/>
        </w:rPr>
        <w:tab/>
      </w:r>
      <w:r w:rsidRPr="0080773E">
        <w:rPr>
          <w:i/>
          <w:lang w:val="es-CR"/>
        </w:rPr>
        <w:t>Cf.</w:t>
      </w:r>
      <w:r w:rsidRPr="0080773E">
        <w:rPr>
          <w:lang w:val="es-CR"/>
        </w:rPr>
        <w:t xml:space="preserve"> </w:t>
      </w:r>
      <w:r w:rsidRPr="0080773E">
        <w:rPr>
          <w:i/>
          <w:lang w:val="es-CR"/>
        </w:rPr>
        <w:t xml:space="preserve">Case of Fernández Ortega et al. v. Mexico. </w:t>
      </w:r>
      <w:r w:rsidRPr="00104227">
        <w:rPr>
          <w:i/>
          <w:lang w:val="en-US"/>
        </w:rPr>
        <w:t>Preliminary objection, merits, reparations and costs</w:t>
      </w:r>
      <w:r w:rsidRPr="00104227">
        <w:rPr>
          <w:lang w:val="en-US"/>
        </w:rPr>
        <w:t xml:space="preserve">. Judgment of August 30, 2010. Series C No. 215, para. 194. </w:t>
      </w:r>
    </w:p>
  </w:footnote>
  <w:footnote w:id="374">
    <w:p w14:paraId="3027DDE2" w14:textId="143178ED"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In this regard, the CNDH recommendation “noted that no evidence was presented of the traces left by the injuries and abuse caused by the police agents, particularly on the clothing of the victims, because when they reached and entered the prison, the same police agents took away the clothing of some of the women and obliged others to wash theirs.” CNDH Recommendation No. 38/2006 of October 16, 2006 (evidence file, folios 28528). </w:t>
      </w:r>
    </w:p>
  </w:footnote>
  <w:footnote w:id="375">
    <w:p w14:paraId="0477E8D1" w14:textId="14F074F9"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SCJN judgment of February 12, 2009 (evidence file, folio 30931). </w:t>
      </w:r>
    </w:p>
  </w:footnote>
  <w:footnote w:id="376">
    <w:p w14:paraId="45AEDF59" w14:textId="3CB03F03" w:rsidR="0080773E" w:rsidRPr="00104227" w:rsidRDefault="0080773E" w:rsidP="002755DF">
      <w:pPr>
        <w:tabs>
          <w:tab w:val="left" w:pos="426"/>
        </w:tabs>
        <w:autoSpaceDE w:val="0"/>
        <w:autoSpaceDN w:val="0"/>
        <w:adjustRightInd w:val="0"/>
        <w:spacing w:before="120" w:after="120"/>
        <w:rPr>
          <w:rFonts w:cs="Arial"/>
          <w:sz w:val="16"/>
          <w:szCs w:val="16"/>
        </w:rPr>
      </w:pPr>
      <w:r w:rsidRPr="00104227">
        <w:rPr>
          <w:rStyle w:val="Refdenotaalpie"/>
        </w:rPr>
        <w:footnoteRef/>
      </w:r>
      <w:r w:rsidRPr="00104227">
        <w:rPr>
          <w:sz w:val="16"/>
          <w:szCs w:val="16"/>
        </w:rPr>
        <w:t xml:space="preserve"> </w:t>
      </w:r>
      <w:r w:rsidRPr="00104227">
        <w:rPr>
          <w:sz w:val="16"/>
          <w:szCs w:val="16"/>
        </w:rPr>
        <w:tab/>
      </w:r>
      <w:r w:rsidRPr="00104227">
        <w:rPr>
          <w:i/>
          <w:sz w:val="16"/>
          <w:szCs w:val="16"/>
        </w:rPr>
        <w:t>Cf.</w:t>
      </w:r>
      <w:r w:rsidRPr="00104227">
        <w:rPr>
          <w:sz w:val="16"/>
          <w:szCs w:val="16"/>
        </w:rPr>
        <w:t xml:space="preserve"> Letter of Norma Aidé Jiménez Osorio of June 8, 2006 (evidence file, folio 22091); brief presented to the FEVIM by several of the women dated November 21, 2006 (evidence file, folios 8540 to 8550); brief presented to the FEVIM by the Center Prodh dated January 12, 2007 (evidence file, folios 8552 to 8556); brief presented to the FEVIM by several of the women dated February 21, 2007 (evidence file, folios 8558 and 8559), and brief presented to the FEVIM by the Center Prodh dated May 2, 2007 (evidence file, folios 8561 to 8567). </w:t>
      </w:r>
    </w:p>
  </w:footnote>
  <w:footnote w:id="377">
    <w:p w14:paraId="60BB3438" w14:textId="2BA1DE38" w:rsidR="0080773E" w:rsidRPr="00104227" w:rsidRDefault="0080773E" w:rsidP="002755DF">
      <w:pPr>
        <w:pStyle w:val="Footnotes"/>
        <w:tabs>
          <w:tab w:val="left" w:pos="426"/>
        </w:tabs>
        <w:spacing w:before="120" w:after="120"/>
        <w:rPr>
          <w:lang w:val="en-US"/>
        </w:rPr>
      </w:pPr>
      <w:r w:rsidRPr="00104227">
        <w:rPr>
          <w:rStyle w:val="Refdenotaalpie"/>
          <w:spacing w:val="0"/>
          <w:lang w:val="en-US"/>
        </w:rPr>
        <w:footnoteRef/>
      </w:r>
      <w:r w:rsidRPr="00104227">
        <w:rPr>
          <w:b/>
          <w:spacing w:val="0"/>
          <w:lang w:val="en-US"/>
        </w:rPr>
        <w:t xml:space="preserve"> </w:t>
      </w:r>
      <w:r w:rsidRPr="00104227">
        <w:rPr>
          <w:b/>
          <w:spacing w:val="0"/>
          <w:lang w:val="en-US"/>
        </w:rPr>
        <w:tab/>
      </w:r>
      <w:r w:rsidRPr="00104227">
        <w:rPr>
          <w:lang w:val="en-US"/>
        </w:rPr>
        <w:t xml:space="preserve">Among other arguments, the said request was based on the following: (i) the PGJEM had charged 25 police agents with the offense of abuse of authority; (ii) members of the Federal Preventive Police had raided private homes and arrested people arbitrarily, with excessive use of force; a situation confirmed by the CNDH; (iii) the Honor and Justice Commission of the Ministry of Public Security had imposed administrative sanctions on at least three federal agents for the offense of omission during the operation; (iv) a connection existed between the offenses that fell within the federal sphere and those that fell within the local jurisdiction; (v) what happened to the women should be classified as torture, and (vi) the PGJEM did not meet the requirement of impartiality. </w:t>
      </w:r>
      <w:r w:rsidRPr="00104227">
        <w:rPr>
          <w:i/>
          <w:lang w:val="en-US"/>
        </w:rPr>
        <w:t>Cf.</w:t>
      </w:r>
      <w:r w:rsidRPr="00104227">
        <w:rPr>
          <w:lang w:val="en-US"/>
        </w:rPr>
        <w:t xml:space="preserve"> Brief presented by several of the women before the FEVIM of November 21, 2006 (evidence file, folios 8540 to 8550), and brief presented to the FEVIM by the Center Prodh dated January 12, 2007 (evidence file, folios 8552 to 8556</w:t>
      </w:r>
      <w:r w:rsidRPr="00104227">
        <w:rPr>
          <w:spacing w:val="0"/>
          <w:lang w:val="en-US"/>
        </w:rPr>
        <w:t>)</w:t>
      </w:r>
      <w:r w:rsidRPr="00104227">
        <w:rPr>
          <w:rFonts w:eastAsiaTheme="minorHAnsi" w:cs="Arial"/>
          <w:spacing w:val="0"/>
          <w:lang w:val="en-US"/>
        </w:rPr>
        <w:t>.</w:t>
      </w:r>
    </w:p>
  </w:footnote>
  <w:footnote w:id="378">
    <w:p w14:paraId="08CF2ED9" w14:textId="60D33EBA" w:rsidR="0080773E" w:rsidRPr="00104227" w:rsidRDefault="0080773E" w:rsidP="002755DF">
      <w:pPr>
        <w:pStyle w:val="Footnotes"/>
        <w:tabs>
          <w:tab w:val="left" w:pos="426"/>
        </w:tabs>
        <w:spacing w:before="120" w:after="120"/>
        <w:rPr>
          <w:spacing w:val="0"/>
          <w:lang w:val="en-US"/>
        </w:rPr>
      </w:pPr>
      <w:r w:rsidRPr="00104227">
        <w:rPr>
          <w:rStyle w:val="Refdenotaalpie"/>
          <w:spacing w:val="0"/>
          <w:lang w:val="en-US"/>
        </w:rPr>
        <w:footnoteRef/>
      </w:r>
      <w:r w:rsidRPr="00104227">
        <w:rPr>
          <w:spacing w:val="0"/>
          <w:lang w:val="en-US"/>
        </w:rPr>
        <w:t xml:space="preserve"> </w:t>
      </w:r>
      <w:r w:rsidRPr="00104227">
        <w:rPr>
          <w:spacing w:val="0"/>
          <w:lang w:val="en-US"/>
        </w:rPr>
        <w:tab/>
      </w:r>
      <w:r w:rsidRPr="00104227">
        <w:rPr>
          <w:i/>
          <w:lang w:val="en-US"/>
        </w:rPr>
        <w:t>Cf.</w:t>
      </w:r>
      <w:r w:rsidRPr="00104227">
        <w:rPr>
          <w:lang w:val="en-US"/>
        </w:rPr>
        <w:t xml:space="preserve"> Brief presented to the FEVIM by several of the women dated February 21, 2007 (evidence file, folios 8558 and 8559</w:t>
      </w:r>
      <w:r w:rsidRPr="00104227">
        <w:rPr>
          <w:spacing w:val="0"/>
          <w:lang w:val="en-US"/>
        </w:rPr>
        <w:t>).</w:t>
      </w:r>
      <w:r w:rsidRPr="00104227">
        <w:rPr>
          <w:rFonts w:eastAsiaTheme="minorHAnsi" w:cs="Arial"/>
          <w:color w:val="FF0000"/>
          <w:spacing w:val="0"/>
          <w:lang w:val="en-US"/>
        </w:rPr>
        <w:t xml:space="preserve"> </w:t>
      </w:r>
    </w:p>
  </w:footnote>
  <w:footnote w:id="379">
    <w:p w14:paraId="4E65BFE7" w14:textId="37AC5F4B" w:rsidR="0080773E" w:rsidRPr="00104227" w:rsidRDefault="0080773E" w:rsidP="002755DF">
      <w:pPr>
        <w:tabs>
          <w:tab w:val="left" w:pos="426"/>
        </w:tabs>
        <w:autoSpaceDE w:val="0"/>
        <w:autoSpaceDN w:val="0"/>
        <w:adjustRightInd w:val="0"/>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r>
      <w:r w:rsidRPr="00104227">
        <w:rPr>
          <w:i/>
          <w:sz w:val="16"/>
          <w:szCs w:val="16"/>
        </w:rPr>
        <w:t>Cf.</w:t>
      </w:r>
      <w:r w:rsidRPr="00104227">
        <w:rPr>
          <w:sz w:val="16"/>
          <w:szCs w:val="16"/>
        </w:rPr>
        <w:t xml:space="preserve"> Letter of Mariana Selvas Gómez, Suhelen Gabriela Cuevas Jaramillo, María Patricia Romero Hernández, Georgina Edith Rosales Gutiérrez and Norma Aidé Jiménez Osorio to the FEVIM dated February 27, 2007 (evidence file, folios 23399 and 23400</w:t>
      </w:r>
      <w:r w:rsidRPr="00104227">
        <w:rPr>
          <w:rFonts w:cs="Arial"/>
          <w:sz w:val="16"/>
          <w:szCs w:val="16"/>
        </w:rPr>
        <w:t>).</w:t>
      </w:r>
      <w:r w:rsidRPr="00104227">
        <w:rPr>
          <w:sz w:val="16"/>
          <w:szCs w:val="16"/>
        </w:rPr>
        <w:t xml:space="preserve"> </w:t>
      </w:r>
    </w:p>
  </w:footnote>
  <w:footnote w:id="380">
    <w:p w14:paraId="307FF223" w14:textId="5FFAEC7E" w:rsidR="0080773E" w:rsidRPr="00104227" w:rsidRDefault="0080773E" w:rsidP="002755DF">
      <w:pPr>
        <w:pStyle w:val="Textonotapie"/>
        <w:tabs>
          <w:tab w:val="left" w:pos="426"/>
        </w:tabs>
        <w:rPr>
          <w:lang w:val="en-US"/>
        </w:rPr>
      </w:pPr>
      <w:r w:rsidRPr="00104227">
        <w:rPr>
          <w:rStyle w:val="Refdenotaalpie"/>
          <w:lang w:val="en-US"/>
        </w:rPr>
        <w:footnoteRef/>
      </w:r>
      <w:r w:rsidRPr="00104227">
        <w:rPr>
          <w:lang w:val="en-US"/>
        </w:rPr>
        <w:t xml:space="preserve"> </w:t>
      </w:r>
      <w:r w:rsidRPr="00104227">
        <w:rPr>
          <w:lang w:val="en-US"/>
        </w:rPr>
        <w:tab/>
        <w:t xml:space="preserve">Requests for appraisals sent to the FEVIM by Bárbara Italia Méndez Moreno and Ana María Velasco Rodríguez on January 15, 2007 (evidence file, folios 24348 and 24349). </w:t>
      </w:r>
      <w:r w:rsidRPr="00104227">
        <w:rPr>
          <w:i/>
          <w:lang w:val="en-US"/>
        </w:rPr>
        <w:t>See also,</w:t>
      </w:r>
      <w:r w:rsidRPr="00104227">
        <w:rPr>
          <w:lang w:val="en-US"/>
        </w:rPr>
        <w:t xml:space="preserve"> the State’s brief before the Commission of October 15, 2012 (evidence file, folio 14323), and letter sent to the FEVIM by Mariana Selvas Gómez, Suhelen Gabriela Cuevas Jaramillo, María Patricia Romero Hernández, Georgina Edith Rosales Gutiérrez and Norma Aidé Jiménez Osorio on February 27, 2007 (evidence file, folios 23399 and 23400).</w:t>
      </w:r>
    </w:p>
  </w:footnote>
  <w:footnote w:id="381">
    <w:p w14:paraId="3778EDCD" w14:textId="409251AE"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This led to the conclusion that the complainants displayed the psychological effects of ill-treatment and that it was medically impossible to confirm the physical effects. Regarding Ana María Velasco Rodríguez, the medical report indicated that “acute and chronic psychological effects exist that […] are the result of physical ill-treatment and/or torture.” Appraisals made of Bárbara Italia Méndez Moreno and Ana María Velasco Rodríguez, and presented by the FEVIM on November 12, 2007 (evidence file, folios 24374 and 24446). </w:t>
      </w:r>
      <w:r w:rsidRPr="00104227">
        <w:rPr>
          <w:iCs/>
          <w:lang w:val="en-US"/>
        </w:rPr>
        <w:t>See also</w:t>
      </w:r>
      <w:r w:rsidRPr="00104227">
        <w:rPr>
          <w:i/>
          <w:lang w:val="en-US"/>
        </w:rPr>
        <w:t xml:space="preserve">, </w:t>
      </w:r>
      <w:r w:rsidRPr="00104227">
        <w:rPr>
          <w:lang w:val="en-US"/>
        </w:rPr>
        <w:t xml:space="preserve">Answer to the request to incorporate the FEVIM appraisal (evidence file, folios 24353 and 24354). </w:t>
      </w:r>
    </w:p>
  </w:footnote>
  <w:footnote w:id="382">
    <w:p w14:paraId="35479715" w14:textId="008DB460" w:rsidR="0080773E" w:rsidRPr="00104227" w:rsidRDefault="0080773E" w:rsidP="002755DF">
      <w:pPr>
        <w:tabs>
          <w:tab w:val="left" w:pos="426"/>
        </w:tabs>
        <w:autoSpaceDE w:val="0"/>
        <w:autoSpaceDN w:val="0"/>
        <w:adjustRightInd w:val="0"/>
        <w:spacing w:before="120" w:after="120"/>
        <w:rPr>
          <w:rFonts w:cs="Arial"/>
          <w:sz w:val="16"/>
          <w:szCs w:val="16"/>
        </w:rPr>
      </w:pPr>
      <w:r w:rsidRPr="00104227">
        <w:rPr>
          <w:rStyle w:val="Refdenotaalpie"/>
        </w:rPr>
        <w:footnoteRef/>
      </w:r>
      <w:r w:rsidRPr="00104227">
        <w:rPr>
          <w:sz w:val="16"/>
          <w:szCs w:val="16"/>
        </w:rPr>
        <w:t xml:space="preserve"> </w:t>
      </w:r>
      <w:r w:rsidRPr="00104227">
        <w:rPr>
          <w:sz w:val="16"/>
          <w:szCs w:val="16"/>
        </w:rPr>
        <w:tab/>
      </w:r>
      <w:r w:rsidRPr="00104227">
        <w:rPr>
          <w:i/>
          <w:sz w:val="16"/>
          <w:szCs w:val="16"/>
        </w:rPr>
        <w:t xml:space="preserve">Cf. </w:t>
      </w:r>
      <w:r w:rsidRPr="00104227">
        <w:rPr>
          <w:sz w:val="16"/>
          <w:szCs w:val="16"/>
        </w:rPr>
        <w:t>Request to incorporate appraisals into the federal case file submitted by the Center Prodh on August 13, 2007 before the FEVIM (evidence file, folio 24351</w:t>
      </w:r>
      <w:r w:rsidRPr="00104227">
        <w:rPr>
          <w:rFonts w:cs="Arial"/>
          <w:sz w:val="16"/>
          <w:szCs w:val="16"/>
        </w:rPr>
        <w:t xml:space="preserve">). </w:t>
      </w:r>
    </w:p>
  </w:footnote>
  <w:footnote w:id="383">
    <w:p w14:paraId="27007036" w14:textId="3C48450F"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rFonts w:cs="Arial"/>
          <w:lang w:val="en-US" w:eastAsia="en-US"/>
        </w:rPr>
        <w:t>The State’s brief of October 15, 2012 (evidence file, folio 14322)</w:t>
      </w:r>
      <w:r w:rsidRPr="00104227">
        <w:rPr>
          <w:rFonts w:cs="Arial"/>
          <w:i/>
          <w:iCs/>
          <w:lang w:val="en-US" w:eastAsia="en-US"/>
        </w:rPr>
        <w:t>.</w:t>
      </w:r>
    </w:p>
  </w:footnote>
  <w:footnote w:id="384">
    <w:p w14:paraId="072B58DF" w14:textId="112B4AB8"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UN, Office of the United Nations High Commissioner for Human Rights, </w:t>
      </w:r>
      <w:r w:rsidRPr="00104227">
        <w:rPr>
          <w:i/>
          <w:lang w:val="en-US"/>
        </w:rPr>
        <w:t>Istanbul Protocol (Manual</w:t>
      </w:r>
      <w:r w:rsidRPr="00104227">
        <w:rPr>
          <w:rStyle w:val="Ttulo1Car"/>
          <w:sz w:val="16"/>
          <w:lang w:val="en-US"/>
        </w:rPr>
        <w:t xml:space="preserve"> </w:t>
      </w:r>
      <w:r w:rsidRPr="00104227">
        <w:rPr>
          <w:rStyle w:val="st"/>
          <w:i/>
          <w:iCs/>
          <w:lang w:val="en-US"/>
        </w:rPr>
        <w:t>on the Effective Investigation and Documentation of Torture and Other Cruel, Inhuman or Degrading Treatment or Punishment</w:t>
      </w:r>
      <w:r w:rsidRPr="00104227">
        <w:rPr>
          <w:i/>
          <w:lang w:val="en-US"/>
        </w:rPr>
        <w:t>)</w:t>
      </w:r>
      <w:r w:rsidRPr="00104227">
        <w:rPr>
          <w:lang w:val="en-US"/>
        </w:rPr>
        <w:t xml:space="preserve">, New York and Geneva, 2004, para. 104, and </w:t>
      </w:r>
      <w:r w:rsidRPr="00104227">
        <w:rPr>
          <w:i/>
          <w:lang w:val="en-US"/>
        </w:rPr>
        <w:t>Case of Espinoza Gonzáles v. Peru. Preliminary objections, merits, reparations and costs</w:t>
      </w:r>
      <w:r w:rsidRPr="00104227">
        <w:rPr>
          <w:lang w:val="en-US"/>
        </w:rPr>
        <w:t xml:space="preserve">. Judgment of November 20, 2014. Series C No. 289, para. 255. </w:t>
      </w:r>
    </w:p>
  </w:footnote>
  <w:footnote w:id="385">
    <w:p w14:paraId="24FD064E" w14:textId="2E266CB9"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UN, Office of the United Nations High Commissioner for Human Rights, </w:t>
      </w:r>
      <w:r w:rsidRPr="00104227">
        <w:rPr>
          <w:i/>
          <w:lang w:val="en-US"/>
        </w:rPr>
        <w:t>Istanbul Protocol (Manual</w:t>
      </w:r>
      <w:r w:rsidRPr="00104227">
        <w:rPr>
          <w:rStyle w:val="Ttulo1Car"/>
          <w:sz w:val="16"/>
          <w:lang w:val="en-US"/>
        </w:rPr>
        <w:t xml:space="preserve"> </w:t>
      </w:r>
      <w:r w:rsidRPr="00104227">
        <w:rPr>
          <w:rStyle w:val="st"/>
          <w:i/>
          <w:iCs/>
          <w:lang w:val="en-US"/>
        </w:rPr>
        <w:t>on the Effective Investigation and Documentation of Torture and Other Cruel, Inhuman or Degrading Treatment or Punishment</w:t>
      </w:r>
      <w:r w:rsidRPr="00104227">
        <w:rPr>
          <w:i/>
          <w:lang w:val="en-US"/>
        </w:rPr>
        <w:t>)</w:t>
      </w:r>
      <w:r w:rsidRPr="00104227">
        <w:rPr>
          <w:lang w:val="en-US"/>
        </w:rPr>
        <w:t xml:space="preserve">, New York and Geneva, 2004, para. 149, and </w:t>
      </w:r>
      <w:r w:rsidRPr="00104227">
        <w:rPr>
          <w:i/>
          <w:lang w:val="en-US"/>
        </w:rPr>
        <w:t>Case of Espinoza Gonzáles v. Peru. Preliminary objections, merits, reparations and costs</w:t>
      </w:r>
      <w:r w:rsidRPr="00104227">
        <w:rPr>
          <w:lang w:val="en-US"/>
        </w:rPr>
        <w:t>. Judgment of November 20, 2014. Series C No. 289, para. 255.</w:t>
      </w:r>
    </w:p>
  </w:footnote>
  <w:footnote w:id="386">
    <w:p w14:paraId="19E7A705" w14:textId="4509E0D2"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i/>
          <w:lang w:val="en-US"/>
        </w:rPr>
        <w:t xml:space="preserve"> </w:t>
      </w:r>
      <w:r w:rsidRPr="00104227">
        <w:rPr>
          <w:i/>
          <w:lang w:val="en-US"/>
        </w:rPr>
        <w:tab/>
      </w:r>
      <w:r w:rsidRPr="00104227">
        <w:rPr>
          <w:lang w:val="en-US"/>
        </w:rPr>
        <w:t xml:space="preserve">Case of Espinoza Gonzáles v. Peru. Preliminary objections, merits, reparations and costs. Judgment of November 20, 2014. Series C No. 289, para. 256. </w:t>
      </w:r>
      <w:r w:rsidRPr="00104227">
        <w:rPr>
          <w:iCs/>
          <w:lang w:val="en-US"/>
        </w:rPr>
        <w:t>See also</w:t>
      </w:r>
      <w:r w:rsidRPr="00104227">
        <w:rPr>
          <w:lang w:val="en-US"/>
        </w:rPr>
        <w:t xml:space="preserve">, </w:t>
      </w:r>
      <w:r w:rsidRPr="00104227">
        <w:rPr>
          <w:i/>
          <w:lang w:val="en-US"/>
        </w:rPr>
        <w:t xml:space="preserve">Case of Fernández Ortega et al. v. Mexico. Preliminary objection, merits, reparations and costs. </w:t>
      </w:r>
      <w:r w:rsidRPr="00104227">
        <w:rPr>
          <w:lang w:val="en-US"/>
        </w:rPr>
        <w:t xml:space="preserve">Judgment of August 30, 2010. Series C No. 215, para. 196, and </w:t>
      </w:r>
      <w:r w:rsidRPr="00104227">
        <w:rPr>
          <w:i/>
          <w:lang w:val="en-US"/>
        </w:rPr>
        <w:t>Case of V.R.P., V.P.C. et al. v. Nicaragua</w:t>
      </w:r>
      <w:r w:rsidRPr="00104227">
        <w:rPr>
          <w:lang w:val="en-US"/>
        </w:rPr>
        <w:t xml:space="preserve">. </w:t>
      </w:r>
      <w:r w:rsidRPr="00104227">
        <w:rPr>
          <w:i/>
          <w:lang w:val="en-US"/>
        </w:rPr>
        <w:t>Preliminary objections, merits, reparations and costs.</w:t>
      </w:r>
      <w:r w:rsidRPr="00104227">
        <w:rPr>
          <w:lang w:val="en-US"/>
        </w:rPr>
        <w:t xml:space="preserve"> Judgment of March 8, 2018. Series C No. 350, para. 171. </w:t>
      </w:r>
    </w:p>
  </w:footnote>
  <w:footnote w:id="387">
    <w:p w14:paraId="67DB1EEF" w14:textId="5376E02F" w:rsidR="0080773E" w:rsidRPr="00104227" w:rsidRDefault="0080773E" w:rsidP="002755DF">
      <w:pPr>
        <w:tabs>
          <w:tab w:val="left" w:pos="426"/>
        </w:tabs>
        <w:spacing w:before="120" w:after="120"/>
        <w:rPr>
          <w:sz w:val="16"/>
          <w:szCs w:val="16"/>
        </w:rPr>
      </w:pPr>
      <w:r w:rsidRPr="00104227">
        <w:rPr>
          <w:sz w:val="16"/>
          <w:szCs w:val="16"/>
          <w:vertAlign w:val="superscript"/>
        </w:rPr>
        <w:footnoteRef/>
      </w:r>
      <w:r w:rsidRPr="00104227">
        <w:rPr>
          <w:sz w:val="16"/>
          <w:szCs w:val="16"/>
        </w:rPr>
        <w:t xml:space="preserve"> </w:t>
      </w:r>
      <w:r w:rsidRPr="00104227">
        <w:rPr>
          <w:sz w:val="16"/>
          <w:szCs w:val="16"/>
        </w:rPr>
        <w:tab/>
      </w:r>
      <w:r w:rsidRPr="00104227">
        <w:rPr>
          <w:i/>
          <w:sz w:val="16"/>
          <w:szCs w:val="16"/>
        </w:rPr>
        <w:t xml:space="preserve">Cf. </w:t>
      </w:r>
      <w:r w:rsidRPr="00104227">
        <w:rPr>
          <w:rFonts w:eastAsia="Times New Roman" w:cs="Times New Roman"/>
          <w:i/>
          <w:sz w:val="16"/>
          <w:szCs w:val="16"/>
        </w:rPr>
        <w:t xml:space="preserve">Case of Myrna Mack Chang v. Guatemala. Merits, reparations and costs. </w:t>
      </w:r>
      <w:r w:rsidRPr="00104227">
        <w:rPr>
          <w:rFonts w:eastAsia="Times New Roman" w:cs="Times New Roman"/>
          <w:sz w:val="16"/>
          <w:szCs w:val="16"/>
        </w:rPr>
        <w:t>Judgment of November 25, 2003. Series C No. 101, para. 193</w:t>
      </w:r>
      <w:r w:rsidRPr="00104227">
        <w:rPr>
          <w:sz w:val="16"/>
          <w:szCs w:val="16"/>
        </w:rPr>
        <w:t xml:space="preserve">, </w:t>
      </w:r>
      <w:r w:rsidRPr="00104227">
        <w:rPr>
          <w:rFonts w:eastAsia="Times New Roman" w:cs="Times New Roman"/>
          <w:i/>
          <w:sz w:val="16"/>
          <w:szCs w:val="16"/>
        </w:rPr>
        <w:t>Case of the La Rochela Massacre v. Colombia. Merits, reparations and costs.</w:t>
      </w:r>
      <w:r w:rsidRPr="00104227">
        <w:rPr>
          <w:rFonts w:eastAsia="Times New Roman" w:cs="Times New Roman"/>
          <w:sz w:val="16"/>
          <w:szCs w:val="16"/>
        </w:rPr>
        <w:t xml:space="preserve"> Judgment of May 11, 2007. Series C No. 163, para. 170, </w:t>
      </w:r>
      <w:r w:rsidRPr="00104227">
        <w:rPr>
          <w:rFonts w:eastAsia="Times New Roman" w:cs="Times New Roman"/>
          <w:i/>
          <w:sz w:val="16"/>
          <w:szCs w:val="16"/>
        </w:rPr>
        <w:t>Case of Kawas Fernández v. Honduras. Merits, reparations and costs.</w:t>
      </w:r>
      <w:r w:rsidRPr="00104227">
        <w:rPr>
          <w:rFonts w:eastAsia="Times New Roman" w:cs="Times New Roman"/>
          <w:sz w:val="16"/>
          <w:szCs w:val="16"/>
        </w:rPr>
        <w:t xml:space="preserve"> Judgment of April 3, 2009. Series C No. 196, para. 107, </w:t>
      </w:r>
      <w:r w:rsidRPr="00104227">
        <w:rPr>
          <w:rFonts w:eastAsia="Times New Roman" w:cs="Times New Roman"/>
          <w:i/>
          <w:sz w:val="16"/>
          <w:szCs w:val="16"/>
        </w:rPr>
        <w:t>Case of the Members of the Village of Chichupac and neighboring communities of the municipality of Rabinal v. Guatemala. Preliminary objections, merits, reparations and costs.</w:t>
      </w:r>
      <w:r w:rsidRPr="00104227">
        <w:rPr>
          <w:rFonts w:eastAsia="Times New Roman" w:cs="Times New Roman"/>
          <w:sz w:val="16"/>
          <w:szCs w:val="16"/>
        </w:rPr>
        <w:t xml:space="preserve"> Judgment of November 30, 2016. Series C No. 328, para. 224, and </w:t>
      </w:r>
      <w:r w:rsidRPr="00104227">
        <w:rPr>
          <w:rFonts w:eastAsia="Times New Roman" w:cs="Times New Roman"/>
          <w:i/>
          <w:sz w:val="16"/>
          <w:szCs w:val="16"/>
        </w:rPr>
        <w:t>Case of the Las Dos Erres Massacre v. Guatemala. Preliminary objection, merits, reparations and costs.</w:t>
      </w:r>
      <w:r w:rsidRPr="00104227">
        <w:rPr>
          <w:rFonts w:eastAsia="Times New Roman" w:cs="Times New Roman"/>
          <w:sz w:val="16"/>
          <w:szCs w:val="16"/>
        </w:rPr>
        <w:t xml:space="preserve"> Judgment of November 24, 2009. Series C No. 211, para. 145.</w:t>
      </w:r>
    </w:p>
  </w:footnote>
  <w:footnote w:id="388">
    <w:p w14:paraId="5C3EA917" w14:textId="0E134A9A" w:rsidR="0080773E" w:rsidRPr="00104227" w:rsidRDefault="0080773E" w:rsidP="002755DF">
      <w:pPr>
        <w:tabs>
          <w:tab w:val="left" w:pos="426"/>
        </w:tabs>
        <w:spacing w:before="120" w:after="120"/>
        <w:rPr>
          <w:rFonts w:eastAsia="Times New Roman" w:cs="Times New Roman"/>
          <w:sz w:val="16"/>
          <w:szCs w:val="16"/>
        </w:rPr>
      </w:pPr>
      <w:r w:rsidRPr="00104227">
        <w:rPr>
          <w:sz w:val="16"/>
          <w:szCs w:val="16"/>
          <w:vertAlign w:val="superscript"/>
        </w:rPr>
        <w:footnoteRef/>
      </w:r>
      <w:r w:rsidRPr="00104227">
        <w:rPr>
          <w:sz w:val="16"/>
          <w:szCs w:val="16"/>
        </w:rPr>
        <w:t xml:space="preserve"> </w:t>
      </w:r>
      <w:r w:rsidRPr="00104227">
        <w:rPr>
          <w:sz w:val="16"/>
          <w:szCs w:val="16"/>
        </w:rPr>
        <w:tab/>
      </w:r>
      <w:r w:rsidRPr="00104227">
        <w:rPr>
          <w:rFonts w:eastAsia="Times New Roman" w:cs="Times New Roman"/>
          <w:i/>
          <w:sz w:val="16"/>
          <w:szCs w:val="16"/>
        </w:rPr>
        <w:t>Cf.</w:t>
      </w:r>
      <w:r w:rsidRPr="00104227">
        <w:rPr>
          <w:rFonts w:eastAsia="Times New Roman" w:cs="Times New Roman"/>
          <w:sz w:val="16"/>
          <w:szCs w:val="16"/>
        </w:rPr>
        <w:t xml:space="preserve"> </w:t>
      </w:r>
      <w:r w:rsidRPr="00104227">
        <w:rPr>
          <w:rFonts w:eastAsia="Times New Roman" w:cs="Times New Roman"/>
          <w:i/>
          <w:sz w:val="16"/>
          <w:szCs w:val="16"/>
        </w:rPr>
        <w:t>Case of El Caracazo  v. Venezuela. Reparations and costs.</w:t>
      </w:r>
      <w:r w:rsidRPr="00104227">
        <w:rPr>
          <w:rFonts w:eastAsia="Times New Roman" w:cs="Times New Roman"/>
          <w:sz w:val="16"/>
          <w:szCs w:val="16"/>
        </w:rPr>
        <w:t xml:space="preserve"> Judgment of August 29, 2002. Series C No. 95, para. 116. </w:t>
      </w:r>
    </w:p>
  </w:footnote>
  <w:footnote w:id="389">
    <w:p w14:paraId="6AE9B144" w14:textId="075926B2" w:rsidR="0080773E" w:rsidRPr="0080773E" w:rsidRDefault="0080773E" w:rsidP="002755DF">
      <w:pPr>
        <w:tabs>
          <w:tab w:val="left" w:pos="426"/>
        </w:tabs>
        <w:spacing w:before="120" w:after="120"/>
        <w:rPr>
          <w:rFonts w:eastAsia="Times New Roman" w:cs="Times New Roman"/>
          <w:sz w:val="16"/>
          <w:szCs w:val="16"/>
          <w:lang w:val="es-CR"/>
        </w:rPr>
      </w:pPr>
      <w:r w:rsidRPr="00104227">
        <w:rPr>
          <w:sz w:val="16"/>
          <w:szCs w:val="16"/>
          <w:vertAlign w:val="superscript"/>
        </w:rPr>
        <w:footnoteRef/>
      </w:r>
      <w:r w:rsidRPr="00104227">
        <w:rPr>
          <w:sz w:val="16"/>
          <w:szCs w:val="16"/>
        </w:rPr>
        <w:t xml:space="preserve"> </w:t>
      </w:r>
      <w:r w:rsidRPr="00104227">
        <w:rPr>
          <w:sz w:val="16"/>
          <w:szCs w:val="16"/>
        </w:rPr>
        <w:tab/>
      </w:r>
      <w:r w:rsidRPr="00104227">
        <w:rPr>
          <w:rFonts w:eastAsia="Times New Roman" w:cs="Times New Roman"/>
          <w:i/>
          <w:sz w:val="16"/>
          <w:szCs w:val="16"/>
        </w:rPr>
        <w:t>Cf. Case of El Caracazo  v. Venezuela. Reparations and costs.</w:t>
      </w:r>
      <w:r w:rsidRPr="00104227">
        <w:rPr>
          <w:rFonts w:eastAsia="Times New Roman" w:cs="Times New Roman"/>
          <w:sz w:val="16"/>
          <w:szCs w:val="16"/>
        </w:rPr>
        <w:t xml:space="preserve"> Judgment of August 29, 2002. </w:t>
      </w:r>
      <w:r w:rsidRPr="0080773E">
        <w:rPr>
          <w:rFonts w:eastAsia="Times New Roman" w:cs="Times New Roman"/>
          <w:sz w:val="16"/>
          <w:szCs w:val="16"/>
          <w:lang w:val="es-CR"/>
        </w:rPr>
        <w:t>Series C No. 95, para. 116.</w:t>
      </w:r>
    </w:p>
  </w:footnote>
  <w:footnote w:id="390">
    <w:p w14:paraId="22427CB5" w14:textId="085D3E43" w:rsidR="0080773E" w:rsidRPr="00104227" w:rsidRDefault="0080773E" w:rsidP="002755DF">
      <w:pPr>
        <w:tabs>
          <w:tab w:val="left" w:pos="426"/>
        </w:tabs>
        <w:spacing w:before="120" w:after="120"/>
        <w:rPr>
          <w:rFonts w:eastAsia="Times New Roman" w:cs="Times New Roman"/>
          <w:sz w:val="16"/>
          <w:szCs w:val="16"/>
        </w:rPr>
      </w:pPr>
      <w:r w:rsidRPr="00104227">
        <w:rPr>
          <w:sz w:val="16"/>
          <w:szCs w:val="16"/>
          <w:vertAlign w:val="superscript"/>
        </w:rPr>
        <w:footnoteRef/>
      </w:r>
      <w:r w:rsidRPr="0080773E">
        <w:rPr>
          <w:sz w:val="16"/>
          <w:szCs w:val="16"/>
          <w:lang w:val="es-CR"/>
        </w:rPr>
        <w:t xml:space="preserve"> </w:t>
      </w:r>
      <w:r w:rsidRPr="0080773E">
        <w:rPr>
          <w:sz w:val="16"/>
          <w:szCs w:val="16"/>
          <w:lang w:val="es-CR"/>
        </w:rPr>
        <w:tab/>
      </w:r>
      <w:r w:rsidRPr="0080773E">
        <w:rPr>
          <w:rFonts w:eastAsia="Times New Roman" w:cs="Times New Roman"/>
          <w:i/>
          <w:sz w:val="16"/>
          <w:szCs w:val="16"/>
          <w:lang w:val="es-CR"/>
        </w:rPr>
        <w:t xml:space="preserve">Cf. Case of Las Palmeras v. Colombia. </w:t>
      </w:r>
      <w:r w:rsidRPr="00104227">
        <w:rPr>
          <w:rFonts w:eastAsia="Times New Roman" w:cs="Times New Roman"/>
          <w:i/>
          <w:sz w:val="16"/>
          <w:szCs w:val="16"/>
        </w:rPr>
        <w:t>Preliminary objections.</w:t>
      </w:r>
      <w:r w:rsidRPr="00104227">
        <w:rPr>
          <w:rFonts w:eastAsia="Times New Roman" w:cs="Times New Roman"/>
          <w:sz w:val="16"/>
          <w:szCs w:val="16"/>
        </w:rPr>
        <w:t xml:space="preserve"> Judgment of February 4, 2000. Series C No. 67, para. 57, </w:t>
      </w:r>
      <w:r w:rsidRPr="00104227">
        <w:rPr>
          <w:rFonts w:eastAsia="Times New Roman" w:cs="Times New Roman"/>
          <w:i/>
          <w:sz w:val="16"/>
          <w:szCs w:val="16"/>
        </w:rPr>
        <w:t>Case of Myrna Mack Chang v. Guatemala. Merits, reparations and costs.</w:t>
      </w:r>
      <w:r w:rsidRPr="00104227">
        <w:rPr>
          <w:rFonts w:eastAsia="Times New Roman" w:cs="Times New Roman"/>
          <w:sz w:val="16"/>
          <w:szCs w:val="16"/>
        </w:rPr>
        <w:t xml:space="preserve"> Judgment of November 25, 2003. Series C No. 101, paras. 172 and 174, </w:t>
      </w:r>
      <w:r w:rsidRPr="00104227">
        <w:rPr>
          <w:rFonts w:eastAsia="Times New Roman" w:cs="Times New Roman"/>
          <w:i/>
          <w:sz w:val="16"/>
          <w:szCs w:val="16"/>
        </w:rPr>
        <w:t xml:space="preserve">Case of the Santa Bárbara Campesino Community v. Peru. Preliminary objections, merits, reparations and costs. </w:t>
      </w:r>
      <w:r w:rsidRPr="00104227">
        <w:rPr>
          <w:rFonts w:eastAsia="Times New Roman" w:cs="Times New Roman"/>
          <w:sz w:val="16"/>
          <w:szCs w:val="16"/>
        </w:rPr>
        <w:t xml:space="preserve">Judgment of September 1, 2015. Series C No. 299. paras. 241, 243, and 251, and </w:t>
      </w:r>
      <w:r w:rsidRPr="00104227">
        <w:rPr>
          <w:rFonts w:eastAsia="Times New Roman" w:cs="Times New Roman"/>
          <w:i/>
          <w:sz w:val="16"/>
          <w:szCs w:val="16"/>
        </w:rPr>
        <w:t xml:space="preserve">Case of the Members of the Village of Chichupac and neighboring communities of the municipality of Rabinal v. Guatemala. Preliminary objections, merits, reparations and costs. </w:t>
      </w:r>
      <w:r w:rsidRPr="00104227">
        <w:rPr>
          <w:rFonts w:eastAsia="Times New Roman" w:cs="Times New Roman"/>
          <w:sz w:val="16"/>
          <w:szCs w:val="16"/>
        </w:rPr>
        <w:t xml:space="preserve">Judgment of November 30, 2016. Series C No. 328, paras. 231 and 232. </w:t>
      </w:r>
    </w:p>
  </w:footnote>
  <w:footnote w:id="391">
    <w:p w14:paraId="6BB70118" w14:textId="16BD843F" w:rsidR="0080773E" w:rsidRPr="00104227" w:rsidRDefault="0080773E" w:rsidP="002755DF">
      <w:pPr>
        <w:tabs>
          <w:tab w:val="left" w:pos="426"/>
        </w:tabs>
        <w:spacing w:before="120" w:after="120"/>
        <w:rPr>
          <w:rFonts w:eastAsia="Times New Roman" w:cs="Times New Roman"/>
          <w:sz w:val="16"/>
          <w:szCs w:val="16"/>
        </w:rPr>
      </w:pPr>
      <w:r w:rsidRPr="00104227">
        <w:rPr>
          <w:sz w:val="16"/>
          <w:szCs w:val="16"/>
          <w:vertAlign w:val="superscript"/>
        </w:rPr>
        <w:footnoteRef/>
      </w:r>
      <w:r w:rsidRPr="00104227">
        <w:rPr>
          <w:sz w:val="16"/>
          <w:szCs w:val="16"/>
        </w:rPr>
        <w:t xml:space="preserve"> </w:t>
      </w:r>
      <w:r w:rsidRPr="00104227">
        <w:rPr>
          <w:sz w:val="16"/>
          <w:szCs w:val="16"/>
        </w:rPr>
        <w:tab/>
      </w:r>
      <w:r w:rsidRPr="00104227">
        <w:rPr>
          <w:rFonts w:eastAsia="Times New Roman" w:cs="Times New Roman"/>
          <w:i/>
          <w:sz w:val="16"/>
          <w:szCs w:val="16"/>
        </w:rPr>
        <w:t>Cf. Case of Gutiérrez and family v. Argentina. Merits, reparations and costs.</w:t>
      </w:r>
      <w:r w:rsidRPr="00104227">
        <w:rPr>
          <w:rFonts w:eastAsia="Times New Roman" w:cs="Times New Roman"/>
          <w:sz w:val="16"/>
          <w:szCs w:val="16"/>
        </w:rPr>
        <w:t xml:space="preserve"> Judgment of November 25, 2013. Series C No. 271, para. 121. </w:t>
      </w:r>
    </w:p>
  </w:footnote>
  <w:footnote w:id="392">
    <w:p w14:paraId="66B1F1A6" w14:textId="6EF1873B" w:rsidR="0080773E" w:rsidRPr="00104227" w:rsidRDefault="0080773E" w:rsidP="002755DF">
      <w:pPr>
        <w:tabs>
          <w:tab w:val="left" w:pos="426"/>
        </w:tabs>
        <w:spacing w:before="120" w:after="120"/>
        <w:rPr>
          <w:rFonts w:eastAsia="Times New Roman" w:cs="Times New Roman"/>
          <w:sz w:val="16"/>
          <w:szCs w:val="16"/>
        </w:rPr>
      </w:pPr>
      <w:r w:rsidRPr="00104227">
        <w:rPr>
          <w:sz w:val="16"/>
          <w:szCs w:val="16"/>
          <w:vertAlign w:val="superscript"/>
        </w:rPr>
        <w:footnoteRef/>
      </w:r>
      <w:r w:rsidRPr="00104227">
        <w:rPr>
          <w:sz w:val="16"/>
          <w:szCs w:val="16"/>
        </w:rPr>
        <w:t xml:space="preserve"> </w:t>
      </w:r>
      <w:r w:rsidRPr="00104227">
        <w:rPr>
          <w:sz w:val="16"/>
          <w:szCs w:val="16"/>
        </w:rPr>
        <w:tab/>
      </w:r>
      <w:r w:rsidRPr="00104227">
        <w:rPr>
          <w:rFonts w:eastAsia="Times New Roman" w:cs="Times New Roman"/>
          <w:i/>
          <w:sz w:val="16"/>
          <w:szCs w:val="16"/>
        </w:rPr>
        <w:t>Cf. Case of Gudiel Álvarez et al. ("Diario Militar") v. Guatemala. Merits Reparations and costs.</w:t>
      </w:r>
      <w:r w:rsidRPr="00104227">
        <w:rPr>
          <w:rFonts w:eastAsia="Times New Roman" w:cs="Times New Roman"/>
          <w:sz w:val="16"/>
          <w:szCs w:val="16"/>
        </w:rPr>
        <w:t xml:space="preserve"> Judgment of November 20, 2012. Series C No. 253, para. 269.</w:t>
      </w:r>
    </w:p>
  </w:footnote>
  <w:footnote w:id="393">
    <w:p w14:paraId="539057C7" w14:textId="262ECA95" w:rsidR="0080773E" w:rsidRPr="00104227" w:rsidRDefault="0080773E" w:rsidP="002755DF">
      <w:pPr>
        <w:tabs>
          <w:tab w:val="left" w:pos="426"/>
        </w:tabs>
        <w:spacing w:before="120" w:after="120"/>
        <w:rPr>
          <w:sz w:val="16"/>
          <w:szCs w:val="16"/>
        </w:rPr>
      </w:pPr>
      <w:r w:rsidRPr="00104227">
        <w:rPr>
          <w:sz w:val="16"/>
          <w:szCs w:val="16"/>
          <w:vertAlign w:val="superscript"/>
        </w:rPr>
        <w:footnoteRef/>
      </w:r>
      <w:r w:rsidRPr="00104227">
        <w:rPr>
          <w:sz w:val="16"/>
          <w:szCs w:val="16"/>
        </w:rPr>
        <w:t xml:space="preserve"> </w:t>
      </w:r>
      <w:r w:rsidRPr="00104227">
        <w:rPr>
          <w:sz w:val="16"/>
          <w:szCs w:val="16"/>
        </w:rPr>
        <w:tab/>
      </w:r>
      <w:r w:rsidRPr="00104227">
        <w:rPr>
          <w:rFonts w:cs="Times New Roman"/>
          <w:i/>
          <w:sz w:val="16"/>
          <w:szCs w:val="16"/>
        </w:rPr>
        <w:t>Cf. Case of Myrna Mack Chang v. Guatemala. Merits, reparations and costs.</w:t>
      </w:r>
      <w:r w:rsidRPr="00104227">
        <w:rPr>
          <w:rFonts w:cs="Times New Roman"/>
          <w:sz w:val="16"/>
          <w:szCs w:val="16"/>
        </w:rPr>
        <w:t xml:space="preserve"> Judgment of November 25, 2003. Series C No. 101, para. 182.</w:t>
      </w:r>
      <w:r w:rsidRPr="00104227">
        <w:rPr>
          <w:sz w:val="16"/>
          <w:szCs w:val="16"/>
        </w:rPr>
        <w:t xml:space="preserve"> </w:t>
      </w:r>
    </w:p>
  </w:footnote>
  <w:footnote w:id="394">
    <w:p w14:paraId="163EBB64" w14:textId="487217EC" w:rsidR="0080773E" w:rsidRPr="00104227" w:rsidRDefault="0080773E" w:rsidP="005A7374">
      <w:pPr>
        <w:tabs>
          <w:tab w:val="left" w:pos="426"/>
        </w:tabs>
        <w:spacing w:before="120" w:after="120"/>
        <w:rPr>
          <w:sz w:val="16"/>
          <w:szCs w:val="16"/>
        </w:rPr>
      </w:pPr>
      <w:r w:rsidRPr="00104227">
        <w:rPr>
          <w:sz w:val="16"/>
          <w:szCs w:val="16"/>
          <w:vertAlign w:val="superscript"/>
        </w:rPr>
        <w:footnoteRef/>
      </w:r>
      <w:r w:rsidRPr="00104227">
        <w:rPr>
          <w:sz w:val="16"/>
          <w:szCs w:val="16"/>
        </w:rPr>
        <w:t xml:space="preserve"> </w:t>
      </w:r>
      <w:r w:rsidRPr="00104227">
        <w:rPr>
          <w:sz w:val="16"/>
          <w:szCs w:val="16"/>
        </w:rPr>
        <w:tab/>
      </w:r>
      <w:r w:rsidRPr="00104227">
        <w:rPr>
          <w:rFonts w:eastAsia="Times New Roman" w:cs="Times New Roman"/>
          <w:i/>
          <w:sz w:val="16"/>
          <w:szCs w:val="16"/>
        </w:rPr>
        <w:t xml:space="preserve">Cf. Case of the Santa Bárbara Campesino Community v. Peru. Preliminary objections, merits, reparations and costs. </w:t>
      </w:r>
      <w:r w:rsidRPr="00104227">
        <w:rPr>
          <w:rFonts w:eastAsia="Times New Roman" w:cs="Times New Roman"/>
          <w:sz w:val="16"/>
          <w:szCs w:val="16"/>
        </w:rPr>
        <w:t>Judgment of September 1, 2015. Series C No. 299, paras. 244, 245, 246 and 251</w:t>
      </w:r>
      <w:r w:rsidRPr="00104227">
        <w:rPr>
          <w:rFonts w:cs="Times New Roman"/>
          <w:sz w:val="16"/>
          <w:szCs w:val="16"/>
        </w:rPr>
        <w:t>.</w:t>
      </w:r>
      <w:r w:rsidRPr="00104227">
        <w:rPr>
          <w:sz w:val="16"/>
          <w:szCs w:val="16"/>
        </w:rPr>
        <w:t xml:space="preserve"> </w:t>
      </w:r>
    </w:p>
  </w:footnote>
  <w:footnote w:id="395">
    <w:p w14:paraId="654D8DA6" w14:textId="7EB760BB"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Barrios Altos v. Peru. Merits.</w:t>
      </w:r>
      <w:r w:rsidRPr="00104227">
        <w:rPr>
          <w:lang w:val="en-US"/>
        </w:rPr>
        <w:t xml:space="preserve"> Judgment of March 14, 2001. Series C No. 75, para. 41, and </w:t>
      </w:r>
      <w:r w:rsidRPr="00104227">
        <w:rPr>
          <w:i/>
          <w:lang w:val="en-US"/>
        </w:rPr>
        <w:t>Case of Herzog et al. v. Brazil. Preliminary objections, merits, reparations and costs.</w:t>
      </w:r>
      <w:r w:rsidRPr="00104227">
        <w:rPr>
          <w:lang w:val="en-US"/>
        </w:rPr>
        <w:t xml:space="preserve"> Judgment of March 15, 2018. Series C No. 353, para. 232</w:t>
      </w:r>
      <w:r w:rsidRPr="00104227">
        <w:rPr>
          <w:rFonts w:cs="Times New Roman"/>
          <w:lang w:val="en-US"/>
        </w:rPr>
        <w:t>.</w:t>
      </w:r>
      <w:r w:rsidRPr="00104227">
        <w:rPr>
          <w:lang w:val="en-US"/>
        </w:rPr>
        <w:t xml:space="preserve"> </w:t>
      </w:r>
    </w:p>
  </w:footnote>
  <w:footnote w:id="396">
    <w:p w14:paraId="6B401456" w14:textId="214DE333"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Case of Velásquez Rodríguez v. Honduras. Merits. </w:t>
      </w:r>
      <w:r w:rsidRPr="00104227">
        <w:rPr>
          <w:lang w:val="en-US"/>
        </w:rPr>
        <w:t xml:space="preserve">Judgment of July 29, 1988. Series C No. 4, para. 144, and </w:t>
      </w:r>
      <w:r w:rsidRPr="00104227">
        <w:rPr>
          <w:rStyle w:val="Textoennegrita"/>
          <w:b w:val="0"/>
          <w:i/>
          <w:color w:val="000000"/>
          <w:shd w:val="clear" w:color="auto" w:fill="FFFFFF"/>
          <w:lang w:val="en-US"/>
        </w:rPr>
        <w:t xml:space="preserve">Case of López Soto et al. v. Venezuela. Merits, reparations and costs. </w:t>
      </w:r>
      <w:r w:rsidRPr="00104227">
        <w:rPr>
          <w:rStyle w:val="Textoennegrita"/>
          <w:b w:val="0"/>
          <w:color w:val="000000"/>
          <w:shd w:val="clear" w:color="auto" w:fill="FFFFFF"/>
          <w:lang w:val="en-US"/>
        </w:rPr>
        <w:t>Judgment of September 26, 2018. Series C No. 362, para. 163</w:t>
      </w:r>
      <w:r w:rsidRPr="00104227">
        <w:rPr>
          <w:lang w:val="en-US"/>
        </w:rPr>
        <w:t xml:space="preserve">. </w:t>
      </w:r>
    </w:p>
  </w:footnote>
  <w:footnote w:id="397">
    <w:p w14:paraId="14590AD3" w14:textId="46F95771"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Velásquez Rodríguez v. Honduras. Preliminary objections.</w:t>
      </w:r>
      <w:r w:rsidRPr="00104227">
        <w:rPr>
          <w:lang w:val="en-US"/>
        </w:rPr>
        <w:t xml:space="preserve"> Judgment of June 26, 1987. Series C No. 1, para. 177, and </w:t>
      </w:r>
      <w:r w:rsidRPr="00104227">
        <w:rPr>
          <w:i/>
          <w:lang w:val="en-US"/>
        </w:rPr>
        <w:t>Case of Coc Max et al. (Xamán Massacre)  v. Guatemala. Merits, reparations and costs.</w:t>
      </w:r>
      <w:r w:rsidRPr="00104227">
        <w:rPr>
          <w:lang w:val="en-US"/>
        </w:rPr>
        <w:t xml:space="preserve"> Judgment of August 22, 2018. Series C No. 356, para. 151.</w:t>
      </w:r>
    </w:p>
  </w:footnote>
  <w:footnote w:id="398">
    <w:p w14:paraId="37010390" w14:textId="1777A199" w:rsidR="0080773E" w:rsidRPr="0080773E" w:rsidRDefault="0080773E" w:rsidP="002755DF">
      <w:pPr>
        <w:pStyle w:val="Textonotapie"/>
        <w:tabs>
          <w:tab w:val="left" w:pos="426"/>
        </w:tabs>
        <w:spacing w:before="120" w:after="120"/>
        <w:rPr>
          <w:lang w:val="es-CR"/>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the La Rochela Massacre v. Colombia. Merits, reparations and costs.</w:t>
      </w:r>
      <w:r w:rsidRPr="00104227">
        <w:rPr>
          <w:lang w:val="en-US"/>
        </w:rPr>
        <w:t xml:space="preserve"> Judgment of May 11, 2007. Series C No. 163, para. 158, and </w:t>
      </w:r>
      <w:r w:rsidRPr="00104227">
        <w:rPr>
          <w:i/>
          <w:lang w:val="en-US"/>
        </w:rPr>
        <w:t>Case of Coc Max et al. (Xamán Massacre)  v. Guatemala. Merits, reparations and costs.</w:t>
      </w:r>
      <w:r w:rsidRPr="00104227">
        <w:rPr>
          <w:lang w:val="en-US"/>
        </w:rPr>
        <w:t xml:space="preserve"> Judgment of August 22, 2018. </w:t>
      </w:r>
      <w:r w:rsidRPr="0080773E">
        <w:rPr>
          <w:lang w:val="es-CR"/>
        </w:rPr>
        <w:t xml:space="preserve">Series C No. 356, para. 85. </w:t>
      </w:r>
    </w:p>
  </w:footnote>
  <w:footnote w:id="399">
    <w:p w14:paraId="3CF28D05" w14:textId="22B328F4" w:rsidR="0080773E" w:rsidRPr="0080773E" w:rsidRDefault="0080773E" w:rsidP="002755DF">
      <w:pPr>
        <w:pStyle w:val="Textonotapie"/>
        <w:tabs>
          <w:tab w:val="left" w:pos="426"/>
        </w:tabs>
        <w:spacing w:before="120" w:after="120"/>
        <w:rPr>
          <w:lang w:val="es-CR"/>
        </w:rPr>
      </w:pPr>
      <w:r w:rsidRPr="00104227">
        <w:rPr>
          <w:rStyle w:val="Refdenotaalpie"/>
          <w:lang w:val="en-US"/>
        </w:rPr>
        <w:footnoteRef/>
      </w:r>
      <w:r w:rsidRPr="0080773E">
        <w:rPr>
          <w:lang w:val="es-CR"/>
        </w:rPr>
        <w:t xml:space="preserve"> </w:t>
      </w:r>
      <w:r w:rsidRPr="0080773E">
        <w:rPr>
          <w:lang w:val="es-CR"/>
        </w:rPr>
        <w:tab/>
      </w:r>
      <w:r w:rsidRPr="0080773E">
        <w:rPr>
          <w:i/>
          <w:lang w:val="es-CR"/>
        </w:rPr>
        <w:t xml:space="preserve">Cf. Case of Kawas Fernández v. Honduras. </w:t>
      </w:r>
      <w:r w:rsidRPr="00104227">
        <w:rPr>
          <w:i/>
          <w:lang w:val="en-US"/>
        </w:rPr>
        <w:t>Merits, reparations and costs.</w:t>
      </w:r>
      <w:r w:rsidRPr="00104227">
        <w:rPr>
          <w:lang w:val="en-US"/>
        </w:rPr>
        <w:t xml:space="preserve"> Judgment of April 3, 2009. Series C No. 196, para. 96, and </w:t>
      </w:r>
      <w:r w:rsidRPr="00104227">
        <w:rPr>
          <w:i/>
          <w:lang w:val="en-US"/>
        </w:rPr>
        <w:t>Case of Coc Max et al. (Xamán Massacre)  v. Guatemala. Merits, reparations and costs.</w:t>
      </w:r>
      <w:r w:rsidRPr="00104227">
        <w:rPr>
          <w:lang w:val="en-US"/>
        </w:rPr>
        <w:t xml:space="preserve"> Judgment of August 22, 2018. </w:t>
      </w:r>
      <w:r w:rsidRPr="0080773E">
        <w:rPr>
          <w:lang w:val="es-CR"/>
        </w:rPr>
        <w:t>Series C No. 356, para. 85.</w:t>
      </w:r>
    </w:p>
  </w:footnote>
  <w:footnote w:id="400">
    <w:p w14:paraId="4018CD43" w14:textId="260EA4E4"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80773E">
        <w:rPr>
          <w:lang w:val="es-CR"/>
        </w:rPr>
        <w:t xml:space="preserve"> </w:t>
      </w:r>
      <w:r w:rsidRPr="0080773E">
        <w:rPr>
          <w:lang w:val="es-CR"/>
        </w:rPr>
        <w:tab/>
      </w:r>
      <w:r w:rsidRPr="0080773E">
        <w:rPr>
          <w:i/>
          <w:lang w:val="es-CR"/>
        </w:rPr>
        <w:t xml:space="preserve">Cf. Case of Pacheco León et al. v. Honduras. </w:t>
      </w:r>
      <w:r w:rsidRPr="00104227">
        <w:rPr>
          <w:i/>
          <w:lang w:val="en-US"/>
        </w:rPr>
        <w:t xml:space="preserve">Merits, reparations and costs. </w:t>
      </w:r>
      <w:r w:rsidRPr="00104227">
        <w:rPr>
          <w:lang w:val="en-US"/>
        </w:rPr>
        <w:t xml:space="preserve">Judgment of November 15, 2017. Series C No. 342, para. 94, and </w:t>
      </w:r>
      <w:r w:rsidRPr="00104227">
        <w:rPr>
          <w:rStyle w:val="Textoennegrita"/>
          <w:b w:val="0"/>
          <w:i/>
          <w:color w:val="000000"/>
          <w:shd w:val="clear" w:color="auto" w:fill="FFFFFF"/>
          <w:lang w:val="en-US"/>
        </w:rPr>
        <w:t>Case of Omeara Carrascal et al. v. Colombia. Merits, reparations and costs.</w:t>
      </w:r>
      <w:r w:rsidRPr="00104227">
        <w:rPr>
          <w:rStyle w:val="Textoennegrita"/>
          <w:b w:val="0"/>
          <w:color w:val="000000"/>
          <w:shd w:val="clear" w:color="auto" w:fill="FFFFFF"/>
          <w:lang w:val="en-US"/>
        </w:rPr>
        <w:t xml:space="preserve"> Judgment of November 21, 2018. Series C No. 368, paras. 240 to 242</w:t>
      </w:r>
      <w:r w:rsidRPr="00104227">
        <w:rPr>
          <w:lang w:val="en-US"/>
        </w:rPr>
        <w:t>.</w:t>
      </w:r>
    </w:p>
  </w:footnote>
  <w:footnote w:id="401">
    <w:p w14:paraId="12875205" w14:textId="59FB7C38"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The SCJN established in its judgment that approximately 194 agents of the state Security Agency and 154 agents of the Federal Preventive Police participated on May 3, 2006, while, 1,815 state police agents and around 700 federal agents took part on May 4. </w:t>
      </w:r>
      <w:r w:rsidRPr="00104227">
        <w:rPr>
          <w:i/>
          <w:lang w:val="en-US"/>
        </w:rPr>
        <w:t xml:space="preserve">Cf. </w:t>
      </w:r>
      <w:r w:rsidRPr="00104227">
        <w:rPr>
          <w:lang w:val="en-US"/>
        </w:rPr>
        <w:t>SCJN judgment of February 12, 2009 (evidence file, folio 25).</w:t>
      </w:r>
    </w:p>
  </w:footnote>
  <w:footnote w:id="402">
    <w:p w14:paraId="6C6232A6" w14:textId="79523CA5"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CNDH Recommendation No. 38/2006 of October 16, 2006 (evidence file, folios 29201, 29921, 29922, 29781, 28923, 28924, 29390, 29996, 29997 and 29140). </w:t>
      </w:r>
    </w:p>
  </w:footnote>
  <w:footnote w:id="403">
    <w:p w14:paraId="0E3E0A49" w14:textId="76645E72"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Expert opinion of Susana SáCouto (evidence file, folio 37119). The UN Committee against Torture indicated the same, when stating that it was “a matter of urgency that each State party should [take] measures to investigate, […] with particular attention to the legal responsibility of both the direct perpetrators and officials in the chain of command.” UN Committee against Torture, General Comment No. 2, January 24, 2008, Doc. UN CAT/C/GC/2, para. 7. </w:t>
      </w:r>
    </w:p>
  </w:footnote>
  <w:footnote w:id="404">
    <w:p w14:paraId="7D1D4F48" w14:textId="77AB09EB"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Case of Cantoral Huamaní and García Santa Cruz v. Peru. Preliminary objection, merits, reparations and costs. </w:t>
      </w:r>
      <w:r w:rsidRPr="00104227">
        <w:rPr>
          <w:lang w:val="en-US"/>
        </w:rPr>
        <w:t xml:space="preserve">Judgment of July 10, 2007. Series C No. 167, para. 87, and </w:t>
      </w:r>
      <w:r w:rsidRPr="00104227">
        <w:rPr>
          <w:i/>
          <w:lang w:val="en-US"/>
        </w:rPr>
        <w:t xml:space="preserve">Case of Favela Nova Brasília v. Brazil. Preliminary objections, merits, reparations and costs. </w:t>
      </w:r>
      <w:r w:rsidRPr="00104227">
        <w:rPr>
          <w:lang w:val="en-US"/>
        </w:rPr>
        <w:t>Judgment of February 16, 2017. Series C No. 333, para. 180.</w:t>
      </w:r>
    </w:p>
  </w:footnote>
  <w:footnote w:id="405">
    <w:p w14:paraId="68778945" w14:textId="0B0CB25C"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Case of Nogueira de Carvalho et al. v. Brazil. Preliminary objections and Merits. </w:t>
      </w:r>
      <w:r w:rsidRPr="00104227">
        <w:rPr>
          <w:lang w:val="en-US"/>
        </w:rPr>
        <w:t xml:space="preserve">Judgment of November 28, 2006. Series C No. 161, para. 80, and </w:t>
      </w:r>
      <w:r w:rsidRPr="00104227">
        <w:rPr>
          <w:i/>
          <w:lang w:val="en-US"/>
        </w:rPr>
        <w:t>Case of Coc Max et al. (Xamán Massacre)  v. Guatemala. Merits, reparations and costs.</w:t>
      </w:r>
      <w:r w:rsidRPr="00104227">
        <w:rPr>
          <w:lang w:val="en-US"/>
        </w:rPr>
        <w:t xml:space="preserve"> Judgment of August 22, 2018. Series C No. 356, para. 81.</w:t>
      </w:r>
    </w:p>
  </w:footnote>
  <w:footnote w:id="406">
    <w:p w14:paraId="6C138466" w14:textId="5BE38C22"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In this regard, the Committee against Torture has indicated that “those exercising superior authority - including public officials - cannot […] escape criminal responsibility for torture or ill-treatment committed by subordinates where they knew or should have known that such impermissible conduct was occurring, or was likely to occur, and they failed to take reasonable and necessary preventive measures.” UN Committee against Torture, General Comment No. 2, January 24, 2008, CAT/C/GC/2, para. 26. See, similarly: UN, Committee against Torture, </w:t>
      </w:r>
      <w:r w:rsidRPr="00104227">
        <w:rPr>
          <w:i/>
          <w:lang w:val="en-US"/>
        </w:rPr>
        <w:t>Hajrizi Dzemajl et al. v. Yugoslavia</w:t>
      </w:r>
      <w:r w:rsidRPr="00104227">
        <w:rPr>
          <w:lang w:val="en-US"/>
        </w:rPr>
        <w:t xml:space="preserve">, December 2, 2002, Doc. UN CAT/C/29/D/161/2000, para. 9.2, and </w:t>
      </w:r>
      <w:r w:rsidRPr="00104227">
        <w:rPr>
          <w:i/>
          <w:lang w:val="en-US"/>
        </w:rPr>
        <w:t>Besim Osmani v. Republic of Serbia</w:t>
      </w:r>
      <w:r w:rsidRPr="00104227">
        <w:rPr>
          <w:lang w:val="en-US"/>
        </w:rPr>
        <w:t>, May 25, 2009, Doc. UN CAT/C/42/D/261/2005, para. 10.5.</w:t>
      </w:r>
    </w:p>
  </w:footnote>
  <w:footnote w:id="407">
    <w:p w14:paraId="1A1ABC8C" w14:textId="4BBDABDF" w:rsidR="0080773E" w:rsidRPr="00104227" w:rsidRDefault="0080773E" w:rsidP="002755DF">
      <w:pPr>
        <w:pStyle w:val="Textonotapie"/>
        <w:tabs>
          <w:tab w:val="left" w:pos="426"/>
        </w:tabs>
        <w:rPr>
          <w:lang w:val="en-US"/>
        </w:rPr>
      </w:pPr>
      <w:r w:rsidRPr="00104227">
        <w:rPr>
          <w:rStyle w:val="Refdenotaalpie"/>
          <w:lang w:val="en-US"/>
        </w:rPr>
        <w:footnoteRef/>
      </w:r>
      <w:r w:rsidRPr="00104227">
        <w:rPr>
          <w:lang w:val="en-US"/>
        </w:rPr>
        <w:t xml:space="preserve"> </w:t>
      </w:r>
      <w:r w:rsidRPr="00104227">
        <w:rPr>
          <w:lang w:val="en-US"/>
        </w:rPr>
        <w:tab/>
        <w:t xml:space="preserve">According to customary international law the responsibility of those who, being able to prevent torture, failed to do so, requires proving: (1) the existence of a superior-subordinate relationship between the accused and the perpetrator of the crime (that is, that the individual had the material capacity to prevent or to punish the perpetration of a crime); (2) that the superior knew or had reason to know that the subordinate was about to perpetrate such crimes or had already done so, and (3) that he did not take all necessary and reasonable measures to prevent the crimes and/or to punish the perpetrator. </w:t>
      </w:r>
      <w:r w:rsidRPr="00104227">
        <w:rPr>
          <w:i/>
          <w:lang w:val="en-US"/>
        </w:rPr>
        <w:t xml:space="preserve">Cf. </w:t>
      </w:r>
      <w:r w:rsidRPr="00104227">
        <w:rPr>
          <w:lang w:val="en-US"/>
        </w:rPr>
        <w:t>Expert opinion of Susana SáCouto (evidence file, folio 37133).</w:t>
      </w:r>
    </w:p>
  </w:footnote>
  <w:footnote w:id="408">
    <w:p w14:paraId="27E48A7D" w14:textId="45F319DE"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In this regard, the SCJN noted that “[t]he organizational capacity [..] revealed by the police calls into question their version that it was impossible to halt the violence that had been unleashed.” SCJN judgment of February 12, 2009 (evidence file, folios 120 and 310). </w:t>
      </w:r>
    </w:p>
  </w:footnote>
  <w:footnote w:id="409">
    <w:p w14:paraId="5C16214D" w14:textId="6E709A7F"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SCJN judgment of February 12, 2009 (evidence file, folios 31199 and 31200). </w:t>
      </w:r>
    </w:p>
  </w:footnote>
  <w:footnote w:id="410">
    <w:p w14:paraId="58085ECA" w14:textId="65AB8B19"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Expert opinion of Susana SáCouto (evidence file, folios 37136 and 37137).</w:t>
      </w:r>
    </w:p>
  </w:footnote>
  <w:footnote w:id="411">
    <w:p w14:paraId="4DA4F523" w14:textId="1A343DD5"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To the contrary, the SCJN considered “reprehensible […] that, aware of the magnitude of the operation, measures were not taken to prevent the perpetration of [sexual abuse],” stressing also “the lack of foresight to include women police agents; measures to separate the women from the men following their detention, and the lack of planning to have video cameras or observers in the trucks.” It added that “the inquiry does not establish that any measures were taken when the violence broke out and, furthermore, that such conduct was penalized once this occurred. Indeed, the abuses did not stop; consequently, they were tolerated and, when investigated, the investigations conducted to date have not been effective and have not led to the punishment of that conduct.” SCJN judgment of February 12, 2009 (evidence file, folio 31199). </w:t>
      </w:r>
    </w:p>
  </w:footnote>
  <w:footnote w:id="412">
    <w:p w14:paraId="4E0145C1" w14:textId="1E026F59" w:rsidR="0080773E" w:rsidRPr="00104227" w:rsidRDefault="0080773E" w:rsidP="002755DF">
      <w:pPr>
        <w:pStyle w:val="Textonotapie"/>
        <w:tabs>
          <w:tab w:val="left" w:pos="426"/>
        </w:tabs>
        <w:rPr>
          <w:lang w:val="en-US"/>
        </w:rPr>
      </w:pPr>
      <w:r w:rsidRPr="00104227">
        <w:rPr>
          <w:rStyle w:val="Refdenotaalpie"/>
          <w:lang w:val="en-US"/>
        </w:rPr>
        <w:footnoteRef/>
      </w:r>
      <w:r w:rsidRPr="00104227">
        <w:rPr>
          <w:lang w:val="en-US"/>
        </w:rPr>
        <w:t xml:space="preserve"> </w:t>
      </w:r>
      <w:r w:rsidRPr="00104227">
        <w:rPr>
          <w:lang w:val="en-US"/>
        </w:rPr>
        <w:tab/>
        <w:t xml:space="preserve">See above, footnotes </w:t>
      </w:r>
      <w:r w:rsidRPr="00104227">
        <w:rPr>
          <w:lang w:val="en-US"/>
        </w:rPr>
        <w:fldChar w:fldCharType="begin"/>
      </w:r>
      <w:r w:rsidRPr="00104227">
        <w:rPr>
          <w:lang w:val="en-US"/>
        </w:rPr>
        <w:instrText xml:space="preserve"> NOTEREF _Ref532970934 \h  \* MERGEFORMAT </w:instrText>
      </w:r>
      <w:r w:rsidRPr="00104227">
        <w:rPr>
          <w:lang w:val="en-US"/>
        </w:rPr>
      </w:r>
      <w:r w:rsidRPr="00104227">
        <w:rPr>
          <w:lang w:val="en-US"/>
        </w:rPr>
        <w:fldChar w:fldCharType="separate"/>
      </w:r>
      <w:r w:rsidR="004276BD">
        <w:rPr>
          <w:lang w:val="en-US"/>
        </w:rPr>
        <w:t>245</w:t>
      </w:r>
      <w:r w:rsidRPr="00104227">
        <w:rPr>
          <w:lang w:val="en-US"/>
        </w:rPr>
        <w:fldChar w:fldCharType="end"/>
      </w:r>
      <w:r w:rsidRPr="00104227">
        <w:rPr>
          <w:lang w:val="en-US"/>
        </w:rPr>
        <w:t xml:space="preserve"> and </w:t>
      </w:r>
      <w:r w:rsidRPr="00104227">
        <w:rPr>
          <w:lang w:val="en-US"/>
        </w:rPr>
        <w:fldChar w:fldCharType="begin"/>
      </w:r>
      <w:r w:rsidRPr="00104227">
        <w:rPr>
          <w:lang w:val="en-US"/>
        </w:rPr>
        <w:instrText xml:space="preserve"> NOTEREF _Ref532970936 \h  \* MERGEFORMAT </w:instrText>
      </w:r>
      <w:r w:rsidRPr="00104227">
        <w:rPr>
          <w:lang w:val="en-US"/>
        </w:rPr>
      </w:r>
      <w:r w:rsidRPr="00104227">
        <w:rPr>
          <w:lang w:val="en-US"/>
        </w:rPr>
        <w:fldChar w:fldCharType="separate"/>
      </w:r>
      <w:r w:rsidR="004276BD">
        <w:rPr>
          <w:lang w:val="en-US"/>
        </w:rPr>
        <w:t>246</w:t>
      </w:r>
      <w:r w:rsidRPr="00104227">
        <w:rPr>
          <w:lang w:val="en-US"/>
        </w:rPr>
        <w:fldChar w:fldCharType="end"/>
      </w:r>
      <w:r w:rsidRPr="00104227">
        <w:rPr>
          <w:lang w:val="en-US"/>
        </w:rPr>
        <w:t xml:space="preserve"> of this judgment.</w:t>
      </w:r>
    </w:p>
  </w:footnote>
  <w:footnote w:id="413">
    <w:p w14:paraId="557C2468" w14:textId="7E9F59AF" w:rsidR="0080773E" w:rsidRPr="00104227" w:rsidRDefault="0080773E" w:rsidP="0010589D">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To the contrary the SCJN indicated that the violence used was permitted, encouraged and endorsed (</w:t>
      </w:r>
      <w:r w:rsidRPr="00104227">
        <w:rPr>
          <w:i/>
          <w:lang w:val="en-US"/>
        </w:rPr>
        <w:t xml:space="preserve">supra </w:t>
      </w:r>
      <w:r w:rsidRPr="00104227">
        <w:rPr>
          <w:lang w:val="en-US"/>
        </w:rPr>
        <w:t xml:space="preserve">para. </w:t>
      </w:r>
      <w:r w:rsidRPr="00104227">
        <w:rPr>
          <w:lang w:val="en-US"/>
        </w:rPr>
        <w:fldChar w:fldCharType="begin"/>
      </w:r>
      <w:r w:rsidRPr="00104227">
        <w:rPr>
          <w:lang w:val="en-US"/>
        </w:rPr>
        <w:instrText xml:space="preserve"> REF _Ref532838856 \r \h  \* MERGEFORMAT </w:instrText>
      </w:r>
      <w:r w:rsidRPr="00104227">
        <w:rPr>
          <w:lang w:val="en-US"/>
        </w:rPr>
      </w:r>
      <w:r w:rsidRPr="00104227">
        <w:rPr>
          <w:lang w:val="en-US"/>
        </w:rPr>
        <w:fldChar w:fldCharType="separate"/>
      </w:r>
      <w:r w:rsidR="004276BD">
        <w:rPr>
          <w:lang w:val="en-US"/>
        </w:rPr>
        <w:t>125</w:t>
      </w:r>
      <w:r w:rsidRPr="00104227">
        <w:rPr>
          <w:lang w:val="en-US"/>
        </w:rPr>
        <w:fldChar w:fldCharType="end"/>
      </w:r>
      <w:r w:rsidRPr="00104227">
        <w:rPr>
          <w:lang w:val="en-US"/>
        </w:rPr>
        <w:t>), and added that “it is reprehensible […] that, knowing the magnitude of the operation, measures were not taken to prevent the perpetration of those conducts or to allow a record or testimony to be kept of what happened. For example, the lack of foresight to include women police agents and measures to separate the women from the men when they had been detained, and the lack of foresight to have video cameras or observers in the trucks.” SCJN judgment of February 12, 2009 (evidence file, folio 31200).</w:t>
      </w:r>
    </w:p>
  </w:footnote>
  <w:footnote w:id="414">
    <w:p w14:paraId="2D28518D" w14:textId="2341D938"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 xml:space="preserve">Expert opinion of Susana SáCouto (evidence file, folio 37130). </w:t>
      </w:r>
    </w:p>
  </w:footnote>
  <w:footnote w:id="415">
    <w:p w14:paraId="7ECD4717" w14:textId="494CE1C0"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Expert opinion of Susana SáCouto (evidence file, folio 37129). </w:t>
      </w:r>
    </w:p>
  </w:footnote>
  <w:footnote w:id="416">
    <w:p w14:paraId="62755410" w14:textId="43C6020A" w:rsidR="0080773E" w:rsidRPr="00104227" w:rsidRDefault="0080773E" w:rsidP="002755DF">
      <w:pPr>
        <w:pStyle w:val="Textonotapie"/>
        <w:tabs>
          <w:tab w:val="left" w:pos="426"/>
        </w:tabs>
        <w:rPr>
          <w:lang w:val="en-US"/>
        </w:rPr>
      </w:pPr>
      <w:r w:rsidRPr="00104227">
        <w:rPr>
          <w:rStyle w:val="Refdenotaalpie"/>
          <w:lang w:val="en-US"/>
        </w:rPr>
        <w:footnoteRef/>
      </w:r>
      <w:r w:rsidRPr="00104227">
        <w:rPr>
          <w:lang w:val="en-US"/>
        </w:rPr>
        <w:t xml:space="preserve"> </w:t>
      </w:r>
      <w:r w:rsidRPr="00104227">
        <w:rPr>
          <w:lang w:val="en-US"/>
        </w:rPr>
        <w:tab/>
        <w:t xml:space="preserve">See footnote </w:t>
      </w:r>
      <w:r w:rsidRPr="00104227">
        <w:rPr>
          <w:lang w:val="en-US"/>
        </w:rPr>
        <w:fldChar w:fldCharType="begin"/>
      </w:r>
      <w:r w:rsidRPr="00104227">
        <w:rPr>
          <w:lang w:val="en-US"/>
        </w:rPr>
        <w:instrText xml:space="preserve"> NOTEREF _Ref532971669 \h  \* MERGEFORMAT </w:instrText>
      </w:r>
      <w:r w:rsidRPr="00104227">
        <w:rPr>
          <w:lang w:val="en-US"/>
        </w:rPr>
      </w:r>
      <w:r w:rsidRPr="00104227">
        <w:rPr>
          <w:lang w:val="en-US"/>
        </w:rPr>
        <w:fldChar w:fldCharType="separate"/>
      </w:r>
      <w:r w:rsidR="004276BD">
        <w:rPr>
          <w:lang w:val="en-US"/>
        </w:rPr>
        <w:t>247</w:t>
      </w:r>
      <w:r w:rsidRPr="00104227">
        <w:rPr>
          <w:lang w:val="en-US"/>
        </w:rPr>
        <w:fldChar w:fldCharType="end"/>
      </w:r>
      <w:r w:rsidRPr="00104227">
        <w:rPr>
          <w:lang w:val="en-US"/>
        </w:rPr>
        <w:t xml:space="preserve"> of this judgment above. </w:t>
      </w:r>
    </w:p>
  </w:footnote>
  <w:footnote w:id="417">
    <w:p w14:paraId="75D9118B" w14:textId="066DFCA0"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In this regard, even though it has been verified that the State did not investigate the responsibility of the authorities in charge of the operation based on their failure to take steps to prevent or to punish the acts of torture, the Court does not find it necessary to analyze whether there was also evidence indicating that the said authorities ordered, instigated or incited the perpetration of the acts of torture.</w:t>
      </w:r>
    </w:p>
  </w:footnote>
  <w:footnote w:id="418">
    <w:p w14:paraId="2382EAB3" w14:textId="54683B0B" w:rsidR="0080773E" w:rsidRPr="00104227" w:rsidRDefault="0080773E" w:rsidP="002755DF">
      <w:pPr>
        <w:pStyle w:val="Textonotapie"/>
        <w:tabs>
          <w:tab w:val="left" w:pos="426"/>
          <w:tab w:val="left" w:pos="709"/>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rFonts w:eastAsia="Calibri"/>
          <w:bCs/>
          <w:i/>
          <w:shd w:val="clear" w:color="auto" w:fill="FFFFFF"/>
          <w:lang w:val="en-US"/>
        </w:rPr>
        <w:t>Case of Suárez Rosero v. Ecuador. Merits.</w:t>
      </w:r>
      <w:r w:rsidRPr="00104227">
        <w:rPr>
          <w:rFonts w:eastAsia="Calibri"/>
          <w:bCs/>
          <w:shd w:val="clear" w:color="auto" w:fill="FFFFFF"/>
          <w:lang w:val="en-US"/>
        </w:rPr>
        <w:t xml:space="preserve"> Judgment of November 12, 1997. Series C No. 35,</w:t>
      </w:r>
      <w:r w:rsidRPr="00104227">
        <w:rPr>
          <w:lang w:val="en-US"/>
        </w:rPr>
        <w:t xml:space="preserve"> para. 71, and </w:t>
      </w:r>
      <w:r w:rsidRPr="00104227">
        <w:rPr>
          <w:rFonts w:eastAsia="Calibri"/>
          <w:bCs/>
          <w:i/>
          <w:shd w:val="clear" w:color="auto" w:fill="FFFFFF"/>
          <w:lang w:val="en-US"/>
        </w:rPr>
        <w:t xml:space="preserve">Case of Cuscul Pivaral et al. v. Guatemala. Preliminary objection, merits, reparations and costs. </w:t>
      </w:r>
      <w:r w:rsidRPr="00104227">
        <w:rPr>
          <w:rFonts w:eastAsia="Calibri"/>
          <w:bCs/>
          <w:shd w:val="clear" w:color="auto" w:fill="FFFFFF"/>
          <w:lang w:val="en-US"/>
        </w:rPr>
        <w:t>Judgment of August 23, 2018. Series C No. 359, para. 180</w:t>
      </w:r>
      <w:r w:rsidRPr="00104227">
        <w:rPr>
          <w:lang w:val="en-US"/>
        </w:rPr>
        <w:t>.</w:t>
      </w:r>
    </w:p>
  </w:footnote>
  <w:footnote w:id="419">
    <w:p w14:paraId="70728966" w14:textId="3CCA46B3" w:rsidR="0080773E" w:rsidRPr="00104227" w:rsidRDefault="0080773E" w:rsidP="002755DF">
      <w:pPr>
        <w:pStyle w:val="Textonotapie"/>
        <w:tabs>
          <w:tab w:val="left" w:pos="426"/>
          <w:tab w:val="left" w:pos="709"/>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Anzualdo Castro v. Peru. Preliminary objection, merits, reparations and costs.</w:t>
      </w:r>
      <w:r w:rsidRPr="00104227">
        <w:rPr>
          <w:lang w:val="en-US"/>
        </w:rPr>
        <w:t xml:space="preserve"> Judgment of September 22, 2009. Series C No. 202, para. 156, and </w:t>
      </w:r>
      <w:r w:rsidRPr="00104227">
        <w:rPr>
          <w:rFonts w:eastAsia="Calibri"/>
          <w:bCs/>
          <w:i/>
          <w:shd w:val="clear" w:color="auto" w:fill="FFFFFF"/>
          <w:lang w:val="en-US"/>
        </w:rPr>
        <w:t xml:space="preserve">Case of Cuscul Pivaral et al. v. Guatemala. Preliminary objection, merits, reparations and costs. </w:t>
      </w:r>
      <w:r w:rsidRPr="00104227">
        <w:rPr>
          <w:rFonts w:eastAsia="Calibri"/>
          <w:bCs/>
          <w:shd w:val="clear" w:color="auto" w:fill="FFFFFF"/>
          <w:lang w:val="en-US"/>
        </w:rPr>
        <w:t>Judgment of August 23, 2018. Series C No. 359, para. 180.</w:t>
      </w:r>
    </w:p>
  </w:footnote>
  <w:footnote w:id="420">
    <w:p w14:paraId="750E0CFB" w14:textId="1289044F" w:rsidR="0080773E" w:rsidRPr="00104227" w:rsidRDefault="0080773E" w:rsidP="002755DF">
      <w:pPr>
        <w:tabs>
          <w:tab w:val="left" w:pos="426"/>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t xml:space="preserve">Including, the complexity of the evidence, the plurality of procedural subjects or the number of victims, the time that has passed since the violation, the characteristics of the remedy established by domestic law, and the context in which the violation occurred. </w:t>
      </w:r>
      <w:r w:rsidRPr="00104227">
        <w:rPr>
          <w:i/>
          <w:sz w:val="16"/>
          <w:szCs w:val="16"/>
        </w:rPr>
        <w:t xml:space="preserve">Cf. inter alia, Case of Genie Lacayo v. Nicaragua. Preliminary objections. </w:t>
      </w:r>
      <w:r w:rsidRPr="00104227">
        <w:rPr>
          <w:sz w:val="16"/>
          <w:szCs w:val="16"/>
        </w:rPr>
        <w:t xml:space="preserve">Judgment of January 27, 1995. Series C No. 21, para. 78, and </w:t>
      </w:r>
      <w:r w:rsidRPr="00104227">
        <w:rPr>
          <w:bCs/>
          <w:i/>
          <w:sz w:val="16"/>
          <w:szCs w:val="16"/>
        </w:rPr>
        <w:t xml:space="preserve">Case of Cuscul Pivaral et al. v. Guatemala. Preliminary objection, merits, reparations and costs. </w:t>
      </w:r>
      <w:r w:rsidRPr="00104227">
        <w:rPr>
          <w:bCs/>
          <w:sz w:val="16"/>
          <w:szCs w:val="16"/>
        </w:rPr>
        <w:t>Judgment of August 23, 2018. Series C No. 359, para.</w:t>
      </w:r>
      <w:r w:rsidRPr="00104227">
        <w:rPr>
          <w:i/>
          <w:sz w:val="16"/>
          <w:szCs w:val="16"/>
        </w:rPr>
        <w:t xml:space="preserve"> </w:t>
      </w:r>
      <w:r w:rsidRPr="00104227">
        <w:rPr>
          <w:sz w:val="16"/>
          <w:szCs w:val="16"/>
        </w:rPr>
        <w:t>180.</w:t>
      </w:r>
    </w:p>
  </w:footnote>
  <w:footnote w:id="421">
    <w:p w14:paraId="72E4AF98" w14:textId="257C6D0E" w:rsidR="0080773E" w:rsidRPr="00104227" w:rsidRDefault="0080773E" w:rsidP="0067488A">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In fact, the State had, not only the lists drawn up by the SCJN in its judgment, but also the information gathered by the CNDH in the context of </w:t>
      </w:r>
      <w:r w:rsidRPr="00104227">
        <w:rPr>
          <w:u w:color="000000"/>
          <w:lang w:val="en-US"/>
        </w:rPr>
        <w:t>Recommendation 38/2006, and the police records of the operations.</w:t>
      </w:r>
    </w:p>
  </w:footnote>
  <w:footnote w:id="422">
    <w:p w14:paraId="3F00B8F1" w14:textId="516AEB48" w:rsidR="0080773E" w:rsidRPr="00104227" w:rsidRDefault="0080773E" w:rsidP="0067488A">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This Court finds it necessary to note that the refusal by some of the women victims in this case to submit for a second time to the appraisals requested by the PGR cannot be interpreted as an action that obstructed the progress of the proceedings, because the said appraisals must always be made with the victim’s consent and, if this consent is not forthcoming, this should not prejudice the progress of the investigation; rather, it is for the State to carry out other procedures in order to clarify the facts and punish those responsible. This is particularly relevant in this case, because most of the women had already undergone the appraisals to which the State failed to grant probative sufficiency in order to avoid the re-victimizing experience that having to undergo such appraisals for a second time signifies for a woman victim of torture and rape.</w:t>
      </w:r>
    </w:p>
  </w:footnote>
  <w:footnote w:id="423">
    <w:p w14:paraId="3AEE9F50" w14:textId="2A6B3396"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In this regard, although this did not entail a total paralization of the investigation, an analysis of the list of procedures provided by the State reveals that, for the three years that the inquiry was kept confidential, the intensity of the investigative activities was reduced considerably, so that, with a few exceptions, most of the procedures were of a formal nature such as the processing of documentation or the exchange of communications</w:t>
      </w:r>
      <w:r w:rsidRPr="00104227">
        <w:rPr>
          <w:i/>
          <w:lang w:val="en-US"/>
        </w:rPr>
        <w:t xml:space="preserve"> </w:t>
      </w:r>
      <w:r w:rsidRPr="00104227">
        <w:rPr>
          <w:lang w:val="en-US"/>
        </w:rPr>
        <w:t xml:space="preserve">(evidence file, folios 33383 to 33394). </w:t>
      </w:r>
    </w:p>
  </w:footnote>
  <w:footnote w:id="424">
    <w:p w14:paraId="6F629D32" w14:textId="04DCFDEA"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80773E">
        <w:rPr>
          <w:lang w:val="es-CR"/>
        </w:rPr>
        <w:t xml:space="preserve"> </w:t>
      </w:r>
      <w:r w:rsidRPr="0080773E">
        <w:rPr>
          <w:lang w:val="es-CR"/>
        </w:rPr>
        <w:tab/>
      </w:r>
      <w:r w:rsidRPr="0080773E">
        <w:rPr>
          <w:i/>
          <w:lang w:val="es-CR"/>
        </w:rPr>
        <w:t xml:space="preserve">Cf. Case of Valle Jaramillo et al. v. Colombia. </w:t>
      </w:r>
      <w:r w:rsidRPr="00104227">
        <w:rPr>
          <w:i/>
          <w:lang w:val="en-US"/>
        </w:rPr>
        <w:t>Merits, reparations and costs</w:t>
      </w:r>
      <w:r w:rsidRPr="00104227">
        <w:rPr>
          <w:lang w:val="en-US"/>
        </w:rPr>
        <w:t xml:space="preserve">. Judgment of November 27, 2008. Series C No. 192, para. 155, and </w:t>
      </w:r>
      <w:r w:rsidRPr="00104227">
        <w:rPr>
          <w:rFonts w:eastAsia="Calibri"/>
          <w:bCs/>
          <w:i/>
          <w:shd w:val="clear" w:color="auto" w:fill="FFFFFF"/>
          <w:lang w:val="en-US"/>
        </w:rPr>
        <w:t xml:space="preserve">Case of Cuscul Pivaral et al. v. Guatemala. Preliminary objection, merits, reparations and costs. </w:t>
      </w:r>
      <w:r w:rsidRPr="00104227">
        <w:rPr>
          <w:rFonts w:eastAsia="Calibri"/>
          <w:bCs/>
          <w:shd w:val="clear" w:color="auto" w:fill="FFFFFF"/>
          <w:lang w:val="en-US"/>
        </w:rPr>
        <w:t>Judgment of August 23, 2018. Series C No. 359, para. 185.</w:t>
      </w:r>
      <w:r w:rsidRPr="00104227">
        <w:rPr>
          <w:lang w:val="en-US"/>
        </w:rPr>
        <w:t xml:space="preserve"> </w:t>
      </w:r>
    </w:p>
  </w:footnote>
  <w:footnote w:id="425">
    <w:p w14:paraId="4E801D39" w14:textId="543A301F" w:rsidR="0080773E" w:rsidRPr="00104227" w:rsidRDefault="0080773E" w:rsidP="006B7AA9">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lang w:val="en-US"/>
        </w:rPr>
        <w:t xml:space="preserve">Expert opinion provided by Julissa Mantilla during the public hearing held before this Court. Similarly, expert witness Rebeca Cook indicated that “[d]enigrating victims sends a message that the State does not consider them worth protecting against violence or the State resources required to conduct an effective criminal investigation into their complaints of violence.” She added that “stereotypical comments influence the conduct of all the public authorities, justifying the State’s inaction and its failure to prevent, punish and/or eradicate violence against women” (merits file, folios 976 and 977). </w:t>
      </w:r>
    </w:p>
  </w:footnote>
  <w:footnote w:id="426">
    <w:p w14:paraId="49D97E09" w14:textId="455DD749"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Statement by Bárbara Italia Méndez Moreno during the public hearing before this Court. </w:t>
      </w:r>
    </w:p>
  </w:footnote>
  <w:footnote w:id="427">
    <w:p w14:paraId="183F93BF" w14:textId="728EAE50"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w:t>
      </w:r>
      <w:r w:rsidRPr="00104227">
        <w:rPr>
          <w:i/>
          <w:lang w:val="en-US"/>
        </w:rPr>
        <w:t>Case of Rosendo Cantú et al. v. Mexico. Preliminary objection, merits, reparations and costs</w:t>
      </w:r>
      <w:r w:rsidRPr="00104227">
        <w:rPr>
          <w:lang w:val="en-US"/>
        </w:rPr>
        <w:t xml:space="preserve">. Judgment of August 31, 2010. Series C No. 216, para. 89, and </w:t>
      </w:r>
      <w:r w:rsidRPr="00104227">
        <w:rPr>
          <w:i/>
          <w:lang w:val="en-US"/>
        </w:rPr>
        <w:t xml:space="preserve">Case of Favela Nova Brasília v. Brazil. Preliminary objections, merits, reparations and costs. </w:t>
      </w:r>
      <w:r w:rsidRPr="00104227">
        <w:rPr>
          <w:lang w:val="en-US"/>
        </w:rPr>
        <w:t>Judgment of February 16, 2017. Series C No. 333, para. 248.</w:t>
      </w:r>
    </w:p>
  </w:footnote>
  <w:footnote w:id="428">
    <w:p w14:paraId="43B6CEF9" w14:textId="1FD97E24"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Activities report of the General Inspectorate of the state Security Agency of May 17, 2006 (evidence file, folio 21743). </w:t>
      </w:r>
    </w:p>
  </w:footnote>
  <w:footnote w:id="429">
    <w:p w14:paraId="54A8ABEC" w14:textId="7A0FD368" w:rsidR="0080773E" w:rsidRPr="00104227" w:rsidRDefault="0080773E" w:rsidP="002755DF">
      <w:pPr>
        <w:tabs>
          <w:tab w:val="left" w:pos="426"/>
        </w:tabs>
        <w:autoSpaceDE w:val="0"/>
        <w:autoSpaceDN w:val="0"/>
        <w:adjustRightInd w:val="0"/>
        <w:spacing w:before="120" w:after="120"/>
        <w:rPr>
          <w:iCs/>
          <w:sz w:val="16"/>
          <w:szCs w:val="16"/>
        </w:rPr>
      </w:pPr>
      <w:r w:rsidRPr="00104227">
        <w:rPr>
          <w:rStyle w:val="Refdenotaalpie"/>
        </w:rPr>
        <w:footnoteRef/>
      </w:r>
      <w:r w:rsidRPr="00104227">
        <w:rPr>
          <w:sz w:val="16"/>
          <w:szCs w:val="16"/>
        </w:rPr>
        <w:t xml:space="preserve"> </w:t>
      </w:r>
      <w:r w:rsidRPr="00104227">
        <w:rPr>
          <w:sz w:val="16"/>
          <w:szCs w:val="16"/>
        </w:rPr>
        <w:tab/>
        <w:t xml:space="preserve">In September 2008, the FEVIM ordered the preparation of a “social, family and economic report on the complainants, the victim’s background, customs and practices.” The November 7, 2008, report issued by the FEVIM </w:t>
      </w:r>
      <w:r w:rsidRPr="00104227">
        <w:rPr>
          <w:iCs/>
          <w:sz w:val="16"/>
          <w:szCs w:val="16"/>
        </w:rPr>
        <w:t xml:space="preserve">established that, in light of the refusal of the women victims in the case to submit to this report, “a visit was made to the domiciles recorded in the preliminary inquiry.” The report analyzed the urbanization of the area where the dwelling was located, the state and conditions of the dwelling, access to services and economic conditions of the inhabitants, all of which was documented with photographs. In December 2008, the complainants filed a complaint against the </w:t>
      </w:r>
      <w:r w:rsidRPr="00104227">
        <w:rPr>
          <w:sz w:val="16"/>
          <w:szCs w:val="16"/>
        </w:rPr>
        <w:t xml:space="preserve">agent of the federal Public Prosecution Service in charge of the case because this report was prepared against their wishes. </w:t>
      </w:r>
      <w:r w:rsidRPr="00104227">
        <w:rPr>
          <w:i/>
          <w:sz w:val="16"/>
          <w:szCs w:val="16"/>
        </w:rPr>
        <w:t xml:space="preserve">Cf. </w:t>
      </w:r>
      <w:r w:rsidRPr="00104227">
        <w:rPr>
          <w:sz w:val="16"/>
          <w:szCs w:val="16"/>
        </w:rPr>
        <w:t>FEVIM report of November 7, 2008 (evidence file, folio</w:t>
      </w:r>
      <w:r w:rsidRPr="00104227">
        <w:rPr>
          <w:i/>
          <w:sz w:val="16"/>
          <w:szCs w:val="16"/>
        </w:rPr>
        <w:t xml:space="preserve"> </w:t>
      </w:r>
      <w:r w:rsidRPr="00104227">
        <w:rPr>
          <w:sz w:val="16"/>
          <w:szCs w:val="16"/>
        </w:rPr>
        <w:t>42606), and complaint</w:t>
      </w:r>
      <w:r w:rsidRPr="00104227">
        <w:rPr>
          <w:rFonts w:cs="Arial"/>
          <w:sz w:val="16"/>
          <w:szCs w:val="16"/>
        </w:rPr>
        <w:t xml:space="preserve"> of the eleven women against the background report filed before the Complaint Area of the PGR Internal Control Body, dated December 18, 2008 (evidence file, folios 24514 and 24515). </w:t>
      </w:r>
    </w:p>
  </w:footnote>
  <w:footnote w:id="430">
    <w:p w14:paraId="674ADF04" w14:textId="13AD5D6E" w:rsidR="0080773E" w:rsidRPr="00104227" w:rsidRDefault="0080773E" w:rsidP="002755DF">
      <w:pPr>
        <w:tabs>
          <w:tab w:val="left" w:pos="426"/>
        </w:tabs>
        <w:autoSpaceDE w:val="0"/>
        <w:autoSpaceDN w:val="0"/>
        <w:adjustRightInd w:val="0"/>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t xml:space="preserve">Article 5(1) of the Convention establishes that: “1. </w:t>
      </w:r>
      <w:r w:rsidRPr="00104227">
        <w:rPr>
          <w:spacing w:val="-3"/>
          <w:sz w:val="16"/>
          <w:szCs w:val="16"/>
        </w:rPr>
        <w:t>Every person has the right to have his physical, mental, and moral integrity respected</w:t>
      </w:r>
      <w:r w:rsidRPr="00104227">
        <w:rPr>
          <w:sz w:val="16"/>
          <w:szCs w:val="16"/>
        </w:rPr>
        <w:t>.”</w:t>
      </w:r>
    </w:p>
  </w:footnote>
  <w:footnote w:id="431">
    <w:p w14:paraId="1AEA3085" w14:textId="77719042" w:rsidR="0080773E" w:rsidRPr="00104227" w:rsidRDefault="0080773E" w:rsidP="002755DF">
      <w:pPr>
        <w:pStyle w:val="Textonotapie"/>
        <w:tabs>
          <w:tab w:val="clear" w:pos="567"/>
          <w:tab w:val="left" w:pos="426"/>
        </w:tabs>
        <w:spacing w:before="120" w:after="120"/>
        <w:rPr>
          <w:rFonts w:eastAsia="Calibri" w:cs="Times New Roman"/>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Case of Castillo Páez v. Peru. Merits. </w:t>
      </w:r>
      <w:r w:rsidRPr="00104227">
        <w:rPr>
          <w:lang w:val="en-US"/>
        </w:rPr>
        <w:t xml:space="preserve">Judgment of November 3, 1997. Series C No. 34, fourth operative paragraph, and </w:t>
      </w:r>
      <w:r w:rsidRPr="00104227">
        <w:rPr>
          <w:bCs/>
          <w:i/>
          <w:lang w:val="en-US"/>
        </w:rPr>
        <w:t xml:space="preserve">Case of López Soto et al. v. Venezuela. Merits, reparations and costs. </w:t>
      </w:r>
      <w:r w:rsidRPr="00104227">
        <w:rPr>
          <w:bCs/>
          <w:lang w:val="en-US"/>
        </w:rPr>
        <w:t>Judgment of September 26, 2018. Series C No. 362,</w:t>
      </w:r>
      <w:r w:rsidRPr="00104227">
        <w:rPr>
          <w:lang w:val="en-US"/>
        </w:rPr>
        <w:t xml:space="preserve"> para. 262.</w:t>
      </w:r>
    </w:p>
  </w:footnote>
  <w:footnote w:id="432">
    <w:p w14:paraId="27CDE547" w14:textId="079B84C8"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rFonts w:cs="Times New Roman"/>
          <w:i/>
          <w:lang w:val="en-US"/>
        </w:rPr>
        <w:t>Case of Gudiel Álvarez et al. (Diario Militar) v. Guatemala. Merits Reparations and costs</w:t>
      </w:r>
      <w:r w:rsidRPr="00104227">
        <w:rPr>
          <w:rFonts w:cs="Times New Roman"/>
          <w:lang w:val="en-US"/>
        </w:rPr>
        <w:t>. Judgment of November 20, 2012 Series C No. 253, para. 286</w:t>
      </w:r>
      <w:r w:rsidRPr="00104227">
        <w:rPr>
          <w:lang w:val="en-US"/>
        </w:rPr>
        <w:t xml:space="preserve">; </w:t>
      </w:r>
      <w:r w:rsidRPr="00104227">
        <w:rPr>
          <w:rFonts w:cs="Times New Roman"/>
          <w:i/>
          <w:lang w:val="en-US"/>
        </w:rPr>
        <w:t>Case of Osorio Rivera and family v. Peru. Preliminary objections, merits, reparations and costs</w:t>
      </w:r>
      <w:r w:rsidRPr="00104227">
        <w:rPr>
          <w:rFonts w:cs="Times New Roman"/>
          <w:lang w:val="en-US"/>
        </w:rPr>
        <w:t>. Judgment of November 26, 2013. Series C No. 274</w:t>
      </w:r>
      <w:r w:rsidRPr="00104227">
        <w:rPr>
          <w:lang w:val="en-US"/>
        </w:rPr>
        <w:t xml:space="preserve">, para. 227, and </w:t>
      </w:r>
      <w:r w:rsidRPr="00104227">
        <w:rPr>
          <w:rStyle w:val="Textoennegrita"/>
          <w:b w:val="0"/>
          <w:i/>
          <w:color w:val="000000"/>
          <w:shd w:val="clear" w:color="auto" w:fill="FFFFFF"/>
          <w:lang w:val="en-US"/>
        </w:rPr>
        <w:t xml:space="preserve">Case of Terrones Silva et al. v. Peru. Preliminary objections, merits, reparations and costs. </w:t>
      </w:r>
      <w:r w:rsidRPr="00104227">
        <w:rPr>
          <w:rStyle w:val="Textoennegrita"/>
          <w:b w:val="0"/>
          <w:color w:val="000000"/>
          <w:shd w:val="clear" w:color="auto" w:fill="FFFFFF"/>
          <w:lang w:val="en-US"/>
        </w:rPr>
        <w:t xml:space="preserve">Judgment of September 26, 2018. Series C No. 360, para. </w:t>
      </w:r>
      <w:r w:rsidRPr="00104227">
        <w:rPr>
          <w:lang w:val="en-US"/>
        </w:rPr>
        <w:t xml:space="preserve">226. </w:t>
      </w:r>
    </w:p>
  </w:footnote>
  <w:footnote w:id="433">
    <w:p w14:paraId="729F48CE" w14:textId="07EB1A7F"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rStyle w:val="Textoennegrita"/>
          <w:b w:val="0"/>
          <w:i/>
          <w:color w:val="000000"/>
          <w:shd w:val="clear" w:color="auto" w:fill="FFFFFF"/>
          <w:lang w:val="en-US"/>
        </w:rPr>
        <w:t>Case of Valle Jaramillo et al. v. Colombia. Merits, reparations and costs.</w:t>
      </w:r>
      <w:r w:rsidRPr="00104227">
        <w:rPr>
          <w:rStyle w:val="Textoennegrita"/>
          <w:b w:val="0"/>
          <w:color w:val="000000"/>
          <w:shd w:val="clear" w:color="auto" w:fill="FFFFFF"/>
          <w:lang w:val="en-US"/>
        </w:rPr>
        <w:t xml:space="preserve"> Judgment of November 27, 2008. Series C No. 192,</w:t>
      </w:r>
      <w:r w:rsidRPr="00104227">
        <w:rPr>
          <w:b/>
          <w:lang w:val="en-US"/>
        </w:rPr>
        <w:t xml:space="preserve"> </w:t>
      </w:r>
      <w:r w:rsidRPr="00104227">
        <w:rPr>
          <w:lang w:val="en-US"/>
        </w:rPr>
        <w:t xml:space="preserve">para. 119, and </w:t>
      </w:r>
      <w:r w:rsidRPr="00104227">
        <w:rPr>
          <w:rStyle w:val="Textoennegrita"/>
          <w:b w:val="0"/>
          <w:i/>
          <w:color w:val="000000"/>
          <w:shd w:val="clear" w:color="auto" w:fill="FFFFFF"/>
          <w:lang w:val="en-US"/>
        </w:rPr>
        <w:t>Case of Coc Max et al. (Xamán Massacre)  v. Guatemala. Merits, reparations and costs.</w:t>
      </w:r>
      <w:r w:rsidRPr="00104227">
        <w:rPr>
          <w:rStyle w:val="Textoennegrita"/>
          <w:b w:val="0"/>
          <w:color w:val="000000"/>
          <w:shd w:val="clear" w:color="auto" w:fill="FFFFFF"/>
          <w:lang w:val="en-US"/>
        </w:rPr>
        <w:t xml:space="preserve"> Judgment of August 22, 2018. Series C No. 356, para. 123</w:t>
      </w:r>
      <w:r w:rsidRPr="00104227">
        <w:rPr>
          <w:lang w:val="en-US"/>
        </w:rPr>
        <w:t xml:space="preserve">. </w:t>
      </w:r>
    </w:p>
  </w:footnote>
  <w:footnote w:id="434">
    <w:p w14:paraId="63B909BC" w14:textId="035A27ED"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w:t>
      </w:r>
      <w:r w:rsidRPr="00104227">
        <w:rPr>
          <w:lang w:val="en-US"/>
        </w:rPr>
        <w:t xml:space="preserve"> </w:t>
      </w:r>
      <w:r w:rsidRPr="00104227">
        <w:rPr>
          <w:bCs/>
          <w:i/>
          <w:lang w:val="en-US"/>
        </w:rPr>
        <w:t>Case of Blake v. Guatemala. Merits.</w:t>
      </w:r>
      <w:r w:rsidRPr="00104227">
        <w:rPr>
          <w:bCs/>
          <w:lang w:val="en-US"/>
        </w:rPr>
        <w:t xml:space="preserve"> Judgment of January 24, 1998. Series C No. 36</w:t>
      </w:r>
      <w:r w:rsidRPr="00104227">
        <w:rPr>
          <w:lang w:val="en-US"/>
        </w:rPr>
        <w:t xml:space="preserve">, para. 114, and </w:t>
      </w:r>
      <w:r w:rsidRPr="00104227">
        <w:rPr>
          <w:rStyle w:val="Textoennegrita"/>
          <w:b w:val="0"/>
          <w:i/>
          <w:color w:val="000000"/>
          <w:shd w:val="clear" w:color="auto" w:fill="FFFFFF"/>
          <w:lang w:val="en-US"/>
        </w:rPr>
        <w:t>Case of Cuscul Pivaral et al. v. Guatemala. Preliminary objection, merits, reparations and costs.</w:t>
      </w:r>
      <w:r w:rsidRPr="00104227">
        <w:rPr>
          <w:rStyle w:val="Textoennegrita"/>
          <w:b w:val="0"/>
          <w:color w:val="000000"/>
          <w:shd w:val="clear" w:color="auto" w:fill="FFFFFF"/>
          <w:lang w:val="en-US"/>
        </w:rPr>
        <w:t xml:space="preserve"> Judgment of August 23, 2018. Series C No. 359, para. </w:t>
      </w:r>
      <w:r w:rsidRPr="00104227">
        <w:rPr>
          <w:bCs/>
          <w:lang w:val="en-US"/>
        </w:rPr>
        <w:t>121</w:t>
      </w:r>
      <w:r w:rsidRPr="00104227">
        <w:rPr>
          <w:lang w:val="en-US"/>
        </w:rPr>
        <w:t>.</w:t>
      </w:r>
    </w:p>
  </w:footnote>
  <w:footnote w:id="435">
    <w:p w14:paraId="144119A0" w14:textId="70BA2ED1"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rFonts w:eastAsia="Calibri" w:cs="Times New Roman"/>
          <w:i/>
          <w:lang w:val="en-US"/>
        </w:rPr>
        <w:t xml:space="preserve">Cf. </w:t>
      </w:r>
      <w:r w:rsidRPr="00104227">
        <w:rPr>
          <w:rFonts w:cs="Times New Roman"/>
          <w:i/>
          <w:lang w:val="en-US"/>
        </w:rPr>
        <w:t>Case of Valle Jaramillo et al. v. Colombia. Merits, reparations and costs</w:t>
      </w:r>
      <w:r w:rsidRPr="00104227">
        <w:rPr>
          <w:rFonts w:cs="Times New Roman"/>
          <w:lang w:val="en-US"/>
        </w:rPr>
        <w:t>. Judgment of November 27, 2008. Series C No. 192</w:t>
      </w:r>
      <w:r w:rsidRPr="00104227">
        <w:rPr>
          <w:rFonts w:eastAsia="Calibri" w:cs="Times New Roman"/>
          <w:i/>
          <w:lang w:val="en-US"/>
        </w:rPr>
        <w:t xml:space="preserve">, </w:t>
      </w:r>
      <w:r w:rsidRPr="00104227">
        <w:rPr>
          <w:rFonts w:eastAsia="Calibri" w:cs="Times New Roman"/>
          <w:lang w:val="en-US"/>
        </w:rPr>
        <w:t xml:space="preserve">para. 119, and </w:t>
      </w:r>
      <w:r w:rsidRPr="00104227">
        <w:rPr>
          <w:rStyle w:val="Textoennegrita"/>
          <w:b w:val="0"/>
          <w:i/>
          <w:color w:val="000000"/>
          <w:shd w:val="clear" w:color="auto" w:fill="FFFFFF"/>
          <w:lang w:val="en-US"/>
        </w:rPr>
        <w:t xml:space="preserve">Case of Terrones Silva et al. v. Peru. Preliminary objections, merits, reparations and costs. </w:t>
      </w:r>
      <w:r w:rsidRPr="00104227">
        <w:rPr>
          <w:rStyle w:val="Textoennegrita"/>
          <w:b w:val="0"/>
          <w:color w:val="000000"/>
          <w:shd w:val="clear" w:color="auto" w:fill="FFFFFF"/>
          <w:lang w:val="en-US"/>
        </w:rPr>
        <w:t xml:space="preserve">Judgment of September 26, 2018. Series C No. 360, para. </w:t>
      </w:r>
      <w:r w:rsidRPr="00104227">
        <w:rPr>
          <w:lang w:val="en-US"/>
        </w:rPr>
        <w:t>226.</w:t>
      </w:r>
    </w:p>
  </w:footnote>
  <w:footnote w:id="436">
    <w:p w14:paraId="2080B950" w14:textId="11FB06DE" w:rsidR="0080773E" w:rsidRPr="00104227" w:rsidRDefault="0080773E" w:rsidP="002755DF">
      <w:pPr>
        <w:pStyle w:val="Textonotapie"/>
        <w:tabs>
          <w:tab w:val="clear" w:pos="567"/>
          <w:tab w:val="left" w:pos="426"/>
        </w:tabs>
        <w:spacing w:before="120" w:after="120"/>
        <w:rPr>
          <w:rFonts w:eastAsia="Calibri" w:cs="Times New Roman"/>
          <w:lang w:val="en-US"/>
        </w:rPr>
      </w:pPr>
      <w:r w:rsidRPr="00104227">
        <w:rPr>
          <w:rStyle w:val="Refdenotaalpie"/>
          <w:rFonts w:eastAsia="Calibri" w:cs="Times New Roman"/>
          <w:lang w:val="en-US"/>
        </w:rPr>
        <w:footnoteRef/>
      </w:r>
      <w:r w:rsidRPr="00104227">
        <w:rPr>
          <w:rFonts w:eastAsia="Calibri" w:cs="Times New Roman"/>
          <w:lang w:val="en-US"/>
        </w:rPr>
        <w:t xml:space="preserve"> </w:t>
      </w:r>
      <w:r w:rsidRPr="00104227">
        <w:rPr>
          <w:rFonts w:eastAsia="Calibri" w:cs="Times New Roman"/>
          <w:lang w:val="en-US"/>
        </w:rPr>
        <w:tab/>
      </w:r>
      <w:r w:rsidRPr="00104227">
        <w:rPr>
          <w:rFonts w:eastAsia="Calibri" w:cs="Times New Roman"/>
          <w:i/>
          <w:lang w:val="en-US"/>
        </w:rPr>
        <w:t xml:space="preserve">Cf. </w:t>
      </w:r>
      <w:r w:rsidRPr="00104227">
        <w:rPr>
          <w:rFonts w:cs="Times New Roman"/>
          <w:i/>
          <w:lang w:val="en-US"/>
        </w:rPr>
        <w:t>Case of La Cantuta v. Peru. Merits, reparations and costs</w:t>
      </w:r>
      <w:r w:rsidRPr="00104227">
        <w:rPr>
          <w:rFonts w:cs="Times New Roman"/>
          <w:lang w:val="en-US"/>
        </w:rPr>
        <w:t>. Judgment of November 29, 2006. Series C No. 162</w:t>
      </w:r>
      <w:r w:rsidRPr="00104227">
        <w:rPr>
          <w:rFonts w:eastAsia="Calibri" w:cs="Times New Roman"/>
          <w:lang w:val="en-US"/>
        </w:rPr>
        <w:t xml:space="preserve">, para. 218, and </w:t>
      </w:r>
      <w:r w:rsidRPr="00104227">
        <w:rPr>
          <w:rStyle w:val="Textoennegrita"/>
          <w:b w:val="0"/>
          <w:i/>
          <w:color w:val="000000"/>
          <w:shd w:val="clear" w:color="auto" w:fill="FFFFFF"/>
          <w:lang w:val="en-US"/>
        </w:rPr>
        <w:t>Case of the Santa Bárbara Campesino Community v. Peru. Preliminary objections, merits, reparations and costs.</w:t>
      </w:r>
      <w:r w:rsidRPr="00104227">
        <w:rPr>
          <w:rStyle w:val="Textoennegrita"/>
          <w:b w:val="0"/>
          <w:color w:val="000000"/>
          <w:shd w:val="clear" w:color="auto" w:fill="FFFFFF"/>
          <w:lang w:val="en-US"/>
        </w:rPr>
        <w:t xml:space="preserve"> Judgment of September 1, 2015. Series C No. 299, para.</w:t>
      </w:r>
      <w:r w:rsidRPr="00104227">
        <w:rPr>
          <w:rFonts w:cs="Times New Roman"/>
          <w:lang w:val="en-US"/>
        </w:rPr>
        <w:t xml:space="preserve"> 274</w:t>
      </w:r>
      <w:r w:rsidRPr="00104227">
        <w:rPr>
          <w:rFonts w:eastAsia="Calibri" w:cs="Times New Roman"/>
          <w:lang w:val="en-US"/>
        </w:rPr>
        <w:t>.</w:t>
      </w:r>
    </w:p>
  </w:footnote>
  <w:footnote w:id="437">
    <w:p w14:paraId="2C8D39BF" w14:textId="40588A5A" w:rsidR="0080773E" w:rsidRPr="00104227" w:rsidRDefault="0080773E" w:rsidP="002755DF">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w:t>
      </w:r>
      <w:r w:rsidRPr="00104227">
        <w:rPr>
          <w:rStyle w:val="Textoennegrita"/>
          <w:b w:val="0"/>
          <w:i/>
          <w:color w:val="000000"/>
          <w:shd w:val="clear" w:color="auto" w:fill="FFFFFF"/>
          <w:lang w:val="en-US"/>
        </w:rPr>
        <w:t xml:space="preserve">Case of Rosendo Cantú et al. v. Mexico. Preliminary objection, merits, reparations and costs. </w:t>
      </w:r>
      <w:r w:rsidRPr="00104227">
        <w:rPr>
          <w:rStyle w:val="Textoennegrita"/>
          <w:b w:val="0"/>
          <w:color w:val="000000"/>
          <w:shd w:val="clear" w:color="auto" w:fill="FFFFFF"/>
          <w:lang w:val="en-US"/>
        </w:rPr>
        <w:t>Judgment of August 31, 2010. Series C No. 216, paras. 137 a 139</w:t>
      </w:r>
      <w:r w:rsidRPr="00104227">
        <w:rPr>
          <w:i/>
          <w:lang w:val="en-US"/>
        </w:rPr>
        <w:t>, and Case of Espinoza Gonzáles v. Peru. Preliminary objections, merits, reparations and costs</w:t>
      </w:r>
      <w:r w:rsidRPr="00104227">
        <w:rPr>
          <w:lang w:val="en-US"/>
        </w:rPr>
        <w:t>. Judgment of November 20, 2014. Series C No. 289, para. 297.</w:t>
      </w:r>
    </w:p>
  </w:footnote>
  <w:footnote w:id="438">
    <w:p w14:paraId="72839662" w14:textId="0FD7D604" w:rsidR="0080773E" w:rsidRPr="00104227" w:rsidRDefault="0080773E" w:rsidP="002755DF">
      <w:pPr>
        <w:tabs>
          <w:tab w:val="left" w:pos="426"/>
        </w:tabs>
        <w:spacing w:before="120" w:after="120"/>
        <w:rPr>
          <w:sz w:val="16"/>
          <w:szCs w:val="16"/>
        </w:rPr>
      </w:pPr>
      <w:r w:rsidRPr="00104227">
        <w:rPr>
          <w:sz w:val="16"/>
          <w:szCs w:val="16"/>
          <w:vertAlign w:val="superscript"/>
        </w:rPr>
        <w:footnoteRef/>
      </w:r>
      <w:r w:rsidRPr="00104227">
        <w:rPr>
          <w:sz w:val="16"/>
          <w:szCs w:val="16"/>
        </w:rPr>
        <w:t xml:space="preserve"> </w:t>
      </w:r>
      <w:r w:rsidRPr="00104227">
        <w:rPr>
          <w:sz w:val="16"/>
          <w:szCs w:val="16"/>
        </w:rPr>
        <w:tab/>
      </w:r>
      <w:r w:rsidRPr="00104227">
        <w:rPr>
          <w:i/>
          <w:sz w:val="16"/>
          <w:szCs w:val="16"/>
        </w:rPr>
        <w:t>Cf.</w:t>
      </w:r>
      <w:r w:rsidRPr="00104227">
        <w:rPr>
          <w:sz w:val="16"/>
          <w:szCs w:val="16"/>
        </w:rPr>
        <w:t xml:space="preserve"> Expert opinion of Ximena Antillón, provided by affidavit on November 1, 2017 (evidence file, folios 37224 to 37340)</w:t>
      </w:r>
    </w:p>
  </w:footnote>
  <w:footnote w:id="439">
    <w:p w14:paraId="58727B44" w14:textId="6329862F" w:rsidR="0080773E" w:rsidRPr="00104227" w:rsidRDefault="0080773E" w:rsidP="002755DF">
      <w:pPr>
        <w:tabs>
          <w:tab w:val="left" w:pos="426"/>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t>Article 63(1) of the American Convention establishes that: “[i]</w:t>
      </w:r>
      <w:r w:rsidRPr="00104227">
        <w:rPr>
          <w:spacing w:val="-3"/>
          <w:sz w:val="16"/>
          <w:szCs w:val="16"/>
        </w:rPr>
        <w:t>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r w:rsidRPr="00104227">
        <w:rPr>
          <w:sz w:val="16"/>
          <w:szCs w:val="16"/>
        </w:rPr>
        <w:t>”</w:t>
      </w:r>
    </w:p>
  </w:footnote>
  <w:footnote w:id="440">
    <w:p w14:paraId="3AEFB8F1" w14:textId="006BA2D2" w:rsidR="0080773E" w:rsidRPr="00104227" w:rsidRDefault="0080773E" w:rsidP="002755DF">
      <w:pPr>
        <w:tabs>
          <w:tab w:val="left" w:pos="426"/>
        </w:tabs>
        <w:spacing w:before="120" w:after="120"/>
        <w:rPr>
          <w:sz w:val="16"/>
          <w:szCs w:val="16"/>
        </w:rPr>
      </w:pPr>
      <w:r w:rsidRPr="00104227">
        <w:rPr>
          <w:rStyle w:val="Refdenotaalpie"/>
        </w:rPr>
        <w:footnoteRef/>
      </w:r>
      <w:r w:rsidRPr="0080773E">
        <w:rPr>
          <w:sz w:val="16"/>
          <w:szCs w:val="16"/>
          <w:lang w:val="es-CR"/>
        </w:rPr>
        <w:t xml:space="preserve"> </w:t>
      </w:r>
      <w:r w:rsidRPr="0080773E">
        <w:rPr>
          <w:sz w:val="16"/>
          <w:szCs w:val="16"/>
          <w:lang w:val="es-CR"/>
        </w:rPr>
        <w:tab/>
      </w:r>
      <w:r w:rsidRPr="0080773E">
        <w:rPr>
          <w:i/>
          <w:sz w:val="16"/>
          <w:szCs w:val="16"/>
          <w:lang w:val="es-CR"/>
        </w:rPr>
        <w:t>Cf.</w:t>
      </w:r>
      <w:r w:rsidRPr="0080773E">
        <w:rPr>
          <w:sz w:val="16"/>
          <w:szCs w:val="16"/>
          <w:lang w:val="es-CR"/>
        </w:rPr>
        <w:t xml:space="preserve"> </w:t>
      </w:r>
      <w:r w:rsidRPr="0080773E">
        <w:rPr>
          <w:i/>
          <w:iCs/>
          <w:sz w:val="16"/>
          <w:szCs w:val="16"/>
          <w:lang w:val="es-CR"/>
        </w:rPr>
        <w:t xml:space="preserve">Case of Velásquez Rodríguez v. Honduras. </w:t>
      </w:r>
      <w:r w:rsidRPr="00104227">
        <w:rPr>
          <w:i/>
          <w:iCs/>
          <w:sz w:val="16"/>
          <w:szCs w:val="16"/>
        </w:rPr>
        <w:t xml:space="preserve">Reparations and costs. </w:t>
      </w:r>
      <w:r w:rsidRPr="00104227">
        <w:rPr>
          <w:iCs/>
          <w:sz w:val="16"/>
          <w:szCs w:val="16"/>
        </w:rPr>
        <w:t>Judgment of July 21, 1989. Series C No. 7, para. 26</w:t>
      </w:r>
      <w:r w:rsidRPr="00104227">
        <w:rPr>
          <w:rFonts w:cs="Calibri"/>
          <w:sz w:val="16"/>
          <w:szCs w:val="16"/>
        </w:rPr>
        <w:t xml:space="preserve">, and </w:t>
      </w:r>
      <w:r w:rsidRPr="00104227">
        <w:rPr>
          <w:rStyle w:val="Textoennegrita"/>
          <w:b w:val="0"/>
          <w:i/>
          <w:color w:val="000000"/>
          <w:sz w:val="16"/>
          <w:szCs w:val="16"/>
          <w:shd w:val="clear" w:color="auto" w:fill="FFFFFF"/>
        </w:rPr>
        <w:t xml:space="preserve">Case of López Soto et al. v. Venezuela. Merits, reparations and costs. </w:t>
      </w:r>
      <w:r w:rsidRPr="00104227">
        <w:rPr>
          <w:rStyle w:val="Textoennegrita"/>
          <w:b w:val="0"/>
          <w:color w:val="000000"/>
          <w:sz w:val="16"/>
          <w:szCs w:val="16"/>
          <w:shd w:val="clear" w:color="auto" w:fill="FFFFFF"/>
        </w:rPr>
        <w:t>Judgment of September 26, 2018. Series C No. 362,</w:t>
      </w:r>
      <w:r w:rsidRPr="00104227">
        <w:rPr>
          <w:sz w:val="16"/>
          <w:szCs w:val="16"/>
        </w:rPr>
        <w:t xml:space="preserve"> para. 269</w:t>
      </w:r>
      <w:r w:rsidRPr="00104227">
        <w:rPr>
          <w:rFonts w:cs="Calibri"/>
          <w:sz w:val="16"/>
          <w:szCs w:val="16"/>
        </w:rPr>
        <w:t>.</w:t>
      </w:r>
    </w:p>
  </w:footnote>
  <w:footnote w:id="441">
    <w:p w14:paraId="1996DC35" w14:textId="31C2613B" w:rsidR="0080773E" w:rsidRPr="00104227" w:rsidRDefault="0080773E" w:rsidP="002755DF">
      <w:pPr>
        <w:tabs>
          <w:tab w:val="left" w:pos="426"/>
        </w:tabs>
        <w:spacing w:before="120" w:after="120"/>
        <w:rPr>
          <w:sz w:val="16"/>
          <w:szCs w:val="16"/>
        </w:rPr>
      </w:pPr>
      <w:r w:rsidRPr="00104227">
        <w:rPr>
          <w:rStyle w:val="Refdenotaalpie"/>
        </w:rPr>
        <w:footnoteRef/>
      </w:r>
      <w:r w:rsidRPr="00104227">
        <w:rPr>
          <w:i/>
          <w:iCs/>
          <w:sz w:val="16"/>
          <w:szCs w:val="16"/>
        </w:rPr>
        <w:t xml:space="preserve"> </w:t>
      </w:r>
      <w:r w:rsidRPr="00104227">
        <w:rPr>
          <w:i/>
          <w:iCs/>
          <w:sz w:val="16"/>
          <w:szCs w:val="16"/>
        </w:rPr>
        <w:tab/>
        <w:t xml:space="preserve">Cf. Case of Velásquez Rodríguez v. Honduras. Reparations and costs. </w:t>
      </w:r>
      <w:r w:rsidRPr="00104227">
        <w:rPr>
          <w:rStyle w:val="Textoennegrita"/>
          <w:color w:val="000000"/>
          <w:sz w:val="16"/>
          <w:szCs w:val="16"/>
          <w:shd w:val="clear" w:color="auto" w:fill="FFFFFF"/>
        </w:rPr>
        <w:t> </w:t>
      </w:r>
      <w:r w:rsidRPr="00104227">
        <w:rPr>
          <w:rStyle w:val="Textoennegrita"/>
          <w:b w:val="0"/>
          <w:color w:val="000000"/>
          <w:sz w:val="16"/>
          <w:szCs w:val="16"/>
          <w:shd w:val="clear" w:color="auto" w:fill="FFFFFF"/>
        </w:rPr>
        <w:t>Judgment of July 21, 1989. Series C No. 7</w:t>
      </w:r>
      <w:r w:rsidRPr="00104227">
        <w:rPr>
          <w:iCs/>
          <w:sz w:val="16"/>
          <w:szCs w:val="16"/>
        </w:rPr>
        <w:t xml:space="preserve">, para. 26, and </w:t>
      </w:r>
      <w:r w:rsidRPr="00104227">
        <w:rPr>
          <w:rStyle w:val="Textoennegrita"/>
          <w:b w:val="0"/>
          <w:i/>
          <w:color w:val="000000"/>
          <w:sz w:val="16"/>
          <w:szCs w:val="16"/>
          <w:shd w:val="clear" w:color="auto" w:fill="FFFFFF"/>
        </w:rPr>
        <w:t xml:space="preserve">Case of López Soto et al. v. Venezuela. Merits, reparations and costs. </w:t>
      </w:r>
      <w:r w:rsidRPr="00104227">
        <w:rPr>
          <w:rStyle w:val="Textoennegrita"/>
          <w:b w:val="0"/>
          <w:color w:val="000000"/>
          <w:sz w:val="16"/>
          <w:szCs w:val="16"/>
          <w:shd w:val="clear" w:color="auto" w:fill="FFFFFF"/>
        </w:rPr>
        <w:t>Judgment of September 26, 2018. Series C No. 362,</w:t>
      </w:r>
      <w:r w:rsidRPr="00104227">
        <w:rPr>
          <w:sz w:val="16"/>
          <w:szCs w:val="16"/>
        </w:rPr>
        <w:t xml:space="preserve"> para.</w:t>
      </w:r>
      <w:r w:rsidRPr="00104227">
        <w:rPr>
          <w:i/>
          <w:sz w:val="16"/>
          <w:szCs w:val="16"/>
        </w:rPr>
        <w:t xml:space="preserve"> </w:t>
      </w:r>
      <w:r w:rsidRPr="00104227">
        <w:rPr>
          <w:sz w:val="16"/>
          <w:szCs w:val="16"/>
        </w:rPr>
        <w:t>269</w:t>
      </w:r>
      <w:r w:rsidRPr="00104227">
        <w:rPr>
          <w:rFonts w:cs="Calibri"/>
          <w:sz w:val="16"/>
          <w:szCs w:val="16"/>
        </w:rPr>
        <w:t>.</w:t>
      </w:r>
    </w:p>
  </w:footnote>
  <w:footnote w:id="442">
    <w:p w14:paraId="4B8A8AE3" w14:textId="1AD55D40" w:rsidR="0080773E" w:rsidRPr="00104227" w:rsidRDefault="0080773E" w:rsidP="002755DF">
      <w:pPr>
        <w:tabs>
          <w:tab w:val="left" w:pos="426"/>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r>
      <w:r w:rsidRPr="00104227">
        <w:rPr>
          <w:i/>
          <w:iCs/>
          <w:sz w:val="16"/>
          <w:szCs w:val="16"/>
        </w:rPr>
        <w:t xml:space="preserve">Cf. Case of the Las Dos Erres Massacre v. Guatemala, </w:t>
      </w:r>
      <w:r w:rsidRPr="00104227">
        <w:rPr>
          <w:rStyle w:val="Textoennegrita"/>
          <w:b w:val="0"/>
          <w:i/>
          <w:color w:val="000000"/>
          <w:sz w:val="16"/>
          <w:szCs w:val="16"/>
          <w:shd w:val="clear" w:color="auto" w:fill="FFFFFF"/>
        </w:rPr>
        <w:t>Preliminary objection, merits, reparations and costs</w:t>
      </w:r>
      <w:r w:rsidRPr="00104227">
        <w:rPr>
          <w:rStyle w:val="Textoennegrita"/>
          <w:b w:val="0"/>
          <w:color w:val="000000"/>
          <w:sz w:val="16"/>
          <w:szCs w:val="16"/>
          <w:shd w:val="clear" w:color="auto" w:fill="FFFFFF"/>
        </w:rPr>
        <w:t>. Judgment of November 24, 2009. Series C No. 211</w:t>
      </w:r>
      <w:r w:rsidRPr="00104227">
        <w:rPr>
          <w:rFonts w:cs="Arial"/>
          <w:iCs/>
          <w:sz w:val="16"/>
          <w:szCs w:val="16"/>
        </w:rPr>
        <w:t xml:space="preserve">, </w:t>
      </w:r>
      <w:r w:rsidRPr="00104227">
        <w:rPr>
          <w:iCs/>
          <w:sz w:val="16"/>
          <w:szCs w:val="16"/>
        </w:rPr>
        <w:t xml:space="preserve">para. 226, and </w:t>
      </w:r>
      <w:r w:rsidRPr="00104227">
        <w:rPr>
          <w:rStyle w:val="Textoennegrita"/>
          <w:b w:val="0"/>
          <w:i/>
          <w:color w:val="000000"/>
          <w:sz w:val="16"/>
          <w:szCs w:val="16"/>
          <w:shd w:val="clear" w:color="auto" w:fill="FFFFFF"/>
        </w:rPr>
        <w:t xml:space="preserve">Case of López Soto et al. v. Venezuela. Merits, reparations and costs. </w:t>
      </w:r>
      <w:r w:rsidRPr="00104227">
        <w:rPr>
          <w:rStyle w:val="Textoennegrita"/>
          <w:b w:val="0"/>
          <w:color w:val="000000"/>
          <w:sz w:val="16"/>
          <w:szCs w:val="16"/>
          <w:shd w:val="clear" w:color="auto" w:fill="FFFFFF"/>
        </w:rPr>
        <w:t>Judgment of September 26, 2018. Series C No. 362,</w:t>
      </w:r>
      <w:r w:rsidRPr="00104227">
        <w:rPr>
          <w:sz w:val="16"/>
          <w:szCs w:val="16"/>
        </w:rPr>
        <w:t xml:space="preserve"> para.</w:t>
      </w:r>
      <w:r w:rsidRPr="00104227">
        <w:rPr>
          <w:i/>
          <w:sz w:val="16"/>
          <w:szCs w:val="16"/>
        </w:rPr>
        <w:t xml:space="preserve"> </w:t>
      </w:r>
      <w:r w:rsidRPr="00104227">
        <w:rPr>
          <w:sz w:val="16"/>
          <w:szCs w:val="16"/>
        </w:rPr>
        <w:t>269</w:t>
      </w:r>
      <w:r w:rsidRPr="00104227">
        <w:rPr>
          <w:bCs/>
          <w:sz w:val="16"/>
          <w:szCs w:val="16"/>
        </w:rPr>
        <w:t>.</w:t>
      </w:r>
    </w:p>
  </w:footnote>
  <w:footnote w:id="443">
    <w:p w14:paraId="1CFEF1B2" w14:textId="54E65E0B" w:rsidR="0080773E" w:rsidRPr="00104227" w:rsidRDefault="0080773E" w:rsidP="002755DF">
      <w:pPr>
        <w:tabs>
          <w:tab w:val="left" w:pos="426"/>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r>
      <w:r w:rsidRPr="00104227">
        <w:rPr>
          <w:rFonts w:cs="Calibri"/>
          <w:i/>
          <w:sz w:val="16"/>
          <w:szCs w:val="16"/>
        </w:rPr>
        <w:t xml:space="preserve">Cf. Case of Ticona Estrada et al. v. Bolivia. </w:t>
      </w:r>
      <w:r w:rsidRPr="00104227">
        <w:rPr>
          <w:rStyle w:val="Textoennegrita"/>
          <w:b w:val="0"/>
          <w:i/>
          <w:color w:val="000000"/>
          <w:sz w:val="16"/>
          <w:szCs w:val="16"/>
          <w:shd w:val="clear" w:color="auto" w:fill="FFFFFF"/>
        </w:rPr>
        <w:t>Merits, reparations and costs</w:t>
      </w:r>
      <w:r w:rsidRPr="00104227">
        <w:rPr>
          <w:rStyle w:val="Textoennegrita"/>
          <w:b w:val="0"/>
          <w:color w:val="000000"/>
          <w:sz w:val="16"/>
          <w:szCs w:val="16"/>
          <w:shd w:val="clear" w:color="auto" w:fill="FFFFFF"/>
        </w:rPr>
        <w:t>. Judgment of November 27, 2008. Series C No. 191</w:t>
      </w:r>
      <w:r w:rsidRPr="00104227">
        <w:rPr>
          <w:rFonts w:cs="Calibri"/>
          <w:sz w:val="16"/>
          <w:szCs w:val="16"/>
        </w:rPr>
        <w:t xml:space="preserve">, para. 110, and </w:t>
      </w:r>
      <w:r w:rsidRPr="00104227">
        <w:rPr>
          <w:rStyle w:val="Textoennegrita"/>
          <w:b w:val="0"/>
          <w:i/>
          <w:color w:val="000000"/>
          <w:sz w:val="16"/>
          <w:szCs w:val="16"/>
          <w:shd w:val="clear" w:color="auto" w:fill="FFFFFF"/>
        </w:rPr>
        <w:t xml:space="preserve">Case of López Soto et al. v. Venezuela. Merits, reparations and costs. </w:t>
      </w:r>
      <w:r w:rsidRPr="00104227">
        <w:rPr>
          <w:rStyle w:val="Textoennegrita"/>
          <w:b w:val="0"/>
          <w:color w:val="000000"/>
          <w:sz w:val="16"/>
          <w:szCs w:val="16"/>
          <w:shd w:val="clear" w:color="auto" w:fill="FFFFFF"/>
        </w:rPr>
        <w:t>Judgment of September 26, 2018. Series C No. 362,</w:t>
      </w:r>
      <w:r w:rsidRPr="00104227">
        <w:rPr>
          <w:sz w:val="16"/>
          <w:szCs w:val="16"/>
        </w:rPr>
        <w:t xml:space="preserve"> para.</w:t>
      </w:r>
      <w:r w:rsidRPr="00104227">
        <w:rPr>
          <w:i/>
          <w:sz w:val="16"/>
          <w:szCs w:val="16"/>
        </w:rPr>
        <w:t xml:space="preserve"> </w:t>
      </w:r>
      <w:r w:rsidRPr="00104227">
        <w:rPr>
          <w:sz w:val="16"/>
          <w:szCs w:val="16"/>
        </w:rPr>
        <w:t>270</w:t>
      </w:r>
      <w:r w:rsidRPr="00104227">
        <w:rPr>
          <w:rFonts w:cs="Calibri"/>
          <w:sz w:val="16"/>
          <w:szCs w:val="16"/>
        </w:rPr>
        <w:t>.</w:t>
      </w:r>
    </w:p>
  </w:footnote>
  <w:footnote w:id="444">
    <w:p w14:paraId="7B8AFB39" w14:textId="035A7904" w:rsidR="0080773E" w:rsidRPr="00104227" w:rsidRDefault="0080773E" w:rsidP="002755DF">
      <w:pPr>
        <w:tabs>
          <w:tab w:val="left" w:pos="426"/>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r>
      <w:r w:rsidRPr="00104227">
        <w:rPr>
          <w:i/>
          <w:iCs/>
          <w:sz w:val="16"/>
          <w:szCs w:val="16"/>
        </w:rPr>
        <w:t xml:space="preserve">Cf. </w:t>
      </w:r>
      <w:r w:rsidRPr="00104227">
        <w:rPr>
          <w:i/>
          <w:sz w:val="16"/>
          <w:szCs w:val="16"/>
        </w:rPr>
        <w:t xml:space="preserve">Case of Andrade Salmón v. Bolivia. </w:t>
      </w:r>
      <w:r w:rsidRPr="00104227">
        <w:rPr>
          <w:rStyle w:val="Textoennegrita"/>
          <w:b w:val="0"/>
          <w:i/>
          <w:color w:val="000000"/>
          <w:sz w:val="16"/>
          <w:szCs w:val="16"/>
          <w:shd w:val="clear" w:color="auto" w:fill="FFFFFF"/>
        </w:rPr>
        <w:t>Merits, reparations and costs.</w:t>
      </w:r>
      <w:r w:rsidRPr="00104227">
        <w:rPr>
          <w:rStyle w:val="Textoennegrita"/>
          <w:b w:val="0"/>
          <w:color w:val="000000"/>
          <w:sz w:val="16"/>
          <w:szCs w:val="16"/>
          <w:shd w:val="clear" w:color="auto" w:fill="FFFFFF"/>
        </w:rPr>
        <w:t xml:space="preserve"> Judgment of December 1, 2016. Series C No. 330</w:t>
      </w:r>
      <w:r w:rsidRPr="00104227">
        <w:rPr>
          <w:sz w:val="16"/>
          <w:szCs w:val="16"/>
        </w:rPr>
        <w:t xml:space="preserve">, para. 189, and </w:t>
      </w:r>
      <w:r w:rsidRPr="00104227">
        <w:rPr>
          <w:rStyle w:val="Textoennegrita"/>
          <w:b w:val="0"/>
          <w:i/>
          <w:color w:val="000000"/>
          <w:sz w:val="16"/>
          <w:szCs w:val="16"/>
          <w:shd w:val="clear" w:color="auto" w:fill="FFFFFF"/>
        </w:rPr>
        <w:t xml:space="preserve">Case of López Soto et al. v. Venezuela. Merits, reparations and costs. </w:t>
      </w:r>
      <w:r w:rsidRPr="00104227">
        <w:rPr>
          <w:rStyle w:val="Textoennegrita"/>
          <w:b w:val="0"/>
          <w:color w:val="000000"/>
          <w:sz w:val="16"/>
          <w:szCs w:val="16"/>
          <w:shd w:val="clear" w:color="auto" w:fill="FFFFFF"/>
        </w:rPr>
        <w:t>Judgment of September 26, 2018. Series C No. 362,</w:t>
      </w:r>
      <w:r w:rsidRPr="00104227">
        <w:rPr>
          <w:sz w:val="16"/>
          <w:szCs w:val="16"/>
        </w:rPr>
        <w:t xml:space="preserve"> para.</w:t>
      </w:r>
      <w:r w:rsidRPr="00104227">
        <w:rPr>
          <w:i/>
          <w:sz w:val="16"/>
          <w:szCs w:val="16"/>
        </w:rPr>
        <w:t xml:space="preserve"> </w:t>
      </w:r>
      <w:r w:rsidRPr="00104227">
        <w:rPr>
          <w:sz w:val="16"/>
          <w:szCs w:val="16"/>
        </w:rPr>
        <w:t>270</w:t>
      </w:r>
      <w:r w:rsidRPr="00104227">
        <w:rPr>
          <w:iCs/>
          <w:sz w:val="16"/>
          <w:szCs w:val="16"/>
        </w:rPr>
        <w:t>.</w:t>
      </w:r>
    </w:p>
  </w:footnote>
  <w:footnote w:id="445">
    <w:p w14:paraId="1DD4B770" w14:textId="06600002" w:rsidR="0080773E" w:rsidRPr="00104227" w:rsidRDefault="0080773E" w:rsidP="002755DF">
      <w:pPr>
        <w:tabs>
          <w:tab w:val="left" w:pos="426"/>
        </w:tabs>
        <w:spacing w:before="120" w:after="120"/>
        <w:rPr>
          <w:sz w:val="16"/>
          <w:szCs w:val="16"/>
        </w:rPr>
      </w:pPr>
      <w:r w:rsidRPr="00104227">
        <w:rPr>
          <w:rStyle w:val="Refdenotaalpie"/>
          <w:rFonts w:eastAsia="Calibri"/>
        </w:rPr>
        <w:footnoteRef/>
      </w:r>
      <w:r w:rsidRPr="00104227">
        <w:rPr>
          <w:sz w:val="16"/>
          <w:szCs w:val="16"/>
        </w:rPr>
        <w:t xml:space="preserve"> </w:t>
      </w:r>
      <w:r w:rsidRPr="00104227">
        <w:rPr>
          <w:sz w:val="16"/>
          <w:szCs w:val="16"/>
        </w:rPr>
        <w:tab/>
      </w:r>
      <w:r w:rsidRPr="00104227">
        <w:rPr>
          <w:i/>
          <w:iCs/>
          <w:sz w:val="16"/>
          <w:szCs w:val="16"/>
        </w:rPr>
        <w:t>Cf. Case of Neira Alegría et al. v. Peru. Reparations and costs</w:t>
      </w:r>
      <w:r w:rsidRPr="00104227">
        <w:rPr>
          <w:sz w:val="16"/>
          <w:szCs w:val="16"/>
        </w:rPr>
        <w:t xml:space="preserve">. Judgment of September 19, 1996. Series C No. 29, para. 56, and </w:t>
      </w:r>
      <w:r w:rsidRPr="00104227">
        <w:rPr>
          <w:rStyle w:val="Textoennegrita"/>
          <w:b w:val="0"/>
          <w:i/>
          <w:color w:val="000000"/>
          <w:sz w:val="16"/>
          <w:szCs w:val="16"/>
          <w:shd w:val="clear" w:color="auto" w:fill="FFFFFF"/>
        </w:rPr>
        <w:t xml:space="preserve">Case of Terrones Silva et al. v. Peru. Preliminary objections, merits, reparations and costs. </w:t>
      </w:r>
      <w:r w:rsidRPr="00104227">
        <w:rPr>
          <w:rStyle w:val="Textoennegrita"/>
          <w:b w:val="0"/>
          <w:color w:val="000000"/>
          <w:sz w:val="16"/>
          <w:szCs w:val="16"/>
          <w:shd w:val="clear" w:color="auto" w:fill="FFFFFF"/>
        </w:rPr>
        <w:t xml:space="preserve">Judgment of September 26, 2018. Series C No. 360, para. </w:t>
      </w:r>
      <w:r w:rsidRPr="00104227">
        <w:rPr>
          <w:sz w:val="16"/>
          <w:szCs w:val="16"/>
        </w:rPr>
        <w:t>238</w:t>
      </w:r>
      <w:r w:rsidRPr="00104227">
        <w:rPr>
          <w:iCs/>
          <w:sz w:val="16"/>
          <w:szCs w:val="16"/>
        </w:rPr>
        <w:t>.</w:t>
      </w:r>
    </w:p>
  </w:footnote>
  <w:footnote w:id="446">
    <w:p w14:paraId="048E1597" w14:textId="37D20AF4" w:rsidR="0080773E" w:rsidRPr="00104227" w:rsidRDefault="0080773E" w:rsidP="002755DF">
      <w:pPr>
        <w:tabs>
          <w:tab w:val="left" w:pos="426"/>
        </w:tabs>
        <w:spacing w:before="120" w:after="120"/>
        <w:rPr>
          <w:sz w:val="16"/>
          <w:szCs w:val="16"/>
        </w:rPr>
      </w:pPr>
      <w:r w:rsidRPr="00104227">
        <w:rPr>
          <w:sz w:val="16"/>
          <w:szCs w:val="16"/>
          <w:vertAlign w:val="superscript"/>
        </w:rPr>
        <w:footnoteRef/>
      </w:r>
      <w:r w:rsidRPr="00104227">
        <w:rPr>
          <w:sz w:val="16"/>
          <w:szCs w:val="16"/>
          <w:vertAlign w:val="superscript"/>
        </w:rPr>
        <w:t xml:space="preserve"> </w:t>
      </w:r>
      <w:r w:rsidRPr="00104227">
        <w:rPr>
          <w:sz w:val="16"/>
          <w:szCs w:val="16"/>
        </w:rPr>
        <w:tab/>
      </w:r>
      <w:r w:rsidRPr="00104227">
        <w:rPr>
          <w:i/>
          <w:sz w:val="16"/>
          <w:szCs w:val="16"/>
        </w:rPr>
        <w:t>Cf.</w:t>
      </w:r>
      <w:r w:rsidRPr="00104227">
        <w:rPr>
          <w:sz w:val="16"/>
          <w:szCs w:val="16"/>
        </w:rPr>
        <w:t xml:space="preserve"> The Mexican State’s reports and their annexes at the merits stage presented between January and September 2016 (evidence file, folios 30291 to 30586); Minutes of the Sub-Secretariat of Human Rights of the Ministry of the Interior of January 27, 2016 (evidence file, folios 30587 to 30590); Minutes of the Sub-Secretariat of Human Rights of the Ministry of the Interior of February 11, 2016 (evidence file, folios 30591 to 30595); Minutes of the Sub-Secretariat of Human Rights of the Ministry of the Interior of July 11, 2016 (evidence file, folios 30596 to 30602). </w:t>
      </w:r>
    </w:p>
  </w:footnote>
  <w:footnote w:id="447">
    <w:p w14:paraId="59DEE36C" w14:textId="3CC36CDC" w:rsidR="0080773E" w:rsidRPr="00104227" w:rsidRDefault="0080773E" w:rsidP="002755DF">
      <w:pPr>
        <w:tabs>
          <w:tab w:val="left" w:pos="426"/>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r>
      <w:r w:rsidRPr="00104227">
        <w:rPr>
          <w:i/>
          <w:sz w:val="16"/>
          <w:szCs w:val="16"/>
        </w:rPr>
        <w:t>Cf.</w:t>
      </w:r>
      <w:r w:rsidRPr="00104227">
        <w:rPr>
          <w:sz w:val="16"/>
          <w:szCs w:val="16"/>
        </w:rPr>
        <w:t xml:space="preserve"> </w:t>
      </w:r>
      <w:r w:rsidRPr="00104227">
        <w:rPr>
          <w:i/>
          <w:sz w:val="16"/>
          <w:szCs w:val="16"/>
        </w:rPr>
        <w:t>Case of Duque v. Colombia</w:t>
      </w:r>
      <w:r w:rsidRPr="00104227">
        <w:rPr>
          <w:sz w:val="16"/>
          <w:szCs w:val="16"/>
        </w:rPr>
        <w:t xml:space="preserve">. </w:t>
      </w:r>
      <w:r w:rsidRPr="00104227">
        <w:rPr>
          <w:i/>
          <w:sz w:val="16"/>
          <w:szCs w:val="16"/>
        </w:rPr>
        <w:t xml:space="preserve">Preliminary objections, merits, reparations and costs. </w:t>
      </w:r>
      <w:r w:rsidRPr="00104227">
        <w:rPr>
          <w:sz w:val="16"/>
          <w:szCs w:val="16"/>
        </w:rPr>
        <w:t>Judgment of February 26, 2016. Series C No. 310,</w:t>
      </w:r>
      <w:r w:rsidRPr="00104227">
        <w:rPr>
          <w:i/>
          <w:sz w:val="16"/>
          <w:szCs w:val="16"/>
        </w:rPr>
        <w:t xml:space="preserve"> </w:t>
      </w:r>
      <w:r w:rsidRPr="00104227">
        <w:rPr>
          <w:sz w:val="16"/>
          <w:szCs w:val="16"/>
        </w:rPr>
        <w:t xml:space="preserve">para. 126, and </w:t>
      </w:r>
      <w:r w:rsidRPr="00104227">
        <w:rPr>
          <w:rStyle w:val="Textoennegrita"/>
          <w:b w:val="0"/>
          <w:i/>
          <w:color w:val="000000"/>
          <w:sz w:val="16"/>
          <w:szCs w:val="16"/>
          <w:shd w:val="clear" w:color="auto" w:fill="FFFFFF"/>
        </w:rPr>
        <w:t>Case of the Dismissed PetroPeru Workers et al. v. Peru. Preliminary objections, merits, reparations and costs.</w:t>
      </w:r>
      <w:r w:rsidRPr="00104227">
        <w:rPr>
          <w:rStyle w:val="Textoennegrita"/>
          <w:b w:val="0"/>
          <w:color w:val="000000"/>
          <w:sz w:val="16"/>
          <w:szCs w:val="16"/>
          <w:shd w:val="clear" w:color="auto" w:fill="FFFFFF"/>
        </w:rPr>
        <w:t xml:space="preserve"> Judgment of November 27, 2017. Series C No. 344, para. </w:t>
      </w:r>
      <w:r w:rsidRPr="00104227">
        <w:rPr>
          <w:sz w:val="16"/>
          <w:szCs w:val="16"/>
        </w:rPr>
        <w:t>208.</w:t>
      </w:r>
      <w:r w:rsidRPr="00104227">
        <w:rPr>
          <w:rFonts w:cs="Times New Roman"/>
          <w:sz w:val="16"/>
          <w:szCs w:val="16"/>
        </w:rPr>
        <w:t xml:space="preserve"> </w:t>
      </w:r>
    </w:p>
  </w:footnote>
  <w:footnote w:id="448">
    <w:p w14:paraId="56C78E75" w14:textId="55436311" w:rsidR="0080773E" w:rsidRPr="00104227" w:rsidRDefault="0080773E" w:rsidP="002755DF">
      <w:pPr>
        <w:tabs>
          <w:tab w:val="left" w:pos="426"/>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r>
      <w:r w:rsidRPr="00104227">
        <w:rPr>
          <w:i/>
          <w:sz w:val="16"/>
          <w:szCs w:val="16"/>
        </w:rPr>
        <w:t>Cf. Case of Vásquez Durand et al. v. Ecuador</w:t>
      </w:r>
      <w:r w:rsidRPr="00104227">
        <w:rPr>
          <w:sz w:val="16"/>
          <w:szCs w:val="16"/>
        </w:rPr>
        <w:t xml:space="preserve">. </w:t>
      </w:r>
      <w:r w:rsidRPr="00104227">
        <w:rPr>
          <w:i/>
          <w:sz w:val="16"/>
          <w:szCs w:val="16"/>
        </w:rPr>
        <w:t xml:space="preserve">Preliminary objections, merits, reparations and costs. </w:t>
      </w:r>
      <w:r w:rsidRPr="00104227">
        <w:rPr>
          <w:sz w:val="16"/>
          <w:szCs w:val="16"/>
        </w:rPr>
        <w:t xml:space="preserve">Judgment of February 15, 2017, para. 198, and </w:t>
      </w:r>
      <w:r w:rsidRPr="00104227">
        <w:rPr>
          <w:rStyle w:val="Textoennegrita"/>
          <w:b w:val="0"/>
          <w:i/>
          <w:color w:val="000000"/>
          <w:sz w:val="16"/>
          <w:szCs w:val="16"/>
          <w:shd w:val="clear" w:color="auto" w:fill="FFFFFF"/>
        </w:rPr>
        <w:t>Case of the Dismissed PetroPeru Workers et al. v. Peru. Preliminary objections, merits, reparations and costs.</w:t>
      </w:r>
      <w:r w:rsidRPr="00104227">
        <w:rPr>
          <w:rStyle w:val="Textoennegrita"/>
          <w:b w:val="0"/>
          <w:color w:val="000000"/>
          <w:sz w:val="16"/>
          <w:szCs w:val="16"/>
          <w:shd w:val="clear" w:color="auto" w:fill="FFFFFF"/>
        </w:rPr>
        <w:t xml:space="preserve"> Judgment of November 27, 2017. Series C No. 344, para. 209. </w:t>
      </w:r>
    </w:p>
  </w:footnote>
  <w:footnote w:id="449">
    <w:p w14:paraId="62B7A8A1" w14:textId="1C1825B1" w:rsidR="0080773E" w:rsidRPr="00104227" w:rsidRDefault="0080773E" w:rsidP="002755DF">
      <w:pPr>
        <w:tabs>
          <w:tab w:val="left" w:pos="426"/>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r>
      <w:r w:rsidRPr="00104227">
        <w:rPr>
          <w:rStyle w:val="Textoennegrita"/>
          <w:b w:val="0"/>
          <w:i/>
          <w:color w:val="000000"/>
          <w:sz w:val="16"/>
          <w:szCs w:val="16"/>
          <w:shd w:val="clear" w:color="auto" w:fill="FFFFFF"/>
        </w:rPr>
        <w:t>Case of V.R.P., V.P.C. et al. v. Nicaragua. Preliminary objections, merits, reparations and costs.</w:t>
      </w:r>
      <w:r w:rsidRPr="00104227">
        <w:rPr>
          <w:rStyle w:val="Textoennegrita"/>
          <w:b w:val="0"/>
          <w:color w:val="000000"/>
          <w:sz w:val="16"/>
          <w:szCs w:val="16"/>
          <w:shd w:val="clear" w:color="auto" w:fill="FFFFFF"/>
        </w:rPr>
        <w:t xml:space="preserve"> Judgment of March 8, 2018. Series C No. 350, para. 345.</w:t>
      </w:r>
    </w:p>
  </w:footnote>
  <w:footnote w:id="450">
    <w:p w14:paraId="3ACD17C2" w14:textId="12B4E087" w:rsidR="0080773E" w:rsidRPr="00104227" w:rsidRDefault="0080773E" w:rsidP="00386F4E">
      <w:pPr>
        <w:tabs>
          <w:tab w:val="left" w:pos="426"/>
          <w:tab w:val="left" w:pos="810"/>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r>
      <w:r w:rsidRPr="00104227">
        <w:rPr>
          <w:i/>
          <w:sz w:val="16"/>
          <w:szCs w:val="16"/>
        </w:rPr>
        <w:t>Cf. Case of El Caracazo v. Venezuela. Reparations and costs</w:t>
      </w:r>
      <w:r w:rsidRPr="00104227">
        <w:rPr>
          <w:sz w:val="16"/>
          <w:szCs w:val="16"/>
        </w:rPr>
        <w:t>. Judgment of August 29, 2002. Series C No. 95, para. 118;</w:t>
      </w:r>
      <w:r w:rsidRPr="00104227">
        <w:rPr>
          <w:i/>
          <w:sz w:val="16"/>
          <w:szCs w:val="16"/>
        </w:rPr>
        <w:t xml:space="preserve"> Case of Osorio Rivera and family v. Peru. Preliminary objections, merits, reparations and costs. </w:t>
      </w:r>
      <w:r w:rsidRPr="00104227">
        <w:rPr>
          <w:sz w:val="16"/>
          <w:szCs w:val="16"/>
        </w:rPr>
        <w:t xml:space="preserve">Judgment of November 26, 2013. Series C No. 274, para. 245, and </w:t>
      </w:r>
      <w:r w:rsidRPr="00104227">
        <w:rPr>
          <w:rStyle w:val="TextonotapieCar1"/>
          <w:i/>
          <w:lang w:val="en-US"/>
        </w:rPr>
        <w:t>Case of Rodríguez Vera et al. (Disappeared from the Palace of Justice) v. Colombia. Preliminary objections, merits, reparations and costs.</w:t>
      </w:r>
      <w:r w:rsidRPr="00104227">
        <w:rPr>
          <w:rStyle w:val="TextonotapieCar1"/>
          <w:lang w:val="en-US"/>
        </w:rPr>
        <w:t xml:space="preserve"> Judgment of November 14, 2014. Series C No. 287, para. 559.</w:t>
      </w:r>
    </w:p>
  </w:footnote>
  <w:footnote w:id="451">
    <w:p w14:paraId="7F0543EC" w14:textId="77777777" w:rsidR="0080773E" w:rsidRPr="00104227" w:rsidRDefault="0080773E" w:rsidP="0035466A">
      <w:pPr>
        <w:tabs>
          <w:tab w:val="left" w:pos="426"/>
        </w:tabs>
        <w:spacing w:before="120" w:after="120"/>
        <w:rPr>
          <w:rFonts w:eastAsia="Times New Roman"/>
          <w:sz w:val="16"/>
          <w:szCs w:val="16"/>
        </w:rPr>
      </w:pPr>
      <w:r w:rsidRPr="00104227">
        <w:rPr>
          <w:rStyle w:val="Refdenotaalpie"/>
        </w:rPr>
        <w:footnoteRef/>
      </w:r>
      <w:r w:rsidRPr="00104227">
        <w:rPr>
          <w:sz w:val="16"/>
          <w:szCs w:val="16"/>
        </w:rPr>
        <w:t xml:space="preserve"> </w:t>
      </w:r>
      <w:r w:rsidRPr="00104227">
        <w:rPr>
          <w:sz w:val="16"/>
          <w:szCs w:val="16"/>
        </w:rPr>
        <w:tab/>
      </w:r>
      <w:r w:rsidRPr="00104227">
        <w:rPr>
          <w:i/>
          <w:sz w:val="16"/>
          <w:szCs w:val="16"/>
        </w:rPr>
        <w:t xml:space="preserve">Cf. </w:t>
      </w:r>
      <w:r w:rsidRPr="00104227">
        <w:rPr>
          <w:rStyle w:val="Textoennegrita"/>
          <w:b w:val="0"/>
          <w:i/>
          <w:color w:val="000000"/>
          <w:sz w:val="16"/>
          <w:szCs w:val="16"/>
          <w:shd w:val="clear" w:color="auto" w:fill="FFFFFF"/>
        </w:rPr>
        <w:t>Case of Barrios Altos v. Peru. Reparations and costs.</w:t>
      </w:r>
      <w:r w:rsidRPr="00104227">
        <w:rPr>
          <w:rStyle w:val="Textoennegrita"/>
          <w:b w:val="0"/>
          <w:color w:val="000000"/>
          <w:sz w:val="16"/>
          <w:szCs w:val="16"/>
          <w:shd w:val="clear" w:color="auto" w:fill="FFFFFF"/>
        </w:rPr>
        <w:t xml:space="preserve"> Judgment of November 30, 2001. Series C No. 87, para. 42 and 45</w:t>
      </w:r>
      <w:r w:rsidRPr="00104227">
        <w:rPr>
          <w:sz w:val="16"/>
          <w:szCs w:val="16"/>
        </w:rPr>
        <w:t xml:space="preserve">; </w:t>
      </w:r>
      <w:r w:rsidRPr="00104227">
        <w:rPr>
          <w:i/>
          <w:sz w:val="16"/>
          <w:szCs w:val="16"/>
        </w:rPr>
        <w:t xml:space="preserve">Case of I.V. v. Bolivia. Preliminary objections, merits, reparations and costs. </w:t>
      </w:r>
      <w:r w:rsidRPr="00104227">
        <w:rPr>
          <w:sz w:val="16"/>
          <w:szCs w:val="16"/>
        </w:rPr>
        <w:t xml:space="preserve">Judgment of November 30, 2016. Series C No. 329, para. 332, and </w:t>
      </w:r>
      <w:r w:rsidRPr="00104227">
        <w:rPr>
          <w:rStyle w:val="Textoennegrita"/>
          <w:b w:val="0"/>
          <w:i/>
          <w:color w:val="000000"/>
          <w:sz w:val="16"/>
          <w:szCs w:val="16"/>
          <w:shd w:val="clear" w:color="auto" w:fill="FFFFFF"/>
        </w:rPr>
        <w:t xml:space="preserve">Case of López Soto et al. v. Venezuela. Merits, reparations and costs. </w:t>
      </w:r>
      <w:r w:rsidRPr="00104227">
        <w:rPr>
          <w:rStyle w:val="Textoennegrita"/>
          <w:b w:val="0"/>
          <w:color w:val="000000"/>
          <w:sz w:val="16"/>
          <w:szCs w:val="16"/>
          <w:shd w:val="clear" w:color="auto" w:fill="FFFFFF"/>
        </w:rPr>
        <w:t>Judgment of September 26, 2018. Series C No. 362,</w:t>
      </w:r>
      <w:r w:rsidRPr="00104227">
        <w:rPr>
          <w:sz w:val="16"/>
          <w:szCs w:val="16"/>
        </w:rPr>
        <w:t xml:space="preserve"> para.</w:t>
      </w:r>
      <w:r w:rsidRPr="00104227">
        <w:rPr>
          <w:i/>
          <w:sz w:val="16"/>
          <w:szCs w:val="16"/>
        </w:rPr>
        <w:t xml:space="preserve"> </w:t>
      </w:r>
      <w:r w:rsidRPr="00104227">
        <w:rPr>
          <w:sz w:val="16"/>
          <w:szCs w:val="16"/>
        </w:rPr>
        <w:t>291.</w:t>
      </w:r>
    </w:p>
  </w:footnote>
  <w:footnote w:id="452">
    <w:p w14:paraId="6F51EE90" w14:textId="77777777" w:rsidR="0080773E" w:rsidRPr="00104227" w:rsidRDefault="0080773E" w:rsidP="0035466A">
      <w:pPr>
        <w:tabs>
          <w:tab w:val="left" w:pos="426"/>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r>
      <w:r w:rsidRPr="00104227">
        <w:rPr>
          <w:i/>
          <w:sz w:val="16"/>
          <w:szCs w:val="16"/>
        </w:rPr>
        <w:t xml:space="preserve">Cf. Case of Poblete Vilches et al. v. Chile. Merits, reparations and costs. </w:t>
      </w:r>
      <w:r w:rsidRPr="00104227">
        <w:rPr>
          <w:sz w:val="16"/>
          <w:szCs w:val="16"/>
        </w:rPr>
        <w:t>Judgment of March 8, 2018. Series C No. 349, para. 231.</w:t>
      </w:r>
    </w:p>
  </w:footnote>
  <w:footnote w:id="453">
    <w:p w14:paraId="0490A206" w14:textId="77777777" w:rsidR="0080773E" w:rsidRPr="00104227" w:rsidRDefault="0080773E" w:rsidP="0035466A">
      <w:pPr>
        <w:tabs>
          <w:tab w:val="left" w:pos="426"/>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r>
      <w:r w:rsidRPr="00104227">
        <w:rPr>
          <w:i/>
          <w:sz w:val="16"/>
          <w:szCs w:val="16"/>
        </w:rPr>
        <w:t>Cf. Case of the Las Dos Erres Massacre v. Guatemala. Preliminary objection, merits, reparations and costs.</w:t>
      </w:r>
      <w:r w:rsidRPr="00104227">
        <w:rPr>
          <w:sz w:val="16"/>
          <w:szCs w:val="16"/>
        </w:rPr>
        <w:t xml:space="preserve"> Judgment of November 24, 2009. Series C No. 211, para. 270; </w:t>
      </w:r>
      <w:r w:rsidRPr="00104227">
        <w:rPr>
          <w:i/>
          <w:sz w:val="16"/>
          <w:szCs w:val="16"/>
        </w:rPr>
        <w:t>Case of Ortiz Hernández et al. v. Venezuela</w:t>
      </w:r>
      <w:r w:rsidRPr="00104227">
        <w:rPr>
          <w:sz w:val="16"/>
          <w:szCs w:val="16"/>
        </w:rPr>
        <w:t xml:space="preserve">. </w:t>
      </w:r>
      <w:r w:rsidRPr="00104227">
        <w:rPr>
          <w:rStyle w:val="Textoennegrita"/>
          <w:b w:val="0"/>
          <w:i/>
          <w:color w:val="000000"/>
          <w:sz w:val="16"/>
          <w:szCs w:val="16"/>
          <w:shd w:val="clear" w:color="auto" w:fill="FFFFFF"/>
        </w:rPr>
        <w:t xml:space="preserve">Merits, reparations and costs. </w:t>
      </w:r>
      <w:r w:rsidRPr="00104227">
        <w:rPr>
          <w:rStyle w:val="Textoennegrita"/>
          <w:b w:val="0"/>
          <w:color w:val="000000"/>
          <w:sz w:val="16"/>
          <w:szCs w:val="16"/>
          <w:shd w:val="clear" w:color="auto" w:fill="FFFFFF"/>
        </w:rPr>
        <w:t>Judgment of August 22, 2017. Series C No. 338</w:t>
      </w:r>
      <w:r w:rsidRPr="00104227">
        <w:rPr>
          <w:sz w:val="16"/>
          <w:szCs w:val="16"/>
        </w:rPr>
        <w:t xml:space="preserve">, para. 199, and </w:t>
      </w:r>
      <w:r w:rsidRPr="00104227">
        <w:rPr>
          <w:rStyle w:val="Textoennegrita"/>
          <w:b w:val="0"/>
          <w:i/>
          <w:color w:val="000000"/>
          <w:sz w:val="16"/>
          <w:szCs w:val="16"/>
          <w:shd w:val="clear" w:color="auto" w:fill="FFFFFF"/>
        </w:rPr>
        <w:t>Case of Cuscul Pivaral et al. v. Guatemala. Preliminary objection, merits, reparations and costs.</w:t>
      </w:r>
      <w:r w:rsidRPr="00104227">
        <w:rPr>
          <w:rStyle w:val="Textoennegrita"/>
          <w:b w:val="0"/>
          <w:color w:val="000000"/>
          <w:sz w:val="16"/>
          <w:szCs w:val="16"/>
          <w:shd w:val="clear" w:color="auto" w:fill="FFFFFF"/>
        </w:rPr>
        <w:t xml:space="preserve"> Judgment of August 23, 2018. Series C No. 359, para. 211.</w:t>
      </w:r>
    </w:p>
  </w:footnote>
  <w:footnote w:id="454">
    <w:p w14:paraId="147A2688" w14:textId="77777777" w:rsidR="0080773E" w:rsidRPr="00104227" w:rsidRDefault="0080773E" w:rsidP="00E56FEE">
      <w:pPr>
        <w:tabs>
          <w:tab w:val="left" w:pos="426"/>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r>
      <w:r w:rsidRPr="00104227">
        <w:rPr>
          <w:i/>
          <w:sz w:val="16"/>
          <w:szCs w:val="16"/>
        </w:rPr>
        <w:t xml:space="preserve">Cf. </w:t>
      </w:r>
      <w:r w:rsidRPr="00104227">
        <w:rPr>
          <w:rStyle w:val="Textoennegrita"/>
          <w:b w:val="0"/>
          <w:i/>
          <w:color w:val="000000"/>
          <w:sz w:val="16"/>
          <w:szCs w:val="16"/>
          <w:shd w:val="clear" w:color="auto" w:fill="FFFFFF"/>
        </w:rPr>
        <w:t>Case of the Las Dos Erres Massacre v. Guatemala. Preliminary objection, merits, reparations and costs</w:t>
      </w:r>
      <w:r w:rsidRPr="00104227">
        <w:rPr>
          <w:rStyle w:val="Textoennegrita"/>
          <w:b w:val="0"/>
          <w:color w:val="000000"/>
          <w:sz w:val="16"/>
          <w:szCs w:val="16"/>
          <w:shd w:val="clear" w:color="auto" w:fill="FFFFFF"/>
        </w:rPr>
        <w:t>. Judgment of November 24, 2009. Series C No. 211,</w:t>
      </w:r>
      <w:r w:rsidRPr="00104227">
        <w:rPr>
          <w:sz w:val="16"/>
          <w:szCs w:val="16"/>
        </w:rPr>
        <w:t xml:space="preserve"> para. 270; </w:t>
      </w:r>
      <w:r w:rsidRPr="00104227">
        <w:rPr>
          <w:rStyle w:val="Textoennegrita"/>
          <w:b w:val="0"/>
          <w:i/>
          <w:color w:val="000000"/>
          <w:sz w:val="16"/>
          <w:szCs w:val="16"/>
          <w:shd w:val="clear" w:color="auto" w:fill="FFFFFF"/>
        </w:rPr>
        <w:t xml:space="preserve">Case of Ortiz Hernández et al. v. Venezuela. Merits, reparations and costs. </w:t>
      </w:r>
      <w:r w:rsidRPr="00104227">
        <w:rPr>
          <w:rStyle w:val="Textoennegrita"/>
          <w:b w:val="0"/>
          <w:color w:val="000000"/>
          <w:sz w:val="16"/>
          <w:szCs w:val="16"/>
          <w:shd w:val="clear" w:color="auto" w:fill="FFFFFF"/>
        </w:rPr>
        <w:t>Judgment of August 22, 2017. Series C No. 338</w:t>
      </w:r>
      <w:r w:rsidRPr="00104227">
        <w:rPr>
          <w:sz w:val="16"/>
          <w:szCs w:val="16"/>
        </w:rPr>
        <w:t xml:space="preserve">, para. 199, and </w:t>
      </w:r>
      <w:r w:rsidRPr="00104227">
        <w:rPr>
          <w:rStyle w:val="Textoennegrita"/>
          <w:b w:val="0"/>
          <w:i/>
          <w:color w:val="000000"/>
          <w:sz w:val="16"/>
          <w:szCs w:val="16"/>
          <w:shd w:val="clear" w:color="auto" w:fill="FFFFFF"/>
        </w:rPr>
        <w:t xml:space="preserve">Case of López Soto et al. v. Venezuela. Merits, reparations and costs. </w:t>
      </w:r>
      <w:r w:rsidRPr="00104227">
        <w:rPr>
          <w:rStyle w:val="Textoennegrita"/>
          <w:b w:val="0"/>
          <w:color w:val="000000"/>
          <w:sz w:val="16"/>
          <w:szCs w:val="16"/>
          <w:shd w:val="clear" w:color="auto" w:fill="FFFFFF"/>
        </w:rPr>
        <w:t>Judgment of September 26, 2018. Series C No. 362,</w:t>
      </w:r>
      <w:r w:rsidRPr="00104227">
        <w:rPr>
          <w:sz w:val="16"/>
          <w:szCs w:val="16"/>
        </w:rPr>
        <w:t xml:space="preserve"> para.</w:t>
      </w:r>
      <w:r w:rsidRPr="00104227">
        <w:rPr>
          <w:rStyle w:val="Textoennegrita"/>
          <w:b w:val="0"/>
          <w:color w:val="000000"/>
          <w:sz w:val="16"/>
          <w:szCs w:val="16"/>
          <w:shd w:val="clear" w:color="auto" w:fill="FFFFFF"/>
        </w:rPr>
        <w:t xml:space="preserve"> 296.</w:t>
      </w:r>
    </w:p>
  </w:footnote>
  <w:footnote w:id="455">
    <w:p w14:paraId="26338C04" w14:textId="080441C5" w:rsidR="0080773E" w:rsidRPr="00104227" w:rsidRDefault="0080773E" w:rsidP="002755DF">
      <w:pPr>
        <w:tabs>
          <w:tab w:val="left" w:pos="426"/>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r>
      <w:r w:rsidRPr="00104227">
        <w:rPr>
          <w:i/>
          <w:sz w:val="16"/>
          <w:szCs w:val="16"/>
        </w:rPr>
        <w:t xml:space="preserve">Cf. </w:t>
      </w:r>
      <w:r w:rsidRPr="00104227">
        <w:rPr>
          <w:rStyle w:val="Textoennegrita"/>
          <w:b w:val="0"/>
          <w:i/>
          <w:color w:val="000000"/>
          <w:sz w:val="16"/>
          <w:szCs w:val="16"/>
          <w:shd w:val="clear" w:color="auto" w:fill="FFFFFF"/>
        </w:rPr>
        <w:t>Case of Rosendo Cantú et al. v. Mexico. Preliminary objection, merits, reparations and costs.</w:t>
      </w:r>
      <w:r w:rsidRPr="00104227">
        <w:rPr>
          <w:rStyle w:val="Textoennegrita"/>
          <w:b w:val="0"/>
          <w:color w:val="000000"/>
          <w:sz w:val="16"/>
          <w:szCs w:val="16"/>
          <w:shd w:val="clear" w:color="auto" w:fill="FFFFFF"/>
        </w:rPr>
        <w:t xml:space="preserve"> Judgment of August 31, 2010. Series C No. 216</w:t>
      </w:r>
      <w:r w:rsidRPr="00104227">
        <w:rPr>
          <w:sz w:val="16"/>
          <w:szCs w:val="16"/>
        </w:rPr>
        <w:t xml:space="preserve">, para. 253; </w:t>
      </w:r>
      <w:r w:rsidRPr="00104227">
        <w:rPr>
          <w:i/>
          <w:sz w:val="16"/>
          <w:szCs w:val="16"/>
        </w:rPr>
        <w:t>Case of Ortiz Hernández et al. v. Venezuela</w:t>
      </w:r>
      <w:r w:rsidRPr="00104227">
        <w:rPr>
          <w:sz w:val="16"/>
          <w:szCs w:val="16"/>
        </w:rPr>
        <w:t xml:space="preserve">. </w:t>
      </w:r>
      <w:r w:rsidRPr="00104227">
        <w:rPr>
          <w:rStyle w:val="Textoennegrita"/>
          <w:b w:val="0"/>
          <w:i/>
          <w:color w:val="000000"/>
          <w:sz w:val="16"/>
          <w:szCs w:val="16"/>
          <w:shd w:val="clear" w:color="auto" w:fill="FFFFFF"/>
        </w:rPr>
        <w:t xml:space="preserve">Merits, reparations and costs. </w:t>
      </w:r>
      <w:r w:rsidRPr="00104227">
        <w:rPr>
          <w:rStyle w:val="Textoennegrita"/>
          <w:b w:val="0"/>
          <w:color w:val="000000"/>
          <w:sz w:val="16"/>
          <w:szCs w:val="16"/>
          <w:shd w:val="clear" w:color="auto" w:fill="FFFFFF"/>
        </w:rPr>
        <w:t>Judgment of August 22, 2017. Series C No. 338</w:t>
      </w:r>
      <w:r w:rsidRPr="00104227">
        <w:rPr>
          <w:sz w:val="16"/>
          <w:szCs w:val="16"/>
        </w:rPr>
        <w:t xml:space="preserve">, para. 199, and </w:t>
      </w:r>
      <w:r w:rsidRPr="00104227">
        <w:rPr>
          <w:rStyle w:val="Textoennegrita"/>
          <w:b w:val="0"/>
          <w:i/>
          <w:color w:val="000000"/>
          <w:sz w:val="16"/>
          <w:szCs w:val="16"/>
          <w:shd w:val="clear" w:color="auto" w:fill="FFFFFF"/>
        </w:rPr>
        <w:t xml:space="preserve">Case of López Soto et al. v. Venezuela. Merits, reparations and costs. </w:t>
      </w:r>
      <w:r w:rsidRPr="00104227">
        <w:rPr>
          <w:rStyle w:val="Textoennegrita"/>
          <w:b w:val="0"/>
          <w:color w:val="000000"/>
          <w:sz w:val="16"/>
          <w:szCs w:val="16"/>
          <w:shd w:val="clear" w:color="auto" w:fill="FFFFFF"/>
        </w:rPr>
        <w:t>Judgment of September 26, 2018. Series C No. 362,</w:t>
      </w:r>
      <w:r w:rsidRPr="00104227">
        <w:rPr>
          <w:sz w:val="16"/>
          <w:szCs w:val="16"/>
        </w:rPr>
        <w:t xml:space="preserve"> para.</w:t>
      </w:r>
      <w:r w:rsidRPr="00104227">
        <w:rPr>
          <w:rStyle w:val="Textoennegrita"/>
          <w:b w:val="0"/>
          <w:color w:val="000000"/>
          <w:sz w:val="16"/>
          <w:szCs w:val="16"/>
          <w:shd w:val="clear" w:color="auto" w:fill="FFFFFF"/>
        </w:rPr>
        <w:t xml:space="preserve"> 293.</w:t>
      </w:r>
    </w:p>
  </w:footnote>
  <w:footnote w:id="456">
    <w:p w14:paraId="228F2EA0" w14:textId="1EDE7FCA" w:rsidR="0080773E" w:rsidRPr="00104227" w:rsidRDefault="0080773E" w:rsidP="002755DF">
      <w:pPr>
        <w:tabs>
          <w:tab w:val="left" w:pos="426"/>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r>
      <w:r w:rsidRPr="00104227">
        <w:rPr>
          <w:i/>
          <w:sz w:val="16"/>
          <w:szCs w:val="16"/>
        </w:rPr>
        <w:t xml:space="preserve">Cf., inter alia, </w:t>
      </w:r>
      <w:r w:rsidRPr="00104227">
        <w:rPr>
          <w:rStyle w:val="Textoennegrita"/>
          <w:b w:val="0"/>
          <w:i/>
          <w:color w:val="000000"/>
          <w:sz w:val="16"/>
          <w:szCs w:val="16"/>
          <w:shd w:val="clear" w:color="auto" w:fill="FFFFFF"/>
        </w:rPr>
        <w:t>Case of Cantoral Benavides v. Peru. Reparations and costs.</w:t>
      </w:r>
      <w:r w:rsidRPr="00104227">
        <w:rPr>
          <w:rStyle w:val="Textoennegrita"/>
          <w:b w:val="0"/>
          <w:color w:val="000000"/>
          <w:sz w:val="16"/>
          <w:szCs w:val="16"/>
          <w:shd w:val="clear" w:color="auto" w:fill="FFFFFF"/>
        </w:rPr>
        <w:t xml:space="preserve"> Judgment of December 3, 2001. Series C No. 88, </w:t>
      </w:r>
      <w:r w:rsidRPr="00104227">
        <w:rPr>
          <w:sz w:val="16"/>
          <w:szCs w:val="16"/>
        </w:rPr>
        <w:t xml:space="preserve">para. 79; </w:t>
      </w:r>
      <w:r w:rsidRPr="00104227">
        <w:rPr>
          <w:i/>
          <w:sz w:val="16"/>
          <w:szCs w:val="16"/>
        </w:rPr>
        <w:t>Case of Mémoli v. Argentina. Preliminary objections, merits, reparations and costs.</w:t>
      </w:r>
      <w:r w:rsidRPr="00104227">
        <w:rPr>
          <w:sz w:val="16"/>
          <w:szCs w:val="16"/>
        </w:rPr>
        <w:t xml:space="preserve"> Judgment of August 22, 2013. Series C No. 265, para. 207; </w:t>
      </w:r>
      <w:r w:rsidRPr="00104227">
        <w:rPr>
          <w:rStyle w:val="Textoennegrita"/>
          <w:b w:val="0"/>
          <w:i/>
          <w:color w:val="000000"/>
          <w:sz w:val="16"/>
          <w:szCs w:val="16"/>
          <w:shd w:val="clear" w:color="auto" w:fill="FFFFFF"/>
        </w:rPr>
        <w:t>Case of Andrade Salmón v. Bolivia. Merits, reparations and costs.</w:t>
      </w:r>
      <w:r w:rsidRPr="00104227">
        <w:rPr>
          <w:rStyle w:val="Textoennegrita"/>
          <w:b w:val="0"/>
          <w:color w:val="000000"/>
          <w:sz w:val="16"/>
          <w:szCs w:val="16"/>
          <w:shd w:val="clear" w:color="auto" w:fill="FFFFFF"/>
        </w:rPr>
        <w:t xml:space="preserve"> Judgment of December 1, 2016. Series C No. 330</w:t>
      </w:r>
      <w:r w:rsidRPr="00104227">
        <w:rPr>
          <w:sz w:val="16"/>
          <w:szCs w:val="16"/>
        </w:rPr>
        <w:t xml:space="preserve">, para. 197; </w:t>
      </w:r>
      <w:r w:rsidRPr="00104227">
        <w:rPr>
          <w:i/>
          <w:sz w:val="16"/>
          <w:szCs w:val="16"/>
        </w:rPr>
        <w:t xml:space="preserve">Case of Favela Nova Brasília v. Brazil. Preliminary objections, merits, reparations and costs. </w:t>
      </w:r>
      <w:r w:rsidRPr="00104227">
        <w:rPr>
          <w:sz w:val="16"/>
          <w:szCs w:val="16"/>
        </w:rPr>
        <w:t xml:space="preserve">Judgment of February 16, 2017. Series C No. 333, para. 300, and </w:t>
      </w:r>
      <w:r w:rsidRPr="00104227">
        <w:rPr>
          <w:rStyle w:val="Textoennegrita"/>
          <w:b w:val="0"/>
          <w:i/>
          <w:color w:val="000000"/>
          <w:sz w:val="16"/>
          <w:szCs w:val="16"/>
          <w:shd w:val="clear" w:color="auto" w:fill="FFFFFF"/>
        </w:rPr>
        <w:t xml:space="preserve">Case of López Soto et al. v. Venezuela. Merits, reparations and costs. </w:t>
      </w:r>
      <w:r w:rsidRPr="00104227">
        <w:rPr>
          <w:rStyle w:val="Textoennegrita"/>
          <w:b w:val="0"/>
          <w:color w:val="000000"/>
          <w:sz w:val="16"/>
          <w:szCs w:val="16"/>
          <w:shd w:val="clear" w:color="auto" w:fill="FFFFFF"/>
        </w:rPr>
        <w:t>Judgment of September 26, 2018. Series C No. 362,</w:t>
      </w:r>
      <w:r w:rsidRPr="00104227">
        <w:rPr>
          <w:sz w:val="16"/>
          <w:szCs w:val="16"/>
        </w:rPr>
        <w:t xml:space="preserve"> para.</w:t>
      </w:r>
      <w:r w:rsidRPr="00104227">
        <w:rPr>
          <w:rStyle w:val="Textoennegrita"/>
          <w:b w:val="0"/>
          <w:color w:val="000000"/>
          <w:sz w:val="16"/>
          <w:szCs w:val="16"/>
          <w:shd w:val="clear" w:color="auto" w:fill="FFFFFF"/>
        </w:rPr>
        <w:t xml:space="preserve"> 299</w:t>
      </w:r>
      <w:r w:rsidRPr="00104227">
        <w:rPr>
          <w:sz w:val="16"/>
          <w:szCs w:val="16"/>
        </w:rPr>
        <w:t>.</w:t>
      </w:r>
    </w:p>
  </w:footnote>
  <w:footnote w:id="457">
    <w:p w14:paraId="69FC7A4D" w14:textId="0FF09ACC" w:rsidR="0080773E" w:rsidRPr="00104227" w:rsidRDefault="0080773E" w:rsidP="002755DF">
      <w:pPr>
        <w:tabs>
          <w:tab w:val="left" w:pos="426"/>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r>
      <w:r w:rsidRPr="00104227">
        <w:rPr>
          <w:i/>
          <w:sz w:val="16"/>
          <w:szCs w:val="16"/>
        </w:rPr>
        <w:t>Cf.</w:t>
      </w:r>
      <w:r w:rsidRPr="00104227">
        <w:rPr>
          <w:sz w:val="16"/>
          <w:szCs w:val="16"/>
        </w:rPr>
        <w:t xml:space="preserve"> </w:t>
      </w:r>
      <w:r w:rsidRPr="00104227">
        <w:rPr>
          <w:rStyle w:val="Textoennegrita"/>
          <w:b w:val="0"/>
          <w:i/>
          <w:color w:val="000000"/>
          <w:sz w:val="16"/>
          <w:szCs w:val="16"/>
          <w:shd w:val="clear" w:color="auto" w:fill="FFFFFF"/>
        </w:rPr>
        <w:t>Case of Rodríguez Vera et al. (Disappeared from the Palace of Justice) v. Colombia. Preliminary objections, merits, reparations and costs.</w:t>
      </w:r>
      <w:r w:rsidRPr="00104227">
        <w:rPr>
          <w:rStyle w:val="Textoennegrita"/>
          <w:b w:val="0"/>
          <w:color w:val="000000"/>
          <w:sz w:val="16"/>
          <w:szCs w:val="16"/>
          <w:shd w:val="clear" w:color="auto" w:fill="FFFFFF"/>
        </w:rPr>
        <w:t xml:space="preserve"> Judgment of November 14, 2014. Series C No. 287, para. </w:t>
      </w:r>
      <w:r w:rsidRPr="00104227">
        <w:rPr>
          <w:rFonts w:eastAsia="Times New Roman" w:cs="Times New Roman"/>
          <w:bCs/>
          <w:color w:val="000000"/>
          <w:sz w:val="16"/>
          <w:szCs w:val="16"/>
          <w:lang w:eastAsia="es-CR"/>
        </w:rPr>
        <w:t xml:space="preserve">576, and </w:t>
      </w:r>
      <w:r w:rsidRPr="00104227">
        <w:rPr>
          <w:rStyle w:val="Textoennegrita"/>
          <w:b w:val="0"/>
          <w:i/>
          <w:color w:val="000000"/>
          <w:sz w:val="16"/>
          <w:szCs w:val="16"/>
          <w:shd w:val="clear" w:color="auto" w:fill="FFFFFF"/>
        </w:rPr>
        <w:t xml:space="preserve">Case of López Soto et al. v. Venezuela. Merits, reparations and costs. </w:t>
      </w:r>
      <w:r w:rsidRPr="00104227">
        <w:rPr>
          <w:rStyle w:val="Textoennegrita"/>
          <w:b w:val="0"/>
          <w:color w:val="000000"/>
          <w:sz w:val="16"/>
          <w:szCs w:val="16"/>
          <w:shd w:val="clear" w:color="auto" w:fill="FFFFFF"/>
        </w:rPr>
        <w:t>Judgment of September 26, 2018. Series C No. 362,</w:t>
      </w:r>
      <w:r w:rsidRPr="00104227">
        <w:rPr>
          <w:sz w:val="16"/>
          <w:szCs w:val="16"/>
        </w:rPr>
        <w:t xml:space="preserve"> para. 303.</w:t>
      </w:r>
    </w:p>
  </w:footnote>
  <w:footnote w:id="458">
    <w:p w14:paraId="515529AE" w14:textId="77777777" w:rsidR="0080773E" w:rsidRPr="00104227" w:rsidRDefault="0080773E" w:rsidP="00482DAC">
      <w:pPr>
        <w:tabs>
          <w:tab w:val="left" w:pos="426"/>
        </w:tabs>
        <w:spacing w:before="120" w:after="120"/>
        <w:rPr>
          <w:sz w:val="16"/>
          <w:szCs w:val="16"/>
        </w:rPr>
      </w:pPr>
      <w:r w:rsidRPr="00104227">
        <w:rPr>
          <w:rStyle w:val="Refdenotaalpie"/>
        </w:rPr>
        <w:footnoteRef/>
      </w:r>
      <w:r w:rsidRPr="00104227">
        <w:rPr>
          <w:i/>
          <w:sz w:val="16"/>
          <w:szCs w:val="16"/>
        </w:rPr>
        <w:t xml:space="preserve"> </w:t>
      </w:r>
      <w:r w:rsidRPr="00104227">
        <w:rPr>
          <w:i/>
          <w:sz w:val="16"/>
          <w:szCs w:val="16"/>
        </w:rPr>
        <w:tab/>
        <w:t>Cf.</w:t>
      </w:r>
      <w:r w:rsidRPr="00104227">
        <w:rPr>
          <w:sz w:val="16"/>
          <w:szCs w:val="16"/>
        </w:rPr>
        <w:t xml:space="preserve"> </w:t>
      </w:r>
      <w:r w:rsidRPr="00104227">
        <w:rPr>
          <w:rStyle w:val="Textoennegrita"/>
          <w:b w:val="0"/>
          <w:i/>
          <w:color w:val="000000"/>
          <w:sz w:val="16"/>
          <w:szCs w:val="16"/>
          <w:shd w:val="clear" w:color="auto" w:fill="FFFFFF"/>
        </w:rPr>
        <w:t>Case of Tibi v. Ecuador. Preliminary objections, merits, reparations and costs.</w:t>
      </w:r>
      <w:r w:rsidRPr="00104227">
        <w:rPr>
          <w:rStyle w:val="Textoennegrita"/>
          <w:b w:val="0"/>
          <w:color w:val="000000"/>
          <w:sz w:val="16"/>
          <w:szCs w:val="16"/>
          <w:shd w:val="clear" w:color="auto" w:fill="FFFFFF"/>
        </w:rPr>
        <w:t xml:space="preserve"> Judgment of September 7, 2004. Series C No. 114, para. 261; Case of</w:t>
      </w:r>
      <w:r w:rsidRPr="00104227">
        <w:rPr>
          <w:rStyle w:val="Textoennegrita"/>
          <w:b w:val="0"/>
          <w:i/>
          <w:color w:val="000000"/>
          <w:sz w:val="16"/>
          <w:szCs w:val="16"/>
          <w:shd w:val="clear" w:color="auto" w:fill="FFFFFF"/>
        </w:rPr>
        <w:t xml:space="preserve"> Gutiérrez and family v. Argentina. Merits, reparations and costs.</w:t>
      </w:r>
      <w:r w:rsidRPr="00104227">
        <w:rPr>
          <w:rStyle w:val="Textoennegrita"/>
          <w:b w:val="0"/>
          <w:color w:val="000000"/>
          <w:sz w:val="16"/>
          <w:szCs w:val="16"/>
          <w:shd w:val="clear" w:color="auto" w:fill="FFFFFF"/>
        </w:rPr>
        <w:t xml:space="preserve"> Judgment of November 25, 2013. Series C No. 271, para. 158; </w:t>
      </w:r>
      <w:r w:rsidRPr="00104227">
        <w:rPr>
          <w:rStyle w:val="Textoennegrita"/>
          <w:b w:val="0"/>
          <w:i/>
          <w:color w:val="000000"/>
          <w:sz w:val="16"/>
          <w:szCs w:val="16"/>
          <w:shd w:val="clear" w:color="auto" w:fill="FFFFFF"/>
        </w:rPr>
        <w:t xml:space="preserve">Case of García Cruz and Sánchez Silvestre v. Mexico. Merits, reparations and costs. </w:t>
      </w:r>
      <w:r w:rsidRPr="00104227">
        <w:rPr>
          <w:rStyle w:val="Textoennegrita"/>
          <w:b w:val="0"/>
          <w:color w:val="000000"/>
          <w:sz w:val="16"/>
          <w:szCs w:val="16"/>
          <w:shd w:val="clear" w:color="auto" w:fill="FFFFFF"/>
        </w:rPr>
        <w:t xml:space="preserve">Judgment of November 26, 2013. Series C No. 273, para. 285; </w:t>
      </w:r>
      <w:r w:rsidRPr="00104227">
        <w:rPr>
          <w:rStyle w:val="Textoennegrita"/>
          <w:b w:val="0"/>
          <w:i/>
          <w:color w:val="000000"/>
          <w:sz w:val="16"/>
          <w:szCs w:val="16"/>
          <w:shd w:val="clear" w:color="auto" w:fill="FFFFFF"/>
        </w:rPr>
        <w:t>Case of Véliz Franco et al. v. Guatemala. Preliminary objections, merits, reparations and costs</w:t>
      </w:r>
      <w:r w:rsidRPr="00104227">
        <w:rPr>
          <w:rStyle w:val="Textoennegrita"/>
          <w:b w:val="0"/>
          <w:color w:val="000000"/>
          <w:sz w:val="16"/>
          <w:szCs w:val="16"/>
          <w:shd w:val="clear" w:color="auto" w:fill="FFFFFF"/>
        </w:rPr>
        <w:t>. Judgment of May 19, 2014. Series C No. 277, para. 257</w:t>
      </w:r>
      <w:r w:rsidRPr="00104227">
        <w:rPr>
          <w:sz w:val="16"/>
          <w:szCs w:val="16"/>
        </w:rPr>
        <w:t xml:space="preserve">; </w:t>
      </w:r>
      <w:r w:rsidRPr="00104227">
        <w:rPr>
          <w:rStyle w:val="Textoennegrita"/>
          <w:b w:val="0"/>
          <w:i/>
          <w:color w:val="000000"/>
          <w:sz w:val="16"/>
          <w:szCs w:val="16"/>
          <w:shd w:val="clear" w:color="auto" w:fill="FFFFFF"/>
        </w:rPr>
        <w:t xml:space="preserve">Case of the Landaeta Mejías Brothers et al. v. Venezuela. Preliminary objections, merits, reparations and costs. </w:t>
      </w:r>
      <w:r w:rsidRPr="00104227">
        <w:rPr>
          <w:rStyle w:val="Textoennegrita"/>
          <w:b w:val="0"/>
          <w:color w:val="000000"/>
          <w:sz w:val="16"/>
          <w:szCs w:val="16"/>
          <w:shd w:val="clear" w:color="auto" w:fill="FFFFFF"/>
        </w:rPr>
        <w:t>Judgment of August 27, 2014. Series C No. 281</w:t>
      </w:r>
      <w:r w:rsidRPr="00104227">
        <w:rPr>
          <w:sz w:val="16"/>
          <w:szCs w:val="16"/>
        </w:rPr>
        <w:t xml:space="preserve">, para. 307, and </w:t>
      </w:r>
      <w:r w:rsidRPr="00104227">
        <w:rPr>
          <w:rStyle w:val="Textoennegrita"/>
          <w:b w:val="0"/>
          <w:i/>
          <w:color w:val="000000"/>
          <w:sz w:val="16"/>
          <w:szCs w:val="16"/>
          <w:shd w:val="clear" w:color="auto" w:fill="FFFFFF"/>
        </w:rPr>
        <w:t>Case of Velásquez Paiz et al. v. Guatemala. Preliminary objections, merits, reparations and costs.</w:t>
      </w:r>
      <w:r w:rsidRPr="00104227">
        <w:rPr>
          <w:rStyle w:val="Textoennegrita"/>
          <w:b w:val="0"/>
          <w:color w:val="000000"/>
          <w:sz w:val="16"/>
          <w:szCs w:val="16"/>
          <w:shd w:val="clear" w:color="auto" w:fill="FFFFFF"/>
        </w:rPr>
        <w:t xml:space="preserve"> Judgment of November 19, 2015. Series C No. 307, para. 240.</w:t>
      </w:r>
    </w:p>
  </w:footnote>
  <w:footnote w:id="459">
    <w:p w14:paraId="39C4C7A9" w14:textId="20133124" w:rsidR="0080773E" w:rsidRPr="00104227" w:rsidRDefault="0080773E" w:rsidP="002755DF">
      <w:pPr>
        <w:tabs>
          <w:tab w:val="left" w:pos="426"/>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r>
      <w:r w:rsidRPr="00104227">
        <w:rPr>
          <w:i/>
          <w:sz w:val="16"/>
          <w:szCs w:val="16"/>
        </w:rPr>
        <w:t>Cf. Case of Radilla Pacheco v. Mexico. Preliminary objections, merits, reparations and costs.</w:t>
      </w:r>
      <w:r w:rsidRPr="00104227">
        <w:rPr>
          <w:sz w:val="16"/>
          <w:szCs w:val="16"/>
        </w:rPr>
        <w:t xml:space="preserve"> Judgment of November 23, 2009. Series C No. 209, para. 353, and </w:t>
      </w:r>
      <w:r w:rsidRPr="00104227">
        <w:rPr>
          <w:rStyle w:val="Textoennegrita"/>
          <w:b w:val="0"/>
          <w:i/>
          <w:color w:val="000000"/>
          <w:sz w:val="16"/>
          <w:szCs w:val="16"/>
          <w:shd w:val="clear" w:color="auto" w:fill="FFFFFF"/>
        </w:rPr>
        <w:t xml:space="preserve">Case of López Soto et al. v. Venezuela. Merits, reparations and costs. </w:t>
      </w:r>
      <w:r w:rsidRPr="00104227">
        <w:rPr>
          <w:rStyle w:val="Textoennegrita"/>
          <w:b w:val="0"/>
          <w:color w:val="000000"/>
          <w:sz w:val="16"/>
          <w:szCs w:val="16"/>
          <w:shd w:val="clear" w:color="auto" w:fill="FFFFFF"/>
        </w:rPr>
        <w:t>Judgment of September 26, 2018. Series C No. 362,</w:t>
      </w:r>
      <w:r w:rsidRPr="00104227">
        <w:rPr>
          <w:sz w:val="16"/>
          <w:szCs w:val="16"/>
        </w:rPr>
        <w:t xml:space="preserve"> para.</w:t>
      </w:r>
      <w:r w:rsidRPr="00104227">
        <w:rPr>
          <w:rStyle w:val="Textoennegrita"/>
          <w:b w:val="0"/>
          <w:color w:val="000000"/>
          <w:sz w:val="16"/>
          <w:szCs w:val="16"/>
          <w:shd w:val="clear" w:color="auto" w:fill="FFFFFF"/>
        </w:rPr>
        <w:t xml:space="preserve"> 303</w:t>
      </w:r>
      <w:r w:rsidRPr="00104227">
        <w:rPr>
          <w:sz w:val="16"/>
          <w:szCs w:val="16"/>
        </w:rPr>
        <w:t>.</w:t>
      </w:r>
    </w:p>
  </w:footnote>
  <w:footnote w:id="460">
    <w:p w14:paraId="4D2C6B0C" w14:textId="0287A174" w:rsidR="0080773E" w:rsidRPr="00104227" w:rsidRDefault="0080773E" w:rsidP="002755DF">
      <w:pPr>
        <w:tabs>
          <w:tab w:val="left" w:pos="426"/>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r>
      <w:r w:rsidRPr="00104227">
        <w:rPr>
          <w:i/>
          <w:sz w:val="16"/>
          <w:szCs w:val="16"/>
        </w:rPr>
        <w:t xml:space="preserve">Cf. </w:t>
      </w:r>
      <w:r w:rsidRPr="00104227">
        <w:rPr>
          <w:rStyle w:val="Textoennegrita"/>
          <w:b w:val="0"/>
          <w:i/>
          <w:color w:val="000000"/>
          <w:sz w:val="16"/>
          <w:szCs w:val="16"/>
          <w:shd w:val="clear" w:color="auto" w:fill="FFFFFF"/>
        </w:rPr>
        <w:t xml:space="preserve">Case of the Miguel Castro Castro Prison v. Peru. Merits, reparations and costs. </w:t>
      </w:r>
      <w:r w:rsidRPr="00104227">
        <w:rPr>
          <w:rStyle w:val="Textoennegrita"/>
          <w:b w:val="0"/>
          <w:color w:val="000000"/>
          <w:sz w:val="16"/>
          <w:szCs w:val="16"/>
          <w:shd w:val="clear" w:color="auto" w:fill="FFFFFF"/>
        </w:rPr>
        <w:t>Judgment of November 25, 2006. Series C No. 160,</w:t>
      </w:r>
      <w:r w:rsidRPr="00104227">
        <w:rPr>
          <w:sz w:val="16"/>
          <w:szCs w:val="16"/>
        </w:rPr>
        <w:t xml:space="preserve"> para. 445; </w:t>
      </w:r>
      <w:r w:rsidRPr="00104227">
        <w:rPr>
          <w:i/>
          <w:sz w:val="16"/>
          <w:szCs w:val="16"/>
        </w:rPr>
        <w:t xml:space="preserve">Case of the Yean and Bosico Girls v. Dominican Republic. </w:t>
      </w:r>
      <w:r w:rsidRPr="00104227">
        <w:rPr>
          <w:rStyle w:val="Textoennegrita"/>
          <w:b w:val="0"/>
          <w:i/>
          <w:color w:val="000000"/>
          <w:sz w:val="16"/>
          <w:szCs w:val="16"/>
          <w:shd w:val="clear" w:color="auto" w:fill="FFFFFF"/>
        </w:rPr>
        <w:t>Preliminary objections, merits, reparations and costs</w:t>
      </w:r>
      <w:r w:rsidRPr="00104227">
        <w:rPr>
          <w:sz w:val="16"/>
          <w:szCs w:val="16"/>
        </w:rPr>
        <w:t xml:space="preserve">. Judgment of September 8, 2005. Series C No. 130, para. 235; </w:t>
      </w:r>
      <w:r w:rsidRPr="00104227">
        <w:rPr>
          <w:i/>
          <w:sz w:val="16"/>
          <w:szCs w:val="16"/>
        </w:rPr>
        <w:t>Case of the Yakye Axa Indigenous Community v. Paraguay. Merits, reparations and costs.</w:t>
      </w:r>
      <w:r w:rsidRPr="00104227">
        <w:rPr>
          <w:sz w:val="16"/>
          <w:szCs w:val="16"/>
        </w:rPr>
        <w:t xml:space="preserve"> Judgment of June 17, 2005. Series C No. 125, para. 226, and </w:t>
      </w:r>
      <w:r w:rsidRPr="00104227">
        <w:rPr>
          <w:rStyle w:val="Textoennegrita"/>
          <w:b w:val="0"/>
          <w:i/>
          <w:color w:val="000000"/>
          <w:sz w:val="16"/>
          <w:szCs w:val="16"/>
          <w:shd w:val="clear" w:color="auto" w:fill="FFFFFF"/>
        </w:rPr>
        <w:t>Case of Coc Max et al. (Xamán Massacre)  v. Guatemala. Merits, reparations and costs.</w:t>
      </w:r>
      <w:r w:rsidRPr="00104227">
        <w:rPr>
          <w:rStyle w:val="Textoennegrita"/>
          <w:b w:val="0"/>
          <w:color w:val="000000"/>
          <w:sz w:val="16"/>
          <w:szCs w:val="16"/>
          <w:shd w:val="clear" w:color="auto" w:fill="FFFFFF"/>
        </w:rPr>
        <w:t xml:space="preserve"> Judgment of August 22, 2018. Series C No. 356, para. 163.</w:t>
      </w:r>
    </w:p>
  </w:footnote>
  <w:footnote w:id="461">
    <w:p w14:paraId="3C137E3B" w14:textId="561BA7E4" w:rsidR="0080773E" w:rsidRPr="00104227" w:rsidRDefault="0080773E" w:rsidP="002755DF">
      <w:pPr>
        <w:pStyle w:val="Textonotapie"/>
        <w:tabs>
          <w:tab w:val="clear" w:pos="567"/>
          <w:tab w:val="left" w:pos="426"/>
        </w:tabs>
        <w:rPr>
          <w:lang w:val="en-US"/>
        </w:rPr>
      </w:pPr>
      <w:r w:rsidRPr="00104227">
        <w:rPr>
          <w:rStyle w:val="Refdenotaalpie"/>
          <w:lang w:val="en-US"/>
        </w:rPr>
        <w:footnoteRef/>
      </w:r>
      <w:r w:rsidRPr="00104227">
        <w:rPr>
          <w:lang w:val="en-US"/>
        </w:rPr>
        <w:t xml:space="preserve"> </w:t>
      </w:r>
      <w:r w:rsidRPr="00104227">
        <w:rPr>
          <w:lang w:val="en-US"/>
        </w:rPr>
        <w:tab/>
        <w:t>Angélica Patricia Torres Linares abandoned her political science studies at the UNAM because she associated the violations with her studies. Claudia Hernández Martínez was completing her bachelor's degree in political science and, owing to the events, felt unable to return to the university. However, she is currently studying for a master’s degree and for a doctorate. Suhelen Gabriela Cuevas Jaramillo’s academic plans were cut short owing to the time spent in prison and the psychological and financial impact of the facts.</w:t>
      </w:r>
    </w:p>
  </w:footnote>
  <w:footnote w:id="462">
    <w:p w14:paraId="369F6A3E" w14:textId="77777777" w:rsidR="0080773E" w:rsidRPr="00104227" w:rsidRDefault="0080773E" w:rsidP="00301401">
      <w:pPr>
        <w:tabs>
          <w:tab w:val="left" w:pos="426"/>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r>
      <w:r w:rsidRPr="00104227">
        <w:rPr>
          <w:i/>
          <w:sz w:val="16"/>
          <w:szCs w:val="16"/>
        </w:rPr>
        <w:t xml:space="preserve">Cf. </w:t>
      </w:r>
      <w:r w:rsidRPr="00104227">
        <w:rPr>
          <w:rStyle w:val="Textoennegrita"/>
          <w:b w:val="0"/>
          <w:i/>
          <w:color w:val="000000"/>
          <w:sz w:val="16"/>
          <w:szCs w:val="16"/>
          <w:shd w:val="clear" w:color="auto" w:fill="FFFFFF"/>
        </w:rPr>
        <w:t>Case of Cantoral Benavides v. Peru. Reparations and costs.</w:t>
      </w:r>
      <w:r w:rsidRPr="00104227">
        <w:rPr>
          <w:rStyle w:val="Textoennegrita"/>
          <w:b w:val="0"/>
          <w:color w:val="000000"/>
          <w:sz w:val="16"/>
          <w:szCs w:val="16"/>
          <w:shd w:val="clear" w:color="auto" w:fill="FFFFFF"/>
        </w:rPr>
        <w:t xml:space="preserve"> Judgment of December 3, 2001. Series C No. 88, para. 80</w:t>
      </w:r>
      <w:r w:rsidRPr="00104227">
        <w:rPr>
          <w:sz w:val="16"/>
          <w:szCs w:val="16"/>
        </w:rPr>
        <w:t xml:space="preserve">, and </w:t>
      </w:r>
      <w:r w:rsidRPr="00104227">
        <w:rPr>
          <w:rStyle w:val="Textoennegrita"/>
          <w:b w:val="0"/>
          <w:i/>
          <w:color w:val="000000"/>
          <w:sz w:val="16"/>
          <w:szCs w:val="16"/>
          <w:shd w:val="clear" w:color="auto" w:fill="FFFFFF"/>
        </w:rPr>
        <w:t xml:space="preserve">Case of López Soto et al. v. Venezuela. Merits, reparations and costs. </w:t>
      </w:r>
      <w:r w:rsidRPr="00104227">
        <w:rPr>
          <w:rStyle w:val="Textoennegrita"/>
          <w:b w:val="0"/>
          <w:color w:val="000000"/>
          <w:sz w:val="16"/>
          <w:szCs w:val="16"/>
          <w:shd w:val="clear" w:color="auto" w:fill="FFFFFF"/>
        </w:rPr>
        <w:t>Judgment of September 26, 2018. Series C No. 362,</w:t>
      </w:r>
      <w:r w:rsidRPr="00104227">
        <w:rPr>
          <w:sz w:val="16"/>
          <w:szCs w:val="16"/>
        </w:rPr>
        <w:t xml:space="preserve"> para. 310</w:t>
      </w:r>
      <w:r w:rsidRPr="00104227">
        <w:rPr>
          <w:rStyle w:val="Textoennegrita"/>
          <w:b w:val="0"/>
          <w:color w:val="000000"/>
          <w:sz w:val="16"/>
          <w:szCs w:val="16"/>
          <w:shd w:val="clear" w:color="auto" w:fill="FFFFFF"/>
        </w:rPr>
        <w:t>.</w:t>
      </w:r>
    </w:p>
    <w:p w14:paraId="1CBBAA1D" w14:textId="77777777" w:rsidR="0080773E" w:rsidRPr="00104227" w:rsidRDefault="0080773E" w:rsidP="00301401">
      <w:pPr>
        <w:tabs>
          <w:tab w:val="left" w:pos="426"/>
        </w:tabs>
        <w:spacing w:before="120" w:after="120"/>
        <w:rPr>
          <w:sz w:val="16"/>
          <w:szCs w:val="16"/>
        </w:rPr>
      </w:pPr>
    </w:p>
  </w:footnote>
  <w:footnote w:id="463">
    <w:p w14:paraId="3CEE8ABD" w14:textId="7AF95A3D" w:rsidR="0080773E" w:rsidRPr="00104227" w:rsidRDefault="0080773E" w:rsidP="002755DF">
      <w:pPr>
        <w:tabs>
          <w:tab w:val="left" w:pos="426"/>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r>
      <w:r w:rsidRPr="00104227">
        <w:rPr>
          <w:i/>
          <w:sz w:val="16"/>
          <w:szCs w:val="16"/>
        </w:rPr>
        <w:t>Cf.</w:t>
      </w:r>
      <w:r w:rsidRPr="00104227">
        <w:rPr>
          <w:sz w:val="16"/>
          <w:szCs w:val="16"/>
        </w:rPr>
        <w:t xml:space="preserve"> </w:t>
      </w:r>
      <w:r w:rsidRPr="00104227">
        <w:rPr>
          <w:rStyle w:val="Textoennegrita"/>
          <w:b w:val="0"/>
          <w:i/>
          <w:color w:val="000000"/>
          <w:sz w:val="16"/>
          <w:szCs w:val="16"/>
          <w:shd w:val="clear" w:color="auto" w:fill="FFFFFF"/>
        </w:rPr>
        <w:t>Case of Véliz Franco et al. v. Guatemala. Preliminary objections, merits, reparations and costs</w:t>
      </w:r>
      <w:r w:rsidRPr="00104227">
        <w:rPr>
          <w:rStyle w:val="Textoennegrita"/>
          <w:b w:val="0"/>
          <w:color w:val="000000"/>
          <w:sz w:val="16"/>
          <w:szCs w:val="16"/>
          <w:shd w:val="clear" w:color="auto" w:fill="FFFFFF"/>
        </w:rPr>
        <w:t>. Judgment of May 19, 2014. Series C No. 277, para. 268.</w:t>
      </w:r>
    </w:p>
  </w:footnote>
  <w:footnote w:id="464">
    <w:p w14:paraId="264D5505" w14:textId="153E6003" w:rsidR="0080773E" w:rsidRPr="00104227" w:rsidRDefault="0080773E" w:rsidP="002755DF">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The representatives explained that “the routine checkups made by forensic physicians are usually inadequate to treat victims of torture, as in this case, because the doctors belong to the very same institution that is accusing the torture victims of committing criminal acts and, consequently, they have a conflict of interests and may receive orders from their superior not to record the traces of torture.” The failure to perform adequate and impartial medical examinations and tests is the main factor hindering the documentation of cases of torture; this is why they requested the Court to order the creation of a national forensic institution responsible for performing the medical and psychological examinations following requests by the corresponding judicial authorities.</w:t>
      </w:r>
    </w:p>
  </w:footnote>
  <w:footnote w:id="465">
    <w:p w14:paraId="7FC36AEB" w14:textId="3CA75755" w:rsidR="0080773E" w:rsidRPr="00104227" w:rsidRDefault="0080773E" w:rsidP="002755DF">
      <w:pPr>
        <w:pStyle w:val="Textonotapie"/>
        <w:tabs>
          <w:tab w:val="left" w:pos="426"/>
        </w:tabs>
        <w:rPr>
          <w:rFonts w:cs="Arial"/>
          <w:lang w:val="en-US"/>
        </w:rPr>
      </w:pPr>
      <w:r w:rsidRPr="00104227">
        <w:rPr>
          <w:rStyle w:val="Refdenotaalpie"/>
          <w:lang w:val="en-US"/>
        </w:rPr>
        <w:footnoteRef/>
      </w:r>
      <w:r w:rsidRPr="00104227">
        <w:rPr>
          <w:lang w:val="en-US"/>
        </w:rPr>
        <w:t xml:space="preserve"> </w:t>
      </w:r>
      <w:r w:rsidRPr="00104227">
        <w:rPr>
          <w:lang w:val="en-US"/>
        </w:rPr>
        <w:tab/>
        <w:t xml:space="preserve">The representatives asked the Court to order the State </w:t>
      </w:r>
      <w:r w:rsidRPr="00104227">
        <w:rPr>
          <w:rFonts w:cs="Arial"/>
          <w:lang w:val="en-US"/>
        </w:rPr>
        <w:t>to establish a center of documentation and support for women survivors of sexual torture</w:t>
      </w:r>
      <w:r w:rsidRPr="00104227">
        <w:rPr>
          <w:lang w:val="en-US"/>
        </w:rPr>
        <w:t xml:space="preserve">. The center would be a non-governmental organization </w:t>
      </w:r>
      <w:r w:rsidRPr="00104227">
        <w:rPr>
          <w:rFonts w:cs="Arial"/>
          <w:lang w:val="en-US"/>
        </w:rPr>
        <w:t xml:space="preserve">administered </w:t>
      </w:r>
      <w:r w:rsidRPr="00104227">
        <w:rPr>
          <w:lang w:val="en-US"/>
        </w:rPr>
        <w:t xml:space="preserve">by two of the victims in this case, </w:t>
      </w:r>
      <w:r w:rsidRPr="00104227">
        <w:rPr>
          <w:rFonts w:cs="Arial"/>
          <w:lang w:val="en-US"/>
        </w:rPr>
        <w:t xml:space="preserve">Bárbara Italia Méndez Moreno and Norma Aidé Osorio Jiménez, so that the victims may become agents of their own recovery and reparation. The measure would “have a reparative effect for the women victims in this case, and a positive impact on the life of other women who can seek legal counsel, psychological care, and other resources through the center, as well as being part of a project that allows, for the first time in Mexico, the systematization and collective development of different types of tools to deal with sexual torture in a space that inspires trust and provides active listening, where peer relationships and the common experience are reflected on.” </w:t>
      </w:r>
    </w:p>
  </w:footnote>
  <w:footnote w:id="466">
    <w:p w14:paraId="06E9ABDE" w14:textId="752672FF" w:rsidR="0080773E" w:rsidRPr="00104227" w:rsidRDefault="0080773E" w:rsidP="002755DF">
      <w:pPr>
        <w:tabs>
          <w:tab w:val="left" w:pos="426"/>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t>The representatives had also asked that the State acknowledge the innocence of María Patricia Romero Hernández. As described in the facts (</w:t>
      </w:r>
      <w:r w:rsidRPr="00104227">
        <w:rPr>
          <w:i/>
          <w:sz w:val="16"/>
          <w:szCs w:val="16"/>
        </w:rPr>
        <w:t>supra</w:t>
      </w:r>
      <w:r w:rsidRPr="00104227">
        <w:rPr>
          <w:sz w:val="16"/>
          <w:szCs w:val="16"/>
        </w:rPr>
        <w:t xml:space="preserve"> para. </w:t>
      </w:r>
      <w:r w:rsidRPr="00104227">
        <w:rPr>
          <w:sz w:val="16"/>
          <w:szCs w:val="16"/>
        </w:rPr>
        <w:fldChar w:fldCharType="begin"/>
      </w:r>
      <w:r w:rsidRPr="00104227">
        <w:rPr>
          <w:sz w:val="16"/>
          <w:szCs w:val="16"/>
        </w:rPr>
        <w:instrText xml:space="preserve"> REF _Ref532976004 \r \h  \* MERGEFORMAT </w:instrText>
      </w:r>
      <w:r w:rsidRPr="00104227">
        <w:rPr>
          <w:sz w:val="16"/>
          <w:szCs w:val="16"/>
        </w:rPr>
      </w:r>
      <w:r w:rsidRPr="00104227">
        <w:rPr>
          <w:sz w:val="16"/>
          <w:szCs w:val="16"/>
        </w:rPr>
        <w:fldChar w:fldCharType="separate"/>
      </w:r>
      <w:r w:rsidR="004276BD">
        <w:rPr>
          <w:sz w:val="16"/>
          <w:szCs w:val="16"/>
        </w:rPr>
        <w:t>115</w:t>
      </w:r>
      <w:r w:rsidRPr="00104227">
        <w:rPr>
          <w:sz w:val="16"/>
          <w:szCs w:val="16"/>
        </w:rPr>
        <w:fldChar w:fldCharType="end"/>
      </w:r>
      <w:r w:rsidRPr="00104227">
        <w:rPr>
          <w:sz w:val="16"/>
          <w:szCs w:val="16"/>
        </w:rPr>
        <w:t>) and confirmed by the representatives in their final written arguments, in August 2017, the Judiciary</w:t>
      </w:r>
      <w:r w:rsidRPr="00104227">
        <w:rPr>
          <w:rFonts w:eastAsia="ArialMT" w:cs="Arial"/>
          <w:sz w:val="16"/>
          <w:szCs w:val="16"/>
        </w:rPr>
        <w:t xml:space="preserve"> of the state of Mexico declared her innocence, annulling her conviction</w:t>
      </w:r>
      <w:r w:rsidRPr="00104227">
        <w:rPr>
          <w:rFonts w:eastAsia="ArialMT" w:cs="ArialMT"/>
          <w:sz w:val="16"/>
          <w:szCs w:val="16"/>
        </w:rPr>
        <w:t>.</w:t>
      </w:r>
      <w:r w:rsidRPr="00104227">
        <w:rPr>
          <w:sz w:val="16"/>
          <w:szCs w:val="16"/>
        </w:rPr>
        <w:t xml:space="preserve"> </w:t>
      </w:r>
    </w:p>
  </w:footnote>
  <w:footnote w:id="467">
    <w:p w14:paraId="1DED53FC" w14:textId="53B08498" w:rsidR="0080773E" w:rsidRPr="00104227" w:rsidRDefault="0080773E" w:rsidP="00494BB0">
      <w:pPr>
        <w:pStyle w:val="Textonotapie"/>
        <w:tabs>
          <w:tab w:val="clear" w:pos="567"/>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t xml:space="preserve">According to the State, the purpose of this protocol is “to establish action policies and procedures adapted to human rights standards for the investigation of torture to be used by the agents of the Public Prosecution Service, experts, and members of the police, and to serve as a guideline at the different stages of the criminal proceedings (the traditional and the accusatory), to ensure an exhaustive investigation of the facts, to take into account the special vulnerability of the passive subject and non-revictimization, as well as for the design of the special medical/psychological protocol for the investigation and documentation of torture based on the guiding principles of the Istanbul Protocol.” </w:t>
      </w:r>
    </w:p>
  </w:footnote>
  <w:footnote w:id="468">
    <w:p w14:paraId="50B0164D" w14:textId="087FE9CB" w:rsidR="0080773E" w:rsidRPr="00104227" w:rsidRDefault="0080773E" w:rsidP="002755DF">
      <w:pPr>
        <w:tabs>
          <w:tab w:val="left" w:pos="426"/>
        </w:tabs>
        <w:spacing w:before="120" w:after="120"/>
        <w:rPr>
          <w:sz w:val="16"/>
          <w:szCs w:val="16"/>
        </w:rPr>
      </w:pPr>
      <w:r w:rsidRPr="00104227">
        <w:rPr>
          <w:rStyle w:val="Refdenotaalpie"/>
        </w:rPr>
        <w:footnoteRef/>
      </w:r>
      <w:r w:rsidRPr="00104227">
        <w:rPr>
          <w:sz w:val="16"/>
          <w:szCs w:val="16"/>
        </w:rPr>
        <w:t xml:space="preserve"> </w:t>
      </w:r>
      <w:r w:rsidRPr="00104227">
        <w:rPr>
          <w:sz w:val="16"/>
          <w:szCs w:val="16"/>
        </w:rPr>
        <w:tab/>
      </w:r>
      <w:r w:rsidRPr="00104227">
        <w:rPr>
          <w:i/>
          <w:sz w:val="16"/>
          <w:szCs w:val="16"/>
        </w:rPr>
        <w:t xml:space="preserve">Cf. </w:t>
      </w:r>
      <w:r w:rsidRPr="00104227">
        <w:rPr>
          <w:rStyle w:val="Textoennegrita"/>
          <w:b w:val="0"/>
          <w:i/>
          <w:color w:val="000000"/>
          <w:sz w:val="16"/>
          <w:szCs w:val="16"/>
          <w:shd w:val="clear" w:color="auto" w:fill="FFFFFF"/>
        </w:rPr>
        <w:t xml:space="preserve">Case of Bayarri v. Argentina. Preliminary objection, merits, reparations and costs. </w:t>
      </w:r>
      <w:r w:rsidRPr="00104227">
        <w:rPr>
          <w:rStyle w:val="Textoennegrita"/>
          <w:b w:val="0"/>
          <w:color w:val="000000"/>
          <w:sz w:val="16"/>
          <w:szCs w:val="16"/>
          <w:shd w:val="clear" w:color="auto" w:fill="FFFFFF"/>
        </w:rPr>
        <w:t>Judgment of October 30, 2008. Series C No. 187, para. 92;</w:t>
      </w:r>
      <w:r w:rsidRPr="00104227">
        <w:rPr>
          <w:rStyle w:val="Textoennegrita"/>
          <w:b w:val="0"/>
          <w:i/>
          <w:color w:val="000000"/>
          <w:sz w:val="16"/>
          <w:szCs w:val="16"/>
          <w:shd w:val="clear" w:color="auto" w:fill="FFFFFF"/>
        </w:rPr>
        <w:t xml:space="preserve"> Case of Espinoza Gonzáles v. Peru. Preliminary objections, merits, reparations and costs.</w:t>
      </w:r>
      <w:r w:rsidRPr="00104227">
        <w:rPr>
          <w:rStyle w:val="Textoennegrita"/>
          <w:b w:val="0"/>
          <w:color w:val="000000"/>
          <w:sz w:val="16"/>
          <w:szCs w:val="16"/>
          <w:shd w:val="clear" w:color="auto" w:fill="FFFFFF"/>
        </w:rPr>
        <w:t xml:space="preserve"> Judgment of November 20, 2014. Series C No. 289, para. 264, and </w:t>
      </w:r>
      <w:r w:rsidRPr="00104227">
        <w:rPr>
          <w:rStyle w:val="Textoennegrita"/>
          <w:b w:val="0"/>
          <w:i/>
          <w:color w:val="000000"/>
          <w:sz w:val="16"/>
          <w:szCs w:val="16"/>
          <w:shd w:val="clear" w:color="auto" w:fill="FFFFFF"/>
        </w:rPr>
        <w:t>Case of Herrera Espinoza et al. v. Ecuador. Preliminary objections, merits, reparations and costs.</w:t>
      </w:r>
      <w:r w:rsidRPr="00104227">
        <w:rPr>
          <w:rStyle w:val="Textoennegrita"/>
          <w:b w:val="0"/>
          <w:color w:val="000000"/>
          <w:sz w:val="16"/>
          <w:szCs w:val="16"/>
          <w:shd w:val="clear" w:color="auto" w:fill="FFFFFF"/>
        </w:rPr>
        <w:t xml:space="preserve"> Judgment of September 1, 2016. Series C No. 316, para. 99.</w:t>
      </w:r>
    </w:p>
  </w:footnote>
  <w:footnote w:id="469">
    <w:p w14:paraId="0E545E5E" w14:textId="514E4194" w:rsidR="0080773E" w:rsidRPr="00104227" w:rsidRDefault="0080773E" w:rsidP="00B673AA">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Case of Bayarri v. Argentina. Preliminary objection, merits, reparations and costs. </w:t>
      </w:r>
      <w:r w:rsidRPr="00104227">
        <w:rPr>
          <w:lang w:val="en-US"/>
        </w:rPr>
        <w:t xml:space="preserve">Judgment of October 30, 2008. Series C No. 187, para. 92, and </w:t>
      </w:r>
      <w:r w:rsidRPr="00104227">
        <w:rPr>
          <w:bCs/>
          <w:i/>
          <w:lang w:val="en-US"/>
        </w:rPr>
        <w:t xml:space="preserve">Case of Herrera Espinoza et al. v. Ecuador. Preliminary objections, merits, reparations and costs. </w:t>
      </w:r>
      <w:r w:rsidRPr="00104227">
        <w:rPr>
          <w:bCs/>
          <w:lang w:val="en-US"/>
        </w:rPr>
        <w:t>Judgment of September 1, 2016. Series C No. 316, para. 99</w:t>
      </w:r>
      <w:r w:rsidRPr="00104227">
        <w:rPr>
          <w:rStyle w:val="Textoennegrita"/>
          <w:b w:val="0"/>
          <w:color w:val="000000"/>
          <w:shd w:val="clear" w:color="auto" w:fill="FFFFFF"/>
          <w:lang w:val="en-US"/>
        </w:rPr>
        <w:t>.</w:t>
      </w:r>
    </w:p>
  </w:footnote>
  <w:footnote w:id="470">
    <w:p w14:paraId="55B5002F" w14:textId="406F057F" w:rsidR="0080773E" w:rsidRPr="00104227" w:rsidRDefault="0080773E" w:rsidP="002755DF">
      <w:pPr>
        <w:pStyle w:val="Textonotapie"/>
        <w:tabs>
          <w:tab w:val="left" w:pos="426"/>
        </w:tabs>
        <w:contextualSpacing/>
        <w:rPr>
          <w:lang w:val="en-US"/>
        </w:rPr>
      </w:pPr>
      <w:r w:rsidRPr="00104227">
        <w:rPr>
          <w:rStyle w:val="Refdenotaalpie"/>
          <w:rFonts w:eastAsiaTheme="majorEastAsia"/>
          <w:lang w:val="en-US"/>
        </w:rPr>
        <w:footnoteRef/>
      </w:r>
      <w:r w:rsidRPr="00104227">
        <w:rPr>
          <w:lang w:val="en-US"/>
        </w:rPr>
        <w:t xml:space="preserve"> </w:t>
      </w:r>
      <w:r w:rsidRPr="00104227">
        <w:rPr>
          <w:lang w:val="en-US"/>
        </w:rPr>
        <w:tab/>
      </w:r>
      <w:r w:rsidRPr="00104227">
        <w:rPr>
          <w:i/>
          <w:lang w:val="en-US"/>
        </w:rPr>
        <w:t>Cf. Case of Bámaca Velásquez v. Guatemala. Reparations and costs.</w:t>
      </w:r>
      <w:r w:rsidRPr="00104227">
        <w:rPr>
          <w:lang w:val="en-US"/>
        </w:rPr>
        <w:t xml:space="preserve"> Judgment of February 22, 2002. Series C No. 91, para. 43, and </w:t>
      </w:r>
      <w:r w:rsidRPr="00104227">
        <w:rPr>
          <w:rStyle w:val="Textoennegrita"/>
          <w:b w:val="0"/>
          <w:i/>
          <w:color w:val="000000"/>
          <w:shd w:val="clear" w:color="auto" w:fill="FFFFFF"/>
          <w:lang w:val="en-US"/>
        </w:rPr>
        <w:t xml:space="preserve">Case of López Soto et al. v. Venezuela. Merits, reparations and costs. </w:t>
      </w:r>
      <w:r w:rsidRPr="00104227">
        <w:rPr>
          <w:rStyle w:val="Textoennegrita"/>
          <w:b w:val="0"/>
          <w:color w:val="000000"/>
          <w:shd w:val="clear" w:color="auto" w:fill="FFFFFF"/>
          <w:lang w:val="en-US"/>
        </w:rPr>
        <w:t>Judgment of September 26, 2018. Series C No. 362,</w:t>
      </w:r>
      <w:r w:rsidRPr="00104227">
        <w:rPr>
          <w:lang w:val="en-US"/>
        </w:rPr>
        <w:t xml:space="preserve"> para.</w:t>
      </w:r>
      <w:r w:rsidRPr="00104227">
        <w:rPr>
          <w:rStyle w:val="Textoennegrita"/>
          <w:b w:val="0"/>
          <w:color w:val="000000"/>
          <w:shd w:val="clear" w:color="auto" w:fill="FFFFFF"/>
          <w:lang w:val="en-US"/>
        </w:rPr>
        <w:t xml:space="preserve"> 359</w:t>
      </w:r>
      <w:r w:rsidRPr="00104227">
        <w:rPr>
          <w:rStyle w:val="Textoennegrita"/>
          <w:b w:val="0"/>
          <w:lang w:val="en-US"/>
        </w:rPr>
        <w:t>.</w:t>
      </w:r>
    </w:p>
  </w:footnote>
  <w:footnote w:id="471">
    <w:p w14:paraId="1BD4E238" w14:textId="6B2A7DA4" w:rsidR="0080773E" w:rsidRPr="00104227" w:rsidRDefault="0080773E" w:rsidP="002755DF">
      <w:pPr>
        <w:pStyle w:val="Textonotapie"/>
        <w:tabs>
          <w:tab w:val="left" w:pos="426"/>
          <w:tab w:val="left" w:pos="709"/>
        </w:tabs>
        <w:contextualSpacing/>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the “Street Children” (Villagrán Morales et al.) v. Guatemala</w:t>
      </w:r>
      <w:r w:rsidRPr="00104227">
        <w:rPr>
          <w:lang w:val="en-US"/>
        </w:rPr>
        <w:t xml:space="preserve">. </w:t>
      </w:r>
      <w:r w:rsidRPr="00104227">
        <w:rPr>
          <w:i/>
          <w:lang w:val="en-US"/>
        </w:rPr>
        <w:t xml:space="preserve">Reparations and costs. </w:t>
      </w:r>
      <w:r w:rsidRPr="00104227">
        <w:rPr>
          <w:lang w:val="en-US"/>
        </w:rPr>
        <w:t>Judgment of May 26, 2001. Series C No. 77</w:t>
      </w:r>
      <w:r w:rsidRPr="00104227">
        <w:rPr>
          <w:i/>
          <w:lang w:val="en-US"/>
        </w:rPr>
        <w:t xml:space="preserve">, </w:t>
      </w:r>
      <w:r w:rsidRPr="00104227">
        <w:rPr>
          <w:lang w:val="en-US"/>
        </w:rPr>
        <w:t xml:space="preserve">para. 84, and </w:t>
      </w:r>
      <w:r w:rsidRPr="00104227">
        <w:rPr>
          <w:rStyle w:val="Textoennegrita"/>
          <w:b w:val="0"/>
          <w:i/>
          <w:color w:val="000000"/>
          <w:shd w:val="clear" w:color="auto" w:fill="FFFFFF"/>
          <w:lang w:val="en-US"/>
        </w:rPr>
        <w:t xml:space="preserve">Case of López Soto et al. v. Venezuela. Merits, reparations and costs. </w:t>
      </w:r>
      <w:r w:rsidRPr="00104227">
        <w:rPr>
          <w:rStyle w:val="Textoennegrita"/>
          <w:b w:val="0"/>
          <w:color w:val="000000"/>
          <w:shd w:val="clear" w:color="auto" w:fill="FFFFFF"/>
          <w:lang w:val="en-US"/>
        </w:rPr>
        <w:t>Judgment of September 26, 2018. Series C No. 362,</w:t>
      </w:r>
      <w:r w:rsidRPr="00104227">
        <w:rPr>
          <w:lang w:val="en-US"/>
        </w:rPr>
        <w:t xml:space="preserve"> para.</w:t>
      </w:r>
      <w:r w:rsidRPr="00104227">
        <w:rPr>
          <w:rStyle w:val="Textoennegrita"/>
          <w:b w:val="0"/>
          <w:color w:val="000000"/>
          <w:shd w:val="clear" w:color="auto" w:fill="FFFFFF"/>
          <w:lang w:val="en-US"/>
        </w:rPr>
        <w:t xml:space="preserve"> 372</w:t>
      </w:r>
      <w:r w:rsidRPr="00104227">
        <w:rPr>
          <w:lang w:val="en-US"/>
        </w:rPr>
        <w:t>.</w:t>
      </w:r>
    </w:p>
    <w:p w14:paraId="3E16B4C7" w14:textId="77777777" w:rsidR="0080773E" w:rsidRPr="00104227" w:rsidRDefault="0080773E" w:rsidP="002755DF">
      <w:pPr>
        <w:pStyle w:val="Textonotapie"/>
        <w:tabs>
          <w:tab w:val="left" w:pos="426"/>
          <w:tab w:val="left" w:pos="709"/>
        </w:tabs>
        <w:contextualSpacing/>
        <w:rPr>
          <w:lang w:val="en-US"/>
        </w:rPr>
      </w:pPr>
    </w:p>
  </w:footnote>
  <w:footnote w:id="472">
    <w:p w14:paraId="50F73B56" w14:textId="55BD3910" w:rsidR="0080773E" w:rsidRPr="00104227" w:rsidRDefault="0080773E" w:rsidP="002755DF">
      <w:pPr>
        <w:pStyle w:val="Textonotapie"/>
        <w:tabs>
          <w:tab w:val="left" w:pos="426"/>
        </w:tabs>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 xml:space="preserve">Cf. Case of Garrido and Baigorria v. Argentina. Reparations and costs. </w:t>
      </w:r>
      <w:r w:rsidRPr="00104227">
        <w:rPr>
          <w:lang w:val="en-US"/>
        </w:rPr>
        <w:t>Judgment of August 27, 1998. Series C No. 39, para. 82,</w:t>
      </w:r>
      <w:r w:rsidRPr="00104227">
        <w:rPr>
          <w:bCs/>
          <w:i/>
          <w:lang w:val="en-US"/>
        </w:rPr>
        <w:t xml:space="preserve"> and </w:t>
      </w:r>
      <w:r w:rsidRPr="00104227">
        <w:rPr>
          <w:rStyle w:val="Textoennegrita"/>
          <w:b w:val="0"/>
          <w:i/>
          <w:color w:val="000000"/>
          <w:shd w:val="clear" w:color="auto" w:fill="FFFFFF"/>
          <w:lang w:val="en-US"/>
        </w:rPr>
        <w:t xml:space="preserve">Case of López Soto et al. v. Venezuela. Merits, reparations and costs. </w:t>
      </w:r>
      <w:r w:rsidRPr="00104227">
        <w:rPr>
          <w:rStyle w:val="Textoennegrita"/>
          <w:b w:val="0"/>
          <w:color w:val="000000"/>
          <w:shd w:val="clear" w:color="auto" w:fill="FFFFFF"/>
          <w:lang w:val="en-US"/>
        </w:rPr>
        <w:t>Judgment of September 26, 2018. Series C No. 362,</w:t>
      </w:r>
      <w:r w:rsidRPr="00104227">
        <w:rPr>
          <w:lang w:val="en-US"/>
        </w:rPr>
        <w:t xml:space="preserve"> para.</w:t>
      </w:r>
      <w:r w:rsidRPr="00104227">
        <w:rPr>
          <w:rStyle w:val="Textoennegrita"/>
          <w:b w:val="0"/>
          <w:color w:val="000000"/>
          <w:shd w:val="clear" w:color="auto" w:fill="FFFFFF"/>
          <w:lang w:val="en-US"/>
        </w:rPr>
        <w:t xml:space="preserve"> 381</w:t>
      </w:r>
      <w:r w:rsidRPr="00104227">
        <w:rPr>
          <w:lang w:val="en-US"/>
        </w:rPr>
        <w:t>.</w:t>
      </w:r>
      <w:r w:rsidRPr="00104227" w:rsidDel="004A6237">
        <w:rPr>
          <w:lang w:val="en-US"/>
        </w:rPr>
        <w:t xml:space="preserve"> </w:t>
      </w:r>
    </w:p>
  </w:footnote>
  <w:footnote w:id="473">
    <w:p w14:paraId="37AC268A" w14:textId="415F7D6E" w:rsidR="0080773E" w:rsidRPr="00104227" w:rsidRDefault="0080773E" w:rsidP="00E60072">
      <w:pPr>
        <w:pStyle w:val="Textonotapie"/>
        <w:tabs>
          <w:tab w:val="left" w:pos="426"/>
        </w:tabs>
        <w:spacing w:before="120" w:after="120"/>
        <w:rPr>
          <w:lang w:val="en-US"/>
        </w:rPr>
      </w:pPr>
      <w:r w:rsidRPr="00104227">
        <w:rPr>
          <w:rStyle w:val="Refdenotaalpie"/>
          <w:lang w:val="en-US"/>
        </w:rPr>
        <w:footnoteRef/>
      </w:r>
      <w:r w:rsidRPr="00104227">
        <w:rPr>
          <w:lang w:val="en-US"/>
        </w:rPr>
        <w:t xml:space="preserve"> </w:t>
      </w:r>
      <w:r w:rsidRPr="00104227">
        <w:rPr>
          <w:lang w:val="en-US"/>
        </w:rPr>
        <w:tab/>
      </w:r>
      <w:r w:rsidRPr="00104227">
        <w:rPr>
          <w:i/>
          <w:lang w:val="en-US"/>
        </w:rPr>
        <w:t>Cf. Case of Garrido and Baigorria v. Argentina. Reparations and costs</w:t>
      </w:r>
      <w:r w:rsidRPr="00104227">
        <w:rPr>
          <w:lang w:val="en-US"/>
        </w:rPr>
        <w:t xml:space="preserve">. Judgment of August 27, 1998. Series C No. 39, para. 82, and </w:t>
      </w:r>
      <w:r w:rsidRPr="00104227">
        <w:rPr>
          <w:rStyle w:val="Textoennegrita"/>
          <w:b w:val="0"/>
          <w:i/>
          <w:color w:val="000000"/>
          <w:shd w:val="clear" w:color="auto" w:fill="FFFFFF"/>
          <w:lang w:val="en-US"/>
        </w:rPr>
        <w:t xml:space="preserve">Case of López Soto et al. v. Venezuela. Merits, reparations and costs. </w:t>
      </w:r>
      <w:r w:rsidRPr="00104227">
        <w:rPr>
          <w:rStyle w:val="Textoennegrita"/>
          <w:b w:val="0"/>
          <w:color w:val="000000"/>
          <w:shd w:val="clear" w:color="auto" w:fill="FFFFFF"/>
          <w:lang w:val="en-US"/>
        </w:rPr>
        <w:t>Judgment of September 26, 2018. Series C No. 362,</w:t>
      </w:r>
      <w:r w:rsidRPr="00104227">
        <w:rPr>
          <w:lang w:val="en-US"/>
        </w:rPr>
        <w:t xml:space="preserve"> para.</w:t>
      </w:r>
      <w:r w:rsidRPr="00104227">
        <w:rPr>
          <w:rStyle w:val="Textoennegrita"/>
          <w:b w:val="0"/>
          <w:color w:val="000000"/>
          <w:shd w:val="clear" w:color="auto" w:fill="FFFFFF"/>
          <w:lang w:val="en-US"/>
        </w:rPr>
        <w:t xml:space="preserve"> 381</w:t>
      </w:r>
      <w:r w:rsidRPr="00104227">
        <w:rPr>
          <w:lang w:val="en-US"/>
        </w:rPr>
        <w:t>.</w:t>
      </w:r>
      <w:r w:rsidRPr="00104227" w:rsidDel="004A6237">
        <w:rPr>
          <w:lang w:val="en-US"/>
        </w:rPr>
        <w:t xml:space="preserve"> </w:t>
      </w:r>
    </w:p>
  </w:footnote>
  <w:footnote w:id="474">
    <w:p w14:paraId="624F3CDE" w14:textId="661C9FE1" w:rsidR="0080773E" w:rsidRPr="0080773E" w:rsidRDefault="0080773E" w:rsidP="00E60072">
      <w:pPr>
        <w:pStyle w:val="Textonotapie"/>
        <w:tabs>
          <w:tab w:val="left" w:pos="426"/>
        </w:tabs>
        <w:spacing w:before="120" w:after="120"/>
        <w:rPr>
          <w:lang w:val="es-CR" w:bidi="en-US"/>
        </w:rPr>
      </w:pPr>
      <w:r w:rsidRPr="00104227">
        <w:rPr>
          <w:rStyle w:val="Refdenotaalpie"/>
          <w:lang w:val="en-US"/>
        </w:rPr>
        <w:footnoteRef/>
      </w:r>
      <w:r w:rsidRPr="00104227">
        <w:rPr>
          <w:lang w:val="en-US"/>
        </w:rPr>
        <w:tab/>
      </w:r>
      <w:r w:rsidRPr="00104227">
        <w:rPr>
          <w:i/>
          <w:lang w:val="en-US"/>
        </w:rPr>
        <w:t>Case of Garrido and Baigorria v. Argentina. Reparations and costs</w:t>
      </w:r>
      <w:r w:rsidRPr="00104227">
        <w:rPr>
          <w:lang w:val="en-US"/>
        </w:rPr>
        <w:t xml:space="preserve">. Judgment of August 27, 1998. Series C No. 39, para. 79, and </w:t>
      </w:r>
      <w:r w:rsidRPr="00104227">
        <w:rPr>
          <w:rStyle w:val="Textoennegrita"/>
          <w:b w:val="0"/>
          <w:i/>
          <w:color w:val="000000"/>
          <w:shd w:val="clear" w:color="auto" w:fill="FFFFFF"/>
          <w:lang w:val="en-US"/>
        </w:rPr>
        <w:t>Case of Coc Max et al. (Xamán Massacre)  v. Guatemala. Merits, reparations and costs.</w:t>
      </w:r>
      <w:r w:rsidRPr="00104227">
        <w:rPr>
          <w:rStyle w:val="Textoennegrita"/>
          <w:b w:val="0"/>
          <w:color w:val="000000"/>
          <w:shd w:val="clear" w:color="auto" w:fill="FFFFFF"/>
          <w:lang w:val="en-US"/>
        </w:rPr>
        <w:t xml:space="preserve"> Judgment of August 22, 2018. </w:t>
      </w:r>
      <w:r w:rsidRPr="0080773E">
        <w:rPr>
          <w:rStyle w:val="Textoennegrita"/>
          <w:b w:val="0"/>
          <w:color w:val="000000"/>
          <w:shd w:val="clear" w:color="auto" w:fill="FFFFFF"/>
          <w:lang w:val="es-CR"/>
        </w:rPr>
        <w:t>Series C No. 356, para.</w:t>
      </w:r>
      <w:r w:rsidRPr="0080773E">
        <w:rPr>
          <w:lang w:val="es-CR"/>
        </w:rPr>
        <w:t xml:space="preserve"> 194.</w:t>
      </w:r>
      <w:r w:rsidRPr="0080773E" w:rsidDel="004A6237">
        <w:rPr>
          <w:lang w:val="es-CR"/>
        </w:rPr>
        <w:t xml:space="preserve"> </w:t>
      </w:r>
    </w:p>
  </w:footnote>
  <w:footnote w:id="475">
    <w:p w14:paraId="14DF0E75" w14:textId="495E6A74" w:rsidR="0080773E" w:rsidRPr="0080773E" w:rsidRDefault="0080773E" w:rsidP="00E60072">
      <w:pPr>
        <w:pStyle w:val="Textonotapie"/>
        <w:tabs>
          <w:tab w:val="left" w:pos="426"/>
        </w:tabs>
        <w:spacing w:before="120" w:after="120"/>
        <w:rPr>
          <w:lang w:val="es-CR"/>
        </w:rPr>
      </w:pPr>
      <w:r w:rsidRPr="00104227">
        <w:rPr>
          <w:rStyle w:val="Refdenotaalpie"/>
          <w:lang w:val="en-US"/>
        </w:rPr>
        <w:footnoteRef/>
      </w:r>
      <w:r w:rsidRPr="0080773E">
        <w:rPr>
          <w:lang w:val="es-CR"/>
        </w:rPr>
        <w:t xml:space="preserve"> </w:t>
      </w:r>
      <w:r w:rsidRPr="0080773E">
        <w:rPr>
          <w:lang w:val="es-CR"/>
        </w:rPr>
        <w:tab/>
      </w:r>
      <w:r w:rsidRPr="0080773E">
        <w:rPr>
          <w:i/>
          <w:lang w:val="es-CR"/>
        </w:rPr>
        <w:t xml:space="preserve">Cf. Case of Chaparro Álvarez and Lapo Íñiguez v. Ecuador. </w:t>
      </w:r>
      <w:r w:rsidRPr="00104227">
        <w:rPr>
          <w:i/>
          <w:lang w:val="en-US"/>
        </w:rPr>
        <w:t>Preliminary objections, merits, reparations and costs</w:t>
      </w:r>
      <w:r w:rsidRPr="00104227">
        <w:rPr>
          <w:lang w:val="en-US"/>
        </w:rPr>
        <w:t xml:space="preserve">. Judgment of November 21, 2007. Series C No. 170, para. 277, and </w:t>
      </w:r>
      <w:r w:rsidRPr="00104227">
        <w:rPr>
          <w:rStyle w:val="Textoennegrita"/>
          <w:b w:val="0"/>
          <w:i/>
          <w:color w:val="000000"/>
          <w:shd w:val="clear" w:color="auto" w:fill="FFFFFF"/>
          <w:lang w:val="en-US"/>
        </w:rPr>
        <w:t xml:space="preserve">Case of López Soto et al. v. Venezuela. Merits, reparations and costs. </w:t>
      </w:r>
      <w:r w:rsidRPr="00104227">
        <w:rPr>
          <w:rStyle w:val="Textoennegrita"/>
          <w:b w:val="0"/>
          <w:color w:val="000000"/>
          <w:shd w:val="clear" w:color="auto" w:fill="FFFFFF"/>
          <w:lang w:val="en-US"/>
        </w:rPr>
        <w:t>Judgment of September 26, 2018. Series C No. 362,</w:t>
      </w:r>
      <w:r w:rsidRPr="00104227">
        <w:rPr>
          <w:lang w:val="en-US"/>
        </w:rPr>
        <w:t xml:space="preserve"> para.</w:t>
      </w:r>
      <w:r w:rsidRPr="00104227">
        <w:rPr>
          <w:rStyle w:val="Textoennegrita"/>
          <w:b w:val="0"/>
          <w:color w:val="000000"/>
          <w:shd w:val="clear" w:color="auto" w:fill="FFFFFF"/>
          <w:lang w:val="en-US"/>
        </w:rPr>
        <w:t xml:space="preserve"> </w:t>
      </w:r>
      <w:r w:rsidRPr="0080773E">
        <w:rPr>
          <w:rStyle w:val="Textoennegrita"/>
          <w:b w:val="0"/>
          <w:color w:val="000000"/>
          <w:shd w:val="clear" w:color="auto" w:fill="FFFFFF"/>
          <w:lang w:val="es-CR"/>
        </w:rPr>
        <w:t>382</w:t>
      </w:r>
      <w:r w:rsidRPr="0080773E">
        <w:rPr>
          <w:lang w:val="es-CR"/>
        </w:rPr>
        <w:t>.</w:t>
      </w:r>
      <w:r w:rsidRPr="0080773E" w:rsidDel="004A6237">
        <w:rPr>
          <w:lang w:val="es-CR"/>
        </w:rPr>
        <w:t xml:space="preserve"> </w:t>
      </w:r>
    </w:p>
  </w:footnote>
  <w:footnote w:id="476">
    <w:p w14:paraId="4C3A5101" w14:textId="46EAEDBF" w:rsidR="0080773E" w:rsidRPr="000A14CF" w:rsidRDefault="0080773E" w:rsidP="002755DF">
      <w:pPr>
        <w:pStyle w:val="Textonotapie"/>
        <w:tabs>
          <w:tab w:val="left" w:pos="426"/>
        </w:tabs>
        <w:rPr>
          <w:lang w:val="en-US"/>
        </w:rPr>
      </w:pPr>
      <w:r w:rsidRPr="00104227">
        <w:rPr>
          <w:rStyle w:val="Refdenotaalpie"/>
          <w:lang w:val="en-US"/>
        </w:rPr>
        <w:footnoteRef/>
      </w:r>
      <w:r w:rsidRPr="0080773E">
        <w:rPr>
          <w:lang w:val="es-CR"/>
        </w:rPr>
        <w:t xml:space="preserve"> </w:t>
      </w:r>
      <w:r w:rsidRPr="0080773E">
        <w:rPr>
          <w:lang w:val="es-CR"/>
        </w:rPr>
        <w:tab/>
      </w:r>
      <w:r w:rsidRPr="0080773E">
        <w:rPr>
          <w:i/>
          <w:lang w:val="es-CR"/>
        </w:rPr>
        <w:t xml:space="preserve">Cf. Case of Ibsen Cárdenas e Ibsen Peña v. Bolivia. </w:t>
      </w:r>
      <w:r w:rsidRPr="00104227">
        <w:rPr>
          <w:i/>
          <w:lang w:val="en-US"/>
        </w:rPr>
        <w:t xml:space="preserve">Merits, reparations and costs. </w:t>
      </w:r>
      <w:r w:rsidRPr="00104227">
        <w:rPr>
          <w:lang w:val="en-US"/>
        </w:rPr>
        <w:t xml:space="preserve">Judgment of September 1, 2010. Series C No. 217, para. 29, and </w:t>
      </w:r>
      <w:r w:rsidRPr="00104227">
        <w:rPr>
          <w:rStyle w:val="Textoennegrita"/>
          <w:b w:val="0"/>
          <w:i/>
          <w:color w:val="000000"/>
          <w:shd w:val="clear" w:color="auto" w:fill="FFFFFF"/>
          <w:lang w:val="en-US"/>
        </w:rPr>
        <w:t xml:space="preserve">Case of López Soto et al. v. Venezuela. Merits, reparations and costs. </w:t>
      </w:r>
      <w:r w:rsidRPr="00104227">
        <w:rPr>
          <w:rStyle w:val="Textoennegrita"/>
          <w:b w:val="0"/>
          <w:color w:val="000000"/>
          <w:shd w:val="clear" w:color="auto" w:fill="FFFFFF"/>
          <w:lang w:val="en-US"/>
        </w:rPr>
        <w:t>Judgment of September 26, 2018. Series C No. 362,</w:t>
      </w:r>
      <w:r w:rsidRPr="00104227">
        <w:rPr>
          <w:lang w:val="en-US"/>
        </w:rPr>
        <w:t xml:space="preserve"> para.</w:t>
      </w:r>
      <w:r w:rsidRPr="00104227">
        <w:rPr>
          <w:rStyle w:val="Textoennegrita"/>
          <w:b w:val="0"/>
          <w:color w:val="000000"/>
          <w:shd w:val="clear" w:color="auto" w:fill="FFFFFF"/>
          <w:lang w:val="en-US"/>
        </w:rPr>
        <w:t xml:space="preserve"> 385.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F3EAA" w14:textId="57BF802A" w:rsidR="0080773E" w:rsidRPr="00E8324F" w:rsidRDefault="0080773E">
    <w:pPr>
      <w:pStyle w:val="Encabezado"/>
      <w:jc w:val="center"/>
      <w:rPr>
        <w:rFonts w:ascii="Verdana" w:hAnsi="Verdana"/>
      </w:rPr>
    </w:pPr>
    <w:r w:rsidRPr="00E8324F">
      <w:rPr>
        <w:rFonts w:ascii="Verdana" w:hAnsi="Verdana"/>
      </w:rPr>
      <w:t xml:space="preserve">- </w:t>
    </w:r>
    <w:sdt>
      <w:sdtPr>
        <w:rPr>
          <w:rFonts w:ascii="Verdana" w:hAnsi="Verdana"/>
        </w:rPr>
        <w:id w:val="-2033103133"/>
        <w:docPartObj>
          <w:docPartGallery w:val="Page Numbers (Top of Page)"/>
          <w:docPartUnique/>
        </w:docPartObj>
      </w:sdtPr>
      <w:sdtEndPr>
        <w:rPr>
          <w:noProof/>
        </w:rPr>
      </w:sdtEndPr>
      <w:sdtContent>
        <w:r w:rsidRPr="00E8324F">
          <w:rPr>
            <w:rFonts w:ascii="Verdana" w:hAnsi="Verdana"/>
          </w:rPr>
          <w:fldChar w:fldCharType="begin"/>
        </w:r>
        <w:r w:rsidRPr="00E8324F">
          <w:rPr>
            <w:rFonts w:ascii="Verdana" w:hAnsi="Verdana"/>
          </w:rPr>
          <w:instrText xml:space="preserve"> PAGE   \* MERGEFORMAT </w:instrText>
        </w:r>
        <w:r w:rsidRPr="00E8324F">
          <w:rPr>
            <w:rFonts w:ascii="Verdana" w:hAnsi="Verdana"/>
          </w:rPr>
          <w:fldChar w:fldCharType="separate"/>
        </w:r>
        <w:r>
          <w:rPr>
            <w:rFonts w:ascii="Verdana" w:hAnsi="Verdana"/>
            <w:noProof/>
          </w:rPr>
          <w:t>53</w:t>
        </w:r>
        <w:r w:rsidRPr="00E8324F">
          <w:rPr>
            <w:rFonts w:ascii="Verdana" w:hAnsi="Verdana"/>
            <w:noProof/>
          </w:rPr>
          <w:fldChar w:fldCharType="end"/>
        </w:r>
        <w:r w:rsidRPr="00E8324F">
          <w:rPr>
            <w:rFonts w:ascii="Verdana" w:hAnsi="Verdana"/>
            <w:noProof/>
          </w:rPr>
          <w:t xml:space="preserve"> -</w:t>
        </w:r>
      </w:sdtContent>
    </w:sdt>
  </w:p>
  <w:p w14:paraId="75B6703C" w14:textId="77777777" w:rsidR="0080773E" w:rsidRPr="00CE0DB3" w:rsidRDefault="0080773E" w:rsidP="003D67E7">
    <w:pPr>
      <w:pStyle w:val="Encabezad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4CC1BE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3F6B66"/>
    <w:multiLevelType w:val="hybridMultilevel"/>
    <w:tmpl w:val="3104AD0E"/>
    <w:lvl w:ilvl="0" w:tplc="1C64AA6A">
      <w:start w:val="1"/>
      <w:numFmt w:val="decimal"/>
      <w:lvlText w:val="%1."/>
      <w:lvlJc w:val="left"/>
      <w:pPr>
        <w:ind w:left="5130" w:hanging="360"/>
      </w:pPr>
      <w:rPr>
        <w:rFonts w:hint="default"/>
        <w:b w:val="0"/>
        <w:i w:val="0"/>
        <w:strike w:val="0"/>
        <w:color w:val="auto"/>
        <w:sz w:val="20"/>
        <w:szCs w:val="20"/>
        <w:vertAlign w:val="baseline"/>
        <w:lang w:val="es-CR"/>
      </w:rPr>
    </w:lvl>
    <w:lvl w:ilvl="1" w:tplc="140A0019">
      <w:start w:val="1"/>
      <w:numFmt w:val="lowerLetter"/>
      <w:pStyle w:val="Prrafodelista"/>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4015052"/>
    <w:multiLevelType w:val="hybridMultilevel"/>
    <w:tmpl w:val="81FC0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138BD"/>
    <w:multiLevelType w:val="hybridMultilevel"/>
    <w:tmpl w:val="F71A2ECA"/>
    <w:lvl w:ilvl="0" w:tplc="73ECA4F6">
      <w:start w:val="1"/>
      <w:numFmt w:val="decimal"/>
      <w:pStyle w:val="PrrafodeSentencia"/>
      <w:lvlText w:val="%1."/>
      <w:lvlJc w:val="left"/>
      <w:pPr>
        <w:ind w:left="360" w:hanging="360"/>
      </w:pPr>
      <w:rPr>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MS Gothic"/>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MS Gothic"/>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MS Gothic"/>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MS Gothic"/>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MS Gothic"/>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MS Gothic"/>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MS Gothic"/>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MS Gothic"/>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MS Gothic"/>
        <w:b/>
        <w:bCs/>
        <w:color w:val="000000"/>
        <w:position w:val="0"/>
        <w:sz w:val="22"/>
        <w:szCs w:val="22"/>
        <w:u w:val="single" w:color="000000"/>
        <w:lang w:val="es-ES_tradnl"/>
      </w:rPr>
    </w:lvl>
  </w:abstractNum>
  <w:abstractNum w:abstractNumId="5"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6"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7" w15:restartNumberingAfterBreak="0">
    <w:nsid w:val="0AE94EC7"/>
    <w:multiLevelType w:val="hybridMultilevel"/>
    <w:tmpl w:val="EE0C0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MS Gothic"/>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MS Gothic"/>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MS Gothic"/>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MS Gothic"/>
        <w:color w:val="000000"/>
        <w:position w:val="0"/>
        <w:sz w:val="22"/>
        <w:szCs w:val="22"/>
        <w:u w:color="000000"/>
        <w:lang w:val="es-ES_tradnl"/>
      </w:rPr>
    </w:lvl>
  </w:abstractNum>
  <w:abstractNum w:abstractNumId="9" w15:restartNumberingAfterBreak="0">
    <w:nsid w:val="124A42DA"/>
    <w:multiLevelType w:val="hybridMultilevel"/>
    <w:tmpl w:val="AB9C1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MS Gothic"/>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MS Gothic"/>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MS Gothic"/>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MS Gothic"/>
        <w:color w:val="000000"/>
        <w:position w:val="0"/>
        <w:sz w:val="22"/>
        <w:szCs w:val="22"/>
        <w:u w:color="000000"/>
        <w:lang w:val="es-ES_tradnl"/>
      </w:rPr>
    </w:lvl>
  </w:abstractNum>
  <w:abstractNum w:abstractNumId="11"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MS Gothic"/>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12"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MS Gothic"/>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MS Gothic"/>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MS Gothic"/>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MS Gothic"/>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MS Gothic"/>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MS Gothic"/>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MS Gothic"/>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MS Gothic"/>
        <w:b/>
        <w:bCs/>
        <w:color w:val="000000"/>
        <w:position w:val="0"/>
        <w:sz w:val="22"/>
        <w:szCs w:val="22"/>
        <w:u w:color="000000"/>
        <w:lang w:val="es-ES_tradnl"/>
      </w:rPr>
    </w:lvl>
  </w:abstractNum>
  <w:abstractNum w:abstractNumId="13"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14"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15"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16"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17"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18"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19" w15:restartNumberingAfterBreak="0">
    <w:nsid w:val="24162BAE"/>
    <w:multiLevelType w:val="hybridMultilevel"/>
    <w:tmpl w:val="92EE2C6E"/>
    <w:lvl w:ilvl="0" w:tplc="BB88D876">
      <w:start w:val="1"/>
      <w:numFmt w:val="decimal"/>
      <w:lvlText w:val="%1."/>
      <w:lvlJc w:val="left"/>
      <w:pPr>
        <w:ind w:left="1068" w:hanging="360"/>
      </w:pPr>
      <w:rPr>
        <w:b w:val="0"/>
        <w:i w:val="0"/>
      </w:rPr>
    </w:lvl>
    <w:lvl w:ilvl="1" w:tplc="040A0019">
      <w:start w:val="1"/>
      <w:numFmt w:val="lowerLetter"/>
      <w:lvlText w:val="%2."/>
      <w:lvlJc w:val="left"/>
      <w:pPr>
        <w:ind w:left="1788" w:hanging="360"/>
      </w:pPr>
    </w:lvl>
    <w:lvl w:ilvl="2" w:tplc="040A001B">
      <w:start w:val="1"/>
      <w:numFmt w:val="lowerRoman"/>
      <w:lvlText w:val="%3."/>
      <w:lvlJc w:val="right"/>
      <w:pPr>
        <w:ind w:left="2508" w:hanging="180"/>
      </w:pPr>
    </w:lvl>
    <w:lvl w:ilvl="3" w:tplc="040A000F">
      <w:start w:val="1"/>
      <w:numFmt w:val="decimal"/>
      <w:lvlText w:val="%4."/>
      <w:lvlJc w:val="left"/>
      <w:pPr>
        <w:ind w:left="3228" w:hanging="360"/>
      </w:pPr>
    </w:lvl>
    <w:lvl w:ilvl="4" w:tplc="040A0019">
      <w:start w:val="1"/>
      <w:numFmt w:val="lowerLetter"/>
      <w:lvlText w:val="%5."/>
      <w:lvlJc w:val="left"/>
      <w:pPr>
        <w:ind w:left="3948" w:hanging="360"/>
      </w:pPr>
    </w:lvl>
    <w:lvl w:ilvl="5" w:tplc="040A001B">
      <w:start w:val="1"/>
      <w:numFmt w:val="lowerRoman"/>
      <w:lvlText w:val="%6."/>
      <w:lvlJc w:val="right"/>
      <w:pPr>
        <w:ind w:left="4668" w:hanging="180"/>
      </w:pPr>
    </w:lvl>
    <w:lvl w:ilvl="6" w:tplc="040A000F">
      <w:start w:val="1"/>
      <w:numFmt w:val="decimal"/>
      <w:lvlText w:val="%7."/>
      <w:lvlJc w:val="left"/>
      <w:pPr>
        <w:ind w:left="5388" w:hanging="360"/>
      </w:pPr>
    </w:lvl>
    <w:lvl w:ilvl="7" w:tplc="040A0019">
      <w:start w:val="1"/>
      <w:numFmt w:val="lowerLetter"/>
      <w:lvlText w:val="%8."/>
      <w:lvlJc w:val="left"/>
      <w:pPr>
        <w:ind w:left="6108" w:hanging="360"/>
      </w:pPr>
    </w:lvl>
    <w:lvl w:ilvl="8" w:tplc="040A001B">
      <w:start w:val="1"/>
      <w:numFmt w:val="lowerRoman"/>
      <w:lvlText w:val="%9."/>
      <w:lvlJc w:val="right"/>
      <w:pPr>
        <w:ind w:left="6828" w:hanging="180"/>
      </w:pPr>
    </w:lvl>
  </w:abstractNum>
  <w:abstractNum w:abstractNumId="20"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21"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22" w15:restartNumberingAfterBreak="0">
    <w:nsid w:val="274D7633"/>
    <w:multiLevelType w:val="hybridMultilevel"/>
    <w:tmpl w:val="B74C8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C9099D"/>
    <w:multiLevelType w:val="hybridMultilevel"/>
    <w:tmpl w:val="180E4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25" w15:restartNumberingAfterBreak="0">
    <w:nsid w:val="2C172959"/>
    <w:multiLevelType w:val="hybridMultilevel"/>
    <w:tmpl w:val="CB38D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2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2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29" w15:restartNumberingAfterBreak="0">
    <w:nsid w:val="31EA2E11"/>
    <w:multiLevelType w:val="hybridMultilevel"/>
    <w:tmpl w:val="EEAC0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31" w15:restartNumberingAfterBreak="0">
    <w:nsid w:val="32EA71D9"/>
    <w:multiLevelType w:val="hybridMultilevel"/>
    <w:tmpl w:val="C57A75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3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MS Gothic"/>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3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3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3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MS Gothic"/>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MS Gothic"/>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MS Gothic"/>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MS Gothic"/>
        <w:color w:val="000000"/>
        <w:position w:val="0"/>
        <w:sz w:val="22"/>
        <w:szCs w:val="22"/>
        <w:u w:color="000000"/>
        <w:lang w:val="es-ES_tradnl"/>
      </w:rPr>
    </w:lvl>
  </w:abstractNum>
  <w:abstractNum w:abstractNumId="3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38" w15:restartNumberingAfterBreak="0">
    <w:nsid w:val="3E285041"/>
    <w:multiLevelType w:val="hybridMultilevel"/>
    <w:tmpl w:val="37284C20"/>
    <w:lvl w:ilvl="0" w:tplc="FB4086BE">
      <w:start w:val="1"/>
      <w:numFmt w:val="lowerRoman"/>
      <w:pStyle w:val="Ttulo5"/>
      <w:lvlText w:val="(%1)"/>
      <w:lvlJc w:val="left"/>
      <w:pPr>
        <w:ind w:left="1776"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3" w15:restartNumberingAfterBreak="0">
    <w:nsid w:val="45121129"/>
    <w:multiLevelType w:val="hybridMultilevel"/>
    <w:tmpl w:val="8D98ABEE"/>
    <w:lvl w:ilvl="0" w:tplc="0A24846C">
      <w:start w:val="1"/>
      <w:numFmt w:val="upperLetter"/>
      <w:pStyle w:val="Ttulo2"/>
      <w:lvlText w:val="%1."/>
      <w:lvlJc w:val="left"/>
      <w:pPr>
        <w:ind w:left="4050" w:hanging="720"/>
      </w:pPr>
      <w:rPr>
        <w:rFonts w:hint="default"/>
      </w:r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5" w15:restartNumberingAfterBreak="0">
    <w:nsid w:val="47D03FBF"/>
    <w:multiLevelType w:val="hybridMultilevel"/>
    <w:tmpl w:val="7AF8012E"/>
    <w:lvl w:ilvl="0" w:tplc="8AB82478">
      <w:start w:val="1"/>
      <w:numFmt w:val="decimal"/>
      <w:lvlText w:val="%1."/>
      <w:lvlJc w:val="left"/>
      <w:pPr>
        <w:ind w:left="1068" w:hanging="360"/>
      </w:pPr>
      <w:rPr>
        <w:i w:val="0"/>
      </w:rPr>
    </w:lvl>
    <w:lvl w:ilvl="1" w:tplc="040A0019">
      <w:start w:val="1"/>
      <w:numFmt w:val="lowerLetter"/>
      <w:lvlText w:val="%2."/>
      <w:lvlJc w:val="left"/>
      <w:pPr>
        <w:ind w:left="1788" w:hanging="360"/>
      </w:pPr>
    </w:lvl>
    <w:lvl w:ilvl="2" w:tplc="040A001B">
      <w:start w:val="1"/>
      <w:numFmt w:val="lowerRoman"/>
      <w:lvlText w:val="%3."/>
      <w:lvlJc w:val="right"/>
      <w:pPr>
        <w:ind w:left="2508" w:hanging="180"/>
      </w:pPr>
    </w:lvl>
    <w:lvl w:ilvl="3" w:tplc="040A000F">
      <w:start w:val="1"/>
      <w:numFmt w:val="decimal"/>
      <w:lvlText w:val="%4."/>
      <w:lvlJc w:val="left"/>
      <w:pPr>
        <w:ind w:left="3228" w:hanging="360"/>
      </w:pPr>
    </w:lvl>
    <w:lvl w:ilvl="4" w:tplc="040A0019">
      <w:start w:val="1"/>
      <w:numFmt w:val="lowerLetter"/>
      <w:lvlText w:val="%5."/>
      <w:lvlJc w:val="left"/>
      <w:pPr>
        <w:ind w:left="3948" w:hanging="360"/>
      </w:pPr>
    </w:lvl>
    <w:lvl w:ilvl="5" w:tplc="040A001B">
      <w:start w:val="1"/>
      <w:numFmt w:val="lowerRoman"/>
      <w:lvlText w:val="%6."/>
      <w:lvlJc w:val="right"/>
      <w:pPr>
        <w:ind w:left="4668" w:hanging="180"/>
      </w:pPr>
    </w:lvl>
    <w:lvl w:ilvl="6" w:tplc="040A000F">
      <w:start w:val="1"/>
      <w:numFmt w:val="decimal"/>
      <w:lvlText w:val="%7."/>
      <w:lvlJc w:val="left"/>
      <w:pPr>
        <w:ind w:left="5388" w:hanging="360"/>
      </w:pPr>
    </w:lvl>
    <w:lvl w:ilvl="7" w:tplc="040A0019">
      <w:start w:val="1"/>
      <w:numFmt w:val="lowerLetter"/>
      <w:lvlText w:val="%8."/>
      <w:lvlJc w:val="left"/>
      <w:pPr>
        <w:ind w:left="6108" w:hanging="360"/>
      </w:pPr>
    </w:lvl>
    <w:lvl w:ilvl="8" w:tplc="040A001B">
      <w:start w:val="1"/>
      <w:numFmt w:val="lowerRoman"/>
      <w:lvlText w:val="%9."/>
      <w:lvlJc w:val="right"/>
      <w:pPr>
        <w:ind w:left="6828" w:hanging="180"/>
      </w:pPr>
    </w:lvl>
  </w:abstractNum>
  <w:abstractNum w:abstractNumId="4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7" w15:restartNumberingAfterBreak="0">
    <w:nsid w:val="490D42A9"/>
    <w:multiLevelType w:val="hybridMultilevel"/>
    <w:tmpl w:val="225C8D94"/>
    <w:styleLink w:val="Estiloimportado3"/>
    <w:lvl w:ilvl="0" w:tplc="D75EE324">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AA2DB0">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6E90BA">
      <w:start w:val="1"/>
      <w:numFmt w:val="lowerLetter"/>
      <w:lvlText w:val="%3)"/>
      <w:lvlJc w:val="left"/>
      <w:pPr>
        <w:ind w:left="1620"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C70BA">
      <w:start w:val="1"/>
      <w:numFmt w:val="decimal"/>
      <w:lvlText w:val="%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3869E0">
      <w:start w:val="1"/>
      <w:numFmt w:val="lowerLetter"/>
      <w:lvlText w:val="%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A5562">
      <w:start w:val="1"/>
      <w:numFmt w:val="lowerRoman"/>
      <w:lvlText w:val="%6."/>
      <w:lvlJc w:val="left"/>
      <w:pPr>
        <w:ind w:left="3600" w:hanging="5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ED8CA">
      <w:start w:val="1"/>
      <w:numFmt w:val="decimal"/>
      <w:lvlText w:val="%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64CEDC">
      <w:start w:val="1"/>
      <w:numFmt w:val="lowerLetter"/>
      <w:lvlText w:val="%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98B4BE">
      <w:start w:val="1"/>
      <w:numFmt w:val="lowerRoman"/>
      <w:lvlText w:val="%9."/>
      <w:lvlJc w:val="left"/>
      <w:pPr>
        <w:ind w:left="5760" w:hanging="5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9" w15:restartNumberingAfterBreak="0">
    <w:nsid w:val="4C5469CD"/>
    <w:multiLevelType w:val="hybridMultilevel"/>
    <w:tmpl w:val="D7FED382"/>
    <w:lvl w:ilvl="0" w:tplc="264CB88E">
      <w:start w:val="1"/>
      <w:numFmt w:val="decimal"/>
      <w:lvlText w:val="%1."/>
      <w:lvlJc w:val="left"/>
      <w:pPr>
        <w:ind w:left="720" w:hanging="360"/>
      </w:pPr>
      <w:rPr>
        <w:rFonts w:ascii="Verdana" w:eastAsia="Calibri" w:hAnsi="Verdana" w:cs="Times New Roman" w:hint="default"/>
        <w:b w:val="0"/>
        <w:i w:val="0"/>
        <w:strike w:val="0"/>
        <w:color w:val="auto"/>
        <w:sz w:val="20"/>
        <w:szCs w:val="20"/>
      </w:rPr>
    </w:lvl>
    <w:lvl w:ilvl="1" w:tplc="9B3E45F0">
      <w:start w:val="1"/>
      <w:numFmt w:val="lowerLetter"/>
      <w:pStyle w:val="Estilo4"/>
      <w:lvlText w:val="%2)"/>
      <w:lvlJc w:val="left"/>
      <w:pPr>
        <w:ind w:left="1440" w:hanging="360"/>
      </w:pPr>
      <w:rPr>
        <w:rFonts w:ascii="Verdana" w:hAnsi="Verdana" w:cs="Times New Roman" w:hint="default"/>
        <w:b w:val="0"/>
        <w:i/>
        <w:caps w:val="0"/>
        <w:strike w:val="0"/>
        <w:dstrike w:val="0"/>
        <w:vanish w:val="0"/>
        <w:color w:val="auto"/>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MS Gothic"/>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MS Gothic"/>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MS Gothic"/>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MS Gothic"/>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MS Gothic"/>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MS Gothic"/>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MS Gothic"/>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MS Gothic"/>
        <w:b/>
        <w:bCs/>
        <w:color w:val="000000"/>
        <w:position w:val="0"/>
        <w:sz w:val="22"/>
        <w:szCs w:val="22"/>
        <w:u w:val="single" w:color="000000"/>
        <w:lang w:val="es-ES_tradnl"/>
      </w:rPr>
    </w:lvl>
  </w:abstractNum>
  <w:abstractNum w:abstractNumId="5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MS Gothic"/>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MS Gothic"/>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val="single" w:color="000000"/>
        <w:lang w:val="es-ES_tradnl"/>
      </w:rPr>
    </w:lvl>
  </w:abstractNum>
  <w:abstractNum w:abstractNumId="52" w15:restartNumberingAfterBreak="0">
    <w:nsid w:val="4EB07BE0"/>
    <w:multiLevelType w:val="hybridMultilevel"/>
    <w:tmpl w:val="6AACCD76"/>
    <w:lvl w:ilvl="0" w:tplc="C494F088">
      <w:start w:val="1"/>
      <w:numFmt w:val="lowerLetter"/>
      <w:lvlText w:val="%1)"/>
      <w:lvlJc w:val="left"/>
      <w:pPr>
        <w:ind w:left="927" w:hanging="360"/>
      </w:pPr>
      <w:rPr>
        <w:rFonts w:ascii="Verdana" w:hAnsi="Verdana" w:hint="default"/>
        <w:b w:val="0"/>
        <w:sz w:val="20"/>
        <w:szCs w:val="20"/>
      </w:rPr>
    </w:lvl>
    <w:lvl w:ilvl="1" w:tplc="6D32B44C">
      <w:start w:val="1"/>
      <w:numFmt w:val="upperLetter"/>
      <w:lvlText w:val="%2."/>
      <w:lvlJc w:val="left"/>
      <w:pPr>
        <w:ind w:left="1647" w:hanging="360"/>
      </w:pPr>
      <w:rPr>
        <w:rFonts w:hint="default"/>
        <w:b/>
        <w:i/>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5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5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5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57" w15:restartNumberingAfterBreak="0">
    <w:nsid w:val="55625203"/>
    <w:multiLevelType w:val="hybridMultilevel"/>
    <w:tmpl w:val="C4103100"/>
    <w:lvl w:ilvl="0" w:tplc="0409000F">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58" w15:restartNumberingAfterBreak="0">
    <w:nsid w:val="564F678E"/>
    <w:multiLevelType w:val="hybridMultilevel"/>
    <w:tmpl w:val="BEC662A0"/>
    <w:lvl w:ilvl="0" w:tplc="140A0019">
      <w:start w:val="1"/>
      <w:numFmt w:val="lowerLetter"/>
      <w:lvlText w:val="%1."/>
      <w:lvlJc w:val="left"/>
      <w:pPr>
        <w:ind w:left="1068" w:hanging="360"/>
      </w:pPr>
    </w:lvl>
    <w:lvl w:ilvl="1" w:tplc="04090019" w:tentative="1">
      <w:start w:val="1"/>
      <w:numFmt w:val="lowerLetter"/>
      <w:lvlText w:val="%2."/>
      <w:lvlJc w:val="left"/>
      <w:pPr>
        <w:ind w:left="708" w:hanging="360"/>
      </w:pPr>
    </w:lvl>
    <w:lvl w:ilvl="2" w:tplc="0409001B" w:tentative="1">
      <w:start w:val="1"/>
      <w:numFmt w:val="lowerRoman"/>
      <w:lvlText w:val="%3."/>
      <w:lvlJc w:val="right"/>
      <w:pPr>
        <w:ind w:left="1428" w:hanging="180"/>
      </w:pPr>
    </w:lvl>
    <w:lvl w:ilvl="3" w:tplc="0409000F" w:tentative="1">
      <w:start w:val="1"/>
      <w:numFmt w:val="decimal"/>
      <w:lvlText w:val="%4."/>
      <w:lvlJc w:val="left"/>
      <w:pPr>
        <w:ind w:left="2148" w:hanging="360"/>
      </w:pPr>
    </w:lvl>
    <w:lvl w:ilvl="4" w:tplc="04090019" w:tentative="1">
      <w:start w:val="1"/>
      <w:numFmt w:val="lowerLetter"/>
      <w:lvlText w:val="%5."/>
      <w:lvlJc w:val="left"/>
      <w:pPr>
        <w:ind w:left="2868" w:hanging="360"/>
      </w:pPr>
    </w:lvl>
    <w:lvl w:ilvl="5" w:tplc="0409001B" w:tentative="1">
      <w:start w:val="1"/>
      <w:numFmt w:val="lowerRoman"/>
      <w:lvlText w:val="%6."/>
      <w:lvlJc w:val="right"/>
      <w:pPr>
        <w:ind w:left="3588" w:hanging="180"/>
      </w:pPr>
    </w:lvl>
    <w:lvl w:ilvl="6" w:tplc="0409000F" w:tentative="1">
      <w:start w:val="1"/>
      <w:numFmt w:val="decimal"/>
      <w:lvlText w:val="%7."/>
      <w:lvlJc w:val="left"/>
      <w:pPr>
        <w:ind w:left="4308" w:hanging="360"/>
      </w:pPr>
    </w:lvl>
    <w:lvl w:ilvl="7" w:tplc="04090019" w:tentative="1">
      <w:start w:val="1"/>
      <w:numFmt w:val="lowerLetter"/>
      <w:lvlText w:val="%8."/>
      <w:lvlJc w:val="left"/>
      <w:pPr>
        <w:ind w:left="5028" w:hanging="360"/>
      </w:pPr>
    </w:lvl>
    <w:lvl w:ilvl="8" w:tplc="0409001B" w:tentative="1">
      <w:start w:val="1"/>
      <w:numFmt w:val="lowerRoman"/>
      <w:lvlText w:val="%9."/>
      <w:lvlJc w:val="right"/>
      <w:pPr>
        <w:ind w:left="5748" w:hanging="180"/>
      </w:pPr>
    </w:lvl>
  </w:abstractNum>
  <w:abstractNum w:abstractNumId="59" w15:restartNumberingAfterBreak="0">
    <w:nsid w:val="587A0C69"/>
    <w:multiLevelType w:val="hybridMultilevel"/>
    <w:tmpl w:val="945AB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9833995"/>
    <w:multiLevelType w:val="hybridMultilevel"/>
    <w:tmpl w:val="722C6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val="single" w:color="000000"/>
        <w:lang w:val="es-ES_tradnl"/>
      </w:rPr>
    </w:lvl>
  </w:abstractNum>
  <w:abstractNum w:abstractNumId="6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6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6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65" w15:restartNumberingAfterBreak="0">
    <w:nsid w:val="681E0A8B"/>
    <w:multiLevelType w:val="hybridMultilevel"/>
    <w:tmpl w:val="4ECEC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MS Gothic"/>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MS Gothic"/>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MS Gothic"/>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MS Gothic"/>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MS Gothic"/>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MS Gothic"/>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MS Gothic"/>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MS Gothic"/>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MS Gothic"/>
        <w:b/>
        <w:bCs/>
        <w:color w:val="000000"/>
        <w:position w:val="0"/>
        <w:sz w:val="22"/>
        <w:szCs w:val="22"/>
        <w:u w:val="single" w:color="000000"/>
        <w:lang w:val="es-ES_tradnl"/>
      </w:rPr>
    </w:lvl>
  </w:abstractNum>
  <w:abstractNum w:abstractNumId="6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68" w15:restartNumberingAfterBreak="0">
    <w:nsid w:val="705A6F5C"/>
    <w:multiLevelType w:val="hybridMultilevel"/>
    <w:tmpl w:val="554EE8C4"/>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70" w15:restartNumberingAfterBreak="0">
    <w:nsid w:val="74622069"/>
    <w:multiLevelType w:val="hybridMultilevel"/>
    <w:tmpl w:val="AA9211E4"/>
    <w:lvl w:ilvl="0" w:tplc="D120483C">
      <w:start w:val="1"/>
      <w:numFmt w:val="lowerRoman"/>
      <w:lvlText w:val="%1)"/>
      <w:lvlJc w:val="left"/>
      <w:pPr>
        <w:ind w:left="1287" w:hanging="72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15:restartNumberingAfterBreak="0">
    <w:nsid w:val="74D903B1"/>
    <w:multiLevelType w:val="hybridMultilevel"/>
    <w:tmpl w:val="BEC662A0"/>
    <w:lvl w:ilvl="0" w:tplc="140A0019">
      <w:start w:val="1"/>
      <w:numFmt w:val="lowerLetter"/>
      <w:lvlText w:val="%1."/>
      <w:lvlJc w:val="left"/>
      <w:pPr>
        <w:ind w:left="1068" w:hanging="360"/>
      </w:pPr>
    </w:lvl>
    <w:lvl w:ilvl="1" w:tplc="04090019" w:tentative="1">
      <w:start w:val="1"/>
      <w:numFmt w:val="lowerLetter"/>
      <w:lvlText w:val="%2."/>
      <w:lvlJc w:val="left"/>
      <w:pPr>
        <w:ind w:left="708" w:hanging="360"/>
      </w:pPr>
    </w:lvl>
    <w:lvl w:ilvl="2" w:tplc="0409001B" w:tentative="1">
      <w:start w:val="1"/>
      <w:numFmt w:val="lowerRoman"/>
      <w:lvlText w:val="%3."/>
      <w:lvlJc w:val="right"/>
      <w:pPr>
        <w:ind w:left="1428" w:hanging="180"/>
      </w:pPr>
    </w:lvl>
    <w:lvl w:ilvl="3" w:tplc="0409000F" w:tentative="1">
      <w:start w:val="1"/>
      <w:numFmt w:val="decimal"/>
      <w:lvlText w:val="%4."/>
      <w:lvlJc w:val="left"/>
      <w:pPr>
        <w:ind w:left="2148" w:hanging="360"/>
      </w:pPr>
    </w:lvl>
    <w:lvl w:ilvl="4" w:tplc="04090019" w:tentative="1">
      <w:start w:val="1"/>
      <w:numFmt w:val="lowerLetter"/>
      <w:lvlText w:val="%5."/>
      <w:lvlJc w:val="left"/>
      <w:pPr>
        <w:ind w:left="2868" w:hanging="360"/>
      </w:pPr>
    </w:lvl>
    <w:lvl w:ilvl="5" w:tplc="0409001B" w:tentative="1">
      <w:start w:val="1"/>
      <w:numFmt w:val="lowerRoman"/>
      <w:lvlText w:val="%6."/>
      <w:lvlJc w:val="right"/>
      <w:pPr>
        <w:ind w:left="3588" w:hanging="180"/>
      </w:pPr>
    </w:lvl>
    <w:lvl w:ilvl="6" w:tplc="0409000F" w:tentative="1">
      <w:start w:val="1"/>
      <w:numFmt w:val="decimal"/>
      <w:lvlText w:val="%7."/>
      <w:lvlJc w:val="left"/>
      <w:pPr>
        <w:ind w:left="4308" w:hanging="360"/>
      </w:pPr>
    </w:lvl>
    <w:lvl w:ilvl="7" w:tplc="04090019" w:tentative="1">
      <w:start w:val="1"/>
      <w:numFmt w:val="lowerLetter"/>
      <w:lvlText w:val="%8."/>
      <w:lvlJc w:val="left"/>
      <w:pPr>
        <w:ind w:left="5028" w:hanging="360"/>
      </w:pPr>
    </w:lvl>
    <w:lvl w:ilvl="8" w:tplc="0409001B" w:tentative="1">
      <w:start w:val="1"/>
      <w:numFmt w:val="lowerRoman"/>
      <w:lvlText w:val="%9."/>
      <w:lvlJc w:val="right"/>
      <w:pPr>
        <w:ind w:left="5748" w:hanging="180"/>
      </w:pPr>
    </w:lvl>
  </w:abstractNum>
  <w:abstractNum w:abstractNumId="7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7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MS Gothic"/>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MS Gothic"/>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MS Gothic"/>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MS Gothic"/>
        <w:b/>
        <w:bCs/>
        <w:color w:val="000000"/>
        <w:position w:val="0"/>
        <w:sz w:val="22"/>
        <w:szCs w:val="22"/>
        <w:u w:color="000000"/>
        <w:lang w:val="es-ES_tradnl"/>
      </w:rPr>
    </w:lvl>
  </w:abstractNum>
  <w:abstractNum w:abstractNumId="7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75" w15:restartNumberingAfterBreak="0">
    <w:nsid w:val="79DE05C3"/>
    <w:multiLevelType w:val="hybridMultilevel"/>
    <w:tmpl w:val="E9DC34A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6" w15:restartNumberingAfterBreak="0">
    <w:nsid w:val="7ABA0CC4"/>
    <w:multiLevelType w:val="hybridMultilevel"/>
    <w:tmpl w:val="81FC0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7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79" w15:restartNumberingAfterBreak="0">
    <w:nsid w:val="7CE64D32"/>
    <w:multiLevelType w:val="hybridMultilevel"/>
    <w:tmpl w:val="F84AD750"/>
    <w:lvl w:ilvl="0" w:tplc="93EAE40E">
      <w:start w:val="1"/>
      <w:numFmt w:val="decimal"/>
      <w:lvlText w:val="%1."/>
      <w:lvlJc w:val="left"/>
      <w:pPr>
        <w:tabs>
          <w:tab w:val="num" w:pos="11028"/>
        </w:tabs>
      </w:pPr>
      <w:rPr>
        <w:rFonts w:ascii="Verdana" w:eastAsia="Times New Roman" w:hAnsi="Verdana"/>
        <w:b w:val="0"/>
        <w:bCs w:val="0"/>
        <w:i w:val="0"/>
        <w:iCs w:val="0"/>
        <w:strike w:val="0"/>
        <w:color w:val="auto"/>
        <w:sz w:val="20"/>
        <w:szCs w:val="20"/>
        <w:lang w:val="es-MX"/>
      </w:rPr>
    </w:lvl>
    <w:lvl w:ilvl="1" w:tplc="140A0019">
      <w:start w:val="1"/>
      <w:numFmt w:val="lowerLetter"/>
      <w:lvlText w:val="%2)"/>
      <w:lvlJc w:val="left"/>
      <w:pPr>
        <w:tabs>
          <w:tab w:val="num" w:pos="1080"/>
        </w:tabs>
        <w:ind w:left="1080" w:hanging="360"/>
      </w:pPr>
      <w:rPr>
        <w:rFonts w:hint="default"/>
        <w:b w:val="0"/>
        <w:bCs w:val="0"/>
        <w:i w:val="0"/>
        <w:iCs w:val="0"/>
        <w:sz w:val="20"/>
        <w:szCs w:val="20"/>
      </w:rPr>
    </w:lvl>
    <w:lvl w:ilvl="2" w:tplc="140A001B">
      <w:start w:val="1"/>
      <w:numFmt w:val="lowerRoman"/>
      <w:lvlText w:val="%3."/>
      <w:lvlJc w:val="right"/>
      <w:pPr>
        <w:tabs>
          <w:tab w:val="num" w:pos="1530"/>
        </w:tabs>
        <w:ind w:left="1530" w:hanging="180"/>
      </w:pPr>
      <w:rPr>
        <w:b w:val="0"/>
        <w:strike w:val="0"/>
      </w:rPr>
    </w:lvl>
    <w:lvl w:ilvl="3" w:tplc="140A000F">
      <w:start w:val="1"/>
      <w:numFmt w:val="decimal"/>
      <w:lvlText w:val="%4."/>
      <w:lvlJc w:val="left"/>
      <w:pPr>
        <w:tabs>
          <w:tab w:val="num" w:pos="2880"/>
        </w:tabs>
        <w:ind w:left="2880" w:hanging="360"/>
      </w:pPr>
    </w:lvl>
    <w:lvl w:ilvl="4" w:tplc="140A0019">
      <w:start w:val="1"/>
      <w:numFmt w:val="lowerLetter"/>
      <w:pStyle w:val="Ttulo6"/>
      <w:lvlText w:val="%5."/>
      <w:lvlJc w:val="left"/>
      <w:pPr>
        <w:tabs>
          <w:tab w:val="num" w:pos="3600"/>
        </w:tabs>
        <w:ind w:left="3600" w:hanging="360"/>
      </w:pPr>
    </w:lvl>
    <w:lvl w:ilvl="5" w:tplc="140A001B">
      <w:start w:val="1"/>
      <w:numFmt w:val="lowerRoman"/>
      <w:lvlText w:val="%6."/>
      <w:lvlJc w:val="right"/>
      <w:pPr>
        <w:tabs>
          <w:tab w:val="num" w:pos="4320"/>
        </w:tabs>
        <w:ind w:left="4320" w:hanging="180"/>
      </w:pPr>
    </w:lvl>
    <w:lvl w:ilvl="6" w:tplc="140A000F">
      <w:start w:val="1"/>
      <w:numFmt w:val="decimal"/>
      <w:lvlText w:val="%7."/>
      <w:lvlJc w:val="left"/>
      <w:pPr>
        <w:tabs>
          <w:tab w:val="num" w:pos="5040"/>
        </w:tabs>
        <w:ind w:left="5040" w:hanging="360"/>
      </w:pPr>
    </w:lvl>
    <w:lvl w:ilvl="7" w:tplc="140A0019">
      <w:start w:val="1"/>
      <w:numFmt w:val="lowerLetter"/>
      <w:lvlText w:val="%8."/>
      <w:lvlJc w:val="left"/>
      <w:pPr>
        <w:tabs>
          <w:tab w:val="num" w:pos="5760"/>
        </w:tabs>
        <w:ind w:left="5760" w:hanging="360"/>
      </w:pPr>
    </w:lvl>
    <w:lvl w:ilvl="8" w:tplc="140A001B">
      <w:start w:val="1"/>
      <w:numFmt w:val="lowerRoman"/>
      <w:lvlText w:val="%9."/>
      <w:lvlJc w:val="right"/>
      <w:pPr>
        <w:tabs>
          <w:tab w:val="num" w:pos="6480"/>
        </w:tabs>
        <w:ind w:left="6480" w:hanging="180"/>
      </w:pPr>
    </w:lvl>
  </w:abstractNum>
  <w:abstractNum w:abstractNumId="80" w15:restartNumberingAfterBreak="0">
    <w:nsid w:val="7D9337DB"/>
    <w:multiLevelType w:val="hybridMultilevel"/>
    <w:tmpl w:val="1FF08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8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val="single" w:color="000000"/>
        <w:lang w:val="es-ES_tradnl"/>
      </w:rPr>
    </w:lvl>
  </w:abstractNum>
  <w:num w:numId="1">
    <w:abstractNumId w:val="1"/>
  </w:num>
  <w:num w:numId="2">
    <w:abstractNumId w:val="79"/>
  </w:num>
  <w:num w:numId="3">
    <w:abstractNumId w:val="52"/>
  </w:num>
  <w:num w:numId="4">
    <w:abstractNumId w:val="8"/>
  </w:num>
  <w:num w:numId="5">
    <w:abstractNumId w:val="10"/>
  </w:num>
  <w:num w:numId="6">
    <w:abstractNumId w:val="73"/>
  </w:num>
  <w:num w:numId="7">
    <w:abstractNumId w:val="30"/>
  </w:num>
  <w:num w:numId="8">
    <w:abstractNumId w:val="64"/>
  </w:num>
  <w:num w:numId="9">
    <w:abstractNumId w:val="36"/>
  </w:num>
  <w:num w:numId="10">
    <w:abstractNumId w:val="11"/>
  </w:num>
  <w:num w:numId="11">
    <w:abstractNumId w:val="24"/>
  </w:num>
  <w:num w:numId="12">
    <w:abstractNumId w:val="56"/>
  </w:num>
  <w:num w:numId="13">
    <w:abstractNumId w:val="4"/>
  </w:num>
  <w:num w:numId="14">
    <w:abstractNumId w:val="50"/>
  </w:num>
  <w:num w:numId="15">
    <w:abstractNumId w:val="51"/>
  </w:num>
  <w:num w:numId="16">
    <w:abstractNumId w:val="61"/>
  </w:num>
  <w:num w:numId="17">
    <w:abstractNumId w:val="5"/>
  </w:num>
  <w:num w:numId="18">
    <w:abstractNumId w:val="6"/>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20"/>
  </w:num>
  <w:num w:numId="27">
    <w:abstractNumId w:val="21"/>
  </w:num>
  <w:num w:numId="28">
    <w:abstractNumId w:val="26"/>
  </w:num>
  <w:num w:numId="29">
    <w:abstractNumId w:val="27"/>
  </w:num>
  <w:num w:numId="30">
    <w:abstractNumId w:val="32"/>
  </w:num>
  <w:num w:numId="31">
    <w:abstractNumId w:val="33"/>
  </w:num>
  <w:num w:numId="32">
    <w:abstractNumId w:val="34"/>
  </w:num>
  <w:num w:numId="33">
    <w:abstractNumId w:val="35"/>
  </w:num>
  <w:num w:numId="34">
    <w:abstractNumId w:val="37"/>
  </w:num>
  <w:num w:numId="35">
    <w:abstractNumId w:val="39"/>
  </w:num>
  <w:num w:numId="36">
    <w:abstractNumId w:val="40"/>
  </w:num>
  <w:num w:numId="37">
    <w:abstractNumId w:val="41"/>
  </w:num>
  <w:num w:numId="38">
    <w:abstractNumId w:val="42"/>
  </w:num>
  <w:num w:numId="39">
    <w:abstractNumId w:val="44"/>
  </w:num>
  <w:num w:numId="40">
    <w:abstractNumId w:val="46"/>
  </w:num>
  <w:num w:numId="41">
    <w:abstractNumId w:val="48"/>
  </w:num>
  <w:num w:numId="42">
    <w:abstractNumId w:val="53"/>
  </w:num>
  <w:num w:numId="43">
    <w:abstractNumId w:val="54"/>
  </w:num>
  <w:num w:numId="44">
    <w:abstractNumId w:val="63"/>
  </w:num>
  <w:num w:numId="45">
    <w:abstractNumId w:val="66"/>
  </w:num>
  <w:num w:numId="46">
    <w:abstractNumId w:val="67"/>
  </w:num>
  <w:num w:numId="47">
    <w:abstractNumId w:val="69"/>
  </w:num>
  <w:num w:numId="48">
    <w:abstractNumId w:val="72"/>
  </w:num>
  <w:num w:numId="49">
    <w:abstractNumId w:val="74"/>
  </w:num>
  <w:num w:numId="50">
    <w:abstractNumId w:val="77"/>
  </w:num>
  <w:num w:numId="51">
    <w:abstractNumId w:val="78"/>
  </w:num>
  <w:num w:numId="52">
    <w:abstractNumId w:val="81"/>
  </w:num>
  <w:num w:numId="53">
    <w:abstractNumId w:val="82"/>
  </w:num>
  <w:num w:numId="54">
    <w:abstractNumId w:val="28"/>
  </w:num>
  <w:num w:numId="55">
    <w:abstractNumId w:val="55"/>
  </w:num>
  <w:num w:numId="56">
    <w:abstractNumId w:val="62"/>
  </w:num>
  <w:num w:numId="57">
    <w:abstractNumId w:val="68"/>
  </w:num>
  <w:num w:numId="58">
    <w:abstractNumId w:val="3"/>
  </w:num>
  <w:num w:numId="59">
    <w:abstractNumId w:val="38"/>
  </w:num>
  <w:num w:numId="60">
    <w:abstractNumId w:val="43"/>
    <w:lvlOverride w:ilvl="0">
      <w:startOverride w:val="1"/>
    </w:lvlOverride>
  </w:num>
  <w:num w:numId="61">
    <w:abstractNumId w:val="57"/>
  </w:num>
  <w:num w:numId="62">
    <w:abstractNumId w:val="80"/>
  </w:num>
  <w:num w:numId="63">
    <w:abstractNumId w:val="31"/>
  </w:num>
  <w:num w:numId="64">
    <w:abstractNumId w:val="43"/>
    <w:lvlOverride w:ilvl="0">
      <w:startOverride w:val="1"/>
    </w:lvlOverride>
  </w:num>
  <w:num w:numId="65">
    <w:abstractNumId w:val="49"/>
  </w:num>
  <w:num w:numId="66">
    <w:abstractNumId w:val="47"/>
  </w:num>
  <w:num w:numId="67">
    <w:abstractNumId w:val="43"/>
    <w:lvlOverride w:ilvl="0">
      <w:startOverride w:val="1"/>
    </w:lvlOverride>
  </w:num>
  <w:num w:numId="68">
    <w:abstractNumId w:val="75"/>
  </w:num>
  <w:num w:numId="69">
    <w:abstractNumId w:val="25"/>
  </w:num>
  <w:num w:numId="70">
    <w:abstractNumId w:val="65"/>
  </w:num>
  <w:num w:numId="71">
    <w:abstractNumId w:val="59"/>
  </w:num>
  <w:num w:numId="72">
    <w:abstractNumId w:val="7"/>
  </w:num>
  <w:num w:numId="73">
    <w:abstractNumId w:val="23"/>
  </w:num>
  <w:num w:numId="74">
    <w:abstractNumId w:val="60"/>
  </w:num>
  <w:num w:numId="75">
    <w:abstractNumId w:val="22"/>
  </w:num>
  <w:num w:numId="76">
    <w:abstractNumId w:val="2"/>
  </w:num>
  <w:num w:numId="77">
    <w:abstractNumId w:val="76"/>
  </w:num>
  <w:num w:numId="78">
    <w:abstractNumId w:val="9"/>
  </w:num>
  <w:num w:numId="79">
    <w:abstractNumId w:val="29"/>
  </w:num>
  <w:num w:numId="80">
    <w:abstractNumId w:val="43"/>
    <w:lvlOverride w:ilvl="0">
      <w:startOverride w:val="1"/>
    </w:lvlOverride>
  </w:num>
  <w:num w:numId="81">
    <w:abstractNumId w:val="70"/>
  </w:num>
  <w:num w:numId="82">
    <w:abstractNumId w:val="0"/>
  </w:num>
  <w:num w:numId="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3"/>
  </w:num>
  <w:num w:numId="86">
    <w:abstractNumId w:val="43"/>
    <w:lvlOverride w:ilvl="0">
      <w:startOverride w:val="1"/>
    </w:lvlOverride>
  </w:num>
  <w:num w:numId="87">
    <w:abstractNumId w:val="71"/>
  </w:num>
  <w:num w:numId="88">
    <w:abstractNumId w:val="58"/>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3"/>
    <w:lvlOverride w:ilvl="0">
      <w:startOverride w:val="1"/>
    </w:lvlOverride>
  </w:num>
  <w:num w:numId="91">
    <w:abstractNumId w:val="43"/>
    <w:lvlOverride w:ilvl="0">
      <w:startOverride w:val="1"/>
    </w:lvlOverride>
  </w:num>
  <w:num w:numId="92">
    <w:abstractNumId w:val="43"/>
    <w:lvlOverride w:ilvl="0">
      <w:startOverride w:val="1"/>
    </w:lvlOverride>
  </w:num>
  <w:num w:numId="93">
    <w:abstractNumId w:val="43"/>
    <w:lvlOverride w:ilvl="0">
      <w:startOverride w:val="1"/>
    </w:lvlOverride>
  </w:num>
  <w:num w:numId="94">
    <w:abstractNumId w:val="3"/>
  </w:num>
  <w:num w:numId="95">
    <w:abstractNumId w:val="3"/>
  </w:num>
  <w:num w:numId="96">
    <w:abstractNumId w:val="3"/>
  </w:num>
  <w:num w:numId="97">
    <w:abstractNumId w:val="3"/>
  </w:num>
  <w:num w:numId="98">
    <w:abstractNumId w:val="43"/>
    <w:lvlOverride w:ilvl="0">
      <w:startOverride w:val="1"/>
    </w:lvlOverride>
  </w:num>
  <w:num w:numId="99">
    <w:abstractNumId w:val="68"/>
  </w:num>
  <w:num w:numId="100">
    <w:abstractNumId w:val="68"/>
  </w:num>
  <w:num w:numId="101">
    <w:abstractNumId w:val="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476"/>
    <w:rsid w:val="00000FFC"/>
    <w:rsid w:val="000012BB"/>
    <w:rsid w:val="00001B8F"/>
    <w:rsid w:val="000029A3"/>
    <w:rsid w:val="00002B4D"/>
    <w:rsid w:val="00003174"/>
    <w:rsid w:val="00005F25"/>
    <w:rsid w:val="0000649D"/>
    <w:rsid w:val="00006B74"/>
    <w:rsid w:val="000072FD"/>
    <w:rsid w:val="000102CF"/>
    <w:rsid w:val="00010E37"/>
    <w:rsid w:val="0001164E"/>
    <w:rsid w:val="000117B2"/>
    <w:rsid w:val="00011CE8"/>
    <w:rsid w:val="00012A25"/>
    <w:rsid w:val="0001346E"/>
    <w:rsid w:val="0001401F"/>
    <w:rsid w:val="00015517"/>
    <w:rsid w:val="00015ED1"/>
    <w:rsid w:val="00016F96"/>
    <w:rsid w:val="000172C3"/>
    <w:rsid w:val="00017494"/>
    <w:rsid w:val="0001761C"/>
    <w:rsid w:val="000201A5"/>
    <w:rsid w:val="000206AE"/>
    <w:rsid w:val="00020757"/>
    <w:rsid w:val="00021598"/>
    <w:rsid w:val="00021A5B"/>
    <w:rsid w:val="00023B48"/>
    <w:rsid w:val="00023B9B"/>
    <w:rsid w:val="00024310"/>
    <w:rsid w:val="00024C92"/>
    <w:rsid w:val="000250A5"/>
    <w:rsid w:val="000250E5"/>
    <w:rsid w:val="000252D4"/>
    <w:rsid w:val="000254FE"/>
    <w:rsid w:val="0002587E"/>
    <w:rsid w:val="000259A0"/>
    <w:rsid w:val="00026815"/>
    <w:rsid w:val="000269EC"/>
    <w:rsid w:val="00027036"/>
    <w:rsid w:val="000313A5"/>
    <w:rsid w:val="00031449"/>
    <w:rsid w:val="00031CC3"/>
    <w:rsid w:val="00033439"/>
    <w:rsid w:val="00033BF4"/>
    <w:rsid w:val="000355BE"/>
    <w:rsid w:val="000358AB"/>
    <w:rsid w:val="0003655A"/>
    <w:rsid w:val="000367A2"/>
    <w:rsid w:val="00036DE2"/>
    <w:rsid w:val="00037264"/>
    <w:rsid w:val="00040956"/>
    <w:rsid w:val="00041465"/>
    <w:rsid w:val="000414E6"/>
    <w:rsid w:val="00041891"/>
    <w:rsid w:val="00041893"/>
    <w:rsid w:val="0004377B"/>
    <w:rsid w:val="00043B1C"/>
    <w:rsid w:val="00043DB8"/>
    <w:rsid w:val="00043FFE"/>
    <w:rsid w:val="0004410B"/>
    <w:rsid w:val="0004450F"/>
    <w:rsid w:val="00044E8F"/>
    <w:rsid w:val="000460A5"/>
    <w:rsid w:val="00046250"/>
    <w:rsid w:val="000465CE"/>
    <w:rsid w:val="00047091"/>
    <w:rsid w:val="00047657"/>
    <w:rsid w:val="000501F0"/>
    <w:rsid w:val="000507AD"/>
    <w:rsid w:val="000509CF"/>
    <w:rsid w:val="00051BEF"/>
    <w:rsid w:val="000525BA"/>
    <w:rsid w:val="0005469F"/>
    <w:rsid w:val="00055709"/>
    <w:rsid w:val="00055D7C"/>
    <w:rsid w:val="000600EA"/>
    <w:rsid w:val="00060564"/>
    <w:rsid w:val="0006154D"/>
    <w:rsid w:val="000615AE"/>
    <w:rsid w:val="0006172A"/>
    <w:rsid w:val="00061E9E"/>
    <w:rsid w:val="00062A32"/>
    <w:rsid w:val="00062A86"/>
    <w:rsid w:val="00062CF1"/>
    <w:rsid w:val="0006335B"/>
    <w:rsid w:val="0006353E"/>
    <w:rsid w:val="00063C24"/>
    <w:rsid w:val="00065BF1"/>
    <w:rsid w:val="00065D1F"/>
    <w:rsid w:val="00066EA0"/>
    <w:rsid w:val="0006707A"/>
    <w:rsid w:val="000676DF"/>
    <w:rsid w:val="00070803"/>
    <w:rsid w:val="0007098A"/>
    <w:rsid w:val="00070EA9"/>
    <w:rsid w:val="00071AB2"/>
    <w:rsid w:val="00072F6D"/>
    <w:rsid w:val="000739C2"/>
    <w:rsid w:val="00074D63"/>
    <w:rsid w:val="000751F9"/>
    <w:rsid w:val="00076029"/>
    <w:rsid w:val="000761F7"/>
    <w:rsid w:val="000773A4"/>
    <w:rsid w:val="000777FE"/>
    <w:rsid w:val="000811FF"/>
    <w:rsid w:val="00083667"/>
    <w:rsid w:val="00083772"/>
    <w:rsid w:val="00084DB0"/>
    <w:rsid w:val="000869C8"/>
    <w:rsid w:val="00087E1D"/>
    <w:rsid w:val="000923AE"/>
    <w:rsid w:val="00093B41"/>
    <w:rsid w:val="0009400F"/>
    <w:rsid w:val="00094355"/>
    <w:rsid w:val="000948A4"/>
    <w:rsid w:val="0009653A"/>
    <w:rsid w:val="00096C2F"/>
    <w:rsid w:val="00096FD1"/>
    <w:rsid w:val="00097098"/>
    <w:rsid w:val="000A08B7"/>
    <w:rsid w:val="000A1379"/>
    <w:rsid w:val="000A14CF"/>
    <w:rsid w:val="000A170E"/>
    <w:rsid w:val="000A2698"/>
    <w:rsid w:val="000A2877"/>
    <w:rsid w:val="000A3EA4"/>
    <w:rsid w:val="000A4A2C"/>
    <w:rsid w:val="000A6591"/>
    <w:rsid w:val="000A6DE0"/>
    <w:rsid w:val="000B0C40"/>
    <w:rsid w:val="000B1081"/>
    <w:rsid w:val="000B1397"/>
    <w:rsid w:val="000B18AF"/>
    <w:rsid w:val="000B195A"/>
    <w:rsid w:val="000B289C"/>
    <w:rsid w:val="000B2982"/>
    <w:rsid w:val="000B39E7"/>
    <w:rsid w:val="000B3F5A"/>
    <w:rsid w:val="000B3F67"/>
    <w:rsid w:val="000B4BED"/>
    <w:rsid w:val="000B4D9D"/>
    <w:rsid w:val="000B535B"/>
    <w:rsid w:val="000B58E6"/>
    <w:rsid w:val="000B6076"/>
    <w:rsid w:val="000B7042"/>
    <w:rsid w:val="000B74CF"/>
    <w:rsid w:val="000C010D"/>
    <w:rsid w:val="000C03BC"/>
    <w:rsid w:val="000C1B7B"/>
    <w:rsid w:val="000C22FD"/>
    <w:rsid w:val="000C364E"/>
    <w:rsid w:val="000C3FEF"/>
    <w:rsid w:val="000C4102"/>
    <w:rsid w:val="000C43CC"/>
    <w:rsid w:val="000C4FA8"/>
    <w:rsid w:val="000C5093"/>
    <w:rsid w:val="000C60C8"/>
    <w:rsid w:val="000C6192"/>
    <w:rsid w:val="000C63B8"/>
    <w:rsid w:val="000C7778"/>
    <w:rsid w:val="000C7DF1"/>
    <w:rsid w:val="000D0978"/>
    <w:rsid w:val="000D0B64"/>
    <w:rsid w:val="000D2A00"/>
    <w:rsid w:val="000D2BEA"/>
    <w:rsid w:val="000D4252"/>
    <w:rsid w:val="000D4C1C"/>
    <w:rsid w:val="000D5C58"/>
    <w:rsid w:val="000D63D1"/>
    <w:rsid w:val="000D6A73"/>
    <w:rsid w:val="000D7138"/>
    <w:rsid w:val="000E0EB4"/>
    <w:rsid w:val="000E1024"/>
    <w:rsid w:val="000E1304"/>
    <w:rsid w:val="000E2F3D"/>
    <w:rsid w:val="000E303A"/>
    <w:rsid w:val="000E345C"/>
    <w:rsid w:val="000E36B5"/>
    <w:rsid w:val="000E5A8F"/>
    <w:rsid w:val="000E635E"/>
    <w:rsid w:val="000E7981"/>
    <w:rsid w:val="000E7B4C"/>
    <w:rsid w:val="000F1EAC"/>
    <w:rsid w:val="000F2196"/>
    <w:rsid w:val="000F366C"/>
    <w:rsid w:val="000F6FEC"/>
    <w:rsid w:val="000F7988"/>
    <w:rsid w:val="000F7C1B"/>
    <w:rsid w:val="00100B8F"/>
    <w:rsid w:val="00101962"/>
    <w:rsid w:val="00102E70"/>
    <w:rsid w:val="00103699"/>
    <w:rsid w:val="00103C0B"/>
    <w:rsid w:val="00104014"/>
    <w:rsid w:val="001040B0"/>
    <w:rsid w:val="00104227"/>
    <w:rsid w:val="001053F1"/>
    <w:rsid w:val="001057AD"/>
    <w:rsid w:val="0010582A"/>
    <w:rsid w:val="0010589D"/>
    <w:rsid w:val="0010671D"/>
    <w:rsid w:val="00107C6B"/>
    <w:rsid w:val="00107D38"/>
    <w:rsid w:val="00110C30"/>
    <w:rsid w:val="00110F04"/>
    <w:rsid w:val="0011130C"/>
    <w:rsid w:val="00111A9F"/>
    <w:rsid w:val="00111D75"/>
    <w:rsid w:val="00111E85"/>
    <w:rsid w:val="00112672"/>
    <w:rsid w:val="0011470F"/>
    <w:rsid w:val="00114817"/>
    <w:rsid w:val="00114B35"/>
    <w:rsid w:val="00114C70"/>
    <w:rsid w:val="001158F9"/>
    <w:rsid w:val="00115A5C"/>
    <w:rsid w:val="001166B4"/>
    <w:rsid w:val="00117048"/>
    <w:rsid w:val="00117C8C"/>
    <w:rsid w:val="00120C17"/>
    <w:rsid w:val="00120CE3"/>
    <w:rsid w:val="00120E81"/>
    <w:rsid w:val="001210A8"/>
    <w:rsid w:val="00121618"/>
    <w:rsid w:val="00121C69"/>
    <w:rsid w:val="0012329E"/>
    <w:rsid w:val="001256B2"/>
    <w:rsid w:val="00125EE4"/>
    <w:rsid w:val="00126862"/>
    <w:rsid w:val="001270AF"/>
    <w:rsid w:val="00130532"/>
    <w:rsid w:val="00130A00"/>
    <w:rsid w:val="001314A3"/>
    <w:rsid w:val="00132DEA"/>
    <w:rsid w:val="00132FAE"/>
    <w:rsid w:val="00133667"/>
    <w:rsid w:val="00133845"/>
    <w:rsid w:val="00133B8A"/>
    <w:rsid w:val="00134235"/>
    <w:rsid w:val="001347F4"/>
    <w:rsid w:val="001356BF"/>
    <w:rsid w:val="001357D7"/>
    <w:rsid w:val="00135C6A"/>
    <w:rsid w:val="00136478"/>
    <w:rsid w:val="001366E6"/>
    <w:rsid w:val="00137F7C"/>
    <w:rsid w:val="001400D9"/>
    <w:rsid w:val="001400F4"/>
    <w:rsid w:val="00140470"/>
    <w:rsid w:val="00141B65"/>
    <w:rsid w:val="00141BB3"/>
    <w:rsid w:val="00141DDB"/>
    <w:rsid w:val="00142E35"/>
    <w:rsid w:val="0014316C"/>
    <w:rsid w:val="00143520"/>
    <w:rsid w:val="00143E23"/>
    <w:rsid w:val="0014513B"/>
    <w:rsid w:val="0014761B"/>
    <w:rsid w:val="001508CE"/>
    <w:rsid w:val="001517F5"/>
    <w:rsid w:val="0015309D"/>
    <w:rsid w:val="00153922"/>
    <w:rsid w:val="001557BD"/>
    <w:rsid w:val="00155840"/>
    <w:rsid w:val="00156E02"/>
    <w:rsid w:val="00161097"/>
    <w:rsid w:val="001613E8"/>
    <w:rsid w:val="00161708"/>
    <w:rsid w:val="00162C70"/>
    <w:rsid w:val="00163AFE"/>
    <w:rsid w:val="001658EB"/>
    <w:rsid w:val="00165CB0"/>
    <w:rsid w:val="0016637D"/>
    <w:rsid w:val="00166B4E"/>
    <w:rsid w:val="00167B58"/>
    <w:rsid w:val="00171A89"/>
    <w:rsid w:val="00171AB8"/>
    <w:rsid w:val="00172605"/>
    <w:rsid w:val="0017277E"/>
    <w:rsid w:val="001738B6"/>
    <w:rsid w:val="00175B0E"/>
    <w:rsid w:val="00175C29"/>
    <w:rsid w:val="00176E01"/>
    <w:rsid w:val="00177F34"/>
    <w:rsid w:val="00177FAB"/>
    <w:rsid w:val="0018092F"/>
    <w:rsid w:val="00181052"/>
    <w:rsid w:val="00181213"/>
    <w:rsid w:val="001814F1"/>
    <w:rsid w:val="0018191D"/>
    <w:rsid w:val="00182F20"/>
    <w:rsid w:val="00183C5D"/>
    <w:rsid w:val="001841E3"/>
    <w:rsid w:val="00184E01"/>
    <w:rsid w:val="00186349"/>
    <w:rsid w:val="001873DA"/>
    <w:rsid w:val="00191974"/>
    <w:rsid w:val="00192C84"/>
    <w:rsid w:val="00193CDD"/>
    <w:rsid w:val="001942D5"/>
    <w:rsid w:val="00194451"/>
    <w:rsid w:val="00194E9E"/>
    <w:rsid w:val="00195531"/>
    <w:rsid w:val="00195A19"/>
    <w:rsid w:val="001961AC"/>
    <w:rsid w:val="001972AA"/>
    <w:rsid w:val="001A3071"/>
    <w:rsid w:val="001A3312"/>
    <w:rsid w:val="001A4ECA"/>
    <w:rsid w:val="001A592C"/>
    <w:rsid w:val="001A5A0A"/>
    <w:rsid w:val="001B07CC"/>
    <w:rsid w:val="001B1080"/>
    <w:rsid w:val="001B1119"/>
    <w:rsid w:val="001B14E6"/>
    <w:rsid w:val="001B1ECC"/>
    <w:rsid w:val="001B2DB8"/>
    <w:rsid w:val="001B316C"/>
    <w:rsid w:val="001B43BF"/>
    <w:rsid w:val="001B46E3"/>
    <w:rsid w:val="001B4815"/>
    <w:rsid w:val="001B4ACA"/>
    <w:rsid w:val="001B4FBB"/>
    <w:rsid w:val="001B604A"/>
    <w:rsid w:val="001B6343"/>
    <w:rsid w:val="001C02FA"/>
    <w:rsid w:val="001C160F"/>
    <w:rsid w:val="001C1790"/>
    <w:rsid w:val="001C3090"/>
    <w:rsid w:val="001C57D9"/>
    <w:rsid w:val="001C5F57"/>
    <w:rsid w:val="001C7CDD"/>
    <w:rsid w:val="001C7D86"/>
    <w:rsid w:val="001D01CC"/>
    <w:rsid w:val="001D04E5"/>
    <w:rsid w:val="001D0751"/>
    <w:rsid w:val="001D0962"/>
    <w:rsid w:val="001D0A04"/>
    <w:rsid w:val="001D0EB8"/>
    <w:rsid w:val="001D100F"/>
    <w:rsid w:val="001D29E1"/>
    <w:rsid w:val="001D29FA"/>
    <w:rsid w:val="001D410B"/>
    <w:rsid w:val="001D51BB"/>
    <w:rsid w:val="001D5CF2"/>
    <w:rsid w:val="001D798E"/>
    <w:rsid w:val="001E036B"/>
    <w:rsid w:val="001E07AD"/>
    <w:rsid w:val="001E0CDB"/>
    <w:rsid w:val="001E1746"/>
    <w:rsid w:val="001E193F"/>
    <w:rsid w:val="001E1EF7"/>
    <w:rsid w:val="001E2CED"/>
    <w:rsid w:val="001E3736"/>
    <w:rsid w:val="001E3E5F"/>
    <w:rsid w:val="001E4804"/>
    <w:rsid w:val="001E48DB"/>
    <w:rsid w:val="001E5985"/>
    <w:rsid w:val="001E7920"/>
    <w:rsid w:val="001F13CB"/>
    <w:rsid w:val="001F177C"/>
    <w:rsid w:val="001F2AE6"/>
    <w:rsid w:val="001F3006"/>
    <w:rsid w:val="001F377B"/>
    <w:rsid w:val="001F45B0"/>
    <w:rsid w:val="001F46AE"/>
    <w:rsid w:val="001F4C47"/>
    <w:rsid w:val="001F5333"/>
    <w:rsid w:val="001F6122"/>
    <w:rsid w:val="001F6556"/>
    <w:rsid w:val="001F6BE8"/>
    <w:rsid w:val="001F7190"/>
    <w:rsid w:val="001F7CB0"/>
    <w:rsid w:val="0020071D"/>
    <w:rsid w:val="00203307"/>
    <w:rsid w:val="002037FD"/>
    <w:rsid w:val="00204332"/>
    <w:rsid w:val="00204EA1"/>
    <w:rsid w:val="00205176"/>
    <w:rsid w:val="002053D9"/>
    <w:rsid w:val="0020571A"/>
    <w:rsid w:val="00205FA9"/>
    <w:rsid w:val="002060A0"/>
    <w:rsid w:val="00206AA5"/>
    <w:rsid w:val="002075C2"/>
    <w:rsid w:val="002076A7"/>
    <w:rsid w:val="00207CF9"/>
    <w:rsid w:val="00210032"/>
    <w:rsid w:val="00210183"/>
    <w:rsid w:val="00210737"/>
    <w:rsid w:val="002110B3"/>
    <w:rsid w:val="00211280"/>
    <w:rsid w:val="002139EB"/>
    <w:rsid w:val="00214296"/>
    <w:rsid w:val="002149F9"/>
    <w:rsid w:val="002151A2"/>
    <w:rsid w:val="002157A7"/>
    <w:rsid w:val="00215962"/>
    <w:rsid w:val="002174F1"/>
    <w:rsid w:val="0022140E"/>
    <w:rsid w:val="00221984"/>
    <w:rsid w:val="00221C95"/>
    <w:rsid w:val="00221EED"/>
    <w:rsid w:val="00221F9E"/>
    <w:rsid w:val="002223F1"/>
    <w:rsid w:val="0022240C"/>
    <w:rsid w:val="0022646F"/>
    <w:rsid w:val="00226524"/>
    <w:rsid w:val="002278ED"/>
    <w:rsid w:val="00227CDA"/>
    <w:rsid w:val="002305D8"/>
    <w:rsid w:val="002305E3"/>
    <w:rsid w:val="002306FE"/>
    <w:rsid w:val="00230A22"/>
    <w:rsid w:val="0023111F"/>
    <w:rsid w:val="00233269"/>
    <w:rsid w:val="002334ED"/>
    <w:rsid w:val="0023495A"/>
    <w:rsid w:val="00234D06"/>
    <w:rsid w:val="00234DCE"/>
    <w:rsid w:val="00235603"/>
    <w:rsid w:val="0023583E"/>
    <w:rsid w:val="00240141"/>
    <w:rsid w:val="0024077E"/>
    <w:rsid w:val="002411DE"/>
    <w:rsid w:val="00241B34"/>
    <w:rsid w:val="00241D69"/>
    <w:rsid w:val="0024259A"/>
    <w:rsid w:val="002425FE"/>
    <w:rsid w:val="00242997"/>
    <w:rsid w:val="00242B1E"/>
    <w:rsid w:val="00242C57"/>
    <w:rsid w:val="002444CB"/>
    <w:rsid w:val="00244C4F"/>
    <w:rsid w:val="00245D7C"/>
    <w:rsid w:val="00245F50"/>
    <w:rsid w:val="002461C8"/>
    <w:rsid w:val="00246A9E"/>
    <w:rsid w:val="00246B28"/>
    <w:rsid w:val="00246BA5"/>
    <w:rsid w:val="00252B05"/>
    <w:rsid w:val="00252F89"/>
    <w:rsid w:val="002538FB"/>
    <w:rsid w:val="00253EE4"/>
    <w:rsid w:val="00256117"/>
    <w:rsid w:val="002573C4"/>
    <w:rsid w:val="00257427"/>
    <w:rsid w:val="002575E1"/>
    <w:rsid w:val="00257705"/>
    <w:rsid w:val="002608B6"/>
    <w:rsid w:val="00261695"/>
    <w:rsid w:val="00262D58"/>
    <w:rsid w:val="0026323B"/>
    <w:rsid w:val="002654DE"/>
    <w:rsid w:val="00266B20"/>
    <w:rsid w:val="00267B91"/>
    <w:rsid w:val="002709D6"/>
    <w:rsid w:val="00271BD2"/>
    <w:rsid w:val="0027224F"/>
    <w:rsid w:val="00273A7B"/>
    <w:rsid w:val="00273E11"/>
    <w:rsid w:val="002755DF"/>
    <w:rsid w:val="00276439"/>
    <w:rsid w:val="002764DD"/>
    <w:rsid w:val="002776BF"/>
    <w:rsid w:val="0027781E"/>
    <w:rsid w:val="00280293"/>
    <w:rsid w:val="002803CF"/>
    <w:rsid w:val="002809FF"/>
    <w:rsid w:val="00281C4D"/>
    <w:rsid w:val="002820D4"/>
    <w:rsid w:val="00282647"/>
    <w:rsid w:val="002826A6"/>
    <w:rsid w:val="0028347C"/>
    <w:rsid w:val="00283959"/>
    <w:rsid w:val="0028483D"/>
    <w:rsid w:val="00284C1F"/>
    <w:rsid w:val="00284EAE"/>
    <w:rsid w:val="0028512C"/>
    <w:rsid w:val="00285597"/>
    <w:rsid w:val="00287546"/>
    <w:rsid w:val="002879E6"/>
    <w:rsid w:val="0029148F"/>
    <w:rsid w:val="002917A5"/>
    <w:rsid w:val="00291C0D"/>
    <w:rsid w:val="00292A8F"/>
    <w:rsid w:val="00293773"/>
    <w:rsid w:val="00293786"/>
    <w:rsid w:val="00293E6F"/>
    <w:rsid w:val="0029416A"/>
    <w:rsid w:val="002945AF"/>
    <w:rsid w:val="00294786"/>
    <w:rsid w:val="00294ACE"/>
    <w:rsid w:val="0029578E"/>
    <w:rsid w:val="002969EC"/>
    <w:rsid w:val="00296A50"/>
    <w:rsid w:val="00296D6E"/>
    <w:rsid w:val="00297F24"/>
    <w:rsid w:val="002A00F2"/>
    <w:rsid w:val="002A128A"/>
    <w:rsid w:val="002A198A"/>
    <w:rsid w:val="002A1C62"/>
    <w:rsid w:val="002A24E6"/>
    <w:rsid w:val="002A37FE"/>
    <w:rsid w:val="002A39D4"/>
    <w:rsid w:val="002A3DD1"/>
    <w:rsid w:val="002A43B7"/>
    <w:rsid w:val="002A4D19"/>
    <w:rsid w:val="002A6518"/>
    <w:rsid w:val="002A7164"/>
    <w:rsid w:val="002B044C"/>
    <w:rsid w:val="002B13FA"/>
    <w:rsid w:val="002B3A89"/>
    <w:rsid w:val="002B3CBA"/>
    <w:rsid w:val="002B3D34"/>
    <w:rsid w:val="002B4910"/>
    <w:rsid w:val="002B5537"/>
    <w:rsid w:val="002B59A1"/>
    <w:rsid w:val="002B5EF4"/>
    <w:rsid w:val="002B6383"/>
    <w:rsid w:val="002B6DF1"/>
    <w:rsid w:val="002B73B2"/>
    <w:rsid w:val="002B74DF"/>
    <w:rsid w:val="002B77E2"/>
    <w:rsid w:val="002C4CAD"/>
    <w:rsid w:val="002C52E0"/>
    <w:rsid w:val="002C545A"/>
    <w:rsid w:val="002C6369"/>
    <w:rsid w:val="002C73CB"/>
    <w:rsid w:val="002D072B"/>
    <w:rsid w:val="002D0B6D"/>
    <w:rsid w:val="002D106A"/>
    <w:rsid w:val="002D13F6"/>
    <w:rsid w:val="002D1BDA"/>
    <w:rsid w:val="002D1F52"/>
    <w:rsid w:val="002D218B"/>
    <w:rsid w:val="002D2554"/>
    <w:rsid w:val="002D2802"/>
    <w:rsid w:val="002D2967"/>
    <w:rsid w:val="002D2E3D"/>
    <w:rsid w:val="002D30DA"/>
    <w:rsid w:val="002D3DB9"/>
    <w:rsid w:val="002D3F2C"/>
    <w:rsid w:val="002D4695"/>
    <w:rsid w:val="002D501B"/>
    <w:rsid w:val="002D59B5"/>
    <w:rsid w:val="002D5BE7"/>
    <w:rsid w:val="002D5DE7"/>
    <w:rsid w:val="002D6B3B"/>
    <w:rsid w:val="002D6DA3"/>
    <w:rsid w:val="002D7907"/>
    <w:rsid w:val="002D7BC1"/>
    <w:rsid w:val="002E0471"/>
    <w:rsid w:val="002E0B4C"/>
    <w:rsid w:val="002E11B8"/>
    <w:rsid w:val="002E1592"/>
    <w:rsid w:val="002E15D4"/>
    <w:rsid w:val="002E2AB2"/>
    <w:rsid w:val="002E30D8"/>
    <w:rsid w:val="002E4C92"/>
    <w:rsid w:val="002E4F6D"/>
    <w:rsid w:val="002E5F94"/>
    <w:rsid w:val="002E6D3D"/>
    <w:rsid w:val="002E78C5"/>
    <w:rsid w:val="002F0E51"/>
    <w:rsid w:val="002F152C"/>
    <w:rsid w:val="002F1606"/>
    <w:rsid w:val="002F16DE"/>
    <w:rsid w:val="002F41E0"/>
    <w:rsid w:val="002F460E"/>
    <w:rsid w:val="002F4A3C"/>
    <w:rsid w:val="002F5BD9"/>
    <w:rsid w:val="002F61F1"/>
    <w:rsid w:val="00301401"/>
    <w:rsid w:val="00301FB4"/>
    <w:rsid w:val="00302DD8"/>
    <w:rsid w:val="00302E75"/>
    <w:rsid w:val="00303F06"/>
    <w:rsid w:val="003043C0"/>
    <w:rsid w:val="00304CBB"/>
    <w:rsid w:val="003119D4"/>
    <w:rsid w:val="00312FD4"/>
    <w:rsid w:val="00313F61"/>
    <w:rsid w:val="00313F64"/>
    <w:rsid w:val="00314019"/>
    <w:rsid w:val="00314132"/>
    <w:rsid w:val="00314EA7"/>
    <w:rsid w:val="0031540A"/>
    <w:rsid w:val="00317B9E"/>
    <w:rsid w:val="003209E3"/>
    <w:rsid w:val="00322465"/>
    <w:rsid w:val="00322982"/>
    <w:rsid w:val="00323525"/>
    <w:rsid w:val="003240A6"/>
    <w:rsid w:val="0032433D"/>
    <w:rsid w:val="00324717"/>
    <w:rsid w:val="003249E9"/>
    <w:rsid w:val="00324AED"/>
    <w:rsid w:val="00324CBC"/>
    <w:rsid w:val="003252A2"/>
    <w:rsid w:val="00325B66"/>
    <w:rsid w:val="00325C6D"/>
    <w:rsid w:val="00326F39"/>
    <w:rsid w:val="00327A7D"/>
    <w:rsid w:val="00330403"/>
    <w:rsid w:val="00330A9E"/>
    <w:rsid w:val="0033146E"/>
    <w:rsid w:val="00332721"/>
    <w:rsid w:val="00332B98"/>
    <w:rsid w:val="00333665"/>
    <w:rsid w:val="0033383F"/>
    <w:rsid w:val="00333B8C"/>
    <w:rsid w:val="00334399"/>
    <w:rsid w:val="003343F7"/>
    <w:rsid w:val="00334A76"/>
    <w:rsid w:val="00335431"/>
    <w:rsid w:val="00336FBE"/>
    <w:rsid w:val="00336FC2"/>
    <w:rsid w:val="00337C5C"/>
    <w:rsid w:val="00340A87"/>
    <w:rsid w:val="003416A0"/>
    <w:rsid w:val="003417E1"/>
    <w:rsid w:val="003423BC"/>
    <w:rsid w:val="0034413C"/>
    <w:rsid w:val="00344F92"/>
    <w:rsid w:val="00345F17"/>
    <w:rsid w:val="00350AFD"/>
    <w:rsid w:val="00350B68"/>
    <w:rsid w:val="00351585"/>
    <w:rsid w:val="0035239D"/>
    <w:rsid w:val="00352A82"/>
    <w:rsid w:val="00353D60"/>
    <w:rsid w:val="0035466A"/>
    <w:rsid w:val="00355F02"/>
    <w:rsid w:val="00356020"/>
    <w:rsid w:val="0036072C"/>
    <w:rsid w:val="00360D3F"/>
    <w:rsid w:val="0036156A"/>
    <w:rsid w:val="003619CE"/>
    <w:rsid w:val="003628B5"/>
    <w:rsid w:val="00362C5D"/>
    <w:rsid w:val="00362E50"/>
    <w:rsid w:val="00365AD8"/>
    <w:rsid w:val="00370872"/>
    <w:rsid w:val="00371414"/>
    <w:rsid w:val="003719B7"/>
    <w:rsid w:val="00372F71"/>
    <w:rsid w:val="00373018"/>
    <w:rsid w:val="003735E9"/>
    <w:rsid w:val="00373941"/>
    <w:rsid w:val="00374133"/>
    <w:rsid w:val="0037424A"/>
    <w:rsid w:val="003755FF"/>
    <w:rsid w:val="00375B64"/>
    <w:rsid w:val="0037679F"/>
    <w:rsid w:val="003768B2"/>
    <w:rsid w:val="00376E8B"/>
    <w:rsid w:val="00376F28"/>
    <w:rsid w:val="00377878"/>
    <w:rsid w:val="00377B24"/>
    <w:rsid w:val="00380A22"/>
    <w:rsid w:val="00380E56"/>
    <w:rsid w:val="00381987"/>
    <w:rsid w:val="00382B33"/>
    <w:rsid w:val="00383BF2"/>
    <w:rsid w:val="00383C29"/>
    <w:rsid w:val="0038431F"/>
    <w:rsid w:val="003859C8"/>
    <w:rsid w:val="00385E98"/>
    <w:rsid w:val="003862D8"/>
    <w:rsid w:val="00386F4E"/>
    <w:rsid w:val="00387A87"/>
    <w:rsid w:val="00390B16"/>
    <w:rsid w:val="00390EB6"/>
    <w:rsid w:val="003913F4"/>
    <w:rsid w:val="00391BB6"/>
    <w:rsid w:val="00393116"/>
    <w:rsid w:val="00393684"/>
    <w:rsid w:val="00394A1F"/>
    <w:rsid w:val="003978FA"/>
    <w:rsid w:val="00397B43"/>
    <w:rsid w:val="00397C8D"/>
    <w:rsid w:val="003A07BB"/>
    <w:rsid w:val="003A0BBB"/>
    <w:rsid w:val="003A1A4B"/>
    <w:rsid w:val="003A254D"/>
    <w:rsid w:val="003A3E4C"/>
    <w:rsid w:val="003A43C7"/>
    <w:rsid w:val="003A6608"/>
    <w:rsid w:val="003A6D0B"/>
    <w:rsid w:val="003A752F"/>
    <w:rsid w:val="003A7CD2"/>
    <w:rsid w:val="003A7FE9"/>
    <w:rsid w:val="003B1514"/>
    <w:rsid w:val="003B1E3F"/>
    <w:rsid w:val="003B69F0"/>
    <w:rsid w:val="003B6F4C"/>
    <w:rsid w:val="003B6FF3"/>
    <w:rsid w:val="003B7615"/>
    <w:rsid w:val="003B7F4C"/>
    <w:rsid w:val="003C0EC6"/>
    <w:rsid w:val="003C16A9"/>
    <w:rsid w:val="003C4AC7"/>
    <w:rsid w:val="003C5065"/>
    <w:rsid w:val="003C54FE"/>
    <w:rsid w:val="003C5ADC"/>
    <w:rsid w:val="003C61D1"/>
    <w:rsid w:val="003C644F"/>
    <w:rsid w:val="003C6AFE"/>
    <w:rsid w:val="003C71E6"/>
    <w:rsid w:val="003C7FF2"/>
    <w:rsid w:val="003D03D4"/>
    <w:rsid w:val="003D04D7"/>
    <w:rsid w:val="003D09C5"/>
    <w:rsid w:val="003D09FC"/>
    <w:rsid w:val="003D1346"/>
    <w:rsid w:val="003D1952"/>
    <w:rsid w:val="003D23DD"/>
    <w:rsid w:val="003D2F09"/>
    <w:rsid w:val="003D5044"/>
    <w:rsid w:val="003D6661"/>
    <w:rsid w:val="003D67E7"/>
    <w:rsid w:val="003D7571"/>
    <w:rsid w:val="003E1808"/>
    <w:rsid w:val="003E20DD"/>
    <w:rsid w:val="003E2542"/>
    <w:rsid w:val="003E30CE"/>
    <w:rsid w:val="003E47B7"/>
    <w:rsid w:val="003E4845"/>
    <w:rsid w:val="003E53A3"/>
    <w:rsid w:val="003E73BA"/>
    <w:rsid w:val="003F0054"/>
    <w:rsid w:val="003F08AC"/>
    <w:rsid w:val="003F10B2"/>
    <w:rsid w:val="003F1244"/>
    <w:rsid w:val="003F1921"/>
    <w:rsid w:val="003F2431"/>
    <w:rsid w:val="003F2587"/>
    <w:rsid w:val="003F26C8"/>
    <w:rsid w:val="003F3B44"/>
    <w:rsid w:val="003F3D9C"/>
    <w:rsid w:val="003F46C4"/>
    <w:rsid w:val="003F46FF"/>
    <w:rsid w:val="003F4D7E"/>
    <w:rsid w:val="003F4E48"/>
    <w:rsid w:val="003F5E36"/>
    <w:rsid w:val="003F6036"/>
    <w:rsid w:val="003F6D83"/>
    <w:rsid w:val="00401015"/>
    <w:rsid w:val="00402673"/>
    <w:rsid w:val="00402EE7"/>
    <w:rsid w:val="00402FEA"/>
    <w:rsid w:val="004031B8"/>
    <w:rsid w:val="004034E7"/>
    <w:rsid w:val="00403B2F"/>
    <w:rsid w:val="00403DBC"/>
    <w:rsid w:val="00404106"/>
    <w:rsid w:val="00406986"/>
    <w:rsid w:val="00406B4B"/>
    <w:rsid w:val="00407A7C"/>
    <w:rsid w:val="00410260"/>
    <w:rsid w:val="0041118F"/>
    <w:rsid w:val="00411696"/>
    <w:rsid w:val="004125DD"/>
    <w:rsid w:val="00412937"/>
    <w:rsid w:val="00412E85"/>
    <w:rsid w:val="00413DE1"/>
    <w:rsid w:val="00413F2D"/>
    <w:rsid w:val="004160EE"/>
    <w:rsid w:val="00416533"/>
    <w:rsid w:val="0041662C"/>
    <w:rsid w:val="00417610"/>
    <w:rsid w:val="0042001E"/>
    <w:rsid w:val="0042179E"/>
    <w:rsid w:val="00421FC8"/>
    <w:rsid w:val="00422E94"/>
    <w:rsid w:val="0042308D"/>
    <w:rsid w:val="00424BBA"/>
    <w:rsid w:val="00424C16"/>
    <w:rsid w:val="004251F9"/>
    <w:rsid w:val="004261B2"/>
    <w:rsid w:val="004276BD"/>
    <w:rsid w:val="00431446"/>
    <w:rsid w:val="00431934"/>
    <w:rsid w:val="00431A0D"/>
    <w:rsid w:val="00431A28"/>
    <w:rsid w:val="00432345"/>
    <w:rsid w:val="004331E6"/>
    <w:rsid w:val="0043344E"/>
    <w:rsid w:val="00433A99"/>
    <w:rsid w:val="0043412D"/>
    <w:rsid w:val="004342A9"/>
    <w:rsid w:val="0043491B"/>
    <w:rsid w:val="00434994"/>
    <w:rsid w:val="00435005"/>
    <w:rsid w:val="0043696C"/>
    <w:rsid w:val="0043764F"/>
    <w:rsid w:val="0043776B"/>
    <w:rsid w:val="00437936"/>
    <w:rsid w:val="00437D4E"/>
    <w:rsid w:val="0044023C"/>
    <w:rsid w:val="00441500"/>
    <w:rsid w:val="004416D2"/>
    <w:rsid w:val="004418BA"/>
    <w:rsid w:val="00441A09"/>
    <w:rsid w:val="00441DC6"/>
    <w:rsid w:val="004423FD"/>
    <w:rsid w:val="004428A5"/>
    <w:rsid w:val="00442A2D"/>
    <w:rsid w:val="004432A6"/>
    <w:rsid w:val="004437A0"/>
    <w:rsid w:val="00444A72"/>
    <w:rsid w:val="00445CC9"/>
    <w:rsid w:val="0044683D"/>
    <w:rsid w:val="00446A9A"/>
    <w:rsid w:val="00447310"/>
    <w:rsid w:val="004474F2"/>
    <w:rsid w:val="004503EC"/>
    <w:rsid w:val="00450A58"/>
    <w:rsid w:val="00451BA7"/>
    <w:rsid w:val="00452F97"/>
    <w:rsid w:val="00453B69"/>
    <w:rsid w:val="00455915"/>
    <w:rsid w:val="00456BC2"/>
    <w:rsid w:val="004573B5"/>
    <w:rsid w:val="00457E8A"/>
    <w:rsid w:val="004601F0"/>
    <w:rsid w:val="004617E1"/>
    <w:rsid w:val="00462376"/>
    <w:rsid w:val="00463C1E"/>
    <w:rsid w:val="00463CAA"/>
    <w:rsid w:val="0046418C"/>
    <w:rsid w:val="004641E4"/>
    <w:rsid w:val="00465010"/>
    <w:rsid w:val="004662FD"/>
    <w:rsid w:val="004666FE"/>
    <w:rsid w:val="00467E4A"/>
    <w:rsid w:val="004711BB"/>
    <w:rsid w:val="004712FC"/>
    <w:rsid w:val="00471F6D"/>
    <w:rsid w:val="0047213E"/>
    <w:rsid w:val="00473198"/>
    <w:rsid w:val="0047384D"/>
    <w:rsid w:val="00474075"/>
    <w:rsid w:val="0047539E"/>
    <w:rsid w:val="004755E0"/>
    <w:rsid w:val="004760B8"/>
    <w:rsid w:val="00476700"/>
    <w:rsid w:val="00477ABC"/>
    <w:rsid w:val="004811EE"/>
    <w:rsid w:val="00481A68"/>
    <w:rsid w:val="00481D08"/>
    <w:rsid w:val="00482011"/>
    <w:rsid w:val="00482A23"/>
    <w:rsid w:val="00482DAC"/>
    <w:rsid w:val="00482E8D"/>
    <w:rsid w:val="0048352B"/>
    <w:rsid w:val="00483E53"/>
    <w:rsid w:val="00483F07"/>
    <w:rsid w:val="00486073"/>
    <w:rsid w:val="004861AC"/>
    <w:rsid w:val="00486ADE"/>
    <w:rsid w:val="00487BD2"/>
    <w:rsid w:val="00487C8C"/>
    <w:rsid w:val="0049081E"/>
    <w:rsid w:val="00490994"/>
    <w:rsid w:val="00490F02"/>
    <w:rsid w:val="004917CB"/>
    <w:rsid w:val="00492DE2"/>
    <w:rsid w:val="00493058"/>
    <w:rsid w:val="004939A8"/>
    <w:rsid w:val="00493BFB"/>
    <w:rsid w:val="00493E07"/>
    <w:rsid w:val="00494BB0"/>
    <w:rsid w:val="00494DCC"/>
    <w:rsid w:val="0049586C"/>
    <w:rsid w:val="00497B1D"/>
    <w:rsid w:val="004A0BB3"/>
    <w:rsid w:val="004A0E3F"/>
    <w:rsid w:val="004A1E64"/>
    <w:rsid w:val="004A2307"/>
    <w:rsid w:val="004A2F7B"/>
    <w:rsid w:val="004A4434"/>
    <w:rsid w:val="004A44EA"/>
    <w:rsid w:val="004A5B75"/>
    <w:rsid w:val="004A6234"/>
    <w:rsid w:val="004A6459"/>
    <w:rsid w:val="004A65EB"/>
    <w:rsid w:val="004A6687"/>
    <w:rsid w:val="004A68F9"/>
    <w:rsid w:val="004A69CB"/>
    <w:rsid w:val="004A7524"/>
    <w:rsid w:val="004A7557"/>
    <w:rsid w:val="004A7F5D"/>
    <w:rsid w:val="004B0288"/>
    <w:rsid w:val="004B1401"/>
    <w:rsid w:val="004B2630"/>
    <w:rsid w:val="004B2949"/>
    <w:rsid w:val="004B2DE9"/>
    <w:rsid w:val="004B326D"/>
    <w:rsid w:val="004B4212"/>
    <w:rsid w:val="004B515A"/>
    <w:rsid w:val="004B72D6"/>
    <w:rsid w:val="004B77B1"/>
    <w:rsid w:val="004B7B35"/>
    <w:rsid w:val="004B7B62"/>
    <w:rsid w:val="004B7D94"/>
    <w:rsid w:val="004C0CC6"/>
    <w:rsid w:val="004C0EBE"/>
    <w:rsid w:val="004C10BC"/>
    <w:rsid w:val="004C1AE9"/>
    <w:rsid w:val="004C2D12"/>
    <w:rsid w:val="004C36A1"/>
    <w:rsid w:val="004C3BCB"/>
    <w:rsid w:val="004C3FB4"/>
    <w:rsid w:val="004C5040"/>
    <w:rsid w:val="004C5A44"/>
    <w:rsid w:val="004C5F2D"/>
    <w:rsid w:val="004C6548"/>
    <w:rsid w:val="004C6C46"/>
    <w:rsid w:val="004C7229"/>
    <w:rsid w:val="004C7E2E"/>
    <w:rsid w:val="004D113A"/>
    <w:rsid w:val="004D159A"/>
    <w:rsid w:val="004D23ED"/>
    <w:rsid w:val="004D2888"/>
    <w:rsid w:val="004D28E2"/>
    <w:rsid w:val="004D30F0"/>
    <w:rsid w:val="004D39DD"/>
    <w:rsid w:val="004D4F0F"/>
    <w:rsid w:val="004D6C93"/>
    <w:rsid w:val="004E0048"/>
    <w:rsid w:val="004E06E0"/>
    <w:rsid w:val="004E0815"/>
    <w:rsid w:val="004E0AB4"/>
    <w:rsid w:val="004E2899"/>
    <w:rsid w:val="004E2951"/>
    <w:rsid w:val="004E2B8E"/>
    <w:rsid w:val="004E4A17"/>
    <w:rsid w:val="004E7A6A"/>
    <w:rsid w:val="004F017E"/>
    <w:rsid w:val="004F10A4"/>
    <w:rsid w:val="004F118D"/>
    <w:rsid w:val="004F1E2B"/>
    <w:rsid w:val="004F216F"/>
    <w:rsid w:val="004F281F"/>
    <w:rsid w:val="004F310F"/>
    <w:rsid w:val="004F35F5"/>
    <w:rsid w:val="004F3699"/>
    <w:rsid w:val="004F47BA"/>
    <w:rsid w:val="004F5867"/>
    <w:rsid w:val="004F5CC5"/>
    <w:rsid w:val="004F6203"/>
    <w:rsid w:val="004F7227"/>
    <w:rsid w:val="004F74B7"/>
    <w:rsid w:val="00500142"/>
    <w:rsid w:val="005014A4"/>
    <w:rsid w:val="0050199D"/>
    <w:rsid w:val="00501B36"/>
    <w:rsid w:val="00502830"/>
    <w:rsid w:val="005034AB"/>
    <w:rsid w:val="00504C74"/>
    <w:rsid w:val="005053BB"/>
    <w:rsid w:val="0050556D"/>
    <w:rsid w:val="005060CF"/>
    <w:rsid w:val="00506FF6"/>
    <w:rsid w:val="00507EB5"/>
    <w:rsid w:val="005104C2"/>
    <w:rsid w:val="00510813"/>
    <w:rsid w:val="00510FE8"/>
    <w:rsid w:val="00511630"/>
    <w:rsid w:val="00511809"/>
    <w:rsid w:val="00512B36"/>
    <w:rsid w:val="00512BCE"/>
    <w:rsid w:val="00516CAE"/>
    <w:rsid w:val="005202AD"/>
    <w:rsid w:val="005211B4"/>
    <w:rsid w:val="005211FB"/>
    <w:rsid w:val="0052134F"/>
    <w:rsid w:val="00521F68"/>
    <w:rsid w:val="005238F8"/>
    <w:rsid w:val="00524A19"/>
    <w:rsid w:val="00524D95"/>
    <w:rsid w:val="00524ED6"/>
    <w:rsid w:val="00525003"/>
    <w:rsid w:val="005263B4"/>
    <w:rsid w:val="005300E0"/>
    <w:rsid w:val="005309A0"/>
    <w:rsid w:val="005309A1"/>
    <w:rsid w:val="0053175D"/>
    <w:rsid w:val="00531EF2"/>
    <w:rsid w:val="00532C53"/>
    <w:rsid w:val="00534B6A"/>
    <w:rsid w:val="00534F23"/>
    <w:rsid w:val="0053506B"/>
    <w:rsid w:val="00535AB2"/>
    <w:rsid w:val="00536D80"/>
    <w:rsid w:val="005374BC"/>
    <w:rsid w:val="005378D0"/>
    <w:rsid w:val="0054055A"/>
    <w:rsid w:val="0054079F"/>
    <w:rsid w:val="00540CCC"/>
    <w:rsid w:val="00541029"/>
    <w:rsid w:val="005427A0"/>
    <w:rsid w:val="00543E3A"/>
    <w:rsid w:val="00544764"/>
    <w:rsid w:val="00544D10"/>
    <w:rsid w:val="0055021A"/>
    <w:rsid w:val="0055411B"/>
    <w:rsid w:val="00554DF2"/>
    <w:rsid w:val="005554DB"/>
    <w:rsid w:val="00555EBF"/>
    <w:rsid w:val="0055680F"/>
    <w:rsid w:val="0055767F"/>
    <w:rsid w:val="005601A5"/>
    <w:rsid w:val="0056058A"/>
    <w:rsid w:val="0056199C"/>
    <w:rsid w:val="00563CDA"/>
    <w:rsid w:val="00563E77"/>
    <w:rsid w:val="005641C1"/>
    <w:rsid w:val="00564D97"/>
    <w:rsid w:val="00565699"/>
    <w:rsid w:val="00566C67"/>
    <w:rsid w:val="00566FE6"/>
    <w:rsid w:val="00570658"/>
    <w:rsid w:val="00570D1B"/>
    <w:rsid w:val="00572027"/>
    <w:rsid w:val="00572697"/>
    <w:rsid w:val="0057283C"/>
    <w:rsid w:val="00572EC5"/>
    <w:rsid w:val="005730C9"/>
    <w:rsid w:val="0057329C"/>
    <w:rsid w:val="005742B2"/>
    <w:rsid w:val="00575B73"/>
    <w:rsid w:val="00575C65"/>
    <w:rsid w:val="0057625E"/>
    <w:rsid w:val="0057707E"/>
    <w:rsid w:val="0057768A"/>
    <w:rsid w:val="0058023D"/>
    <w:rsid w:val="005811BF"/>
    <w:rsid w:val="0058153E"/>
    <w:rsid w:val="00581EFB"/>
    <w:rsid w:val="005826B7"/>
    <w:rsid w:val="00582A83"/>
    <w:rsid w:val="00582F72"/>
    <w:rsid w:val="00583ECB"/>
    <w:rsid w:val="00584620"/>
    <w:rsid w:val="005855BD"/>
    <w:rsid w:val="00585B34"/>
    <w:rsid w:val="005870F0"/>
    <w:rsid w:val="00587B27"/>
    <w:rsid w:val="00590168"/>
    <w:rsid w:val="005907B7"/>
    <w:rsid w:val="00591F9D"/>
    <w:rsid w:val="00593704"/>
    <w:rsid w:val="00595227"/>
    <w:rsid w:val="00595698"/>
    <w:rsid w:val="005957F8"/>
    <w:rsid w:val="00595CFB"/>
    <w:rsid w:val="005968BD"/>
    <w:rsid w:val="00596F37"/>
    <w:rsid w:val="00597215"/>
    <w:rsid w:val="0059726D"/>
    <w:rsid w:val="00597773"/>
    <w:rsid w:val="005978BA"/>
    <w:rsid w:val="005A0176"/>
    <w:rsid w:val="005A1476"/>
    <w:rsid w:val="005A2682"/>
    <w:rsid w:val="005A31DC"/>
    <w:rsid w:val="005A39AF"/>
    <w:rsid w:val="005A44A6"/>
    <w:rsid w:val="005A4908"/>
    <w:rsid w:val="005A53C2"/>
    <w:rsid w:val="005A7374"/>
    <w:rsid w:val="005B0A98"/>
    <w:rsid w:val="005B1F57"/>
    <w:rsid w:val="005B2A9B"/>
    <w:rsid w:val="005B3E67"/>
    <w:rsid w:val="005B4DAF"/>
    <w:rsid w:val="005B5B20"/>
    <w:rsid w:val="005B5F46"/>
    <w:rsid w:val="005B604B"/>
    <w:rsid w:val="005B7172"/>
    <w:rsid w:val="005B73BD"/>
    <w:rsid w:val="005B75DA"/>
    <w:rsid w:val="005B77D7"/>
    <w:rsid w:val="005C0355"/>
    <w:rsid w:val="005C0EF0"/>
    <w:rsid w:val="005C1210"/>
    <w:rsid w:val="005C17C3"/>
    <w:rsid w:val="005C17F7"/>
    <w:rsid w:val="005C240D"/>
    <w:rsid w:val="005C260C"/>
    <w:rsid w:val="005C2736"/>
    <w:rsid w:val="005C421F"/>
    <w:rsid w:val="005C430C"/>
    <w:rsid w:val="005C4BBB"/>
    <w:rsid w:val="005C4F27"/>
    <w:rsid w:val="005C5F33"/>
    <w:rsid w:val="005C62D1"/>
    <w:rsid w:val="005C7061"/>
    <w:rsid w:val="005C7B4F"/>
    <w:rsid w:val="005D06A6"/>
    <w:rsid w:val="005D0E58"/>
    <w:rsid w:val="005D0FD6"/>
    <w:rsid w:val="005D17D4"/>
    <w:rsid w:val="005D1EEE"/>
    <w:rsid w:val="005D2787"/>
    <w:rsid w:val="005D2D7D"/>
    <w:rsid w:val="005D6C4B"/>
    <w:rsid w:val="005D6D2C"/>
    <w:rsid w:val="005D6EDD"/>
    <w:rsid w:val="005D704D"/>
    <w:rsid w:val="005D7481"/>
    <w:rsid w:val="005E1234"/>
    <w:rsid w:val="005E1660"/>
    <w:rsid w:val="005E1CDD"/>
    <w:rsid w:val="005E29A3"/>
    <w:rsid w:val="005E5DCC"/>
    <w:rsid w:val="005E6C4F"/>
    <w:rsid w:val="005E6D0B"/>
    <w:rsid w:val="005E6D24"/>
    <w:rsid w:val="005E7292"/>
    <w:rsid w:val="005E759B"/>
    <w:rsid w:val="005F0C95"/>
    <w:rsid w:val="005F19F5"/>
    <w:rsid w:val="005F1AD5"/>
    <w:rsid w:val="005F2261"/>
    <w:rsid w:val="005F2E98"/>
    <w:rsid w:val="005F31A9"/>
    <w:rsid w:val="005F3840"/>
    <w:rsid w:val="005F453F"/>
    <w:rsid w:val="005F4797"/>
    <w:rsid w:val="005F55D5"/>
    <w:rsid w:val="005F5927"/>
    <w:rsid w:val="005F616A"/>
    <w:rsid w:val="005F633F"/>
    <w:rsid w:val="005F644E"/>
    <w:rsid w:val="005F79F8"/>
    <w:rsid w:val="006001FF"/>
    <w:rsid w:val="0060075A"/>
    <w:rsid w:val="006007E0"/>
    <w:rsid w:val="006027B2"/>
    <w:rsid w:val="00602DB2"/>
    <w:rsid w:val="00603094"/>
    <w:rsid w:val="0060321F"/>
    <w:rsid w:val="0060430F"/>
    <w:rsid w:val="00604577"/>
    <w:rsid w:val="00604AD9"/>
    <w:rsid w:val="00604C05"/>
    <w:rsid w:val="00604C91"/>
    <w:rsid w:val="00605377"/>
    <w:rsid w:val="006053F3"/>
    <w:rsid w:val="006076AC"/>
    <w:rsid w:val="00610018"/>
    <w:rsid w:val="00610122"/>
    <w:rsid w:val="0061047C"/>
    <w:rsid w:val="00610C71"/>
    <w:rsid w:val="006111F0"/>
    <w:rsid w:val="0061175F"/>
    <w:rsid w:val="00612895"/>
    <w:rsid w:val="00612B2F"/>
    <w:rsid w:val="00613728"/>
    <w:rsid w:val="00614313"/>
    <w:rsid w:val="006162AD"/>
    <w:rsid w:val="00616B75"/>
    <w:rsid w:val="006174E3"/>
    <w:rsid w:val="00620BB2"/>
    <w:rsid w:val="006214FC"/>
    <w:rsid w:val="00624281"/>
    <w:rsid w:val="006247C9"/>
    <w:rsid w:val="006263D3"/>
    <w:rsid w:val="0062715E"/>
    <w:rsid w:val="006272E8"/>
    <w:rsid w:val="00627A76"/>
    <w:rsid w:val="006302E0"/>
    <w:rsid w:val="006303CF"/>
    <w:rsid w:val="006311BF"/>
    <w:rsid w:val="00632BDE"/>
    <w:rsid w:val="00633C8A"/>
    <w:rsid w:val="00634C87"/>
    <w:rsid w:val="006351E6"/>
    <w:rsid w:val="006358F4"/>
    <w:rsid w:val="0063701F"/>
    <w:rsid w:val="00640C24"/>
    <w:rsid w:val="0064278C"/>
    <w:rsid w:val="00642B0D"/>
    <w:rsid w:val="0064478A"/>
    <w:rsid w:val="00644C6B"/>
    <w:rsid w:val="0064584F"/>
    <w:rsid w:val="006467CD"/>
    <w:rsid w:val="0064699F"/>
    <w:rsid w:val="0064780B"/>
    <w:rsid w:val="00647B09"/>
    <w:rsid w:val="00647D14"/>
    <w:rsid w:val="0065009A"/>
    <w:rsid w:val="00650467"/>
    <w:rsid w:val="00650759"/>
    <w:rsid w:val="006514E8"/>
    <w:rsid w:val="0065179F"/>
    <w:rsid w:val="00652577"/>
    <w:rsid w:val="00653BED"/>
    <w:rsid w:val="0065402E"/>
    <w:rsid w:val="00654D8F"/>
    <w:rsid w:val="006550C1"/>
    <w:rsid w:val="00656DF8"/>
    <w:rsid w:val="00656F39"/>
    <w:rsid w:val="00657CAF"/>
    <w:rsid w:val="00657EA9"/>
    <w:rsid w:val="006607E9"/>
    <w:rsid w:val="00661F87"/>
    <w:rsid w:val="00661FBE"/>
    <w:rsid w:val="006625E1"/>
    <w:rsid w:val="00663D45"/>
    <w:rsid w:val="00663F01"/>
    <w:rsid w:val="00664636"/>
    <w:rsid w:val="00664741"/>
    <w:rsid w:val="00665D5C"/>
    <w:rsid w:val="006660E0"/>
    <w:rsid w:val="006663A8"/>
    <w:rsid w:val="00666B01"/>
    <w:rsid w:val="00667792"/>
    <w:rsid w:val="00667F0D"/>
    <w:rsid w:val="00671BF2"/>
    <w:rsid w:val="00673D44"/>
    <w:rsid w:val="0067488A"/>
    <w:rsid w:val="00675D9D"/>
    <w:rsid w:val="00675DD4"/>
    <w:rsid w:val="00676126"/>
    <w:rsid w:val="00676674"/>
    <w:rsid w:val="0067739B"/>
    <w:rsid w:val="00680128"/>
    <w:rsid w:val="00680BDE"/>
    <w:rsid w:val="00680E12"/>
    <w:rsid w:val="006815B5"/>
    <w:rsid w:val="00681CB6"/>
    <w:rsid w:val="006823D1"/>
    <w:rsid w:val="0068275E"/>
    <w:rsid w:val="00682EC6"/>
    <w:rsid w:val="00684423"/>
    <w:rsid w:val="006847C5"/>
    <w:rsid w:val="00684C3C"/>
    <w:rsid w:val="006856A7"/>
    <w:rsid w:val="00686E6C"/>
    <w:rsid w:val="00686F07"/>
    <w:rsid w:val="00687492"/>
    <w:rsid w:val="00690685"/>
    <w:rsid w:val="00690779"/>
    <w:rsid w:val="006907A0"/>
    <w:rsid w:val="00690C69"/>
    <w:rsid w:val="006916E3"/>
    <w:rsid w:val="006925C3"/>
    <w:rsid w:val="006943FF"/>
    <w:rsid w:val="00695487"/>
    <w:rsid w:val="006958C4"/>
    <w:rsid w:val="00695C1B"/>
    <w:rsid w:val="006A119B"/>
    <w:rsid w:val="006A230E"/>
    <w:rsid w:val="006A258F"/>
    <w:rsid w:val="006A2628"/>
    <w:rsid w:val="006A39C7"/>
    <w:rsid w:val="006A4B00"/>
    <w:rsid w:val="006A4F86"/>
    <w:rsid w:val="006A5BCC"/>
    <w:rsid w:val="006A5C47"/>
    <w:rsid w:val="006A6813"/>
    <w:rsid w:val="006A75F0"/>
    <w:rsid w:val="006A7A31"/>
    <w:rsid w:val="006B02D2"/>
    <w:rsid w:val="006B039E"/>
    <w:rsid w:val="006B0CDC"/>
    <w:rsid w:val="006B0E33"/>
    <w:rsid w:val="006B22B7"/>
    <w:rsid w:val="006B32AA"/>
    <w:rsid w:val="006B36AC"/>
    <w:rsid w:val="006B389E"/>
    <w:rsid w:val="006B4460"/>
    <w:rsid w:val="006B4DB6"/>
    <w:rsid w:val="006B526F"/>
    <w:rsid w:val="006B5283"/>
    <w:rsid w:val="006B6C9D"/>
    <w:rsid w:val="006B78FA"/>
    <w:rsid w:val="006B7A2B"/>
    <w:rsid w:val="006B7AA9"/>
    <w:rsid w:val="006B7E4E"/>
    <w:rsid w:val="006C0BE1"/>
    <w:rsid w:val="006C0C41"/>
    <w:rsid w:val="006C0DE0"/>
    <w:rsid w:val="006C1150"/>
    <w:rsid w:val="006C1B22"/>
    <w:rsid w:val="006C26CB"/>
    <w:rsid w:val="006C5366"/>
    <w:rsid w:val="006C5975"/>
    <w:rsid w:val="006C65D3"/>
    <w:rsid w:val="006C7ADC"/>
    <w:rsid w:val="006D0F8E"/>
    <w:rsid w:val="006D5D6D"/>
    <w:rsid w:val="006D6C95"/>
    <w:rsid w:val="006D6DF9"/>
    <w:rsid w:val="006E0EE1"/>
    <w:rsid w:val="006E1049"/>
    <w:rsid w:val="006E13F0"/>
    <w:rsid w:val="006E170E"/>
    <w:rsid w:val="006E29A2"/>
    <w:rsid w:val="006E365C"/>
    <w:rsid w:val="006E38B9"/>
    <w:rsid w:val="006E4658"/>
    <w:rsid w:val="006E5892"/>
    <w:rsid w:val="006E5B44"/>
    <w:rsid w:val="006E5DBA"/>
    <w:rsid w:val="006E6478"/>
    <w:rsid w:val="006E66BE"/>
    <w:rsid w:val="006E7241"/>
    <w:rsid w:val="006E753C"/>
    <w:rsid w:val="006E77DE"/>
    <w:rsid w:val="006E7860"/>
    <w:rsid w:val="006E7B0C"/>
    <w:rsid w:val="006F0E55"/>
    <w:rsid w:val="006F2726"/>
    <w:rsid w:val="006F2E30"/>
    <w:rsid w:val="006F3DC9"/>
    <w:rsid w:val="006F401F"/>
    <w:rsid w:val="006F4092"/>
    <w:rsid w:val="006F5741"/>
    <w:rsid w:val="006F5BB3"/>
    <w:rsid w:val="006F5BC7"/>
    <w:rsid w:val="006F729E"/>
    <w:rsid w:val="0070025F"/>
    <w:rsid w:val="0070088E"/>
    <w:rsid w:val="00700B78"/>
    <w:rsid w:val="00703949"/>
    <w:rsid w:val="00704C19"/>
    <w:rsid w:val="00704D7A"/>
    <w:rsid w:val="00704E2E"/>
    <w:rsid w:val="00705F8A"/>
    <w:rsid w:val="00707989"/>
    <w:rsid w:val="00707CAE"/>
    <w:rsid w:val="00710A8E"/>
    <w:rsid w:val="00710E2E"/>
    <w:rsid w:val="007111BC"/>
    <w:rsid w:val="00711D64"/>
    <w:rsid w:val="007120EC"/>
    <w:rsid w:val="007143B3"/>
    <w:rsid w:val="00714A26"/>
    <w:rsid w:val="00715809"/>
    <w:rsid w:val="007166D6"/>
    <w:rsid w:val="00716D35"/>
    <w:rsid w:val="00721424"/>
    <w:rsid w:val="00721856"/>
    <w:rsid w:val="00722195"/>
    <w:rsid w:val="00723EC6"/>
    <w:rsid w:val="00724337"/>
    <w:rsid w:val="00724851"/>
    <w:rsid w:val="00724A68"/>
    <w:rsid w:val="00726F85"/>
    <w:rsid w:val="007270AB"/>
    <w:rsid w:val="007270E4"/>
    <w:rsid w:val="0072778A"/>
    <w:rsid w:val="00727BD7"/>
    <w:rsid w:val="00727F4E"/>
    <w:rsid w:val="0073024C"/>
    <w:rsid w:val="0073065B"/>
    <w:rsid w:val="007308C4"/>
    <w:rsid w:val="00730A26"/>
    <w:rsid w:val="00730E9B"/>
    <w:rsid w:val="007321FC"/>
    <w:rsid w:val="007325A1"/>
    <w:rsid w:val="00732762"/>
    <w:rsid w:val="0073334D"/>
    <w:rsid w:val="00733A0E"/>
    <w:rsid w:val="00733EB2"/>
    <w:rsid w:val="00734427"/>
    <w:rsid w:val="00734A70"/>
    <w:rsid w:val="00734E02"/>
    <w:rsid w:val="00735386"/>
    <w:rsid w:val="00735BAB"/>
    <w:rsid w:val="00736460"/>
    <w:rsid w:val="007369C3"/>
    <w:rsid w:val="00736F07"/>
    <w:rsid w:val="00737519"/>
    <w:rsid w:val="007376BA"/>
    <w:rsid w:val="00737931"/>
    <w:rsid w:val="007409C7"/>
    <w:rsid w:val="00740A62"/>
    <w:rsid w:val="00741140"/>
    <w:rsid w:val="007420D2"/>
    <w:rsid w:val="00742398"/>
    <w:rsid w:val="007430A4"/>
    <w:rsid w:val="00743E8B"/>
    <w:rsid w:val="007442A3"/>
    <w:rsid w:val="00744549"/>
    <w:rsid w:val="00744ED5"/>
    <w:rsid w:val="00744FF7"/>
    <w:rsid w:val="0074533B"/>
    <w:rsid w:val="0075089B"/>
    <w:rsid w:val="00751DF2"/>
    <w:rsid w:val="00752505"/>
    <w:rsid w:val="00752968"/>
    <w:rsid w:val="0075317B"/>
    <w:rsid w:val="007533A3"/>
    <w:rsid w:val="00753577"/>
    <w:rsid w:val="00754AF3"/>
    <w:rsid w:val="00754EFE"/>
    <w:rsid w:val="007554DA"/>
    <w:rsid w:val="00757353"/>
    <w:rsid w:val="007579BC"/>
    <w:rsid w:val="00760728"/>
    <w:rsid w:val="0076098F"/>
    <w:rsid w:val="00761539"/>
    <w:rsid w:val="007618E8"/>
    <w:rsid w:val="00761CDE"/>
    <w:rsid w:val="00761D6D"/>
    <w:rsid w:val="007621EE"/>
    <w:rsid w:val="00762BB1"/>
    <w:rsid w:val="0076404D"/>
    <w:rsid w:val="007648BE"/>
    <w:rsid w:val="00765056"/>
    <w:rsid w:val="00765365"/>
    <w:rsid w:val="00765735"/>
    <w:rsid w:val="00766606"/>
    <w:rsid w:val="00766D0A"/>
    <w:rsid w:val="0076724C"/>
    <w:rsid w:val="0076773C"/>
    <w:rsid w:val="00767CFB"/>
    <w:rsid w:val="00767E9C"/>
    <w:rsid w:val="007718B3"/>
    <w:rsid w:val="00771B0E"/>
    <w:rsid w:val="00771B45"/>
    <w:rsid w:val="00771FA1"/>
    <w:rsid w:val="00771FB8"/>
    <w:rsid w:val="00772F96"/>
    <w:rsid w:val="00773B86"/>
    <w:rsid w:val="007742D6"/>
    <w:rsid w:val="00774F23"/>
    <w:rsid w:val="00775C1B"/>
    <w:rsid w:val="00775EBB"/>
    <w:rsid w:val="007761AA"/>
    <w:rsid w:val="0077660B"/>
    <w:rsid w:val="0077768C"/>
    <w:rsid w:val="00777C51"/>
    <w:rsid w:val="00777E0A"/>
    <w:rsid w:val="0078032D"/>
    <w:rsid w:val="00780949"/>
    <w:rsid w:val="007822EA"/>
    <w:rsid w:val="00783467"/>
    <w:rsid w:val="00783EB5"/>
    <w:rsid w:val="0078463E"/>
    <w:rsid w:val="00785982"/>
    <w:rsid w:val="00786307"/>
    <w:rsid w:val="00786D28"/>
    <w:rsid w:val="00786DBA"/>
    <w:rsid w:val="00791512"/>
    <w:rsid w:val="0079229B"/>
    <w:rsid w:val="007924E5"/>
    <w:rsid w:val="0079286E"/>
    <w:rsid w:val="00792BD4"/>
    <w:rsid w:val="0079402B"/>
    <w:rsid w:val="00794542"/>
    <w:rsid w:val="00797068"/>
    <w:rsid w:val="00797765"/>
    <w:rsid w:val="007977B3"/>
    <w:rsid w:val="007A02F6"/>
    <w:rsid w:val="007A108E"/>
    <w:rsid w:val="007A3198"/>
    <w:rsid w:val="007A3E05"/>
    <w:rsid w:val="007A4789"/>
    <w:rsid w:val="007A5928"/>
    <w:rsid w:val="007A5A6A"/>
    <w:rsid w:val="007A6F13"/>
    <w:rsid w:val="007A741F"/>
    <w:rsid w:val="007A74AF"/>
    <w:rsid w:val="007A7A93"/>
    <w:rsid w:val="007B0254"/>
    <w:rsid w:val="007B076A"/>
    <w:rsid w:val="007B0CA2"/>
    <w:rsid w:val="007B0E08"/>
    <w:rsid w:val="007B0E8D"/>
    <w:rsid w:val="007B3290"/>
    <w:rsid w:val="007B3C55"/>
    <w:rsid w:val="007B4A20"/>
    <w:rsid w:val="007B50CE"/>
    <w:rsid w:val="007B5291"/>
    <w:rsid w:val="007B5EE8"/>
    <w:rsid w:val="007B612C"/>
    <w:rsid w:val="007B669E"/>
    <w:rsid w:val="007B6FED"/>
    <w:rsid w:val="007B7E95"/>
    <w:rsid w:val="007C036E"/>
    <w:rsid w:val="007C24A1"/>
    <w:rsid w:val="007C2D42"/>
    <w:rsid w:val="007C3126"/>
    <w:rsid w:val="007C4200"/>
    <w:rsid w:val="007C42AF"/>
    <w:rsid w:val="007C4862"/>
    <w:rsid w:val="007C633E"/>
    <w:rsid w:val="007C6790"/>
    <w:rsid w:val="007C6A02"/>
    <w:rsid w:val="007C6D07"/>
    <w:rsid w:val="007C6F5B"/>
    <w:rsid w:val="007D076D"/>
    <w:rsid w:val="007D0DED"/>
    <w:rsid w:val="007D12DA"/>
    <w:rsid w:val="007D32EC"/>
    <w:rsid w:val="007D3CD6"/>
    <w:rsid w:val="007D6420"/>
    <w:rsid w:val="007D7E51"/>
    <w:rsid w:val="007E0699"/>
    <w:rsid w:val="007E1302"/>
    <w:rsid w:val="007E1F1E"/>
    <w:rsid w:val="007E20C6"/>
    <w:rsid w:val="007E22E1"/>
    <w:rsid w:val="007E2382"/>
    <w:rsid w:val="007E3E2C"/>
    <w:rsid w:val="007E3EEA"/>
    <w:rsid w:val="007E4ABF"/>
    <w:rsid w:val="007E54F3"/>
    <w:rsid w:val="007E6CB5"/>
    <w:rsid w:val="007E7063"/>
    <w:rsid w:val="007E76AA"/>
    <w:rsid w:val="007E79C9"/>
    <w:rsid w:val="007E7FC5"/>
    <w:rsid w:val="007F0098"/>
    <w:rsid w:val="007F0189"/>
    <w:rsid w:val="007F18A6"/>
    <w:rsid w:val="007F1912"/>
    <w:rsid w:val="007F1CA8"/>
    <w:rsid w:val="007F4603"/>
    <w:rsid w:val="007F46AC"/>
    <w:rsid w:val="007F4B09"/>
    <w:rsid w:val="007F4DAF"/>
    <w:rsid w:val="007F5221"/>
    <w:rsid w:val="007F54DE"/>
    <w:rsid w:val="007F5CA5"/>
    <w:rsid w:val="007F639D"/>
    <w:rsid w:val="007F73B5"/>
    <w:rsid w:val="007F7D35"/>
    <w:rsid w:val="007F7D9F"/>
    <w:rsid w:val="0080072C"/>
    <w:rsid w:val="00800831"/>
    <w:rsid w:val="008012F2"/>
    <w:rsid w:val="008013A7"/>
    <w:rsid w:val="00801AFD"/>
    <w:rsid w:val="00801DE3"/>
    <w:rsid w:val="0080292C"/>
    <w:rsid w:val="00803121"/>
    <w:rsid w:val="00803E8C"/>
    <w:rsid w:val="00803EFC"/>
    <w:rsid w:val="00803F3C"/>
    <w:rsid w:val="00804182"/>
    <w:rsid w:val="00805BC1"/>
    <w:rsid w:val="00806AF3"/>
    <w:rsid w:val="008074D1"/>
    <w:rsid w:val="0080773E"/>
    <w:rsid w:val="0080788B"/>
    <w:rsid w:val="00810ADB"/>
    <w:rsid w:val="00811E66"/>
    <w:rsid w:val="0081212F"/>
    <w:rsid w:val="00812444"/>
    <w:rsid w:val="008127F3"/>
    <w:rsid w:val="00814266"/>
    <w:rsid w:val="00814DEC"/>
    <w:rsid w:val="00816E4E"/>
    <w:rsid w:val="00820641"/>
    <w:rsid w:val="00820891"/>
    <w:rsid w:val="008211E3"/>
    <w:rsid w:val="0082126A"/>
    <w:rsid w:val="0082149A"/>
    <w:rsid w:val="0082614F"/>
    <w:rsid w:val="00827157"/>
    <w:rsid w:val="008272FA"/>
    <w:rsid w:val="00827645"/>
    <w:rsid w:val="0083054D"/>
    <w:rsid w:val="00830642"/>
    <w:rsid w:val="0083127B"/>
    <w:rsid w:val="00832AA6"/>
    <w:rsid w:val="00833E08"/>
    <w:rsid w:val="00833F8D"/>
    <w:rsid w:val="00834C08"/>
    <w:rsid w:val="00835666"/>
    <w:rsid w:val="00837917"/>
    <w:rsid w:val="0084057F"/>
    <w:rsid w:val="0084091D"/>
    <w:rsid w:val="00840A96"/>
    <w:rsid w:val="00840E40"/>
    <w:rsid w:val="00841C1A"/>
    <w:rsid w:val="00841DC2"/>
    <w:rsid w:val="008428A9"/>
    <w:rsid w:val="00842C04"/>
    <w:rsid w:val="008430D3"/>
    <w:rsid w:val="0084318C"/>
    <w:rsid w:val="008447BF"/>
    <w:rsid w:val="00844C80"/>
    <w:rsid w:val="008473C3"/>
    <w:rsid w:val="00850D69"/>
    <w:rsid w:val="0085230D"/>
    <w:rsid w:val="00852707"/>
    <w:rsid w:val="0085364E"/>
    <w:rsid w:val="008555DC"/>
    <w:rsid w:val="00856BE5"/>
    <w:rsid w:val="00856FE0"/>
    <w:rsid w:val="00861699"/>
    <w:rsid w:val="0086406B"/>
    <w:rsid w:val="00864BB2"/>
    <w:rsid w:val="008662FC"/>
    <w:rsid w:val="00867693"/>
    <w:rsid w:val="00867E19"/>
    <w:rsid w:val="00870C45"/>
    <w:rsid w:val="0087136E"/>
    <w:rsid w:val="0087172D"/>
    <w:rsid w:val="00872D50"/>
    <w:rsid w:val="008734F0"/>
    <w:rsid w:val="00874522"/>
    <w:rsid w:val="0087776A"/>
    <w:rsid w:val="00877EA0"/>
    <w:rsid w:val="00880F1C"/>
    <w:rsid w:val="00881312"/>
    <w:rsid w:val="00881B70"/>
    <w:rsid w:val="00882BBC"/>
    <w:rsid w:val="00884088"/>
    <w:rsid w:val="00884182"/>
    <w:rsid w:val="008855FB"/>
    <w:rsid w:val="00885693"/>
    <w:rsid w:val="00885A57"/>
    <w:rsid w:val="00885CDB"/>
    <w:rsid w:val="008867F2"/>
    <w:rsid w:val="008877B9"/>
    <w:rsid w:val="00887AE6"/>
    <w:rsid w:val="0089038D"/>
    <w:rsid w:val="008903AA"/>
    <w:rsid w:val="00890D60"/>
    <w:rsid w:val="008913F4"/>
    <w:rsid w:val="00892132"/>
    <w:rsid w:val="008930CC"/>
    <w:rsid w:val="00894434"/>
    <w:rsid w:val="00894B57"/>
    <w:rsid w:val="008956EF"/>
    <w:rsid w:val="008968A8"/>
    <w:rsid w:val="00896C13"/>
    <w:rsid w:val="00897AF1"/>
    <w:rsid w:val="008A01B7"/>
    <w:rsid w:val="008A01DA"/>
    <w:rsid w:val="008A15A4"/>
    <w:rsid w:val="008A2033"/>
    <w:rsid w:val="008A2A6F"/>
    <w:rsid w:val="008A2A78"/>
    <w:rsid w:val="008A33F7"/>
    <w:rsid w:val="008A4B5A"/>
    <w:rsid w:val="008A536C"/>
    <w:rsid w:val="008A7B7F"/>
    <w:rsid w:val="008B0D08"/>
    <w:rsid w:val="008B0D82"/>
    <w:rsid w:val="008B10B0"/>
    <w:rsid w:val="008B19B1"/>
    <w:rsid w:val="008B21A2"/>
    <w:rsid w:val="008B4543"/>
    <w:rsid w:val="008B4AB1"/>
    <w:rsid w:val="008B5804"/>
    <w:rsid w:val="008B6AD8"/>
    <w:rsid w:val="008C1187"/>
    <w:rsid w:val="008C16E3"/>
    <w:rsid w:val="008C1749"/>
    <w:rsid w:val="008C1AE7"/>
    <w:rsid w:val="008C1DAC"/>
    <w:rsid w:val="008C2572"/>
    <w:rsid w:val="008C26B0"/>
    <w:rsid w:val="008C29D0"/>
    <w:rsid w:val="008C2A14"/>
    <w:rsid w:val="008C2D1D"/>
    <w:rsid w:val="008C3AF9"/>
    <w:rsid w:val="008C3DA6"/>
    <w:rsid w:val="008C6D02"/>
    <w:rsid w:val="008C7C49"/>
    <w:rsid w:val="008D0B8A"/>
    <w:rsid w:val="008D12DB"/>
    <w:rsid w:val="008D17FB"/>
    <w:rsid w:val="008D1FC8"/>
    <w:rsid w:val="008D2716"/>
    <w:rsid w:val="008D29ED"/>
    <w:rsid w:val="008D2BCA"/>
    <w:rsid w:val="008D3132"/>
    <w:rsid w:val="008D3774"/>
    <w:rsid w:val="008D388F"/>
    <w:rsid w:val="008D3A5E"/>
    <w:rsid w:val="008D40A8"/>
    <w:rsid w:val="008D42CB"/>
    <w:rsid w:val="008D4DAE"/>
    <w:rsid w:val="008D56DE"/>
    <w:rsid w:val="008D5D38"/>
    <w:rsid w:val="008D5FB1"/>
    <w:rsid w:val="008D7A43"/>
    <w:rsid w:val="008D7BD5"/>
    <w:rsid w:val="008E074A"/>
    <w:rsid w:val="008E0E29"/>
    <w:rsid w:val="008E1A65"/>
    <w:rsid w:val="008E1F1A"/>
    <w:rsid w:val="008E1F31"/>
    <w:rsid w:val="008E23FF"/>
    <w:rsid w:val="008E2867"/>
    <w:rsid w:val="008E37A0"/>
    <w:rsid w:val="008E4CB2"/>
    <w:rsid w:val="008E549F"/>
    <w:rsid w:val="008E611B"/>
    <w:rsid w:val="008E796D"/>
    <w:rsid w:val="008F0944"/>
    <w:rsid w:val="008F1A57"/>
    <w:rsid w:val="008F27D0"/>
    <w:rsid w:val="008F2B4A"/>
    <w:rsid w:val="008F3C38"/>
    <w:rsid w:val="008F3CAD"/>
    <w:rsid w:val="008F3DE6"/>
    <w:rsid w:val="00900F9F"/>
    <w:rsid w:val="0090124A"/>
    <w:rsid w:val="00902652"/>
    <w:rsid w:val="009036EE"/>
    <w:rsid w:val="00904F0C"/>
    <w:rsid w:val="00905E0C"/>
    <w:rsid w:val="009064BA"/>
    <w:rsid w:val="009070D8"/>
    <w:rsid w:val="009075C6"/>
    <w:rsid w:val="00907A64"/>
    <w:rsid w:val="00907E86"/>
    <w:rsid w:val="00910397"/>
    <w:rsid w:val="0091334F"/>
    <w:rsid w:val="009152DE"/>
    <w:rsid w:val="009179F2"/>
    <w:rsid w:val="009202EB"/>
    <w:rsid w:val="00921241"/>
    <w:rsid w:val="0092144E"/>
    <w:rsid w:val="00921DF4"/>
    <w:rsid w:val="00921E95"/>
    <w:rsid w:val="00921EF0"/>
    <w:rsid w:val="00922888"/>
    <w:rsid w:val="00923051"/>
    <w:rsid w:val="009233E6"/>
    <w:rsid w:val="0092363F"/>
    <w:rsid w:val="00927FBD"/>
    <w:rsid w:val="009303B1"/>
    <w:rsid w:val="0093042C"/>
    <w:rsid w:val="00930729"/>
    <w:rsid w:val="0093072A"/>
    <w:rsid w:val="00930D82"/>
    <w:rsid w:val="00931537"/>
    <w:rsid w:val="0093155D"/>
    <w:rsid w:val="00931A25"/>
    <w:rsid w:val="00934577"/>
    <w:rsid w:val="00935483"/>
    <w:rsid w:val="00935839"/>
    <w:rsid w:val="009358C0"/>
    <w:rsid w:val="00936389"/>
    <w:rsid w:val="009376FC"/>
    <w:rsid w:val="009377A5"/>
    <w:rsid w:val="00937BBD"/>
    <w:rsid w:val="00940B9C"/>
    <w:rsid w:val="009427EA"/>
    <w:rsid w:val="0094353B"/>
    <w:rsid w:val="0094395C"/>
    <w:rsid w:val="00944286"/>
    <w:rsid w:val="009454FE"/>
    <w:rsid w:val="009469BA"/>
    <w:rsid w:val="009502DF"/>
    <w:rsid w:val="00950BF7"/>
    <w:rsid w:val="00950E5E"/>
    <w:rsid w:val="00952182"/>
    <w:rsid w:val="0095256A"/>
    <w:rsid w:val="00953711"/>
    <w:rsid w:val="00954235"/>
    <w:rsid w:val="00954710"/>
    <w:rsid w:val="009553D6"/>
    <w:rsid w:val="00955775"/>
    <w:rsid w:val="00957007"/>
    <w:rsid w:val="00960FE4"/>
    <w:rsid w:val="00961405"/>
    <w:rsid w:val="00961509"/>
    <w:rsid w:val="009618F3"/>
    <w:rsid w:val="00961A2A"/>
    <w:rsid w:val="00962070"/>
    <w:rsid w:val="009624FE"/>
    <w:rsid w:val="0096402C"/>
    <w:rsid w:val="009647C1"/>
    <w:rsid w:val="00964AC7"/>
    <w:rsid w:val="00965723"/>
    <w:rsid w:val="00965EE7"/>
    <w:rsid w:val="009705FB"/>
    <w:rsid w:val="0097101E"/>
    <w:rsid w:val="009716BE"/>
    <w:rsid w:val="009738C9"/>
    <w:rsid w:val="00973A8B"/>
    <w:rsid w:val="00975102"/>
    <w:rsid w:val="0097609E"/>
    <w:rsid w:val="0097659E"/>
    <w:rsid w:val="00977636"/>
    <w:rsid w:val="00977AB4"/>
    <w:rsid w:val="009805B6"/>
    <w:rsid w:val="00980D2C"/>
    <w:rsid w:val="00980D5E"/>
    <w:rsid w:val="00980E2B"/>
    <w:rsid w:val="00981600"/>
    <w:rsid w:val="009825B4"/>
    <w:rsid w:val="00983225"/>
    <w:rsid w:val="0098505C"/>
    <w:rsid w:val="00985C03"/>
    <w:rsid w:val="00985FD4"/>
    <w:rsid w:val="009863B4"/>
    <w:rsid w:val="0098670E"/>
    <w:rsid w:val="0098690B"/>
    <w:rsid w:val="00990093"/>
    <w:rsid w:val="00990912"/>
    <w:rsid w:val="00990CB3"/>
    <w:rsid w:val="009911E4"/>
    <w:rsid w:val="00992FFA"/>
    <w:rsid w:val="0099408C"/>
    <w:rsid w:val="009942BD"/>
    <w:rsid w:val="0099462D"/>
    <w:rsid w:val="00995446"/>
    <w:rsid w:val="009956B9"/>
    <w:rsid w:val="00995DD9"/>
    <w:rsid w:val="009964C3"/>
    <w:rsid w:val="00996F80"/>
    <w:rsid w:val="00997220"/>
    <w:rsid w:val="009973B0"/>
    <w:rsid w:val="009A18DA"/>
    <w:rsid w:val="009A1FBC"/>
    <w:rsid w:val="009A2441"/>
    <w:rsid w:val="009A2C38"/>
    <w:rsid w:val="009A2DFB"/>
    <w:rsid w:val="009A715A"/>
    <w:rsid w:val="009B06CA"/>
    <w:rsid w:val="009B0AAE"/>
    <w:rsid w:val="009B2160"/>
    <w:rsid w:val="009B223C"/>
    <w:rsid w:val="009B24E3"/>
    <w:rsid w:val="009B2708"/>
    <w:rsid w:val="009B2A5C"/>
    <w:rsid w:val="009B307D"/>
    <w:rsid w:val="009B3C7E"/>
    <w:rsid w:val="009B4003"/>
    <w:rsid w:val="009B4276"/>
    <w:rsid w:val="009B53DB"/>
    <w:rsid w:val="009B5591"/>
    <w:rsid w:val="009B5B12"/>
    <w:rsid w:val="009B64AD"/>
    <w:rsid w:val="009B6A6F"/>
    <w:rsid w:val="009B6DDA"/>
    <w:rsid w:val="009B708F"/>
    <w:rsid w:val="009C0580"/>
    <w:rsid w:val="009C068D"/>
    <w:rsid w:val="009C19D8"/>
    <w:rsid w:val="009C2BF7"/>
    <w:rsid w:val="009C2D88"/>
    <w:rsid w:val="009C3936"/>
    <w:rsid w:val="009C42FC"/>
    <w:rsid w:val="009C46C0"/>
    <w:rsid w:val="009C4A0E"/>
    <w:rsid w:val="009C4BAB"/>
    <w:rsid w:val="009C5365"/>
    <w:rsid w:val="009C55F2"/>
    <w:rsid w:val="009C5C15"/>
    <w:rsid w:val="009C670D"/>
    <w:rsid w:val="009D060B"/>
    <w:rsid w:val="009D1515"/>
    <w:rsid w:val="009D1A90"/>
    <w:rsid w:val="009D1D64"/>
    <w:rsid w:val="009D2BFE"/>
    <w:rsid w:val="009D40D3"/>
    <w:rsid w:val="009D4967"/>
    <w:rsid w:val="009D4986"/>
    <w:rsid w:val="009D4F40"/>
    <w:rsid w:val="009D5726"/>
    <w:rsid w:val="009D5F04"/>
    <w:rsid w:val="009D6076"/>
    <w:rsid w:val="009D70D8"/>
    <w:rsid w:val="009D7523"/>
    <w:rsid w:val="009D7D5C"/>
    <w:rsid w:val="009E0044"/>
    <w:rsid w:val="009E0310"/>
    <w:rsid w:val="009E06B9"/>
    <w:rsid w:val="009E17C0"/>
    <w:rsid w:val="009E1A83"/>
    <w:rsid w:val="009E1B00"/>
    <w:rsid w:val="009E1DCA"/>
    <w:rsid w:val="009E2CE7"/>
    <w:rsid w:val="009E2D7A"/>
    <w:rsid w:val="009E39E9"/>
    <w:rsid w:val="009E42FD"/>
    <w:rsid w:val="009E43C4"/>
    <w:rsid w:val="009E536E"/>
    <w:rsid w:val="009E55FD"/>
    <w:rsid w:val="009E719F"/>
    <w:rsid w:val="009E738D"/>
    <w:rsid w:val="009E7832"/>
    <w:rsid w:val="009E7EA0"/>
    <w:rsid w:val="009F12FB"/>
    <w:rsid w:val="009F234B"/>
    <w:rsid w:val="009F4305"/>
    <w:rsid w:val="009F6AA7"/>
    <w:rsid w:val="009F6C3A"/>
    <w:rsid w:val="009F6C7C"/>
    <w:rsid w:val="00A00833"/>
    <w:rsid w:val="00A00F89"/>
    <w:rsid w:val="00A022AA"/>
    <w:rsid w:val="00A03FD5"/>
    <w:rsid w:val="00A04586"/>
    <w:rsid w:val="00A04AD0"/>
    <w:rsid w:val="00A05917"/>
    <w:rsid w:val="00A05F17"/>
    <w:rsid w:val="00A0687C"/>
    <w:rsid w:val="00A06C16"/>
    <w:rsid w:val="00A07407"/>
    <w:rsid w:val="00A07C89"/>
    <w:rsid w:val="00A10983"/>
    <w:rsid w:val="00A110B0"/>
    <w:rsid w:val="00A1118E"/>
    <w:rsid w:val="00A12D02"/>
    <w:rsid w:val="00A13696"/>
    <w:rsid w:val="00A13DB9"/>
    <w:rsid w:val="00A14661"/>
    <w:rsid w:val="00A1470D"/>
    <w:rsid w:val="00A15E84"/>
    <w:rsid w:val="00A16FEA"/>
    <w:rsid w:val="00A176A5"/>
    <w:rsid w:val="00A17BA2"/>
    <w:rsid w:val="00A234BA"/>
    <w:rsid w:val="00A23EE6"/>
    <w:rsid w:val="00A23F38"/>
    <w:rsid w:val="00A23FD0"/>
    <w:rsid w:val="00A247CE"/>
    <w:rsid w:val="00A24A0B"/>
    <w:rsid w:val="00A24F1F"/>
    <w:rsid w:val="00A25C4E"/>
    <w:rsid w:val="00A26B7E"/>
    <w:rsid w:val="00A27CDB"/>
    <w:rsid w:val="00A30181"/>
    <w:rsid w:val="00A30D75"/>
    <w:rsid w:val="00A30DEB"/>
    <w:rsid w:val="00A33DA5"/>
    <w:rsid w:val="00A34778"/>
    <w:rsid w:val="00A36EF5"/>
    <w:rsid w:val="00A372AD"/>
    <w:rsid w:val="00A41201"/>
    <w:rsid w:val="00A41538"/>
    <w:rsid w:val="00A4165F"/>
    <w:rsid w:val="00A42B8A"/>
    <w:rsid w:val="00A43A2F"/>
    <w:rsid w:val="00A43F31"/>
    <w:rsid w:val="00A456C5"/>
    <w:rsid w:val="00A45BEC"/>
    <w:rsid w:val="00A46091"/>
    <w:rsid w:val="00A46476"/>
    <w:rsid w:val="00A46557"/>
    <w:rsid w:val="00A46FEA"/>
    <w:rsid w:val="00A47C75"/>
    <w:rsid w:val="00A50BBF"/>
    <w:rsid w:val="00A51D43"/>
    <w:rsid w:val="00A51DED"/>
    <w:rsid w:val="00A520B7"/>
    <w:rsid w:val="00A53010"/>
    <w:rsid w:val="00A531A6"/>
    <w:rsid w:val="00A531DD"/>
    <w:rsid w:val="00A53CF6"/>
    <w:rsid w:val="00A54706"/>
    <w:rsid w:val="00A55AA6"/>
    <w:rsid w:val="00A56353"/>
    <w:rsid w:val="00A5686B"/>
    <w:rsid w:val="00A56DAB"/>
    <w:rsid w:val="00A56DB0"/>
    <w:rsid w:val="00A576F6"/>
    <w:rsid w:val="00A60958"/>
    <w:rsid w:val="00A60E94"/>
    <w:rsid w:val="00A60EA5"/>
    <w:rsid w:val="00A61527"/>
    <w:rsid w:val="00A61D86"/>
    <w:rsid w:val="00A6245E"/>
    <w:rsid w:val="00A64E55"/>
    <w:rsid w:val="00A6663E"/>
    <w:rsid w:val="00A666E5"/>
    <w:rsid w:val="00A6777E"/>
    <w:rsid w:val="00A7120C"/>
    <w:rsid w:val="00A71C52"/>
    <w:rsid w:val="00A72B85"/>
    <w:rsid w:val="00A738D4"/>
    <w:rsid w:val="00A73F25"/>
    <w:rsid w:val="00A74D80"/>
    <w:rsid w:val="00A7617C"/>
    <w:rsid w:val="00A76A5E"/>
    <w:rsid w:val="00A771B4"/>
    <w:rsid w:val="00A77E05"/>
    <w:rsid w:val="00A80931"/>
    <w:rsid w:val="00A80C2D"/>
    <w:rsid w:val="00A81128"/>
    <w:rsid w:val="00A8125A"/>
    <w:rsid w:val="00A81D80"/>
    <w:rsid w:val="00A82853"/>
    <w:rsid w:val="00A82EAE"/>
    <w:rsid w:val="00A834A9"/>
    <w:rsid w:val="00A849D9"/>
    <w:rsid w:val="00A84F20"/>
    <w:rsid w:val="00A850C9"/>
    <w:rsid w:val="00A855F3"/>
    <w:rsid w:val="00A856FC"/>
    <w:rsid w:val="00A867AF"/>
    <w:rsid w:val="00A87580"/>
    <w:rsid w:val="00A95173"/>
    <w:rsid w:val="00A9682C"/>
    <w:rsid w:val="00A96B25"/>
    <w:rsid w:val="00A96F3A"/>
    <w:rsid w:val="00A975AC"/>
    <w:rsid w:val="00A97940"/>
    <w:rsid w:val="00A97997"/>
    <w:rsid w:val="00AA000B"/>
    <w:rsid w:val="00AA0799"/>
    <w:rsid w:val="00AA09D5"/>
    <w:rsid w:val="00AA0D48"/>
    <w:rsid w:val="00AA3133"/>
    <w:rsid w:val="00AA3710"/>
    <w:rsid w:val="00AA375E"/>
    <w:rsid w:val="00AA4606"/>
    <w:rsid w:val="00AA49A6"/>
    <w:rsid w:val="00AA6CE0"/>
    <w:rsid w:val="00AA6F9A"/>
    <w:rsid w:val="00AA79FE"/>
    <w:rsid w:val="00AB029E"/>
    <w:rsid w:val="00AB0C36"/>
    <w:rsid w:val="00AB22BB"/>
    <w:rsid w:val="00AB2F3C"/>
    <w:rsid w:val="00AB2FB3"/>
    <w:rsid w:val="00AB4242"/>
    <w:rsid w:val="00AB4406"/>
    <w:rsid w:val="00AB44D2"/>
    <w:rsid w:val="00AB4637"/>
    <w:rsid w:val="00AB6B85"/>
    <w:rsid w:val="00AC0236"/>
    <w:rsid w:val="00AC1444"/>
    <w:rsid w:val="00AC16B0"/>
    <w:rsid w:val="00AC1DF6"/>
    <w:rsid w:val="00AC1EF4"/>
    <w:rsid w:val="00AC1F68"/>
    <w:rsid w:val="00AC2142"/>
    <w:rsid w:val="00AC35C8"/>
    <w:rsid w:val="00AC3613"/>
    <w:rsid w:val="00AC3678"/>
    <w:rsid w:val="00AC3BFC"/>
    <w:rsid w:val="00AC3EF4"/>
    <w:rsid w:val="00AC4649"/>
    <w:rsid w:val="00AC49B1"/>
    <w:rsid w:val="00AC55B8"/>
    <w:rsid w:val="00AC624F"/>
    <w:rsid w:val="00AC6AA4"/>
    <w:rsid w:val="00AC7844"/>
    <w:rsid w:val="00AD1A89"/>
    <w:rsid w:val="00AD2F58"/>
    <w:rsid w:val="00AD2F59"/>
    <w:rsid w:val="00AD3212"/>
    <w:rsid w:val="00AD3565"/>
    <w:rsid w:val="00AD4A6D"/>
    <w:rsid w:val="00AD4AE9"/>
    <w:rsid w:val="00AD4C5B"/>
    <w:rsid w:val="00AD590A"/>
    <w:rsid w:val="00AD64B6"/>
    <w:rsid w:val="00AD6C09"/>
    <w:rsid w:val="00AD70C6"/>
    <w:rsid w:val="00AE0117"/>
    <w:rsid w:val="00AE0815"/>
    <w:rsid w:val="00AE2AC0"/>
    <w:rsid w:val="00AE5099"/>
    <w:rsid w:val="00AE5794"/>
    <w:rsid w:val="00AE6C46"/>
    <w:rsid w:val="00AE6EE7"/>
    <w:rsid w:val="00AE7358"/>
    <w:rsid w:val="00AE74F2"/>
    <w:rsid w:val="00AF03FB"/>
    <w:rsid w:val="00AF07B3"/>
    <w:rsid w:val="00AF0DDA"/>
    <w:rsid w:val="00AF2820"/>
    <w:rsid w:val="00AF2BE7"/>
    <w:rsid w:val="00AF324C"/>
    <w:rsid w:val="00AF3640"/>
    <w:rsid w:val="00AF3845"/>
    <w:rsid w:val="00AF39C7"/>
    <w:rsid w:val="00AF3B27"/>
    <w:rsid w:val="00AF4ADA"/>
    <w:rsid w:val="00AF59B7"/>
    <w:rsid w:val="00AF6463"/>
    <w:rsid w:val="00B001A9"/>
    <w:rsid w:val="00B001C3"/>
    <w:rsid w:val="00B01069"/>
    <w:rsid w:val="00B0111C"/>
    <w:rsid w:val="00B019CA"/>
    <w:rsid w:val="00B01A03"/>
    <w:rsid w:val="00B01B48"/>
    <w:rsid w:val="00B0249D"/>
    <w:rsid w:val="00B03535"/>
    <w:rsid w:val="00B03869"/>
    <w:rsid w:val="00B043CF"/>
    <w:rsid w:val="00B046F9"/>
    <w:rsid w:val="00B04777"/>
    <w:rsid w:val="00B05144"/>
    <w:rsid w:val="00B069BD"/>
    <w:rsid w:val="00B07B57"/>
    <w:rsid w:val="00B10714"/>
    <w:rsid w:val="00B10E96"/>
    <w:rsid w:val="00B1404B"/>
    <w:rsid w:val="00B14263"/>
    <w:rsid w:val="00B1477F"/>
    <w:rsid w:val="00B15251"/>
    <w:rsid w:val="00B160D4"/>
    <w:rsid w:val="00B171E1"/>
    <w:rsid w:val="00B174DD"/>
    <w:rsid w:val="00B1768B"/>
    <w:rsid w:val="00B20C69"/>
    <w:rsid w:val="00B211DF"/>
    <w:rsid w:val="00B2183A"/>
    <w:rsid w:val="00B22B4D"/>
    <w:rsid w:val="00B23197"/>
    <w:rsid w:val="00B23804"/>
    <w:rsid w:val="00B268B7"/>
    <w:rsid w:val="00B2702C"/>
    <w:rsid w:val="00B27039"/>
    <w:rsid w:val="00B277D4"/>
    <w:rsid w:val="00B27C9A"/>
    <w:rsid w:val="00B3080A"/>
    <w:rsid w:val="00B30CDF"/>
    <w:rsid w:val="00B31F82"/>
    <w:rsid w:val="00B32463"/>
    <w:rsid w:val="00B32A8C"/>
    <w:rsid w:val="00B33397"/>
    <w:rsid w:val="00B3339A"/>
    <w:rsid w:val="00B333D7"/>
    <w:rsid w:val="00B33447"/>
    <w:rsid w:val="00B335CB"/>
    <w:rsid w:val="00B34648"/>
    <w:rsid w:val="00B35154"/>
    <w:rsid w:val="00B357A0"/>
    <w:rsid w:val="00B35EA2"/>
    <w:rsid w:val="00B35EAD"/>
    <w:rsid w:val="00B36B3A"/>
    <w:rsid w:val="00B37934"/>
    <w:rsid w:val="00B41C2F"/>
    <w:rsid w:val="00B446FE"/>
    <w:rsid w:val="00B45008"/>
    <w:rsid w:val="00B45663"/>
    <w:rsid w:val="00B46266"/>
    <w:rsid w:val="00B47339"/>
    <w:rsid w:val="00B474EB"/>
    <w:rsid w:val="00B47A89"/>
    <w:rsid w:val="00B47E2D"/>
    <w:rsid w:val="00B51249"/>
    <w:rsid w:val="00B51835"/>
    <w:rsid w:val="00B52D3D"/>
    <w:rsid w:val="00B54063"/>
    <w:rsid w:val="00B54FF4"/>
    <w:rsid w:val="00B56674"/>
    <w:rsid w:val="00B57344"/>
    <w:rsid w:val="00B578E5"/>
    <w:rsid w:val="00B60AAE"/>
    <w:rsid w:val="00B6214F"/>
    <w:rsid w:val="00B621AB"/>
    <w:rsid w:val="00B6392D"/>
    <w:rsid w:val="00B63E86"/>
    <w:rsid w:val="00B6403F"/>
    <w:rsid w:val="00B65052"/>
    <w:rsid w:val="00B65316"/>
    <w:rsid w:val="00B665DF"/>
    <w:rsid w:val="00B673AA"/>
    <w:rsid w:val="00B70BE6"/>
    <w:rsid w:val="00B727B9"/>
    <w:rsid w:val="00B73C7C"/>
    <w:rsid w:val="00B73D64"/>
    <w:rsid w:val="00B75353"/>
    <w:rsid w:val="00B7654A"/>
    <w:rsid w:val="00B76DD4"/>
    <w:rsid w:val="00B76DF2"/>
    <w:rsid w:val="00B80E0F"/>
    <w:rsid w:val="00B80EE3"/>
    <w:rsid w:val="00B81ACF"/>
    <w:rsid w:val="00B82122"/>
    <w:rsid w:val="00B8265B"/>
    <w:rsid w:val="00B83DEB"/>
    <w:rsid w:val="00B84944"/>
    <w:rsid w:val="00B84FC2"/>
    <w:rsid w:val="00B8503F"/>
    <w:rsid w:val="00B851FA"/>
    <w:rsid w:val="00B86A4E"/>
    <w:rsid w:val="00B90696"/>
    <w:rsid w:val="00B90CD9"/>
    <w:rsid w:val="00B93083"/>
    <w:rsid w:val="00B95314"/>
    <w:rsid w:val="00B95642"/>
    <w:rsid w:val="00B96675"/>
    <w:rsid w:val="00B97173"/>
    <w:rsid w:val="00BA097B"/>
    <w:rsid w:val="00BA0AD7"/>
    <w:rsid w:val="00BA7D46"/>
    <w:rsid w:val="00BA7D8E"/>
    <w:rsid w:val="00BB01D6"/>
    <w:rsid w:val="00BB1087"/>
    <w:rsid w:val="00BB1830"/>
    <w:rsid w:val="00BB205B"/>
    <w:rsid w:val="00BB5569"/>
    <w:rsid w:val="00BB641F"/>
    <w:rsid w:val="00BB6624"/>
    <w:rsid w:val="00BB6BD8"/>
    <w:rsid w:val="00BB76FA"/>
    <w:rsid w:val="00BB7BA9"/>
    <w:rsid w:val="00BC051F"/>
    <w:rsid w:val="00BC133C"/>
    <w:rsid w:val="00BC2113"/>
    <w:rsid w:val="00BC2523"/>
    <w:rsid w:val="00BC2FAA"/>
    <w:rsid w:val="00BC313D"/>
    <w:rsid w:val="00BC4FD0"/>
    <w:rsid w:val="00BC5201"/>
    <w:rsid w:val="00BC5A2F"/>
    <w:rsid w:val="00BC6995"/>
    <w:rsid w:val="00BD0B00"/>
    <w:rsid w:val="00BD0B55"/>
    <w:rsid w:val="00BD23E8"/>
    <w:rsid w:val="00BD26A2"/>
    <w:rsid w:val="00BD2A81"/>
    <w:rsid w:val="00BD3BEC"/>
    <w:rsid w:val="00BD3F3A"/>
    <w:rsid w:val="00BD4683"/>
    <w:rsid w:val="00BD52A1"/>
    <w:rsid w:val="00BD5947"/>
    <w:rsid w:val="00BD6A38"/>
    <w:rsid w:val="00BD7494"/>
    <w:rsid w:val="00BD7541"/>
    <w:rsid w:val="00BD757F"/>
    <w:rsid w:val="00BD7B68"/>
    <w:rsid w:val="00BE00DA"/>
    <w:rsid w:val="00BE1146"/>
    <w:rsid w:val="00BE385B"/>
    <w:rsid w:val="00BE4355"/>
    <w:rsid w:val="00BE4614"/>
    <w:rsid w:val="00BE4962"/>
    <w:rsid w:val="00BE5C08"/>
    <w:rsid w:val="00BE5D74"/>
    <w:rsid w:val="00BE60BE"/>
    <w:rsid w:val="00BE65E5"/>
    <w:rsid w:val="00BE65FB"/>
    <w:rsid w:val="00BE6747"/>
    <w:rsid w:val="00BE6D36"/>
    <w:rsid w:val="00BF0484"/>
    <w:rsid w:val="00BF05D2"/>
    <w:rsid w:val="00BF0FE1"/>
    <w:rsid w:val="00BF1517"/>
    <w:rsid w:val="00BF171C"/>
    <w:rsid w:val="00BF44DD"/>
    <w:rsid w:val="00BF4DA5"/>
    <w:rsid w:val="00BF4F07"/>
    <w:rsid w:val="00BF5241"/>
    <w:rsid w:val="00BF5EFE"/>
    <w:rsid w:val="00BF6138"/>
    <w:rsid w:val="00BF6299"/>
    <w:rsid w:val="00BF6474"/>
    <w:rsid w:val="00BF6775"/>
    <w:rsid w:val="00BF6ABC"/>
    <w:rsid w:val="00BF7419"/>
    <w:rsid w:val="00BF7A3D"/>
    <w:rsid w:val="00C00295"/>
    <w:rsid w:val="00C0054B"/>
    <w:rsid w:val="00C0103D"/>
    <w:rsid w:val="00C01757"/>
    <w:rsid w:val="00C01FC1"/>
    <w:rsid w:val="00C030C8"/>
    <w:rsid w:val="00C03771"/>
    <w:rsid w:val="00C03C0A"/>
    <w:rsid w:val="00C046F8"/>
    <w:rsid w:val="00C04C44"/>
    <w:rsid w:val="00C0542A"/>
    <w:rsid w:val="00C1003E"/>
    <w:rsid w:val="00C114DE"/>
    <w:rsid w:val="00C14AB1"/>
    <w:rsid w:val="00C156F5"/>
    <w:rsid w:val="00C16588"/>
    <w:rsid w:val="00C168B6"/>
    <w:rsid w:val="00C168DE"/>
    <w:rsid w:val="00C16902"/>
    <w:rsid w:val="00C16EED"/>
    <w:rsid w:val="00C16F7D"/>
    <w:rsid w:val="00C17DA3"/>
    <w:rsid w:val="00C20F41"/>
    <w:rsid w:val="00C2112A"/>
    <w:rsid w:val="00C2124F"/>
    <w:rsid w:val="00C21289"/>
    <w:rsid w:val="00C21890"/>
    <w:rsid w:val="00C219B3"/>
    <w:rsid w:val="00C21C39"/>
    <w:rsid w:val="00C2278D"/>
    <w:rsid w:val="00C22E78"/>
    <w:rsid w:val="00C245B5"/>
    <w:rsid w:val="00C24788"/>
    <w:rsid w:val="00C24EDF"/>
    <w:rsid w:val="00C253E3"/>
    <w:rsid w:val="00C25CB2"/>
    <w:rsid w:val="00C25F13"/>
    <w:rsid w:val="00C260B9"/>
    <w:rsid w:val="00C26FAD"/>
    <w:rsid w:val="00C2762E"/>
    <w:rsid w:val="00C31479"/>
    <w:rsid w:val="00C31700"/>
    <w:rsid w:val="00C31B31"/>
    <w:rsid w:val="00C31E89"/>
    <w:rsid w:val="00C334F6"/>
    <w:rsid w:val="00C33950"/>
    <w:rsid w:val="00C33A88"/>
    <w:rsid w:val="00C34751"/>
    <w:rsid w:val="00C34EB1"/>
    <w:rsid w:val="00C36702"/>
    <w:rsid w:val="00C378DA"/>
    <w:rsid w:val="00C37CD0"/>
    <w:rsid w:val="00C37E1C"/>
    <w:rsid w:val="00C4034C"/>
    <w:rsid w:val="00C40A48"/>
    <w:rsid w:val="00C40E14"/>
    <w:rsid w:val="00C41C69"/>
    <w:rsid w:val="00C41CD3"/>
    <w:rsid w:val="00C42114"/>
    <w:rsid w:val="00C4393E"/>
    <w:rsid w:val="00C4575F"/>
    <w:rsid w:val="00C46402"/>
    <w:rsid w:val="00C468B7"/>
    <w:rsid w:val="00C46D5B"/>
    <w:rsid w:val="00C47363"/>
    <w:rsid w:val="00C47A98"/>
    <w:rsid w:val="00C5119C"/>
    <w:rsid w:val="00C52814"/>
    <w:rsid w:val="00C52AD6"/>
    <w:rsid w:val="00C53631"/>
    <w:rsid w:val="00C5396D"/>
    <w:rsid w:val="00C53D6E"/>
    <w:rsid w:val="00C55268"/>
    <w:rsid w:val="00C556D5"/>
    <w:rsid w:val="00C571F6"/>
    <w:rsid w:val="00C572E2"/>
    <w:rsid w:val="00C57B9A"/>
    <w:rsid w:val="00C60406"/>
    <w:rsid w:val="00C60C19"/>
    <w:rsid w:val="00C62D3A"/>
    <w:rsid w:val="00C639B6"/>
    <w:rsid w:val="00C643DF"/>
    <w:rsid w:val="00C653B8"/>
    <w:rsid w:val="00C65A0C"/>
    <w:rsid w:val="00C65C19"/>
    <w:rsid w:val="00C66A32"/>
    <w:rsid w:val="00C67ABE"/>
    <w:rsid w:val="00C67FF6"/>
    <w:rsid w:val="00C703CE"/>
    <w:rsid w:val="00C71075"/>
    <w:rsid w:val="00C71834"/>
    <w:rsid w:val="00C726C5"/>
    <w:rsid w:val="00C731D2"/>
    <w:rsid w:val="00C737D3"/>
    <w:rsid w:val="00C73D4D"/>
    <w:rsid w:val="00C744F9"/>
    <w:rsid w:val="00C753DD"/>
    <w:rsid w:val="00C75795"/>
    <w:rsid w:val="00C75CCA"/>
    <w:rsid w:val="00C75F2B"/>
    <w:rsid w:val="00C802AF"/>
    <w:rsid w:val="00C8042B"/>
    <w:rsid w:val="00C81038"/>
    <w:rsid w:val="00C815C3"/>
    <w:rsid w:val="00C82550"/>
    <w:rsid w:val="00C825D4"/>
    <w:rsid w:val="00C83004"/>
    <w:rsid w:val="00C8326A"/>
    <w:rsid w:val="00C838C8"/>
    <w:rsid w:val="00C85268"/>
    <w:rsid w:val="00C85878"/>
    <w:rsid w:val="00C86ED6"/>
    <w:rsid w:val="00C87043"/>
    <w:rsid w:val="00C87135"/>
    <w:rsid w:val="00C87835"/>
    <w:rsid w:val="00C91381"/>
    <w:rsid w:val="00C915CE"/>
    <w:rsid w:val="00C94AC7"/>
    <w:rsid w:val="00C94BCE"/>
    <w:rsid w:val="00C96587"/>
    <w:rsid w:val="00C97361"/>
    <w:rsid w:val="00CA0569"/>
    <w:rsid w:val="00CA075C"/>
    <w:rsid w:val="00CA2534"/>
    <w:rsid w:val="00CA3251"/>
    <w:rsid w:val="00CA330F"/>
    <w:rsid w:val="00CA388F"/>
    <w:rsid w:val="00CA3D3E"/>
    <w:rsid w:val="00CA43B0"/>
    <w:rsid w:val="00CA4C6F"/>
    <w:rsid w:val="00CA6B81"/>
    <w:rsid w:val="00CA729A"/>
    <w:rsid w:val="00CA75B4"/>
    <w:rsid w:val="00CB1094"/>
    <w:rsid w:val="00CB16EA"/>
    <w:rsid w:val="00CB1E4C"/>
    <w:rsid w:val="00CB28E3"/>
    <w:rsid w:val="00CB2F18"/>
    <w:rsid w:val="00CB36F0"/>
    <w:rsid w:val="00CB3E55"/>
    <w:rsid w:val="00CB4746"/>
    <w:rsid w:val="00CB4CFA"/>
    <w:rsid w:val="00CB4E3A"/>
    <w:rsid w:val="00CB513D"/>
    <w:rsid w:val="00CB51D9"/>
    <w:rsid w:val="00CB61CB"/>
    <w:rsid w:val="00CB69AA"/>
    <w:rsid w:val="00CC225B"/>
    <w:rsid w:val="00CC31FC"/>
    <w:rsid w:val="00CC36E9"/>
    <w:rsid w:val="00CC3D89"/>
    <w:rsid w:val="00CC4A05"/>
    <w:rsid w:val="00CC4C11"/>
    <w:rsid w:val="00CC7543"/>
    <w:rsid w:val="00CC786E"/>
    <w:rsid w:val="00CC7EC5"/>
    <w:rsid w:val="00CD125A"/>
    <w:rsid w:val="00CD13B2"/>
    <w:rsid w:val="00CD2018"/>
    <w:rsid w:val="00CD3C2F"/>
    <w:rsid w:val="00CD627A"/>
    <w:rsid w:val="00CD66B1"/>
    <w:rsid w:val="00CD6A69"/>
    <w:rsid w:val="00CD6D72"/>
    <w:rsid w:val="00CD73BF"/>
    <w:rsid w:val="00CE03E1"/>
    <w:rsid w:val="00CE0DB3"/>
    <w:rsid w:val="00CE268E"/>
    <w:rsid w:val="00CE2E44"/>
    <w:rsid w:val="00CE47AA"/>
    <w:rsid w:val="00CE6D4C"/>
    <w:rsid w:val="00CF016E"/>
    <w:rsid w:val="00CF10E4"/>
    <w:rsid w:val="00CF1815"/>
    <w:rsid w:val="00CF2DAF"/>
    <w:rsid w:val="00CF3427"/>
    <w:rsid w:val="00CF39A7"/>
    <w:rsid w:val="00CF3C1F"/>
    <w:rsid w:val="00CF43AF"/>
    <w:rsid w:val="00CF4FC3"/>
    <w:rsid w:val="00D00317"/>
    <w:rsid w:val="00D005BD"/>
    <w:rsid w:val="00D0136A"/>
    <w:rsid w:val="00D01E0B"/>
    <w:rsid w:val="00D02107"/>
    <w:rsid w:val="00D03BC5"/>
    <w:rsid w:val="00D03FAF"/>
    <w:rsid w:val="00D04B8B"/>
    <w:rsid w:val="00D05250"/>
    <w:rsid w:val="00D05DD0"/>
    <w:rsid w:val="00D0665D"/>
    <w:rsid w:val="00D06C3E"/>
    <w:rsid w:val="00D1064D"/>
    <w:rsid w:val="00D1423E"/>
    <w:rsid w:val="00D143A8"/>
    <w:rsid w:val="00D14421"/>
    <w:rsid w:val="00D1447D"/>
    <w:rsid w:val="00D146BF"/>
    <w:rsid w:val="00D161A5"/>
    <w:rsid w:val="00D20925"/>
    <w:rsid w:val="00D20C9A"/>
    <w:rsid w:val="00D20DEC"/>
    <w:rsid w:val="00D229FD"/>
    <w:rsid w:val="00D233AB"/>
    <w:rsid w:val="00D235E8"/>
    <w:rsid w:val="00D25554"/>
    <w:rsid w:val="00D25771"/>
    <w:rsid w:val="00D25CD1"/>
    <w:rsid w:val="00D25D99"/>
    <w:rsid w:val="00D2655F"/>
    <w:rsid w:val="00D27907"/>
    <w:rsid w:val="00D27CF8"/>
    <w:rsid w:val="00D31210"/>
    <w:rsid w:val="00D314FC"/>
    <w:rsid w:val="00D32861"/>
    <w:rsid w:val="00D3296E"/>
    <w:rsid w:val="00D33413"/>
    <w:rsid w:val="00D3535D"/>
    <w:rsid w:val="00D37750"/>
    <w:rsid w:val="00D4076D"/>
    <w:rsid w:val="00D40BA7"/>
    <w:rsid w:val="00D40EF0"/>
    <w:rsid w:val="00D41F59"/>
    <w:rsid w:val="00D42C02"/>
    <w:rsid w:val="00D43002"/>
    <w:rsid w:val="00D430BE"/>
    <w:rsid w:val="00D43230"/>
    <w:rsid w:val="00D4379E"/>
    <w:rsid w:val="00D43AD3"/>
    <w:rsid w:val="00D453F4"/>
    <w:rsid w:val="00D4661F"/>
    <w:rsid w:val="00D47FEC"/>
    <w:rsid w:val="00D509D0"/>
    <w:rsid w:val="00D50CE8"/>
    <w:rsid w:val="00D51591"/>
    <w:rsid w:val="00D517F5"/>
    <w:rsid w:val="00D53BAB"/>
    <w:rsid w:val="00D555AF"/>
    <w:rsid w:val="00D564D7"/>
    <w:rsid w:val="00D570BA"/>
    <w:rsid w:val="00D57225"/>
    <w:rsid w:val="00D574BD"/>
    <w:rsid w:val="00D57BF5"/>
    <w:rsid w:val="00D57E50"/>
    <w:rsid w:val="00D60BB7"/>
    <w:rsid w:val="00D61217"/>
    <w:rsid w:val="00D61436"/>
    <w:rsid w:val="00D6191E"/>
    <w:rsid w:val="00D62B07"/>
    <w:rsid w:val="00D62B0B"/>
    <w:rsid w:val="00D63825"/>
    <w:rsid w:val="00D65DE0"/>
    <w:rsid w:val="00D66ADB"/>
    <w:rsid w:val="00D6766F"/>
    <w:rsid w:val="00D70F9A"/>
    <w:rsid w:val="00D71737"/>
    <w:rsid w:val="00D7183D"/>
    <w:rsid w:val="00D7212A"/>
    <w:rsid w:val="00D742DD"/>
    <w:rsid w:val="00D744AB"/>
    <w:rsid w:val="00D74A9D"/>
    <w:rsid w:val="00D7501D"/>
    <w:rsid w:val="00D7556F"/>
    <w:rsid w:val="00D76AA1"/>
    <w:rsid w:val="00D773F2"/>
    <w:rsid w:val="00D8068F"/>
    <w:rsid w:val="00D81AEA"/>
    <w:rsid w:val="00D820BC"/>
    <w:rsid w:val="00D82948"/>
    <w:rsid w:val="00D82DB8"/>
    <w:rsid w:val="00D83A38"/>
    <w:rsid w:val="00D83C3F"/>
    <w:rsid w:val="00D8449D"/>
    <w:rsid w:val="00D84858"/>
    <w:rsid w:val="00D86D96"/>
    <w:rsid w:val="00D873CD"/>
    <w:rsid w:val="00D90043"/>
    <w:rsid w:val="00D90070"/>
    <w:rsid w:val="00D90B7E"/>
    <w:rsid w:val="00D90CA0"/>
    <w:rsid w:val="00D91B9C"/>
    <w:rsid w:val="00D92C6A"/>
    <w:rsid w:val="00D933CF"/>
    <w:rsid w:val="00D93708"/>
    <w:rsid w:val="00D93C40"/>
    <w:rsid w:val="00D94928"/>
    <w:rsid w:val="00D94C48"/>
    <w:rsid w:val="00D959E8"/>
    <w:rsid w:val="00D96E45"/>
    <w:rsid w:val="00D97C4A"/>
    <w:rsid w:val="00D97E89"/>
    <w:rsid w:val="00DA0929"/>
    <w:rsid w:val="00DA10D6"/>
    <w:rsid w:val="00DA1624"/>
    <w:rsid w:val="00DA221C"/>
    <w:rsid w:val="00DA23B8"/>
    <w:rsid w:val="00DA2A70"/>
    <w:rsid w:val="00DA35A0"/>
    <w:rsid w:val="00DA36F9"/>
    <w:rsid w:val="00DA3FF9"/>
    <w:rsid w:val="00DA4FFA"/>
    <w:rsid w:val="00DA5EE0"/>
    <w:rsid w:val="00DA6170"/>
    <w:rsid w:val="00DA635B"/>
    <w:rsid w:val="00DA6FF8"/>
    <w:rsid w:val="00DA71E5"/>
    <w:rsid w:val="00DB0414"/>
    <w:rsid w:val="00DB0B67"/>
    <w:rsid w:val="00DB1463"/>
    <w:rsid w:val="00DB3455"/>
    <w:rsid w:val="00DB37A0"/>
    <w:rsid w:val="00DB3A5B"/>
    <w:rsid w:val="00DB4331"/>
    <w:rsid w:val="00DB45C4"/>
    <w:rsid w:val="00DB4E76"/>
    <w:rsid w:val="00DB535D"/>
    <w:rsid w:val="00DB57AE"/>
    <w:rsid w:val="00DB5CC9"/>
    <w:rsid w:val="00DB6110"/>
    <w:rsid w:val="00DC027B"/>
    <w:rsid w:val="00DC0926"/>
    <w:rsid w:val="00DC1FF9"/>
    <w:rsid w:val="00DC21C9"/>
    <w:rsid w:val="00DC27AB"/>
    <w:rsid w:val="00DC3C0F"/>
    <w:rsid w:val="00DC4844"/>
    <w:rsid w:val="00DC4906"/>
    <w:rsid w:val="00DC53E9"/>
    <w:rsid w:val="00DC59B6"/>
    <w:rsid w:val="00DC63A6"/>
    <w:rsid w:val="00DC6877"/>
    <w:rsid w:val="00DC7016"/>
    <w:rsid w:val="00DC7E91"/>
    <w:rsid w:val="00DD08F8"/>
    <w:rsid w:val="00DD10CD"/>
    <w:rsid w:val="00DD1B42"/>
    <w:rsid w:val="00DD2115"/>
    <w:rsid w:val="00DD29B8"/>
    <w:rsid w:val="00DD36B6"/>
    <w:rsid w:val="00DD3A2D"/>
    <w:rsid w:val="00DD4329"/>
    <w:rsid w:val="00DD4DFD"/>
    <w:rsid w:val="00DD5711"/>
    <w:rsid w:val="00DD5799"/>
    <w:rsid w:val="00DD57D5"/>
    <w:rsid w:val="00DD5BAD"/>
    <w:rsid w:val="00DD6208"/>
    <w:rsid w:val="00DD6A17"/>
    <w:rsid w:val="00DE0A9A"/>
    <w:rsid w:val="00DE1C9F"/>
    <w:rsid w:val="00DE3680"/>
    <w:rsid w:val="00DE4B73"/>
    <w:rsid w:val="00DE6149"/>
    <w:rsid w:val="00DE6612"/>
    <w:rsid w:val="00DE7B42"/>
    <w:rsid w:val="00DE7DFF"/>
    <w:rsid w:val="00DF020E"/>
    <w:rsid w:val="00DF0305"/>
    <w:rsid w:val="00DF100B"/>
    <w:rsid w:val="00DF1846"/>
    <w:rsid w:val="00DF2279"/>
    <w:rsid w:val="00DF2AAB"/>
    <w:rsid w:val="00DF38B9"/>
    <w:rsid w:val="00DF475C"/>
    <w:rsid w:val="00DF565E"/>
    <w:rsid w:val="00DF5F3C"/>
    <w:rsid w:val="00DF605F"/>
    <w:rsid w:val="00DF6ED6"/>
    <w:rsid w:val="00DF7342"/>
    <w:rsid w:val="00DF7398"/>
    <w:rsid w:val="00E01B26"/>
    <w:rsid w:val="00E02548"/>
    <w:rsid w:val="00E027A4"/>
    <w:rsid w:val="00E02810"/>
    <w:rsid w:val="00E03055"/>
    <w:rsid w:val="00E031D8"/>
    <w:rsid w:val="00E03580"/>
    <w:rsid w:val="00E035A1"/>
    <w:rsid w:val="00E03EF6"/>
    <w:rsid w:val="00E03F83"/>
    <w:rsid w:val="00E062B3"/>
    <w:rsid w:val="00E065FE"/>
    <w:rsid w:val="00E06891"/>
    <w:rsid w:val="00E06BD2"/>
    <w:rsid w:val="00E07B81"/>
    <w:rsid w:val="00E11B8E"/>
    <w:rsid w:val="00E12489"/>
    <w:rsid w:val="00E1268D"/>
    <w:rsid w:val="00E12721"/>
    <w:rsid w:val="00E12C1A"/>
    <w:rsid w:val="00E136E2"/>
    <w:rsid w:val="00E143EC"/>
    <w:rsid w:val="00E14572"/>
    <w:rsid w:val="00E14B33"/>
    <w:rsid w:val="00E14B59"/>
    <w:rsid w:val="00E14C84"/>
    <w:rsid w:val="00E15336"/>
    <w:rsid w:val="00E154AA"/>
    <w:rsid w:val="00E15AFF"/>
    <w:rsid w:val="00E16134"/>
    <w:rsid w:val="00E162EA"/>
    <w:rsid w:val="00E16A2A"/>
    <w:rsid w:val="00E16D69"/>
    <w:rsid w:val="00E16F0C"/>
    <w:rsid w:val="00E17017"/>
    <w:rsid w:val="00E17A51"/>
    <w:rsid w:val="00E207D6"/>
    <w:rsid w:val="00E20ABF"/>
    <w:rsid w:val="00E20E51"/>
    <w:rsid w:val="00E2287B"/>
    <w:rsid w:val="00E24405"/>
    <w:rsid w:val="00E24D3B"/>
    <w:rsid w:val="00E266A2"/>
    <w:rsid w:val="00E309F8"/>
    <w:rsid w:val="00E30D13"/>
    <w:rsid w:val="00E30F94"/>
    <w:rsid w:val="00E31E41"/>
    <w:rsid w:val="00E33210"/>
    <w:rsid w:val="00E335DD"/>
    <w:rsid w:val="00E3413B"/>
    <w:rsid w:val="00E3572D"/>
    <w:rsid w:val="00E36251"/>
    <w:rsid w:val="00E3693C"/>
    <w:rsid w:val="00E36BD8"/>
    <w:rsid w:val="00E36C90"/>
    <w:rsid w:val="00E36CE6"/>
    <w:rsid w:val="00E4008E"/>
    <w:rsid w:val="00E40261"/>
    <w:rsid w:val="00E42477"/>
    <w:rsid w:val="00E4251B"/>
    <w:rsid w:val="00E43F29"/>
    <w:rsid w:val="00E4442A"/>
    <w:rsid w:val="00E44AE2"/>
    <w:rsid w:val="00E4619F"/>
    <w:rsid w:val="00E466FA"/>
    <w:rsid w:val="00E46D8C"/>
    <w:rsid w:val="00E46FB0"/>
    <w:rsid w:val="00E50653"/>
    <w:rsid w:val="00E50FC1"/>
    <w:rsid w:val="00E51013"/>
    <w:rsid w:val="00E51410"/>
    <w:rsid w:val="00E52B40"/>
    <w:rsid w:val="00E52FA0"/>
    <w:rsid w:val="00E533E8"/>
    <w:rsid w:val="00E54E44"/>
    <w:rsid w:val="00E54FE9"/>
    <w:rsid w:val="00E557AE"/>
    <w:rsid w:val="00E5597B"/>
    <w:rsid w:val="00E55B8F"/>
    <w:rsid w:val="00E55DF9"/>
    <w:rsid w:val="00E56A5B"/>
    <w:rsid w:val="00E56FEE"/>
    <w:rsid w:val="00E57832"/>
    <w:rsid w:val="00E60072"/>
    <w:rsid w:val="00E611C6"/>
    <w:rsid w:val="00E611CD"/>
    <w:rsid w:val="00E61620"/>
    <w:rsid w:val="00E61697"/>
    <w:rsid w:val="00E61B90"/>
    <w:rsid w:val="00E623CE"/>
    <w:rsid w:val="00E64001"/>
    <w:rsid w:val="00E65FD9"/>
    <w:rsid w:val="00E66D10"/>
    <w:rsid w:val="00E67599"/>
    <w:rsid w:val="00E67662"/>
    <w:rsid w:val="00E678C0"/>
    <w:rsid w:val="00E702C9"/>
    <w:rsid w:val="00E707DB"/>
    <w:rsid w:val="00E71063"/>
    <w:rsid w:val="00E711EB"/>
    <w:rsid w:val="00E7157F"/>
    <w:rsid w:val="00E71D2A"/>
    <w:rsid w:val="00E71E74"/>
    <w:rsid w:val="00E72755"/>
    <w:rsid w:val="00E7361A"/>
    <w:rsid w:val="00E747DC"/>
    <w:rsid w:val="00E7529E"/>
    <w:rsid w:val="00E75AC1"/>
    <w:rsid w:val="00E763E2"/>
    <w:rsid w:val="00E8115C"/>
    <w:rsid w:val="00E81DDC"/>
    <w:rsid w:val="00E8324F"/>
    <w:rsid w:val="00E835CF"/>
    <w:rsid w:val="00E83A84"/>
    <w:rsid w:val="00E84225"/>
    <w:rsid w:val="00E8626F"/>
    <w:rsid w:val="00E86285"/>
    <w:rsid w:val="00E86B18"/>
    <w:rsid w:val="00E9005E"/>
    <w:rsid w:val="00E90779"/>
    <w:rsid w:val="00E915A7"/>
    <w:rsid w:val="00E918DF"/>
    <w:rsid w:val="00E92F0A"/>
    <w:rsid w:val="00E933A6"/>
    <w:rsid w:val="00E94D60"/>
    <w:rsid w:val="00E94E6C"/>
    <w:rsid w:val="00E954EE"/>
    <w:rsid w:val="00E95621"/>
    <w:rsid w:val="00E95C80"/>
    <w:rsid w:val="00E96910"/>
    <w:rsid w:val="00E97305"/>
    <w:rsid w:val="00E97B44"/>
    <w:rsid w:val="00EA04F2"/>
    <w:rsid w:val="00EA0873"/>
    <w:rsid w:val="00EA0979"/>
    <w:rsid w:val="00EA0D34"/>
    <w:rsid w:val="00EA1346"/>
    <w:rsid w:val="00EA2285"/>
    <w:rsid w:val="00EA2340"/>
    <w:rsid w:val="00EA2E68"/>
    <w:rsid w:val="00EA3404"/>
    <w:rsid w:val="00EA3479"/>
    <w:rsid w:val="00EA3715"/>
    <w:rsid w:val="00EA37FA"/>
    <w:rsid w:val="00EA4640"/>
    <w:rsid w:val="00EA4EC4"/>
    <w:rsid w:val="00EA4F2F"/>
    <w:rsid w:val="00EA50AE"/>
    <w:rsid w:val="00EA62DA"/>
    <w:rsid w:val="00EA6C68"/>
    <w:rsid w:val="00EA6D35"/>
    <w:rsid w:val="00EA79B3"/>
    <w:rsid w:val="00EA7AEB"/>
    <w:rsid w:val="00EB13E5"/>
    <w:rsid w:val="00EB19A2"/>
    <w:rsid w:val="00EB23BA"/>
    <w:rsid w:val="00EB2EA4"/>
    <w:rsid w:val="00EB2F5F"/>
    <w:rsid w:val="00EB300A"/>
    <w:rsid w:val="00EB3034"/>
    <w:rsid w:val="00EB57BE"/>
    <w:rsid w:val="00EB711C"/>
    <w:rsid w:val="00EB78A6"/>
    <w:rsid w:val="00EB7FA0"/>
    <w:rsid w:val="00EC0163"/>
    <w:rsid w:val="00EC0AD8"/>
    <w:rsid w:val="00EC0F92"/>
    <w:rsid w:val="00EC34A0"/>
    <w:rsid w:val="00EC3A0C"/>
    <w:rsid w:val="00EC4933"/>
    <w:rsid w:val="00EC50AA"/>
    <w:rsid w:val="00EC5748"/>
    <w:rsid w:val="00EC63E6"/>
    <w:rsid w:val="00ED0819"/>
    <w:rsid w:val="00ED0EC4"/>
    <w:rsid w:val="00ED18C2"/>
    <w:rsid w:val="00ED23CE"/>
    <w:rsid w:val="00ED32B9"/>
    <w:rsid w:val="00ED3877"/>
    <w:rsid w:val="00ED513D"/>
    <w:rsid w:val="00ED5EB8"/>
    <w:rsid w:val="00ED5ECA"/>
    <w:rsid w:val="00ED7740"/>
    <w:rsid w:val="00EE02B6"/>
    <w:rsid w:val="00EE0AB0"/>
    <w:rsid w:val="00EE0BF6"/>
    <w:rsid w:val="00EE1177"/>
    <w:rsid w:val="00EE2554"/>
    <w:rsid w:val="00EE4C91"/>
    <w:rsid w:val="00EE50E8"/>
    <w:rsid w:val="00EE5345"/>
    <w:rsid w:val="00EE54BB"/>
    <w:rsid w:val="00EE7CEA"/>
    <w:rsid w:val="00EE7E1C"/>
    <w:rsid w:val="00EF03E5"/>
    <w:rsid w:val="00EF0E73"/>
    <w:rsid w:val="00EF1C8F"/>
    <w:rsid w:val="00EF21C3"/>
    <w:rsid w:val="00EF277D"/>
    <w:rsid w:val="00EF2F1B"/>
    <w:rsid w:val="00EF4302"/>
    <w:rsid w:val="00EF665B"/>
    <w:rsid w:val="00EF7660"/>
    <w:rsid w:val="00EF7752"/>
    <w:rsid w:val="00EF7C7F"/>
    <w:rsid w:val="00F019DC"/>
    <w:rsid w:val="00F01B2A"/>
    <w:rsid w:val="00F0236F"/>
    <w:rsid w:val="00F03CA2"/>
    <w:rsid w:val="00F049FC"/>
    <w:rsid w:val="00F05230"/>
    <w:rsid w:val="00F059EA"/>
    <w:rsid w:val="00F05F3E"/>
    <w:rsid w:val="00F0610A"/>
    <w:rsid w:val="00F0624F"/>
    <w:rsid w:val="00F0640B"/>
    <w:rsid w:val="00F12946"/>
    <w:rsid w:val="00F132BC"/>
    <w:rsid w:val="00F13BF2"/>
    <w:rsid w:val="00F13CD8"/>
    <w:rsid w:val="00F13DA5"/>
    <w:rsid w:val="00F1697B"/>
    <w:rsid w:val="00F169F3"/>
    <w:rsid w:val="00F17473"/>
    <w:rsid w:val="00F177A6"/>
    <w:rsid w:val="00F179AC"/>
    <w:rsid w:val="00F17EF2"/>
    <w:rsid w:val="00F2107A"/>
    <w:rsid w:val="00F21626"/>
    <w:rsid w:val="00F21B6B"/>
    <w:rsid w:val="00F2216B"/>
    <w:rsid w:val="00F22815"/>
    <w:rsid w:val="00F23052"/>
    <w:rsid w:val="00F23F6A"/>
    <w:rsid w:val="00F2467A"/>
    <w:rsid w:val="00F247F9"/>
    <w:rsid w:val="00F25A04"/>
    <w:rsid w:val="00F2635B"/>
    <w:rsid w:val="00F26EE4"/>
    <w:rsid w:val="00F26F46"/>
    <w:rsid w:val="00F27D61"/>
    <w:rsid w:val="00F3010F"/>
    <w:rsid w:val="00F304C4"/>
    <w:rsid w:val="00F310D8"/>
    <w:rsid w:val="00F32527"/>
    <w:rsid w:val="00F32779"/>
    <w:rsid w:val="00F33331"/>
    <w:rsid w:val="00F342AA"/>
    <w:rsid w:val="00F34368"/>
    <w:rsid w:val="00F356D6"/>
    <w:rsid w:val="00F358B2"/>
    <w:rsid w:val="00F358B7"/>
    <w:rsid w:val="00F36BDD"/>
    <w:rsid w:val="00F4003B"/>
    <w:rsid w:val="00F4044C"/>
    <w:rsid w:val="00F40E63"/>
    <w:rsid w:val="00F41740"/>
    <w:rsid w:val="00F41A8C"/>
    <w:rsid w:val="00F42987"/>
    <w:rsid w:val="00F4386F"/>
    <w:rsid w:val="00F44A4C"/>
    <w:rsid w:val="00F46FAE"/>
    <w:rsid w:val="00F47910"/>
    <w:rsid w:val="00F47F31"/>
    <w:rsid w:val="00F50043"/>
    <w:rsid w:val="00F50267"/>
    <w:rsid w:val="00F5265F"/>
    <w:rsid w:val="00F532C6"/>
    <w:rsid w:val="00F5371C"/>
    <w:rsid w:val="00F53D05"/>
    <w:rsid w:val="00F54699"/>
    <w:rsid w:val="00F54B25"/>
    <w:rsid w:val="00F554E3"/>
    <w:rsid w:val="00F55A1C"/>
    <w:rsid w:val="00F5611A"/>
    <w:rsid w:val="00F562B7"/>
    <w:rsid w:val="00F5645C"/>
    <w:rsid w:val="00F6033A"/>
    <w:rsid w:val="00F60363"/>
    <w:rsid w:val="00F6054D"/>
    <w:rsid w:val="00F60D27"/>
    <w:rsid w:val="00F6156F"/>
    <w:rsid w:val="00F61EF8"/>
    <w:rsid w:val="00F62FE1"/>
    <w:rsid w:val="00F63786"/>
    <w:rsid w:val="00F6432B"/>
    <w:rsid w:val="00F64B3F"/>
    <w:rsid w:val="00F64DBB"/>
    <w:rsid w:val="00F656DF"/>
    <w:rsid w:val="00F671A1"/>
    <w:rsid w:val="00F678A2"/>
    <w:rsid w:val="00F67A8D"/>
    <w:rsid w:val="00F67EB4"/>
    <w:rsid w:val="00F71703"/>
    <w:rsid w:val="00F71912"/>
    <w:rsid w:val="00F73B17"/>
    <w:rsid w:val="00F73BD0"/>
    <w:rsid w:val="00F74666"/>
    <w:rsid w:val="00F75936"/>
    <w:rsid w:val="00F77853"/>
    <w:rsid w:val="00F8118A"/>
    <w:rsid w:val="00F81B6A"/>
    <w:rsid w:val="00F83ACD"/>
    <w:rsid w:val="00F83D45"/>
    <w:rsid w:val="00F84523"/>
    <w:rsid w:val="00F847C3"/>
    <w:rsid w:val="00F85469"/>
    <w:rsid w:val="00F86476"/>
    <w:rsid w:val="00F8653A"/>
    <w:rsid w:val="00F87EAD"/>
    <w:rsid w:val="00F900DB"/>
    <w:rsid w:val="00F90CB5"/>
    <w:rsid w:val="00F91861"/>
    <w:rsid w:val="00F92438"/>
    <w:rsid w:val="00F9284E"/>
    <w:rsid w:val="00F929D7"/>
    <w:rsid w:val="00F93A58"/>
    <w:rsid w:val="00F94447"/>
    <w:rsid w:val="00F94B76"/>
    <w:rsid w:val="00F95C56"/>
    <w:rsid w:val="00F96624"/>
    <w:rsid w:val="00F9671A"/>
    <w:rsid w:val="00F9743A"/>
    <w:rsid w:val="00F97451"/>
    <w:rsid w:val="00F97BC6"/>
    <w:rsid w:val="00FA0535"/>
    <w:rsid w:val="00FA11F3"/>
    <w:rsid w:val="00FA18EC"/>
    <w:rsid w:val="00FA2805"/>
    <w:rsid w:val="00FA2CE2"/>
    <w:rsid w:val="00FA3DCF"/>
    <w:rsid w:val="00FA4689"/>
    <w:rsid w:val="00FA4C72"/>
    <w:rsid w:val="00FA5C09"/>
    <w:rsid w:val="00FA7035"/>
    <w:rsid w:val="00FA78D1"/>
    <w:rsid w:val="00FB02FA"/>
    <w:rsid w:val="00FB073A"/>
    <w:rsid w:val="00FB0B95"/>
    <w:rsid w:val="00FB223C"/>
    <w:rsid w:val="00FB305B"/>
    <w:rsid w:val="00FB6F12"/>
    <w:rsid w:val="00FB7760"/>
    <w:rsid w:val="00FC005F"/>
    <w:rsid w:val="00FC0E5F"/>
    <w:rsid w:val="00FC18F3"/>
    <w:rsid w:val="00FC1AC7"/>
    <w:rsid w:val="00FC2188"/>
    <w:rsid w:val="00FC2E23"/>
    <w:rsid w:val="00FC3D77"/>
    <w:rsid w:val="00FC4D35"/>
    <w:rsid w:val="00FC6C85"/>
    <w:rsid w:val="00FC6D57"/>
    <w:rsid w:val="00FC7273"/>
    <w:rsid w:val="00FC74FF"/>
    <w:rsid w:val="00FD0340"/>
    <w:rsid w:val="00FD04DF"/>
    <w:rsid w:val="00FD07EA"/>
    <w:rsid w:val="00FD0CCD"/>
    <w:rsid w:val="00FD1741"/>
    <w:rsid w:val="00FD2A18"/>
    <w:rsid w:val="00FD32D1"/>
    <w:rsid w:val="00FD3D20"/>
    <w:rsid w:val="00FD3E9A"/>
    <w:rsid w:val="00FD5C68"/>
    <w:rsid w:val="00FD6F34"/>
    <w:rsid w:val="00FD7686"/>
    <w:rsid w:val="00FE02F1"/>
    <w:rsid w:val="00FE0985"/>
    <w:rsid w:val="00FE16A9"/>
    <w:rsid w:val="00FE2170"/>
    <w:rsid w:val="00FE283F"/>
    <w:rsid w:val="00FE2AD3"/>
    <w:rsid w:val="00FE30CA"/>
    <w:rsid w:val="00FE314E"/>
    <w:rsid w:val="00FE36FC"/>
    <w:rsid w:val="00FE3CE3"/>
    <w:rsid w:val="00FE3FAC"/>
    <w:rsid w:val="00FE451B"/>
    <w:rsid w:val="00FE4FD3"/>
    <w:rsid w:val="00FE5D66"/>
    <w:rsid w:val="00FE60E3"/>
    <w:rsid w:val="00FE6CAB"/>
    <w:rsid w:val="00FE77B9"/>
    <w:rsid w:val="00FE7BA6"/>
    <w:rsid w:val="00FE7CC1"/>
    <w:rsid w:val="00FF037A"/>
    <w:rsid w:val="00FF5B32"/>
    <w:rsid w:val="00FF5F16"/>
    <w:rsid w:val="00FF66BA"/>
    <w:rsid w:val="00FF73D2"/>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F0FB64"/>
  <w15:docId w15:val="{DACFA9E0-122F-4BCA-9601-B3000B3B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3"/>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98"/>
    <w:pPr>
      <w:spacing w:after="0" w:line="240" w:lineRule="auto"/>
      <w:jc w:val="both"/>
    </w:pPr>
    <w:rPr>
      <w:rFonts w:ascii="Verdana" w:hAnsi="Verdana"/>
      <w:sz w:val="20"/>
      <w:lang w:val="en-US"/>
    </w:rPr>
  </w:style>
  <w:style w:type="paragraph" w:styleId="Ttulo1">
    <w:name w:val="heading 1"/>
    <w:aliases w:val="Título Verdana"/>
    <w:basedOn w:val="Normal"/>
    <w:next w:val="Normal"/>
    <w:link w:val="Ttulo1Car"/>
    <w:qFormat/>
    <w:rsid w:val="00291C0D"/>
    <w:pPr>
      <w:jc w:val="center"/>
      <w:outlineLvl w:val="0"/>
    </w:pPr>
    <w:rPr>
      <w:b/>
      <w:lang w:eastAsia="es-CR"/>
    </w:rPr>
  </w:style>
  <w:style w:type="paragraph" w:styleId="Ttulo2">
    <w:name w:val="heading 2"/>
    <w:basedOn w:val="Normal"/>
    <w:next w:val="Normal"/>
    <w:link w:val="Ttulo2Car"/>
    <w:unhideWhenUsed/>
    <w:qFormat/>
    <w:rsid w:val="0036072C"/>
    <w:pPr>
      <w:numPr>
        <w:numId w:val="85"/>
      </w:numPr>
      <w:tabs>
        <w:tab w:val="left" w:pos="567"/>
        <w:tab w:val="left" w:pos="993"/>
      </w:tabs>
      <w:outlineLvl w:val="1"/>
    </w:pPr>
    <w:rPr>
      <w:b/>
      <w:i/>
      <w:spacing w:val="-4"/>
      <w:lang w:val="es-CR" w:eastAsia="es-MX"/>
    </w:rPr>
  </w:style>
  <w:style w:type="paragraph" w:styleId="Ttulo3">
    <w:name w:val="heading 3"/>
    <w:basedOn w:val="Normal"/>
    <w:next w:val="Normal"/>
    <w:link w:val="Ttulo3Car"/>
    <w:uiPriority w:val="9"/>
    <w:unhideWhenUsed/>
    <w:qFormat/>
    <w:rsid w:val="00830642"/>
    <w:pPr>
      <w:ind w:left="1055"/>
      <w:outlineLvl w:val="2"/>
    </w:pPr>
    <w:rPr>
      <w:b/>
      <w:lang w:val="es-ES"/>
    </w:rPr>
  </w:style>
  <w:style w:type="paragraph" w:styleId="Ttulo4">
    <w:name w:val="heading 4"/>
    <w:basedOn w:val="Ttulo3"/>
    <w:next w:val="Normal"/>
    <w:link w:val="Ttulo4Car"/>
    <w:uiPriority w:val="9"/>
    <w:unhideWhenUsed/>
    <w:qFormat/>
    <w:rsid w:val="00885693"/>
    <w:pPr>
      <w:tabs>
        <w:tab w:val="left" w:pos="567"/>
      </w:tabs>
      <w:ind w:left="1418"/>
      <w:outlineLvl w:val="3"/>
    </w:pPr>
    <w:rPr>
      <w:b w:val="0"/>
      <w:u w:val="single"/>
    </w:rPr>
  </w:style>
  <w:style w:type="paragraph" w:styleId="Ttulo5">
    <w:name w:val="heading 5"/>
    <w:basedOn w:val="Ttulo4"/>
    <w:next w:val="Normal"/>
    <w:link w:val="Ttulo5Car"/>
    <w:uiPriority w:val="9"/>
    <w:unhideWhenUsed/>
    <w:qFormat/>
    <w:rsid w:val="00017494"/>
    <w:pPr>
      <w:numPr>
        <w:numId w:val="59"/>
      </w:numPr>
      <w:outlineLvl w:val="4"/>
    </w:pPr>
    <w:rPr>
      <w:i/>
      <w:spacing w:val="-4"/>
      <w:u w:val="none"/>
    </w:rPr>
  </w:style>
  <w:style w:type="paragraph" w:styleId="Ttulo6">
    <w:name w:val="heading 6"/>
    <w:basedOn w:val="Ttulo5"/>
    <w:next w:val="Normal"/>
    <w:link w:val="Ttulo6Car"/>
    <w:uiPriority w:val="9"/>
    <w:unhideWhenUsed/>
    <w:qFormat/>
    <w:rsid w:val="00291C0D"/>
    <w:pPr>
      <w:numPr>
        <w:ilvl w:val="4"/>
        <w:numId w:val="2"/>
      </w:numPr>
      <w:outlineLvl w:val="5"/>
    </w:pPr>
    <w:rPr>
      <w:rFonts w:eastAsia="Times New Roman" w:cs="Times New Roman"/>
      <w:spacing w:val="-2"/>
      <w:szCs w:val="20"/>
      <w:lang w:val="es-ES_tradnl" w:eastAsia="es-CR"/>
    </w:rPr>
  </w:style>
  <w:style w:type="paragraph" w:styleId="Ttulo7">
    <w:name w:val="heading 7"/>
    <w:basedOn w:val="Normal"/>
    <w:next w:val="Normal"/>
    <w:link w:val="Ttulo7Car"/>
    <w:uiPriority w:val="9"/>
    <w:unhideWhenUsed/>
    <w:qFormat/>
    <w:rsid w:val="0054079F"/>
    <w:pPr>
      <w:keepNext/>
      <w:autoSpaceDE w:val="0"/>
      <w:autoSpaceDN w:val="0"/>
      <w:adjustRightInd w:val="0"/>
      <w:outlineLvl w:val="6"/>
    </w:pPr>
    <w:rPr>
      <w:rFonts w:eastAsia="Times New Roman" w:cs="Times New Roman"/>
      <w:b/>
      <w:bCs/>
      <w:szCs w:val="20"/>
      <w:lang w:val="es-ES_tradnl"/>
    </w:rPr>
  </w:style>
  <w:style w:type="paragraph" w:styleId="Ttulo8">
    <w:name w:val="heading 8"/>
    <w:basedOn w:val="Normal"/>
    <w:next w:val="Normal"/>
    <w:link w:val="Ttulo8Car"/>
    <w:uiPriority w:val="9"/>
    <w:unhideWhenUsed/>
    <w:qFormat/>
    <w:rsid w:val="0054079F"/>
    <w:pPr>
      <w:keepNext/>
      <w:jc w:val="left"/>
      <w:outlineLvl w:val="7"/>
    </w:pPr>
    <w:rPr>
      <w:rFonts w:eastAsia="Times New Roman" w:cs="Times New Roman"/>
      <w:b/>
      <w:szCs w:val="20"/>
      <w:lang w:val="es-MX"/>
    </w:rPr>
  </w:style>
  <w:style w:type="paragraph" w:styleId="Ttulo9">
    <w:name w:val="heading 9"/>
    <w:basedOn w:val="Normal"/>
    <w:next w:val="Normal"/>
    <w:link w:val="Ttulo9Car"/>
    <w:uiPriority w:val="9"/>
    <w:unhideWhenUsed/>
    <w:qFormat/>
    <w:rsid w:val="00B70BE6"/>
    <w:pPr>
      <w:keepNext/>
      <w:ind w:firstLine="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Verdana Car"/>
    <w:basedOn w:val="Fuentedeprrafopredeter"/>
    <w:link w:val="Ttulo1"/>
    <w:rsid w:val="00291C0D"/>
    <w:rPr>
      <w:rFonts w:ascii="Verdana" w:eastAsia="Calibri" w:hAnsi="Verdana" w:cs="Calibri"/>
      <w:b/>
      <w:sz w:val="20"/>
      <w:lang w:val="es-MX" w:eastAsia="es-CR"/>
    </w:rPr>
  </w:style>
  <w:style w:type="character" w:customStyle="1" w:styleId="Ttulo2Car">
    <w:name w:val="Título 2 Car"/>
    <w:basedOn w:val="Fuentedeprrafopredeter"/>
    <w:link w:val="Ttulo2"/>
    <w:rsid w:val="0036072C"/>
    <w:rPr>
      <w:rFonts w:ascii="Verdana" w:hAnsi="Verdana"/>
      <w:b/>
      <w:i/>
      <w:spacing w:val="-4"/>
      <w:sz w:val="20"/>
      <w:lang w:eastAsia="es-MX"/>
    </w:rPr>
  </w:style>
  <w:style w:type="paragraph" w:styleId="Ttulo">
    <w:name w:val="Title"/>
    <w:basedOn w:val="Normal"/>
    <w:next w:val="Normal"/>
    <w:link w:val="TtuloCar"/>
    <w:qFormat/>
    <w:rsid w:val="00291C0D"/>
    <w:pPr>
      <w:jc w:val="center"/>
    </w:pPr>
    <w:rPr>
      <w:b/>
    </w:rPr>
  </w:style>
  <w:style w:type="character" w:customStyle="1" w:styleId="TtuloCar">
    <w:name w:val="Título Car"/>
    <w:basedOn w:val="Fuentedeprrafopredeter"/>
    <w:link w:val="Ttulo"/>
    <w:rsid w:val="00291C0D"/>
    <w:rPr>
      <w:rFonts w:ascii="Verdana" w:eastAsia="Calibri" w:hAnsi="Verdana" w:cs="Calibri"/>
      <w:b/>
      <w:sz w:val="20"/>
      <w:lang w:val="es-MX"/>
    </w:rPr>
  </w:style>
  <w:style w:type="paragraph" w:customStyle="1" w:styleId="Footnotes">
    <w:name w:val="**. Footnotes"/>
    <w:basedOn w:val="Textonotapie"/>
    <w:link w:val="FootnotesChar"/>
    <w:qFormat/>
    <w:rsid w:val="00291C0D"/>
    <w:rPr>
      <w:rFonts w:eastAsia="Times New Roman" w:cs="Palatino-Italic"/>
      <w:iCs/>
      <w:spacing w:val="-4"/>
      <w:lang w:val="es-ES" w:eastAsia="en-US" w:bidi="en-US"/>
    </w:rPr>
  </w:style>
  <w:style w:type="character" w:customStyle="1" w:styleId="FootnotesChar">
    <w:name w:val="**. Footnotes Char"/>
    <w:basedOn w:val="Fuentedeprrafopredeter"/>
    <w:link w:val="Footnotes"/>
    <w:rsid w:val="00291C0D"/>
    <w:rPr>
      <w:rFonts w:ascii="Verdana" w:eastAsia="Times New Roman" w:hAnsi="Verdana" w:cs="Palatino-Italic"/>
      <w:iCs/>
      <w:spacing w:val="-4"/>
      <w:sz w:val="16"/>
      <w:szCs w:val="16"/>
      <w:lang w:val="es-ES" w:bidi="en-US"/>
    </w:rPr>
  </w:style>
  <w:style w:type="paragraph" w:styleId="Textonotapie">
    <w:name w:val="footnote text"/>
    <w:aliases w:val="FA Fu,Footnote Text Char Char Char Char Char,Footnote Text Char Char Char Char,Footnote reference,Footnote Text Char Char Char,Texto nota pie Car,FA Fu Car,FA Fu Car Car,Footnote Text Cha,FA Fußnotentext,FA Fuﬂnotentext,FA Fu?notentext,Ca"/>
    <w:basedOn w:val="Normal"/>
    <w:link w:val="TextonotapieCar1"/>
    <w:qFormat/>
    <w:rsid w:val="00291C0D"/>
    <w:pPr>
      <w:tabs>
        <w:tab w:val="left" w:pos="567"/>
      </w:tabs>
    </w:pPr>
    <w:rPr>
      <w:rFonts w:cs="Verdana"/>
      <w:sz w:val="16"/>
      <w:szCs w:val="16"/>
      <w:lang w:val="es-ES_tradnl" w:eastAsia="es-ES"/>
    </w:rPr>
  </w:style>
  <w:style w:type="character" w:customStyle="1" w:styleId="FootnoteTextChar">
    <w:name w:val="Footnote Text Char"/>
    <w:aliases w:val="footnote text Char,Footnote Text Cha Char,Car Char,FA Fuﬂnotentext Char,Ca Char,C Char,ft Char,5_G Char,FA Fu?notentext Char,2. Footnote Text Char1,Footnote Tesina Char1,Ca Char1"/>
    <w:basedOn w:val="Fuentedeprrafopredeter"/>
    <w:qFormat/>
    <w:rsid w:val="00291C0D"/>
    <w:rPr>
      <w:sz w:val="20"/>
      <w:szCs w:val="20"/>
      <w:lang w:eastAsia="es-CR"/>
    </w:rPr>
  </w:style>
  <w:style w:type="paragraph" w:customStyle="1" w:styleId="PrrafodeSentencia">
    <w:name w:val="*. Párrafo de Sentencia"/>
    <w:basedOn w:val="Normal"/>
    <w:next w:val="Normal"/>
    <w:link w:val="PrrafodeSentenciaChar"/>
    <w:uiPriority w:val="99"/>
    <w:qFormat/>
    <w:rsid w:val="00C04C44"/>
    <w:pPr>
      <w:numPr>
        <w:numId w:val="58"/>
      </w:numPr>
      <w:tabs>
        <w:tab w:val="left" w:pos="0"/>
        <w:tab w:val="left" w:pos="567"/>
      </w:tabs>
    </w:pPr>
    <w:rPr>
      <w:rFonts w:eastAsia="Batang" w:cs="Times New Roman"/>
      <w:spacing w:val="-4"/>
      <w:lang w:val="es-CR" w:eastAsia="es-MX"/>
      <w14:scene3d>
        <w14:camera w14:prst="orthographicFront"/>
        <w14:lightRig w14:rig="threePt" w14:dir="t">
          <w14:rot w14:lat="0" w14:lon="0" w14:rev="0"/>
        </w14:lightRig>
      </w14:scene3d>
    </w:rPr>
  </w:style>
  <w:style w:type="character" w:customStyle="1" w:styleId="PrrafodeSentenciaChar">
    <w:name w:val="*. Párrafo de Sentencia Char"/>
    <w:basedOn w:val="Fuentedeprrafopredeter"/>
    <w:link w:val="PrrafodeSentencia"/>
    <w:uiPriority w:val="99"/>
    <w:rsid w:val="00C04C44"/>
    <w:rPr>
      <w:rFonts w:ascii="Verdana" w:eastAsia="Batang" w:hAnsi="Verdana" w:cs="Times New Roman"/>
      <w:spacing w:val="-4"/>
      <w:sz w:val="20"/>
      <w:lang w:eastAsia="es-MX"/>
      <w14:scene3d>
        <w14:camera w14:prst="orthographicFront"/>
        <w14:lightRig w14:rig="threePt" w14:dir="t">
          <w14:rot w14:lat="0" w14:lon="0" w14:rev="0"/>
        </w14:lightRig>
      </w14:scene3d>
    </w:rPr>
  </w:style>
  <w:style w:type="paragraph" w:customStyle="1" w:styleId="Estilo1">
    <w:name w:val="Estilo1"/>
    <w:basedOn w:val="Normal"/>
    <w:link w:val="Estilo1Car"/>
    <w:qFormat/>
    <w:rsid w:val="00291C0D"/>
    <w:pPr>
      <w:tabs>
        <w:tab w:val="left" w:pos="567"/>
        <w:tab w:val="left" w:pos="1134"/>
        <w:tab w:val="num" w:pos="16392"/>
      </w:tabs>
      <w:spacing w:after="120"/>
    </w:pPr>
    <w:rPr>
      <w:rFonts w:cs="Times New Roman"/>
      <w:szCs w:val="20"/>
      <w:lang w:val="es-ES"/>
    </w:rPr>
  </w:style>
  <w:style w:type="character" w:customStyle="1" w:styleId="Estilo1Car">
    <w:name w:val="Estilo1 Car"/>
    <w:link w:val="Estilo1"/>
    <w:rsid w:val="00291C0D"/>
    <w:rPr>
      <w:rFonts w:ascii="Verdana" w:eastAsia="Calibri" w:hAnsi="Verdana" w:cs="Times New Roman"/>
      <w:sz w:val="20"/>
      <w:szCs w:val="20"/>
      <w:lang w:val="es-ES"/>
    </w:rPr>
  </w:style>
  <w:style w:type="paragraph" w:customStyle="1" w:styleId="Estilo2">
    <w:name w:val="Estilo2"/>
    <w:basedOn w:val="Normal"/>
    <w:qFormat/>
    <w:rsid w:val="00291C0D"/>
    <w:pPr>
      <w:tabs>
        <w:tab w:val="left" w:pos="567"/>
        <w:tab w:val="left" w:pos="1134"/>
        <w:tab w:val="num" w:pos="4767"/>
      </w:tabs>
      <w:spacing w:after="120"/>
      <w:ind w:firstLine="357"/>
    </w:pPr>
    <w:rPr>
      <w:rFonts w:cs="Times New Roman"/>
      <w:szCs w:val="20"/>
      <w:lang w:val="es-ES"/>
    </w:rPr>
  </w:style>
  <w:style w:type="character" w:customStyle="1" w:styleId="Ttulo3Car">
    <w:name w:val="Título 3 Car"/>
    <w:basedOn w:val="Fuentedeprrafopredeter"/>
    <w:link w:val="Ttulo3"/>
    <w:uiPriority w:val="9"/>
    <w:rsid w:val="00830642"/>
    <w:rPr>
      <w:rFonts w:ascii="Verdana" w:hAnsi="Verdana"/>
      <w:b/>
      <w:sz w:val="20"/>
      <w:lang w:val="es-ES"/>
    </w:rPr>
  </w:style>
  <w:style w:type="character" w:customStyle="1" w:styleId="Ttulo4Car">
    <w:name w:val="Título 4 Car"/>
    <w:basedOn w:val="Fuentedeprrafopredeter"/>
    <w:link w:val="Ttulo4"/>
    <w:uiPriority w:val="9"/>
    <w:rsid w:val="00885693"/>
    <w:rPr>
      <w:rFonts w:ascii="Verdana" w:hAnsi="Verdana"/>
      <w:sz w:val="20"/>
      <w:u w:val="single"/>
      <w:lang w:val="es-ES"/>
    </w:rPr>
  </w:style>
  <w:style w:type="character" w:customStyle="1" w:styleId="Ttulo5Car">
    <w:name w:val="Título 5 Car"/>
    <w:basedOn w:val="Fuentedeprrafopredeter"/>
    <w:link w:val="Ttulo5"/>
    <w:uiPriority w:val="9"/>
    <w:rsid w:val="00017494"/>
    <w:rPr>
      <w:rFonts w:ascii="Verdana" w:hAnsi="Verdana"/>
      <w:i/>
      <w:spacing w:val="-4"/>
      <w:sz w:val="20"/>
      <w:lang w:val="es-ES"/>
    </w:rPr>
  </w:style>
  <w:style w:type="character" w:customStyle="1" w:styleId="Ttulo6Car">
    <w:name w:val="Título 6 Car"/>
    <w:basedOn w:val="Fuentedeprrafopredeter"/>
    <w:link w:val="Ttulo6"/>
    <w:uiPriority w:val="9"/>
    <w:rsid w:val="00291C0D"/>
    <w:rPr>
      <w:rFonts w:ascii="Verdana" w:eastAsia="Times New Roman" w:hAnsi="Verdana" w:cs="Times New Roman"/>
      <w:i/>
      <w:spacing w:val="-2"/>
      <w:sz w:val="20"/>
      <w:szCs w:val="20"/>
      <w:lang w:val="es-ES_tradnl" w:eastAsia="es-CR"/>
    </w:rPr>
  </w:style>
  <w:style w:type="character" w:customStyle="1" w:styleId="TextonotapieCar1">
    <w:name w:val="Texto nota pie Car1"/>
    <w:aliases w:val="FA Fu Car1,Footnote Text Char Char Char Char Char Car,Footnote Text Char Char Char Char Car,Footnote reference Car,Footnote Text Char Char Char Car,Texto nota pie Car Car,FA Fu Car Car1,FA Fu Car Car Car,Footnote Text Cha Car,Ca Car"/>
    <w:basedOn w:val="Fuentedeprrafopredeter"/>
    <w:link w:val="Textonotapie"/>
    <w:qFormat/>
    <w:locked/>
    <w:rsid w:val="00291C0D"/>
    <w:rPr>
      <w:rFonts w:ascii="Verdana" w:eastAsia="Calibri" w:hAnsi="Verdana" w:cs="Verdana"/>
      <w:sz w:val="16"/>
      <w:szCs w:val="16"/>
      <w:lang w:val="es-ES_tradnl" w:eastAsia="es-ES"/>
    </w:rPr>
  </w:style>
  <w:style w:type="character" w:styleId="Refdenotaalpie">
    <w:name w:val="footnote reference"/>
    <w:aliases w:val="Texto de nota al pie,Appel note de bas de page,Footnotes refss,Footnote number,referencia nota al pie,BVI fnr,f,4_G,16 Point,Superscript 6 Point,Footnote Reference Char3,Footnote Reference Char1 Char,Footnote Reference Char Char Char"/>
    <w:basedOn w:val="Fuentedeprrafopredeter"/>
    <w:link w:val="4GChar"/>
    <w:uiPriority w:val="99"/>
    <w:qFormat/>
    <w:rsid w:val="00291C0D"/>
    <w:rPr>
      <w:rFonts w:ascii="Verdana" w:hAnsi="Verdana" w:cs="Verdana"/>
      <w:sz w:val="16"/>
      <w:szCs w:val="16"/>
      <w:vertAlign w:val="superscript"/>
    </w:rPr>
  </w:style>
  <w:style w:type="character" w:styleId="Textoennegrita">
    <w:name w:val="Strong"/>
    <w:aliases w:val="Heading 2.1"/>
    <w:basedOn w:val="Fuentedeprrafopredeter"/>
    <w:uiPriority w:val="22"/>
    <w:qFormat/>
    <w:rsid w:val="00291C0D"/>
    <w:rPr>
      <w:b/>
      <w:bCs/>
    </w:rPr>
  </w:style>
  <w:style w:type="character" w:styleId="nfasis">
    <w:name w:val="Emphasis"/>
    <w:basedOn w:val="Fuentedeprrafopredeter"/>
    <w:uiPriority w:val="20"/>
    <w:qFormat/>
    <w:rsid w:val="00291C0D"/>
    <w:rPr>
      <w:i/>
      <w:iCs/>
    </w:rPr>
  </w:style>
  <w:style w:type="paragraph" w:styleId="Sinespaciado">
    <w:name w:val="No Spacing"/>
    <w:uiPriority w:val="1"/>
    <w:qFormat/>
    <w:rsid w:val="00291C0D"/>
    <w:pPr>
      <w:spacing w:after="0" w:line="240" w:lineRule="auto"/>
      <w:jc w:val="both"/>
    </w:pPr>
    <w:rPr>
      <w:rFonts w:ascii="Verdana" w:eastAsia="Calibri" w:hAnsi="Verdana" w:cs="Calibri"/>
      <w:sz w:val="20"/>
      <w:lang w:val="es-MX"/>
    </w:rPr>
  </w:style>
  <w:style w:type="paragraph" w:styleId="Prrafodelista">
    <w:name w:val="List Paragraph"/>
    <w:aliases w:val="Footnote,List Paragraph1,Párrafo de lista1,Colorful List - Accent 11,List Paragraph2,Lista vistosa - Énfasis 11,Subtle Emphasis1,Footnote1"/>
    <w:basedOn w:val="Normal"/>
    <w:link w:val="PrrafodelistaCar1"/>
    <w:uiPriority w:val="99"/>
    <w:qFormat/>
    <w:rsid w:val="00291C0D"/>
    <w:pPr>
      <w:widowControl w:val="0"/>
      <w:numPr>
        <w:ilvl w:val="1"/>
        <w:numId w:val="1"/>
      </w:numPr>
      <w:autoSpaceDE w:val="0"/>
      <w:autoSpaceDN w:val="0"/>
      <w:adjustRightInd w:val="0"/>
      <w:ind w:right="22"/>
    </w:pPr>
    <w:rPr>
      <w:rFonts w:cs="Verdana"/>
      <w:szCs w:val="20"/>
    </w:rPr>
  </w:style>
  <w:style w:type="character" w:customStyle="1" w:styleId="PrrafodelistaCar1">
    <w:name w:val="Párrafo de lista Car1"/>
    <w:aliases w:val="Footnote Car,List Paragraph1 Car,Párrafo de lista1 Car,Colorful List - Accent 11 Car,List Paragraph2 Car,Lista vistosa - Énfasis 11 Car,Subtle Emphasis1 Car,Footnote1 Car"/>
    <w:link w:val="Prrafodelista"/>
    <w:uiPriority w:val="99"/>
    <w:rsid w:val="00291C0D"/>
    <w:rPr>
      <w:rFonts w:ascii="Verdana" w:hAnsi="Verdana" w:cs="Verdana"/>
      <w:sz w:val="20"/>
      <w:szCs w:val="20"/>
      <w:lang w:val="en-US"/>
    </w:rPr>
  </w:style>
  <w:style w:type="paragraph" w:customStyle="1" w:styleId="citaindirecta">
    <w:name w:val="cita indirecta"/>
    <w:basedOn w:val="Normal"/>
    <w:uiPriority w:val="99"/>
    <w:qFormat/>
    <w:rsid w:val="00A46476"/>
    <w:pPr>
      <w:ind w:left="708"/>
    </w:pPr>
    <w:rPr>
      <w:rFonts w:eastAsia="Times New Roman" w:cs="Times New Roman"/>
      <w:szCs w:val="20"/>
      <w:lang w:val="es-ES_tradnl" w:eastAsia="es-MX"/>
    </w:rPr>
  </w:style>
  <w:style w:type="paragraph" w:styleId="NormalWeb">
    <w:name w:val="Normal (Web)"/>
    <w:aliases w:val="Normal (Web) Char1,Normal (Web) Char Char,Normal (Web) Char1 Char,Normal (Web) Char Char Char"/>
    <w:basedOn w:val="Ttulo1"/>
    <w:next w:val="Normal"/>
    <w:autoRedefine/>
    <w:unhideWhenUsed/>
    <w:qFormat/>
    <w:rsid w:val="006A39C7"/>
    <w:pPr>
      <w:keepLines/>
      <w:tabs>
        <w:tab w:val="left" w:pos="360"/>
        <w:tab w:val="center" w:pos="4320"/>
        <w:tab w:val="right" w:pos="8640"/>
      </w:tabs>
      <w:spacing w:before="120" w:after="120"/>
      <w:jc w:val="both"/>
      <w:outlineLvl w:val="9"/>
    </w:pPr>
    <w:rPr>
      <w:rFonts w:asciiTheme="majorHAnsi" w:eastAsiaTheme="majorEastAsia" w:hAnsiTheme="majorHAnsi" w:cstheme="majorBidi"/>
      <w:bCs/>
      <w:color w:val="365F91" w:themeColor="accent1" w:themeShade="BF"/>
      <w:sz w:val="28"/>
      <w:szCs w:val="28"/>
      <w:lang w:val="es-ES_tradnl" w:eastAsia="es-ES_tradnl"/>
    </w:rPr>
  </w:style>
  <w:style w:type="character" w:styleId="Refdecomentario">
    <w:name w:val="annotation reference"/>
    <w:basedOn w:val="Fuentedeprrafopredeter"/>
    <w:uiPriority w:val="99"/>
    <w:unhideWhenUsed/>
    <w:rsid w:val="00A46476"/>
    <w:rPr>
      <w:sz w:val="16"/>
      <w:szCs w:val="16"/>
    </w:rPr>
  </w:style>
  <w:style w:type="paragraph" w:styleId="Textocomentario">
    <w:name w:val="annotation text"/>
    <w:basedOn w:val="Normal"/>
    <w:link w:val="TextocomentarioCar"/>
    <w:uiPriority w:val="99"/>
    <w:unhideWhenUsed/>
    <w:rsid w:val="00A46476"/>
    <w:rPr>
      <w:szCs w:val="20"/>
    </w:rPr>
  </w:style>
  <w:style w:type="character" w:customStyle="1" w:styleId="TextocomentarioCar">
    <w:name w:val="Texto comentario Car"/>
    <w:basedOn w:val="Fuentedeprrafopredeter"/>
    <w:link w:val="Textocomentario"/>
    <w:uiPriority w:val="99"/>
    <w:rsid w:val="00A46476"/>
    <w:rPr>
      <w:rFonts w:ascii="Verdana" w:hAnsi="Verdana"/>
      <w:sz w:val="20"/>
      <w:szCs w:val="20"/>
      <w:lang w:val="en-US"/>
    </w:rPr>
  </w:style>
  <w:style w:type="paragraph" w:styleId="Textodeglobo">
    <w:name w:val="Balloon Text"/>
    <w:basedOn w:val="Normal"/>
    <w:link w:val="TextodegloboCar"/>
    <w:uiPriority w:val="99"/>
    <w:unhideWhenUsed/>
    <w:rsid w:val="00A46476"/>
    <w:rPr>
      <w:rFonts w:ascii="Tahoma" w:hAnsi="Tahoma" w:cs="Tahoma"/>
      <w:sz w:val="16"/>
      <w:szCs w:val="16"/>
    </w:rPr>
  </w:style>
  <w:style w:type="character" w:customStyle="1" w:styleId="TextodegloboCar">
    <w:name w:val="Texto de globo Car"/>
    <w:basedOn w:val="Fuentedeprrafopredeter"/>
    <w:link w:val="Textodeglobo"/>
    <w:uiPriority w:val="99"/>
    <w:rsid w:val="00A46476"/>
    <w:rPr>
      <w:rFonts w:ascii="Tahoma" w:hAnsi="Tahoma" w:cs="Tahoma"/>
      <w:sz w:val="16"/>
      <w:szCs w:val="16"/>
      <w:lang w:val="en-US"/>
    </w:rPr>
  </w:style>
  <w:style w:type="paragraph" w:styleId="Encabezado">
    <w:name w:val="header"/>
    <w:aliases w:val="encabezado"/>
    <w:basedOn w:val="Normal"/>
    <w:link w:val="EncabezadoCar"/>
    <w:uiPriority w:val="99"/>
    <w:rsid w:val="003D67E7"/>
    <w:pPr>
      <w:tabs>
        <w:tab w:val="center" w:pos="4320"/>
        <w:tab w:val="right" w:pos="8640"/>
      </w:tabs>
      <w:jc w:val="left"/>
    </w:pPr>
    <w:rPr>
      <w:rFonts w:ascii="Garamond" w:eastAsia="Times New Roman" w:hAnsi="Garamond" w:cs="Times New Roman"/>
      <w:szCs w:val="20"/>
      <w:lang w:val="es-ES_tradnl"/>
    </w:rPr>
  </w:style>
  <w:style w:type="character" w:customStyle="1" w:styleId="EncabezadoCar">
    <w:name w:val="Encabezado Car"/>
    <w:aliases w:val="encabezado Car"/>
    <w:basedOn w:val="Fuentedeprrafopredeter"/>
    <w:link w:val="Encabezado"/>
    <w:uiPriority w:val="99"/>
    <w:rsid w:val="003D67E7"/>
    <w:rPr>
      <w:rFonts w:ascii="Garamond" w:eastAsia="Times New Roman" w:hAnsi="Garamond" w:cs="Times New Roman"/>
      <w:sz w:val="20"/>
      <w:szCs w:val="20"/>
      <w:lang w:val="es-ES_tradnl"/>
    </w:rPr>
  </w:style>
  <w:style w:type="character" w:styleId="Hipervnculo">
    <w:name w:val="Hyperlink"/>
    <w:basedOn w:val="Fuentedeprrafopredeter"/>
    <w:uiPriority w:val="99"/>
    <w:rsid w:val="00AC1F68"/>
    <w:rPr>
      <w:color w:val="0000FF"/>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C1F68"/>
    <w:rPr>
      <w:rFonts w:cs="Verdana"/>
      <w:sz w:val="16"/>
      <w:szCs w:val="16"/>
      <w:vertAlign w:val="superscript"/>
      <w:lang w:val="es-CR"/>
    </w:rPr>
  </w:style>
  <w:style w:type="paragraph" w:styleId="Asuntodelcomentario">
    <w:name w:val="annotation subject"/>
    <w:basedOn w:val="Textocomentario"/>
    <w:next w:val="Textocomentario"/>
    <w:link w:val="AsuntodelcomentarioCar"/>
    <w:uiPriority w:val="99"/>
    <w:unhideWhenUsed/>
    <w:rsid w:val="008F1A57"/>
    <w:rPr>
      <w:b/>
      <w:bCs/>
    </w:rPr>
  </w:style>
  <w:style w:type="character" w:customStyle="1" w:styleId="AsuntodelcomentarioCar">
    <w:name w:val="Asunto del comentario Car"/>
    <w:basedOn w:val="TextocomentarioCar"/>
    <w:link w:val="Asuntodelcomentario"/>
    <w:uiPriority w:val="99"/>
    <w:rsid w:val="008F1A57"/>
    <w:rPr>
      <w:rFonts w:ascii="Verdana" w:hAnsi="Verdana"/>
      <w:b/>
      <w:bCs/>
      <w:sz w:val="20"/>
      <w:szCs w:val="20"/>
      <w:lang w:val="en-US"/>
    </w:rPr>
  </w:style>
  <w:style w:type="paragraph" w:styleId="Revisin">
    <w:name w:val="Revision"/>
    <w:hidden/>
    <w:uiPriority w:val="99"/>
    <w:semiHidden/>
    <w:rsid w:val="003C61D1"/>
    <w:pPr>
      <w:spacing w:after="0" w:line="240" w:lineRule="auto"/>
    </w:pPr>
    <w:rPr>
      <w:rFonts w:ascii="Verdana" w:hAnsi="Verdana"/>
      <w:sz w:val="20"/>
      <w:lang w:val="en-US"/>
    </w:rPr>
  </w:style>
  <w:style w:type="paragraph" w:customStyle="1" w:styleId="Cabeceraypie">
    <w:name w:val="Cabecera y pie"/>
    <w:rsid w:val="009553D6"/>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s-ES" w:eastAsia="es-ES"/>
    </w:rPr>
  </w:style>
  <w:style w:type="paragraph" w:styleId="Piedepgina">
    <w:name w:val="footer"/>
    <w:link w:val="PiedepginaCar"/>
    <w:uiPriority w:val="99"/>
    <w:rsid w:val="009553D6"/>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val="en-US" w:eastAsia="es-ES"/>
    </w:rPr>
  </w:style>
  <w:style w:type="character" w:customStyle="1" w:styleId="PiedepginaCar">
    <w:name w:val="Pie de página Car"/>
    <w:basedOn w:val="Fuentedeprrafopredeter"/>
    <w:link w:val="Piedepgina"/>
    <w:uiPriority w:val="99"/>
    <w:rsid w:val="009553D6"/>
    <w:rPr>
      <w:rFonts w:ascii="Cambria" w:eastAsia="Cambria" w:hAnsi="Cambria" w:cs="Cambria"/>
      <w:color w:val="000000"/>
      <w:sz w:val="24"/>
      <w:szCs w:val="24"/>
      <w:u w:color="000000"/>
      <w:bdr w:val="nil"/>
      <w:lang w:val="en-US" w:eastAsia="es-ES"/>
    </w:rPr>
  </w:style>
  <w:style w:type="paragraph" w:customStyle="1" w:styleId="Cuerpo">
    <w:name w:val="Cuerpo"/>
    <w:rsid w:val="009553D6"/>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s-ES" w:eastAsia="es-ES"/>
    </w:rPr>
  </w:style>
  <w:style w:type="paragraph" w:styleId="Sangradetextonormal">
    <w:name w:val="Body Text Indent"/>
    <w:link w:val="SangradetextonormalCar"/>
    <w:rsid w:val="009553D6"/>
    <w:pPr>
      <w:pBdr>
        <w:top w:val="nil"/>
        <w:left w:val="nil"/>
        <w:bottom w:val="nil"/>
        <w:right w:val="nil"/>
        <w:between w:val="nil"/>
        <w:bar w:val="nil"/>
      </w:pBdr>
      <w:spacing w:after="0" w:line="240" w:lineRule="auto"/>
      <w:ind w:left="2160" w:hanging="720"/>
    </w:pPr>
    <w:rPr>
      <w:rFonts w:ascii="Times New Roman" w:eastAsia="Times New Roman" w:hAnsi="Times New Roman" w:cs="Times New Roman"/>
      <w:color w:val="000000"/>
      <w:sz w:val="24"/>
      <w:szCs w:val="24"/>
      <w:u w:color="000000"/>
      <w:bdr w:val="nil"/>
      <w:lang w:val="es-ES_tradnl" w:eastAsia="es-ES"/>
    </w:rPr>
  </w:style>
  <w:style w:type="character" w:customStyle="1" w:styleId="SangradetextonormalCar">
    <w:name w:val="Sangría de texto normal Car"/>
    <w:basedOn w:val="Fuentedeprrafopredeter"/>
    <w:link w:val="Sangradetextonormal"/>
    <w:rsid w:val="009553D6"/>
    <w:rPr>
      <w:rFonts w:ascii="Times New Roman" w:eastAsia="Times New Roman" w:hAnsi="Times New Roman" w:cs="Times New Roman"/>
      <w:color w:val="000000"/>
      <w:sz w:val="24"/>
      <w:szCs w:val="24"/>
      <w:u w:color="000000"/>
      <w:bdr w:val="nil"/>
      <w:lang w:val="es-ES_tradnl" w:eastAsia="es-ES"/>
    </w:rPr>
  </w:style>
  <w:style w:type="numbering" w:customStyle="1" w:styleId="List0">
    <w:name w:val="List 0"/>
    <w:basedOn w:val="Estiloimportado1"/>
    <w:rsid w:val="009553D6"/>
    <w:pPr>
      <w:numPr>
        <w:numId w:val="34"/>
      </w:numPr>
    </w:pPr>
  </w:style>
  <w:style w:type="numbering" w:customStyle="1" w:styleId="Estiloimportado1">
    <w:name w:val="Estilo importado 1"/>
    <w:rsid w:val="009553D6"/>
  </w:style>
  <w:style w:type="numbering" w:customStyle="1" w:styleId="List1">
    <w:name w:val="List 1"/>
    <w:basedOn w:val="Estiloimportado2"/>
    <w:rsid w:val="009553D6"/>
    <w:pPr>
      <w:numPr>
        <w:numId w:val="4"/>
      </w:numPr>
    </w:pPr>
  </w:style>
  <w:style w:type="numbering" w:customStyle="1" w:styleId="Estiloimportado2">
    <w:name w:val="Estilo importado 2"/>
    <w:rsid w:val="009553D6"/>
  </w:style>
  <w:style w:type="numbering" w:customStyle="1" w:styleId="List21">
    <w:name w:val="List 21"/>
    <w:basedOn w:val="Estiloimportado3"/>
    <w:rsid w:val="009553D6"/>
    <w:pPr>
      <w:numPr>
        <w:numId w:val="55"/>
      </w:numPr>
    </w:pPr>
  </w:style>
  <w:style w:type="numbering" w:customStyle="1" w:styleId="Estiloimportado3">
    <w:name w:val="Estilo importado 3"/>
    <w:rsid w:val="009553D6"/>
    <w:pPr>
      <w:numPr>
        <w:numId w:val="66"/>
      </w:numPr>
    </w:pPr>
  </w:style>
  <w:style w:type="numbering" w:customStyle="1" w:styleId="List31">
    <w:name w:val="List 31"/>
    <w:basedOn w:val="Estiloimportado4"/>
    <w:rsid w:val="009553D6"/>
    <w:pPr>
      <w:numPr>
        <w:numId w:val="54"/>
      </w:numPr>
    </w:pPr>
  </w:style>
  <w:style w:type="numbering" w:customStyle="1" w:styleId="Estiloimportado4">
    <w:name w:val="Estilo importado 4"/>
    <w:rsid w:val="009553D6"/>
  </w:style>
  <w:style w:type="numbering" w:customStyle="1" w:styleId="List41">
    <w:name w:val="List 41"/>
    <w:basedOn w:val="Estiloimportado5"/>
    <w:rsid w:val="009553D6"/>
    <w:pPr>
      <w:numPr>
        <w:numId w:val="5"/>
      </w:numPr>
    </w:pPr>
  </w:style>
  <w:style w:type="numbering" w:customStyle="1" w:styleId="Estiloimportado5">
    <w:name w:val="Estilo importado 5"/>
    <w:rsid w:val="009553D6"/>
  </w:style>
  <w:style w:type="numbering" w:customStyle="1" w:styleId="List51">
    <w:name w:val="List 51"/>
    <w:basedOn w:val="Estiloimportado6"/>
    <w:rsid w:val="009553D6"/>
    <w:pPr>
      <w:numPr>
        <w:numId w:val="56"/>
      </w:numPr>
    </w:pPr>
  </w:style>
  <w:style w:type="numbering" w:customStyle="1" w:styleId="Estiloimportado6">
    <w:name w:val="Estilo importado 6"/>
    <w:rsid w:val="009553D6"/>
  </w:style>
  <w:style w:type="numbering" w:customStyle="1" w:styleId="List6">
    <w:name w:val="List 6"/>
    <w:basedOn w:val="Estiloimportado7"/>
    <w:rsid w:val="009553D6"/>
    <w:pPr>
      <w:numPr>
        <w:numId w:val="6"/>
      </w:numPr>
    </w:pPr>
  </w:style>
  <w:style w:type="numbering" w:customStyle="1" w:styleId="Estiloimportado7">
    <w:name w:val="Estilo importado 7"/>
    <w:rsid w:val="009553D6"/>
  </w:style>
  <w:style w:type="numbering" w:customStyle="1" w:styleId="List7">
    <w:name w:val="List 7"/>
    <w:basedOn w:val="Estiloimportado8"/>
    <w:rsid w:val="009553D6"/>
    <w:pPr>
      <w:numPr>
        <w:numId w:val="7"/>
      </w:numPr>
    </w:pPr>
  </w:style>
  <w:style w:type="numbering" w:customStyle="1" w:styleId="Estiloimportado8">
    <w:name w:val="Estilo importado 8"/>
    <w:rsid w:val="009553D6"/>
  </w:style>
  <w:style w:type="numbering" w:customStyle="1" w:styleId="List8">
    <w:name w:val="List 8"/>
    <w:basedOn w:val="Estiloimportado9"/>
    <w:rsid w:val="009553D6"/>
    <w:pPr>
      <w:numPr>
        <w:numId w:val="8"/>
      </w:numPr>
    </w:pPr>
  </w:style>
  <w:style w:type="numbering" w:customStyle="1" w:styleId="Estiloimportado9">
    <w:name w:val="Estilo importado 9"/>
    <w:rsid w:val="009553D6"/>
  </w:style>
  <w:style w:type="numbering" w:customStyle="1" w:styleId="List9">
    <w:name w:val="List 9"/>
    <w:basedOn w:val="Estiloimportado10"/>
    <w:rsid w:val="009553D6"/>
    <w:pPr>
      <w:numPr>
        <w:numId w:val="25"/>
      </w:numPr>
    </w:pPr>
  </w:style>
  <w:style w:type="numbering" w:customStyle="1" w:styleId="Estiloimportado10">
    <w:name w:val="Estilo importado 10"/>
    <w:rsid w:val="009553D6"/>
  </w:style>
  <w:style w:type="numbering" w:customStyle="1" w:styleId="List10">
    <w:name w:val="List 10"/>
    <w:basedOn w:val="Estiloimportado11"/>
    <w:rsid w:val="009553D6"/>
    <w:pPr>
      <w:numPr>
        <w:numId w:val="9"/>
      </w:numPr>
    </w:pPr>
  </w:style>
  <w:style w:type="numbering" w:customStyle="1" w:styleId="Estiloimportado11">
    <w:name w:val="Estilo importado 11"/>
    <w:rsid w:val="009553D6"/>
  </w:style>
  <w:style w:type="numbering" w:customStyle="1" w:styleId="List11">
    <w:name w:val="List 11"/>
    <w:basedOn w:val="Estiloimportado12"/>
    <w:rsid w:val="009553D6"/>
    <w:pPr>
      <w:numPr>
        <w:numId w:val="10"/>
      </w:numPr>
    </w:pPr>
  </w:style>
  <w:style w:type="numbering" w:customStyle="1" w:styleId="Estiloimportado12">
    <w:name w:val="Estilo importado 12"/>
    <w:rsid w:val="009553D6"/>
  </w:style>
  <w:style w:type="numbering" w:customStyle="1" w:styleId="List12">
    <w:name w:val="List 12"/>
    <w:basedOn w:val="Estiloimportado13"/>
    <w:rsid w:val="009553D6"/>
    <w:pPr>
      <w:numPr>
        <w:numId w:val="39"/>
      </w:numPr>
    </w:pPr>
  </w:style>
  <w:style w:type="numbering" w:customStyle="1" w:styleId="Estiloimportado13">
    <w:name w:val="Estilo importado 13"/>
    <w:rsid w:val="009553D6"/>
  </w:style>
  <w:style w:type="numbering" w:customStyle="1" w:styleId="List13">
    <w:name w:val="List 13"/>
    <w:basedOn w:val="Estiloimportado14"/>
    <w:rsid w:val="009553D6"/>
    <w:pPr>
      <w:numPr>
        <w:numId w:val="45"/>
      </w:numPr>
    </w:pPr>
  </w:style>
  <w:style w:type="numbering" w:customStyle="1" w:styleId="Estiloimportado14">
    <w:name w:val="Estilo importado 14"/>
    <w:rsid w:val="009553D6"/>
  </w:style>
  <w:style w:type="numbering" w:customStyle="1" w:styleId="List14">
    <w:name w:val="List 14"/>
    <w:basedOn w:val="Estiloimportado15"/>
    <w:rsid w:val="009553D6"/>
    <w:pPr>
      <w:numPr>
        <w:numId w:val="20"/>
      </w:numPr>
    </w:pPr>
  </w:style>
  <w:style w:type="numbering" w:customStyle="1" w:styleId="Estiloimportado15">
    <w:name w:val="Estilo importado 15"/>
    <w:rsid w:val="009553D6"/>
  </w:style>
  <w:style w:type="numbering" w:customStyle="1" w:styleId="List15">
    <w:name w:val="List 15"/>
    <w:basedOn w:val="Estiloimportado16"/>
    <w:rsid w:val="009553D6"/>
    <w:pPr>
      <w:numPr>
        <w:numId w:val="19"/>
      </w:numPr>
    </w:pPr>
  </w:style>
  <w:style w:type="numbering" w:customStyle="1" w:styleId="Estiloimportado16">
    <w:name w:val="Estilo importado 16"/>
    <w:rsid w:val="009553D6"/>
  </w:style>
  <w:style w:type="numbering" w:customStyle="1" w:styleId="List16">
    <w:name w:val="List 16"/>
    <w:basedOn w:val="Estiloimportado16"/>
    <w:rsid w:val="009553D6"/>
    <w:pPr>
      <w:numPr>
        <w:numId w:val="13"/>
      </w:numPr>
    </w:pPr>
  </w:style>
  <w:style w:type="numbering" w:customStyle="1" w:styleId="List17">
    <w:name w:val="List 17"/>
    <w:basedOn w:val="Estiloimportado17"/>
    <w:rsid w:val="009553D6"/>
    <w:pPr>
      <w:numPr>
        <w:numId w:val="28"/>
      </w:numPr>
    </w:pPr>
  </w:style>
  <w:style w:type="numbering" w:customStyle="1" w:styleId="Estiloimportado17">
    <w:name w:val="Estilo importado 17"/>
    <w:rsid w:val="009553D6"/>
  </w:style>
  <w:style w:type="numbering" w:customStyle="1" w:styleId="List18">
    <w:name w:val="List 18"/>
    <w:basedOn w:val="Estiloimportado18"/>
    <w:rsid w:val="009553D6"/>
    <w:pPr>
      <w:numPr>
        <w:numId w:val="30"/>
      </w:numPr>
    </w:pPr>
  </w:style>
  <w:style w:type="numbering" w:customStyle="1" w:styleId="Estiloimportado18">
    <w:name w:val="Estilo importado 18"/>
    <w:rsid w:val="009553D6"/>
  </w:style>
  <w:style w:type="numbering" w:customStyle="1" w:styleId="List19">
    <w:name w:val="List 19"/>
    <w:basedOn w:val="Estiloimportado10"/>
    <w:rsid w:val="009553D6"/>
    <w:pPr>
      <w:numPr>
        <w:numId w:val="22"/>
      </w:numPr>
    </w:pPr>
  </w:style>
  <w:style w:type="numbering" w:customStyle="1" w:styleId="List20">
    <w:name w:val="List 20"/>
    <w:basedOn w:val="Estiloimportado12"/>
    <w:rsid w:val="009553D6"/>
    <w:pPr>
      <w:numPr>
        <w:numId w:val="46"/>
      </w:numPr>
    </w:pPr>
  </w:style>
  <w:style w:type="numbering" w:customStyle="1" w:styleId="List211">
    <w:name w:val="List 211"/>
    <w:basedOn w:val="Estiloimportado19"/>
    <w:rsid w:val="009553D6"/>
    <w:pPr>
      <w:numPr>
        <w:numId w:val="41"/>
      </w:numPr>
    </w:pPr>
  </w:style>
  <w:style w:type="numbering" w:customStyle="1" w:styleId="Estiloimportado19">
    <w:name w:val="Estilo importado 19"/>
    <w:rsid w:val="009553D6"/>
  </w:style>
  <w:style w:type="numbering" w:customStyle="1" w:styleId="List22">
    <w:name w:val="List 22"/>
    <w:basedOn w:val="Estiloimportado19"/>
    <w:rsid w:val="009553D6"/>
    <w:pPr>
      <w:numPr>
        <w:numId w:val="31"/>
      </w:numPr>
    </w:pPr>
  </w:style>
  <w:style w:type="numbering" w:customStyle="1" w:styleId="List23">
    <w:name w:val="List 23"/>
    <w:basedOn w:val="Estiloimportado19"/>
    <w:rsid w:val="009553D6"/>
    <w:pPr>
      <w:numPr>
        <w:numId w:val="21"/>
      </w:numPr>
    </w:pPr>
  </w:style>
  <w:style w:type="numbering" w:customStyle="1" w:styleId="List24">
    <w:name w:val="List 24"/>
    <w:basedOn w:val="Estiloimportado20"/>
    <w:rsid w:val="009553D6"/>
    <w:pPr>
      <w:numPr>
        <w:numId w:val="16"/>
      </w:numPr>
    </w:pPr>
  </w:style>
  <w:style w:type="numbering" w:customStyle="1" w:styleId="Estiloimportado20">
    <w:name w:val="Estilo importado 20"/>
    <w:rsid w:val="009553D6"/>
  </w:style>
  <w:style w:type="numbering" w:customStyle="1" w:styleId="List25">
    <w:name w:val="List 25"/>
    <w:basedOn w:val="Estiloimportado21"/>
    <w:rsid w:val="009553D6"/>
    <w:pPr>
      <w:numPr>
        <w:numId w:val="18"/>
      </w:numPr>
    </w:pPr>
  </w:style>
  <w:style w:type="numbering" w:customStyle="1" w:styleId="Estiloimportado21">
    <w:name w:val="Estilo importado 21"/>
    <w:rsid w:val="009553D6"/>
  </w:style>
  <w:style w:type="numbering" w:customStyle="1" w:styleId="List26">
    <w:name w:val="List 26"/>
    <w:basedOn w:val="Estiloimportado22"/>
    <w:rsid w:val="009553D6"/>
    <w:pPr>
      <w:numPr>
        <w:numId w:val="52"/>
      </w:numPr>
    </w:pPr>
  </w:style>
  <w:style w:type="numbering" w:customStyle="1" w:styleId="Estiloimportado22">
    <w:name w:val="Estilo importado 22"/>
    <w:rsid w:val="009553D6"/>
  </w:style>
  <w:style w:type="numbering" w:customStyle="1" w:styleId="List27">
    <w:name w:val="List 27"/>
    <w:basedOn w:val="Estiloimportado23"/>
    <w:rsid w:val="009553D6"/>
    <w:pPr>
      <w:numPr>
        <w:numId w:val="44"/>
      </w:numPr>
    </w:pPr>
  </w:style>
  <w:style w:type="numbering" w:customStyle="1" w:styleId="Estiloimportado23">
    <w:name w:val="Estilo importado 23"/>
    <w:rsid w:val="009553D6"/>
  </w:style>
  <w:style w:type="numbering" w:customStyle="1" w:styleId="List28">
    <w:name w:val="List 28"/>
    <w:basedOn w:val="Estiloimportado24"/>
    <w:rsid w:val="009553D6"/>
    <w:pPr>
      <w:numPr>
        <w:numId w:val="33"/>
      </w:numPr>
    </w:pPr>
  </w:style>
  <w:style w:type="numbering" w:customStyle="1" w:styleId="Estiloimportado24">
    <w:name w:val="Estilo importado 24"/>
    <w:rsid w:val="009553D6"/>
  </w:style>
  <w:style w:type="numbering" w:customStyle="1" w:styleId="List29">
    <w:name w:val="List 29"/>
    <w:basedOn w:val="Estiloimportado25"/>
    <w:rsid w:val="009553D6"/>
    <w:pPr>
      <w:numPr>
        <w:numId w:val="37"/>
      </w:numPr>
    </w:pPr>
  </w:style>
  <w:style w:type="numbering" w:customStyle="1" w:styleId="Estiloimportado25">
    <w:name w:val="Estilo importado 25"/>
    <w:rsid w:val="009553D6"/>
  </w:style>
  <w:style w:type="numbering" w:customStyle="1" w:styleId="List30">
    <w:name w:val="List 30"/>
    <w:basedOn w:val="Estiloimportado26"/>
    <w:rsid w:val="009553D6"/>
    <w:pPr>
      <w:numPr>
        <w:numId w:val="35"/>
      </w:numPr>
    </w:pPr>
  </w:style>
  <w:style w:type="numbering" w:customStyle="1" w:styleId="Estiloimportado26">
    <w:name w:val="Estilo importado 26"/>
    <w:rsid w:val="009553D6"/>
  </w:style>
  <w:style w:type="numbering" w:customStyle="1" w:styleId="List311">
    <w:name w:val="List 311"/>
    <w:basedOn w:val="Estiloimportado27"/>
    <w:rsid w:val="009553D6"/>
    <w:pPr>
      <w:numPr>
        <w:numId w:val="48"/>
      </w:numPr>
    </w:pPr>
  </w:style>
  <w:style w:type="numbering" w:customStyle="1" w:styleId="Estiloimportado27">
    <w:name w:val="Estilo importado 27"/>
    <w:rsid w:val="009553D6"/>
  </w:style>
  <w:style w:type="numbering" w:customStyle="1" w:styleId="List32">
    <w:name w:val="List 32"/>
    <w:basedOn w:val="Estiloimportado28"/>
    <w:rsid w:val="009553D6"/>
    <w:pPr>
      <w:numPr>
        <w:numId w:val="51"/>
      </w:numPr>
    </w:pPr>
  </w:style>
  <w:style w:type="numbering" w:customStyle="1" w:styleId="Estiloimportado28">
    <w:name w:val="Estilo importado 28"/>
    <w:rsid w:val="009553D6"/>
  </w:style>
  <w:style w:type="numbering" w:customStyle="1" w:styleId="List33">
    <w:name w:val="List 33"/>
    <w:basedOn w:val="Estiloimportado29"/>
    <w:rsid w:val="009553D6"/>
    <w:pPr>
      <w:numPr>
        <w:numId w:val="29"/>
      </w:numPr>
    </w:pPr>
  </w:style>
  <w:style w:type="numbering" w:customStyle="1" w:styleId="Estiloimportado29">
    <w:name w:val="Estilo importado 29"/>
    <w:rsid w:val="009553D6"/>
  </w:style>
  <w:style w:type="numbering" w:customStyle="1" w:styleId="List34">
    <w:name w:val="List 34"/>
    <w:basedOn w:val="Estiloimportado30"/>
    <w:rsid w:val="009553D6"/>
    <w:pPr>
      <w:numPr>
        <w:numId w:val="14"/>
      </w:numPr>
    </w:pPr>
  </w:style>
  <w:style w:type="numbering" w:customStyle="1" w:styleId="Estiloimportado30">
    <w:name w:val="Estilo importado 30"/>
    <w:rsid w:val="009553D6"/>
  </w:style>
  <w:style w:type="numbering" w:customStyle="1" w:styleId="List35">
    <w:name w:val="List 35"/>
    <w:basedOn w:val="Estiloimportado31"/>
    <w:rsid w:val="009553D6"/>
    <w:pPr>
      <w:numPr>
        <w:numId w:val="11"/>
      </w:numPr>
    </w:pPr>
  </w:style>
  <w:style w:type="numbering" w:customStyle="1" w:styleId="Estiloimportado31">
    <w:name w:val="Estilo importado 31"/>
    <w:rsid w:val="009553D6"/>
  </w:style>
  <w:style w:type="numbering" w:customStyle="1" w:styleId="List36">
    <w:name w:val="List 36"/>
    <w:basedOn w:val="Estiloimportado32"/>
    <w:rsid w:val="009553D6"/>
    <w:pPr>
      <w:numPr>
        <w:numId w:val="17"/>
      </w:numPr>
    </w:pPr>
  </w:style>
  <w:style w:type="numbering" w:customStyle="1" w:styleId="Estiloimportado32">
    <w:name w:val="Estilo importado 32"/>
    <w:rsid w:val="009553D6"/>
  </w:style>
  <w:style w:type="numbering" w:customStyle="1" w:styleId="List37">
    <w:name w:val="List 37"/>
    <w:basedOn w:val="Estiloimportado33"/>
    <w:rsid w:val="009553D6"/>
    <w:pPr>
      <w:numPr>
        <w:numId w:val="50"/>
      </w:numPr>
    </w:pPr>
  </w:style>
  <w:style w:type="numbering" w:customStyle="1" w:styleId="Estiloimportado33">
    <w:name w:val="Estilo importado 33"/>
    <w:rsid w:val="009553D6"/>
  </w:style>
  <w:style w:type="numbering" w:customStyle="1" w:styleId="List38">
    <w:name w:val="List 38"/>
    <w:basedOn w:val="Estiloimportado34"/>
    <w:rsid w:val="009553D6"/>
    <w:pPr>
      <w:numPr>
        <w:numId w:val="38"/>
      </w:numPr>
    </w:pPr>
  </w:style>
  <w:style w:type="numbering" w:customStyle="1" w:styleId="Estiloimportado34">
    <w:name w:val="Estilo importado 34"/>
    <w:rsid w:val="009553D6"/>
  </w:style>
  <w:style w:type="numbering" w:customStyle="1" w:styleId="List39">
    <w:name w:val="List 39"/>
    <w:basedOn w:val="Estiloimportado35"/>
    <w:rsid w:val="009553D6"/>
    <w:pPr>
      <w:numPr>
        <w:numId w:val="49"/>
      </w:numPr>
    </w:pPr>
  </w:style>
  <w:style w:type="numbering" w:customStyle="1" w:styleId="Estiloimportado35">
    <w:name w:val="Estilo importado 35"/>
    <w:rsid w:val="009553D6"/>
  </w:style>
  <w:style w:type="numbering" w:customStyle="1" w:styleId="List40">
    <w:name w:val="List 40"/>
    <w:basedOn w:val="Estiloimportado36"/>
    <w:rsid w:val="009553D6"/>
    <w:pPr>
      <w:numPr>
        <w:numId w:val="24"/>
      </w:numPr>
    </w:pPr>
  </w:style>
  <w:style w:type="numbering" w:customStyle="1" w:styleId="Estiloimportado36">
    <w:name w:val="Estilo importado 36"/>
    <w:rsid w:val="009553D6"/>
  </w:style>
  <w:style w:type="numbering" w:customStyle="1" w:styleId="List411">
    <w:name w:val="List 411"/>
    <w:basedOn w:val="Estiloimportado37"/>
    <w:rsid w:val="009553D6"/>
    <w:pPr>
      <w:numPr>
        <w:numId w:val="47"/>
      </w:numPr>
    </w:pPr>
  </w:style>
  <w:style w:type="numbering" w:customStyle="1" w:styleId="Estiloimportado37">
    <w:name w:val="Estilo importado 37"/>
    <w:rsid w:val="009553D6"/>
  </w:style>
  <w:style w:type="numbering" w:customStyle="1" w:styleId="List42">
    <w:name w:val="List 42"/>
    <w:basedOn w:val="Estiloimportado12"/>
    <w:rsid w:val="009553D6"/>
    <w:pPr>
      <w:numPr>
        <w:numId w:val="15"/>
      </w:numPr>
    </w:pPr>
  </w:style>
  <w:style w:type="numbering" w:customStyle="1" w:styleId="List43">
    <w:name w:val="List 43"/>
    <w:basedOn w:val="Estiloimportado38"/>
    <w:rsid w:val="009553D6"/>
    <w:pPr>
      <w:numPr>
        <w:numId w:val="26"/>
      </w:numPr>
    </w:pPr>
  </w:style>
  <w:style w:type="numbering" w:customStyle="1" w:styleId="Estiloimportado38">
    <w:name w:val="Estilo importado 38"/>
    <w:rsid w:val="009553D6"/>
  </w:style>
  <w:style w:type="numbering" w:customStyle="1" w:styleId="List44">
    <w:name w:val="List 44"/>
    <w:basedOn w:val="Estiloimportado39"/>
    <w:rsid w:val="009553D6"/>
    <w:pPr>
      <w:numPr>
        <w:numId w:val="43"/>
      </w:numPr>
    </w:pPr>
  </w:style>
  <w:style w:type="numbering" w:customStyle="1" w:styleId="Estiloimportado39">
    <w:name w:val="Estilo importado 39"/>
    <w:rsid w:val="009553D6"/>
  </w:style>
  <w:style w:type="numbering" w:customStyle="1" w:styleId="List45">
    <w:name w:val="List 45"/>
    <w:basedOn w:val="Estiloimportado40"/>
    <w:rsid w:val="009553D6"/>
    <w:pPr>
      <w:numPr>
        <w:numId w:val="23"/>
      </w:numPr>
    </w:pPr>
  </w:style>
  <w:style w:type="numbering" w:customStyle="1" w:styleId="Estiloimportado40">
    <w:name w:val="Estilo importado 40"/>
    <w:rsid w:val="009553D6"/>
  </w:style>
  <w:style w:type="numbering" w:customStyle="1" w:styleId="List46">
    <w:name w:val="List 46"/>
    <w:basedOn w:val="Estiloimportado41"/>
    <w:rsid w:val="009553D6"/>
    <w:pPr>
      <w:numPr>
        <w:numId w:val="27"/>
      </w:numPr>
    </w:pPr>
  </w:style>
  <w:style w:type="numbering" w:customStyle="1" w:styleId="Estiloimportado41">
    <w:name w:val="Estilo importado 41"/>
    <w:rsid w:val="009553D6"/>
  </w:style>
  <w:style w:type="numbering" w:customStyle="1" w:styleId="List47">
    <w:name w:val="List 47"/>
    <w:basedOn w:val="Estiloimportado42"/>
    <w:rsid w:val="009553D6"/>
    <w:pPr>
      <w:numPr>
        <w:numId w:val="32"/>
      </w:numPr>
    </w:pPr>
  </w:style>
  <w:style w:type="numbering" w:customStyle="1" w:styleId="Estiloimportado42">
    <w:name w:val="Estilo importado 42"/>
    <w:rsid w:val="009553D6"/>
  </w:style>
  <w:style w:type="numbering" w:customStyle="1" w:styleId="List48">
    <w:name w:val="List 48"/>
    <w:basedOn w:val="Estiloimportado43"/>
    <w:rsid w:val="009553D6"/>
    <w:pPr>
      <w:numPr>
        <w:numId w:val="53"/>
      </w:numPr>
    </w:pPr>
  </w:style>
  <w:style w:type="numbering" w:customStyle="1" w:styleId="Estiloimportado43">
    <w:name w:val="Estilo importado 43"/>
    <w:rsid w:val="009553D6"/>
  </w:style>
  <w:style w:type="numbering" w:customStyle="1" w:styleId="List49">
    <w:name w:val="List 49"/>
    <w:basedOn w:val="Estiloimportado44"/>
    <w:rsid w:val="009553D6"/>
    <w:pPr>
      <w:numPr>
        <w:numId w:val="42"/>
      </w:numPr>
    </w:pPr>
  </w:style>
  <w:style w:type="numbering" w:customStyle="1" w:styleId="Estiloimportado44">
    <w:name w:val="Estilo importado 44"/>
    <w:rsid w:val="009553D6"/>
  </w:style>
  <w:style w:type="numbering" w:customStyle="1" w:styleId="List50">
    <w:name w:val="List 50"/>
    <w:basedOn w:val="Estiloimportado45"/>
    <w:rsid w:val="009553D6"/>
    <w:pPr>
      <w:numPr>
        <w:numId w:val="40"/>
      </w:numPr>
    </w:pPr>
  </w:style>
  <w:style w:type="numbering" w:customStyle="1" w:styleId="Estiloimportado45">
    <w:name w:val="Estilo importado 45"/>
    <w:rsid w:val="009553D6"/>
  </w:style>
  <w:style w:type="numbering" w:customStyle="1" w:styleId="List511">
    <w:name w:val="List 511"/>
    <w:basedOn w:val="Estiloimportado46"/>
    <w:rsid w:val="009553D6"/>
    <w:pPr>
      <w:numPr>
        <w:numId w:val="36"/>
      </w:numPr>
    </w:pPr>
  </w:style>
  <w:style w:type="numbering" w:customStyle="1" w:styleId="Estiloimportado46">
    <w:name w:val="Estilo importado 46"/>
    <w:rsid w:val="009553D6"/>
  </w:style>
  <w:style w:type="numbering" w:customStyle="1" w:styleId="List52">
    <w:name w:val="List 52"/>
    <w:basedOn w:val="Estiloimportado1"/>
    <w:rsid w:val="009553D6"/>
    <w:pPr>
      <w:numPr>
        <w:numId w:val="12"/>
      </w:numPr>
    </w:pPr>
  </w:style>
  <w:style w:type="table" w:styleId="Sombreadomedio1-nfasis2">
    <w:name w:val="Medium Shading 1 Accent 2"/>
    <w:basedOn w:val="Tablanormal"/>
    <w:uiPriority w:val="63"/>
    <w:rsid w:val="009553D6"/>
    <w:pPr>
      <w:spacing w:after="0" w:line="240" w:lineRule="auto"/>
    </w:pPr>
    <w:rPr>
      <w:rFonts w:ascii="Times New Roman" w:eastAsia="Arial Unicode MS" w:hAnsi="Times New Roman" w:cs="Times New Roman"/>
      <w:sz w:val="20"/>
      <w:szCs w:val="20"/>
      <w:lang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DC2">
    <w:name w:val="toc 2"/>
    <w:basedOn w:val="Normal"/>
    <w:next w:val="Normal"/>
    <w:autoRedefine/>
    <w:uiPriority w:val="39"/>
    <w:unhideWhenUsed/>
    <w:rsid w:val="00833F8D"/>
    <w:pPr>
      <w:pBdr>
        <w:top w:val="nil"/>
        <w:left w:val="nil"/>
        <w:bottom w:val="nil"/>
        <w:right w:val="nil"/>
        <w:between w:val="nil"/>
        <w:bar w:val="nil"/>
      </w:pBdr>
      <w:tabs>
        <w:tab w:val="left" w:pos="1080"/>
        <w:tab w:val="left" w:pos="1440"/>
        <w:tab w:val="right" w:leader="dot" w:pos="9900"/>
      </w:tabs>
      <w:spacing w:after="100"/>
      <w:ind w:left="1440" w:hanging="720"/>
    </w:pPr>
    <w:rPr>
      <w:rFonts w:ascii="Times New Roman" w:eastAsia="Arial Unicode MS" w:hAnsi="Times New Roman" w:cs="Times New Roman"/>
      <w:sz w:val="24"/>
      <w:szCs w:val="24"/>
      <w:bdr w:val="nil"/>
      <w:lang w:val="es-ES_tradnl"/>
    </w:rPr>
  </w:style>
  <w:style w:type="paragraph" w:styleId="TDC1">
    <w:name w:val="toc 1"/>
    <w:basedOn w:val="Normal"/>
    <w:next w:val="Normal"/>
    <w:autoRedefine/>
    <w:uiPriority w:val="39"/>
    <w:unhideWhenUsed/>
    <w:rsid w:val="004125DD"/>
    <w:pPr>
      <w:pBdr>
        <w:top w:val="nil"/>
        <w:left w:val="nil"/>
        <w:bottom w:val="nil"/>
        <w:right w:val="nil"/>
        <w:between w:val="nil"/>
        <w:bar w:val="nil"/>
      </w:pBdr>
      <w:tabs>
        <w:tab w:val="left" w:pos="720"/>
        <w:tab w:val="right" w:leader="dot" w:pos="9923"/>
      </w:tabs>
      <w:spacing w:after="100"/>
    </w:pPr>
    <w:rPr>
      <w:rFonts w:eastAsia="Arial Unicode MS" w:cs="Times New Roman"/>
      <w:b/>
      <w:noProof/>
      <w:szCs w:val="20"/>
      <w:bdr w:val="nil"/>
      <w:lang w:val="es-PE"/>
    </w:rPr>
  </w:style>
  <w:style w:type="paragraph" w:styleId="TDC3">
    <w:name w:val="toc 3"/>
    <w:basedOn w:val="Normal"/>
    <w:next w:val="Normal"/>
    <w:autoRedefine/>
    <w:uiPriority w:val="39"/>
    <w:unhideWhenUsed/>
    <w:rsid w:val="008D3132"/>
    <w:pPr>
      <w:pBdr>
        <w:top w:val="nil"/>
        <w:left w:val="nil"/>
        <w:bottom w:val="nil"/>
        <w:right w:val="nil"/>
        <w:between w:val="nil"/>
        <w:bar w:val="nil"/>
      </w:pBdr>
      <w:tabs>
        <w:tab w:val="left" w:pos="880"/>
        <w:tab w:val="right" w:leader="dot" w:pos="9900"/>
      </w:tabs>
      <w:spacing w:after="100"/>
      <w:ind w:left="1440"/>
    </w:pPr>
    <w:rPr>
      <w:rFonts w:eastAsia="Arial Unicode MS" w:cs="Times New Roman"/>
      <w:noProof/>
      <w:sz w:val="18"/>
      <w:szCs w:val="18"/>
      <w:bdr w:val="nil"/>
      <w:lang w:val="es-ES_tradnl" w:eastAsia="es-CR"/>
    </w:rPr>
  </w:style>
  <w:style w:type="paragraph" w:styleId="TDC4">
    <w:name w:val="toc 4"/>
    <w:basedOn w:val="Normal"/>
    <w:next w:val="Normal"/>
    <w:autoRedefine/>
    <w:uiPriority w:val="39"/>
    <w:unhideWhenUsed/>
    <w:rsid w:val="009553D6"/>
    <w:pPr>
      <w:pBdr>
        <w:top w:val="nil"/>
        <w:left w:val="nil"/>
        <w:bottom w:val="nil"/>
        <w:right w:val="nil"/>
        <w:between w:val="nil"/>
        <w:bar w:val="nil"/>
      </w:pBdr>
      <w:spacing w:after="100"/>
      <w:ind w:left="720"/>
      <w:jc w:val="left"/>
    </w:pPr>
    <w:rPr>
      <w:rFonts w:ascii="Times New Roman" w:eastAsia="Arial Unicode MS" w:hAnsi="Times New Roman" w:cs="Times New Roman"/>
      <w:sz w:val="24"/>
      <w:szCs w:val="24"/>
      <w:bdr w:val="nil"/>
      <w:lang w:val="es-ES_tradnl"/>
    </w:rPr>
  </w:style>
  <w:style w:type="character" w:styleId="Nmerodepgina">
    <w:name w:val="page number"/>
    <w:basedOn w:val="Fuentedeprrafopredeter"/>
    <w:rsid w:val="009553D6"/>
  </w:style>
  <w:style w:type="paragraph" w:styleId="Sangra2detindependiente">
    <w:name w:val="Body Text Indent 2"/>
    <w:basedOn w:val="Normal"/>
    <w:link w:val="Sangra2detindependienteCar"/>
    <w:unhideWhenUsed/>
    <w:rsid w:val="009553D6"/>
    <w:pPr>
      <w:pBdr>
        <w:top w:val="nil"/>
        <w:left w:val="nil"/>
        <w:bottom w:val="nil"/>
        <w:right w:val="nil"/>
        <w:between w:val="nil"/>
        <w:bar w:val="nil"/>
      </w:pBdr>
      <w:spacing w:after="120" w:line="480" w:lineRule="auto"/>
      <w:ind w:left="360"/>
      <w:jc w:val="left"/>
    </w:pPr>
    <w:rPr>
      <w:rFonts w:ascii="Times New Roman" w:eastAsia="Arial Unicode MS" w:hAnsi="Times New Roman" w:cs="Times New Roman"/>
      <w:sz w:val="24"/>
      <w:szCs w:val="24"/>
      <w:bdr w:val="nil"/>
      <w:lang w:val="es-ES_tradnl"/>
    </w:rPr>
  </w:style>
  <w:style w:type="character" w:customStyle="1" w:styleId="Sangra2detindependienteCar">
    <w:name w:val="Sangría 2 de t. independiente Car"/>
    <w:basedOn w:val="Fuentedeprrafopredeter"/>
    <w:link w:val="Sangra2detindependiente"/>
    <w:rsid w:val="009553D6"/>
    <w:rPr>
      <w:rFonts w:ascii="Times New Roman" w:eastAsia="Arial Unicode MS" w:hAnsi="Times New Roman" w:cs="Times New Roman"/>
      <w:sz w:val="24"/>
      <w:szCs w:val="24"/>
      <w:bdr w:val="nil"/>
      <w:lang w:val="es-ES_tradnl"/>
    </w:rPr>
  </w:style>
  <w:style w:type="paragraph" w:styleId="Textoindependiente">
    <w:name w:val="Body Text"/>
    <w:basedOn w:val="Normal"/>
    <w:link w:val="TextoindependienteCar"/>
    <w:uiPriority w:val="99"/>
    <w:unhideWhenUsed/>
    <w:rsid w:val="009553D6"/>
    <w:pPr>
      <w:pBdr>
        <w:top w:val="nil"/>
        <w:left w:val="nil"/>
        <w:bottom w:val="nil"/>
        <w:right w:val="nil"/>
        <w:between w:val="nil"/>
        <w:bar w:val="nil"/>
      </w:pBdr>
      <w:spacing w:after="120"/>
      <w:jc w:val="left"/>
    </w:pPr>
    <w:rPr>
      <w:rFonts w:ascii="Times New Roman" w:eastAsia="Arial Unicode MS" w:hAnsi="Times New Roman" w:cs="Times New Roman"/>
      <w:sz w:val="24"/>
      <w:szCs w:val="24"/>
      <w:bdr w:val="nil"/>
      <w:lang w:val="es-ES_tradnl"/>
    </w:rPr>
  </w:style>
  <w:style w:type="character" w:customStyle="1" w:styleId="TextoindependienteCar">
    <w:name w:val="Texto independiente Car"/>
    <w:basedOn w:val="Fuentedeprrafopredeter"/>
    <w:link w:val="Textoindependiente"/>
    <w:uiPriority w:val="99"/>
    <w:rsid w:val="009553D6"/>
    <w:rPr>
      <w:rFonts w:ascii="Times New Roman" w:eastAsia="Arial Unicode MS" w:hAnsi="Times New Roman" w:cs="Times New Roman"/>
      <w:sz w:val="24"/>
      <w:szCs w:val="24"/>
      <w:bdr w:val="nil"/>
      <w:lang w:val="es-ES_tradnl"/>
    </w:rPr>
  </w:style>
  <w:style w:type="paragraph" w:customStyle="1" w:styleId="Default">
    <w:name w:val="Default"/>
    <w:link w:val="DefaultChar"/>
    <w:rsid w:val="009553D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extonotaalfinal">
    <w:name w:val="endnote text"/>
    <w:basedOn w:val="Normal"/>
    <w:link w:val="TextonotaalfinalCar1"/>
    <w:rsid w:val="009553D6"/>
    <w:pPr>
      <w:spacing w:before="100" w:beforeAutospacing="1" w:after="100" w:afterAutospacing="1"/>
      <w:jc w:val="left"/>
    </w:pPr>
    <w:rPr>
      <w:rFonts w:ascii="Times New Roman" w:eastAsia="Times New Roman" w:hAnsi="Times New Roman" w:cs="Times New Roman"/>
      <w:sz w:val="24"/>
      <w:szCs w:val="24"/>
      <w:lang w:val="es-ES_tradnl"/>
    </w:rPr>
  </w:style>
  <w:style w:type="character" w:customStyle="1" w:styleId="TextonotaalfinalCar1">
    <w:name w:val="Texto nota al final Car1"/>
    <w:basedOn w:val="Fuentedeprrafopredeter"/>
    <w:link w:val="Textonotaalfinal"/>
    <w:rsid w:val="009553D6"/>
    <w:rPr>
      <w:rFonts w:ascii="Times New Roman" w:eastAsia="Times New Roman" w:hAnsi="Times New Roman" w:cs="Times New Roman"/>
      <w:sz w:val="24"/>
      <w:szCs w:val="24"/>
      <w:lang w:val="es-ES_tradnl"/>
    </w:rPr>
  </w:style>
  <w:style w:type="character" w:customStyle="1" w:styleId="DefaultChar">
    <w:name w:val="Default Char"/>
    <w:link w:val="Default"/>
    <w:uiPriority w:val="99"/>
    <w:rsid w:val="009553D6"/>
    <w:rPr>
      <w:rFonts w:ascii="Times New Roman" w:eastAsia="Times New Roman" w:hAnsi="Times New Roman" w:cs="Times New Roman"/>
      <w:color w:val="000000"/>
      <w:sz w:val="24"/>
      <w:szCs w:val="24"/>
      <w:lang w:val="en-US"/>
    </w:rPr>
  </w:style>
  <w:style w:type="paragraph" w:styleId="Subttulo">
    <w:name w:val="Subtitle"/>
    <w:basedOn w:val="Normal"/>
    <w:link w:val="SubttuloCar"/>
    <w:qFormat/>
    <w:rsid w:val="009553D6"/>
    <w:pPr>
      <w:suppressAutoHyphens/>
      <w:spacing w:after="60"/>
      <w:jc w:val="center"/>
      <w:outlineLvl w:val="1"/>
    </w:pPr>
    <w:rPr>
      <w:rFonts w:ascii="Arial" w:eastAsia="MS Mincho" w:hAnsi="Arial" w:cs="Arial"/>
      <w:sz w:val="24"/>
      <w:szCs w:val="24"/>
      <w:lang w:val="es-ES_tradnl" w:eastAsia="ar-SA"/>
    </w:rPr>
  </w:style>
  <w:style w:type="character" w:customStyle="1" w:styleId="SubttuloCar">
    <w:name w:val="Subtítulo Car"/>
    <w:basedOn w:val="Fuentedeprrafopredeter"/>
    <w:link w:val="Subttulo"/>
    <w:rsid w:val="009553D6"/>
    <w:rPr>
      <w:rFonts w:ascii="Arial" w:eastAsia="MS Mincho" w:hAnsi="Arial" w:cs="Arial"/>
      <w:sz w:val="24"/>
      <w:szCs w:val="24"/>
      <w:lang w:val="es-ES_tradnl" w:eastAsia="ar-SA"/>
    </w:rPr>
  </w:style>
  <w:style w:type="paragraph" w:styleId="Sangra3detindependiente">
    <w:name w:val="Body Text Indent 3"/>
    <w:basedOn w:val="Normal"/>
    <w:link w:val="Sangra3detindependienteCar"/>
    <w:rsid w:val="009553D6"/>
    <w:pPr>
      <w:suppressAutoHyphens/>
      <w:spacing w:after="120"/>
      <w:ind w:left="360"/>
      <w:jc w:val="left"/>
    </w:pPr>
    <w:rPr>
      <w:rFonts w:ascii="Times New Roman" w:eastAsia="MS Mincho" w:hAnsi="Times New Roman" w:cs="Times New Roman"/>
      <w:sz w:val="16"/>
      <w:szCs w:val="16"/>
      <w:lang w:val="es-ES_tradnl" w:eastAsia="ar-SA"/>
    </w:rPr>
  </w:style>
  <w:style w:type="character" w:customStyle="1" w:styleId="Sangra3detindependienteCar">
    <w:name w:val="Sangría 3 de t. independiente Car"/>
    <w:basedOn w:val="Fuentedeprrafopredeter"/>
    <w:link w:val="Sangra3detindependiente"/>
    <w:rsid w:val="009553D6"/>
    <w:rPr>
      <w:rFonts w:ascii="Times New Roman" w:eastAsia="MS Mincho" w:hAnsi="Times New Roman" w:cs="Times New Roman"/>
      <w:sz w:val="16"/>
      <w:szCs w:val="16"/>
      <w:lang w:val="es-ES_tradnl" w:eastAsia="ar-SA"/>
    </w:rPr>
  </w:style>
  <w:style w:type="paragraph" w:styleId="HTMLconformatoprevio">
    <w:name w:val="HTML Preformatted"/>
    <w:basedOn w:val="Normal"/>
    <w:link w:val="HTMLconformatoprevioCar"/>
    <w:uiPriority w:val="99"/>
    <w:rsid w:val="0095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es-ES_tradnl"/>
    </w:rPr>
  </w:style>
  <w:style w:type="character" w:customStyle="1" w:styleId="HTMLconformatoprevioCar">
    <w:name w:val="HTML con formato previo Car"/>
    <w:basedOn w:val="Fuentedeprrafopredeter"/>
    <w:link w:val="HTMLconformatoprevio"/>
    <w:uiPriority w:val="99"/>
    <w:rsid w:val="009553D6"/>
    <w:rPr>
      <w:rFonts w:ascii="Courier New" w:eastAsia="Times New Roman" w:hAnsi="Courier New" w:cs="Courier New"/>
      <w:sz w:val="20"/>
      <w:szCs w:val="20"/>
      <w:lang w:val="es-ES_tradnl"/>
    </w:rPr>
  </w:style>
  <w:style w:type="paragraph" w:styleId="Textodebloque">
    <w:name w:val="Block Text"/>
    <w:basedOn w:val="Normal"/>
    <w:rsid w:val="009553D6"/>
    <w:pPr>
      <w:ind w:left="720" w:right="720"/>
    </w:pPr>
    <w:rPr>
      <w:rFonts w:ascii="Univers" w:eastAsia="Times New Roman" w:hAnsi="Univers" w:cs="Times New Roman"/>
      <w:sz w:val="18"/>
      <w:szCs w:val="20"/>
      <w:lang w:val="es-ES_tradnl"/>
    </w:rPr>
  </w:style>
  <w:style w:type="paragraph" w:customStyle="1" w:styleId="Textonotapie1">
    <w:name w:val="Texto nota pie1"/>
    <w:basedOn w:val="Normal"/>
    <w:uiPriority w:val="99"/>
    <w:semiHidden/>
    <w:rsid w:val="009553D6"/>
    <w:pPr>
      <w:jc w:val="left"/>
    </w:pPr>
    <w:rPr>
      <w:rFonts w:ascii="Times New Roman" w:eastAsia="Times New Roman" w:hAnsi="Times New Roman" w:cs="Times New Roman"/>
      <w:szCs w:val="20"/>
      <w:lang w:val="es-ES_tradnl" w:eastAsia="es-ES"/>
    </w:rPr>
  </w:style>
  <w:style w:type="character" w:styleId="Hipervnculovisitado">
    <w:name w:val="FollowedHyperlink"/>
    <w:uiPriority w:val="99"/>
    <w:rsid w:val="009553D6"/>
    <w:rPr>
      <w:color w:val="800080"/>
      <w:u w:val="single"/>
    </w:rPr>
  </w:style>
  <w:style w:type="character" w:customStyle="1" w:styleId="apple-converted-space">
    <w:name w:val="apple-converted-space"/>
    <w:basedOn w:val="Fuentedeprrafopredeter"/>
    <w:rsid w:val="009553D6"/>
  </w:style>
  <w:style w:type="paragraph" w:styleId="Textoindependiente2">
    <w:name w:val="Body Text 2"/>
    <w:basedOn w:val="Normal"/>
    <w:link w:val="Textoindependiente2Car"/>
    <w:uiPriority w:val="99"/>
    <w:semiHidden/>
    <w:unhideWhenUsed/>
    <w:rsid w:val="009553D6"/>
    <w:pPr>
      <w:pBdr>
        <w:top w:val="nil"/>
        <w:left w:val="nil"/>
        <w:bottom w:val="nil"/>
        <w:right w:val="nil"/>
        <w:between w:val="nil"/>
        <w:bar w:val="nil"/>
      </w:pBdr>
      <w:spacing w:after="120" w:line="480" w:lineRule="auto"/>
      <w:jc w:val="left"/>
    </w:pPr>
    <w:rPr>
      <w:rFonts w:ascii="Times New Roman" w:eastAsia="Arial Unicode MS" w:hAnsi="Times New Roman" w:cs="Times New Roman"/>
      <w:sz w:val="24"/>
      <w:szCs w:val="24"/>
      <w:bdr w:val="nil"/>
      <w:lang w:val="es-ES_tradnl"/>
    </w:rPr>
  </w:style>
  <w:style w:type="character" w:customStyle="1" w:styleId="Textoindependiente2Car">
    <w:name w:val="Texto independiente 2 Car"/>
    <w:basedOn w:val="Fuentedeprrafopredeter"/>
    <w:link w:val="Textoindependiente2"/>
    <w:uiPriority w:val="99"/>
    <w:semiHidden/>
    <w:rsid w:val="009553D6"/>
    <w:rPr>
      <w:rFonts w:ascii="Times New Roman" w:eastAsia="Arial Unicode MS" w:hAnsi="Times New Roman" w:cs="Times New Roman"/>
      <w:sz w:val="24"/>
      <w:szCs w:val="24"/>
      <w:bdr w:val="nil"/>
      <w:lang w:val="es-ES_tradnl"/>
    </w:rPr>
  </w:style>
  <w:style w:type="paragraph" w:customStyle="1" w:styleId="yiv1126921495msonormal">
    <w:name w:val="yiv1126921495msonormal"/>
    <w:basedOn w:val="Normal"/>
    <w:rsid w:val="009553D6"/>
    <w:pPr>
      <w:spacing w:before="100" w:beforeAutospacing="1" w:after="100" w:afterAutospacing="1"/>
      <w:jc w:val="left"/>
    </w:pPr>
    <w:rPr>
      <w:rFonts w:ascii="Times New Roman" w:eastAsia="Times New Roman" w:hAnsi="Times New Roman" w:cs="Times New Roman"/>
      <w:sz w:val="24"/>
      <w:szCs w:val="24"/>
      <w:lang w:val="es-ES_tradnl"/>
    </w:rPr>
  </w:style>
  <w:style w:type="character" w:customStyle="1" w:styleId="ColorfulList-Accent1Char">
    <w:name w:val="Colorful List - Accent 1 Char"/>
    <w:rsid w:val="009553D6"/>
    <w:rPr>
      <w:rFonts w:ascii="Cambria" w:eastAsia="Cambria" w:hAnsi="Cambria" w:cs="Cambria"/>
      <w:color w:val="000000"/>
      <w:sz w:val="24"/>
      <w:szCs w:val="24"/>
      <w:u w:color="000000"/>
      <w:bdr w:val="nil"/>
      <w:lang w:val="en-US" w:eastAsia="es-ES"/>
    </w:rPr>
  </w:style>
  <w:style w:type="character" w:customStyle="1" w:styleId="BookTitle1">
    <w:name w:val="Book Title1"/>
    <w:uiPriority w:val="33"/>
    <w:qFormat/>
    <w:rsid w:val="009553D6"/>
    <w:rPr>
      <w:b/>
      <w:bCs/>
      <w:smallCaps/>
      <w:spacing w:val="5"/>
    </w:rPr>
  </w:style>
  <w:style w:type="paragraph" w:customStyle="1" w:styleId="ColorfulList-Accent12">
    <w:name w:val="Colorful List - Accent 12"/>
    <w:basedOn w:val="Normal"/>
    <w:uiPriority w:val="72"/>
    <w:qFormat/>
    <w:rsid w:val="009553D6"/>
    <w:pPr>
      <w:pBdr>
        <w:top w:val="nil"/>
        <w:left w:val="nil"/>
        <w:bottom w:val="nil"/>
        <w:right w:val="nil"/>
        <w:between w:val="nil"/>
        <w:bar w:val="nil"/>
      </w:pBdr>
      <w:ind w:left="720"/>
      <w:jc w:val="left"/>
    </w:pPr>
    <w:rPr>
      <w:rFonts w:ascii="Times New Roman" w:eastAsia="Arial Unicode MS" w:hAnsi="Times New Roman" w:cs="Times New Roman"/>
      <w:sz w:val="24"/>
      <w:szCs w:val="24"/>
      <w:bdr w:val="nil"/>
      <w:lang w:val="es-ES_tradnl"/>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semiHidden/>
    <w:locked/>
    <w:rsid w:val="009553D6"/>
    <w:rPr>
      <w:rFonts w:ascii="Univers" w:hAnsi="Univers" w:cs="Times New Roman"/>
      <w:lang w:val="en-US" w:eastAsia="en-US" w:bidi="ar-SA"/>
    </w:rPr>
  </w:style>
  <w:style w:type="character" w:customStyle="1" w:styleId="st1">
    <w:name w:val="st1"/>
    <w:rsid w:val="009553D6"/>
  </w:style>
  <w:style w:type="paragraph" w:styleId="Textoindependiente3">
    <w:name w:val="Body Text 3"/>
    <w:basedOn w:val="Normal"/>
    <w:link w:val="Textoindependiente3Car"/>
    <w:uiPriority w:val="99"/>
    <w:unhideWhenUsed/>
    <w:rsid w:val="009553D6"/>
    <w:pPr>
      <w:autoSpaceDE w:val="0"/>
      <w:autoSpaceDN w:val="0"/>
      <w:adjustRightInd w:val="0"/>
    </w:pPr>
    <w:rPr>
      <w:rFonts w:eastAsia="Arial Unicode MS" w:cs="Arial"/>
      <w:szCs w:val="20"/>
      <w:lang w:val="es-CR" w:eastAsia="es-CR"/>
    </w:rPr>
  </w:style>
  <w:style w:type="character" w:customStyle="1" w:styleId="Textoindependiente3Car">
    <w:name w:val="Texto independiente 3 Car"/>
    <w:basedOn w:val="Fuentedeprrafopredeter"/>
    <w:link w:val="Textoindependiente3"/>
    <w:uiPriority w:val="99"/>
    <w:rsid w:val="009553D6"/>
    <w:rPr>
      <w:rFonts w:ascii="Verdana" w:eastAsia="Arial Unicode MS" w:hAnsi="Verdana" w:cs="Arial"/>
      <w:sz w:val="20"/>
      <w:szCs w:val="20"/>
      <w:lang w:eastAsia="es-CR"/>
    </w:rPr>
  </w:style>
  <w:style w:type="character" w:customStyle="1" w:styleId="Ttulo7Car">
    <w:name w:val="Título 7 Car"/>
    <w:basedOn w:val="Fuentedeprrafopredeter"/>
    <w:link w:val="Ttulo7"/>
    <w:uiPriority w:val="9"/>
    <w:rsid w:val="0054079F"/>
    <w:rPr>
      <w:rFonts w:ascii="Verdana" w:eastAsia="Times New Roman" w:hAnsi="Verdana" w:cs="Times New Roman"/>
      <w:b/>
      <w:bCs/>
      <w:sz w:val="20"/>
      <w:szCs w:val="20"/>
      <w:lang w:val="es-ES_tradnl"/>
    </w:rPr>
  </w:style>
  <w:style w:type="character" w:customStyle="1" w:styleId="Ttulo8Car">
    <w:name w:val="Título 8 Car"/>
    <w:basedOn w:val="Fuentedeprrafopredeter"/>
    <w:link w:val="Ttulo8"/>
    <w:uiPriority w:val="9"/>
    <w:rsid w:val="0054079F"/>
    <w:rPr>
      <w:rFonts w:ascii="Verdana" w:eastAsia="Times New Roman" w:hAnsi="Verdana" w:cs="Times New Roman"/>
      <w:b/>
      <w:sz w:val="20"/>
      <w:szCs w:val="20"/>
      <w:lang w:val="es-MX"/>
    </w:rPr>
  </w:style>
  <w:style w:type="character" w:customStyle="1" w:styleId="sb8d990e2">
    <w:name w:val="sb8d990e2"/>
    <w:basedOn w:val="Fuentedeprrafopredeter"/>
    <w:rsid w:val="0054079F"/>
  </w:style>
  <w:style w:type="character" w:customStyle="1" w:styleId="s6b621b36">
    <w:name w:val="s6b621b36"/>
    <w:basedOn w:val="Fuentedeprrafopredeter"/>
    <w:rsid w:val="0054079F"/>
  </w:style>
  <w:style w:type="character" w:customStyle="1" w:styleId="column">
    <w:name w:val="column"/>
    <w:basedOn w:val="Fuentedeprrafopredeter"/>
    <w:rsid w:val="0054079F"/>
  </w:style>
  <w:style w:type="paragraph" w:customStyle="1" w:styleId="s6e50bd9a">
    <w:name w:val="s6e50bd9a"/>
    <w:basedOn w:val="Normal"/>
    <w:rsid w:val="0054079F"/>
    <w:pPr>
      <w:spacing w:before="100" w:beforeAutospacing="1" w:after="100" w:afterAutospacing="1"/>
      <w:jc w:val="left"/>
    </w:pPr>
    <w:rPr>
      <w:rFonts w:ascii="Times New Roman" w:eastAsia="Times New Roman" w:hAnsi="Times New Roman" w:cs="Times New Roman"/>
      <w:sz w:val="24"/>
      <w:szCs w:val="24"/>
      <w:lang w:val="es-CR" w:eastAsia="es-CR"/>
    </w:rPr>
  </w:style>
  <w:style w:type="character" w:customStyle="1" w:styleId="s8aff680a">
    <w:name w:val="s8aff680a"/>
    <w:basedOn w:val="Fuentedeprrafopredeter"/>
    <w:rsid w:val="0054079F"/>
  </w:style>
  <w:style w:type="paragraph" w:customStyle="1" w:styleId="s746c8714">
    <w:name w:val="s746c8714"/>
    <w:basedOn w:val="Normal"/>
    <w:rsid w:val="0054079F"/>
    <w:pPr>
      <w:spacing w:before="100" w:beforeAutospacing="1" w:after="100" w:afterAutospacing="1"/>
      <w:jc w:val="left"/>
    </w:pPr>
    <w:rPr>
      <w:rFonts w:ascii="Times New Roman" w:eastAsia="Times New Roman" w:hAnsi="Times New Roman" w:cs="Times New Roman"/>
      <w:sz w:val="24"/>
      <w:szCs w:val="24"/>
      <w:lang w:val="es-CR" w:eastAsia="es-CR"/>
    </w:rPr>
  </w:style>
  <w:style w:type="character" w:customStyle="1" w:styleId="PrrafodelistaCar">
    <w:name w:val="Párrafo de lista Car"/>
    <w:link w:val="Prrafodelista2"/>
    <w:uiPriority w:val="34"/>
    <w:locked/>
    <w:rsid w:val="0054079F"/>
    <w:rPr>
      <w:rFonts w:ascii="Verdana" w:hAnsi="Verdana"/>
      <w:lang w:val="es-ES_tradnl"/>
    </w:rPr>
  </w:style>
  <w:style w:type="paragraph" w:customStyle="1" w:styleId="Prrafodelista2">
    <w:name w:val="Párrafo de lista2"/>
    <w:basedOn w:val="Normal"/>
    <w:link w:val="PrrafodelistaCar"/>
    <w:uiPriority w:val="99"/>
    <w:qFormat/>
    <w:rsid w:val="0054079F"/>
    <w:pPr>
      <w:ind w:left="720"/>
      <w:jc w:val="left"/>
    </w:pPr>
    <w:rPr>
      <w:sz w:val="22"/>
      <w:lang w:val="es-ES_tradnl"/>
    </w:rPr>
  </w:style>
  <w:style w:type="character" w:customStyle="1" w:styleId="SingleTxtGChar">
    <w:name w:val="_ Single Txt_G Char"/>
    <w:link w:val="SingleTxtG"/>
    <w:locked/>
    <w:rsid w:val="0054079F"/>
    <w:rPr>
      <w:lang w:val="es-ES" w:eastAsia="es-ES"/>
    </w:rPr>
  </w:style>
  <w:style w:type="paragraph" w:customStyle="1" w:styleId="SingleTxtG">
    <w:name w:val="_ Single Txt_G"/>
    <w:basedOn w:val="Normal"/>
    <w:link w:val="SingleTxtGChar"/>
    <w:qFormat/>
    <w:rsid w:val="0054079F"/>
    <w:pPr>
      <w:spacing w:after="120" w:line="240" w:lineRule="atLeast"/>
      <w:ind w:left="1134" w:right="1134"/>
    </w:pPr>
    <w:rPr>
      <w:rFonts w:asciiTheme="minorHAnsi" w:hAnsiTheme="minorHAnsi"/>
      <w:sz w:val="22"/>
      <w:lang w:val="es-ES" w:eastAsia="es-ES"/>
    </w:rPr>
  </w:style>
  <w:style w:type="paragraph" w:customStyle="1" w:styleId="H23G">
    <w:name w:val="_ H_2/3_G"/>
    <w:basedOn w:val="Normal"/>
    <w:next w:val="Normal"/>
    <w:rsid w:val="0054079F"/>
    <w:pPr>
      <w:keepNext/>
      <w:keepLines/>
      <w:tabs>
        <w:tab w:val="right" w:pos="851"/>
      </w:tabs>
      <w:suppressAutoHyphens/>
      <w:spacing w:before="240" w:after="120" w:line="240" w:lineRule="exact"/>
      <w:ind w:left="1134" w:right="1134" w:hanging="1134"/>
      <w:jc w:val="left"/>
    </w:pPr>
    <w:rPr>
      <w:rFonts w:ascii="Times New Roman" w:eastAsia="Times New Roman" w:hAnsi="Times New Roman" w:cs="Times New Roman"/>
      <w:b/>
      <w:szCs w:val="20"/>
      <w:lang w:val="es-ES" w:eastAsia="es-ES"/>
    </w:rPr>
  </w:style>
  <w:style w:type="paragraph" w:customStyle="1" w:styleId="align-justify">
    <w:name w:val="align-justify"/>
    <w:basedOn w:val="Normal"/>
    <w:rsid w:val="0054079F"/>
    <w:pPr>
      <w:spacing w:before="100" w:beforeAutospacing="1" w:after="100" w:afterAutospacing="1"/>
      <w:jc w:val="left"/>
    </w:pPr>
    <w:rPr>
      <w:rFonts w:ascii="Times New Roman" w:eastAsia="Times New Roman" w:hAnsi="Times New Roman" w:cs="Times New Roman"/>
      <w:sz w:val="24"/>
      <w:szCs w:val="24"/>
      <w:lang w:val="es-CR" w:eastAsia="es-CR"/>
    </w:rPr>
  </w:style>
  <w:style w:type="paragraph" w:customStyle="1" w:styleId="se53d25c9">
    <w:name w:val="se53d25c9"/>
    <w:basedOn w:val="Normal"/>
    <w:rsid w:val="009A2441"/>
    <w:pPr>
      <w:spacing w:before="100" w:beforeAutospacing="1" w:after="100" w:afterAutospacing="1"/>
      <w:jc w:val="left"/>
    </w:pPr>
    <w:rPr>
      <w:rFonts w:ascii="Times New Roman" w:hAnsi="Times New Roman" w:cs="Times New Roman"/>
      <w:sz w:val="24"/>
      <w:szCs w:val="24"/>
      <w:lang w:val="es-ES_tradnl" w:eastAsia="es-ES_tradnl"/>
    </w:rPr>
  </w:style>
  <w:style w:type="character" w:customStyle="1" w:styleId="TextonotaalfinalCar">
    <w:name w:val="Texto nota al final Car"/>
    <w:basedOn w:val="Fuentedeprrafopredeter"/>
    <w:uiPriority w:val="99"/>
    <w:semiHidden/>
    <w:rsid w:val="009A2441"/>
    <w:rPr>
      <w:rFonts w:ascii="Verdana" w:eastAsia="Times New Roman" w:hAnsi="Verdana" w:cs="Times New Roman"/>
      <w:sz w:val="24"/>
      <w:szCs w:val="24"/>
      <w:lang w:val="es-MX"/>
    </w:rPr>
  </w:style>
  <w:style w:type="paragraph" w:customStyle="1" w:styleId="Numberedparagraphs">
    <w:name w:val="Numbered paragraphs"/>
    <w:basedOn w:val="Normal"/>
    <w:qFormat/>
    <w:rsid w:val="003D09C5"/>
    <w:pPr>
      <w:numPr>
        <w:numId w:val="57"/>
      </w:numPr>
    </w:pPr>
    <w:rPr>
      <w:rFonts w:eastAsia="MS Mincho" w:cs="Times New Roman"/>
      <w:color w:val="000000"/>
      <w:szCs w:val="20"/>
      <w:lang w:val="es-ES_tradnl"/>
    </w:rPr>
  </w:style>
  <w:style w:type="character" w:customStyle="1" w:styleId="apple-style-span">
    <w:name w:val="apple-style-span"/>
    <w:basedOn w:val="Fuentedeprrafopredeter"/>
    <w:rsid w:val="007E6CB5"/>
  </w:style>
  <w:style w:type="table" w:styleId="Tablaconcuadrcula">
    <w:name w:val="Table Grid"/>
    <w:basedOn w:val="Tablanormal"/>
    <w:uiPriority w:val="59"/>
    <w:rsid w:val="007E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1">
    <w:name w:val="Párrafo de lista21"/>
    <w:basedOn w:val="Normal"/>
    <w:uiPriority w:val="99"/>
    <w:rsid w:val="007E6CB5"/>
    <w:pPr>
      <w:ind w:left="720"/>
      <w:jc w:val="left"/>
    </w:pPr>
    <w:rPr>
      <w:rFonts w:eastAsia="MS Mincho" w:cs="Times New Roman"/>
      <w:szCs w:val="20"/>
      <w:lang w:val="es-ES_tradnl"/>
    </w:rPr>
  </w:style>
  <w:style w:type="paragraph" w:styleId="TDC6">
    <w:name w:val="toc 6"/>
    <w:basedOn w:val="Normal"/>
    <w:next w:val="Normal"/>
    <w:autoRedefine/>
    <w:uiPriority w:val="39"/>
    <w:unhideWhenUsed/>
    <w:rsid w:val="00772F96"/>
    <w:pPr>
      <w:ind w:left="1000"/>
    </w:pPr>
  </w:style>
  <w:style w:type="paragraph" w:styleId="TDC5">
    <w:name w:val="toc 5"/>
    <w:basedOn w:val="Normal"/>
    <w:next w:val="Normal"/>
    <w:autoRedefine/>
    <w:uiPriority w:val="39"/>
    <w:unhideWhenUsed/>
    <w:rsid w:val="00772F96"/>
    <w:pPr>
      <w:spacing w:after="100"/>
      <w:ind w:left="800"/>
    </w:pPr>
  </w:style>
  <w:style w:type="paragraph" w:styleId="TDC7">
    <w:name w:val="toc 7"/>
    <w:basedOn w:val="Normal"/>
    <w:next w:val="Normal"/>
    <w:autoRedefine/>
    <w:uiPriority w:val="39"/>
    <w:unhideWhenUsed/>
    <w:rsid w:val="00772F96"/>
    <w:pPr>
      <w:ind w:left="1200"/>
    </w:pPr>
  </w:style>
  <w:style w:type="paragraph" w:styleId="TDC8">
    <w:name w:val="toc 8"/>
    <w:basedOn w:val="Normal"/>
    <w:next w:val="Normal"/>
    <w:autoRedefine/>
    <w:uiPriority w:val="39"/>
    <w:unhideWhenUsed/>
    <w:rsid w:val="00772F96"/>
    <w:pPr>
      <w:ind w:left="1400"/>
    </w:pPr>
  </w:style>
  <w:style w:type="paragraph" w:styleId="TDC9">
    <w:name w:val="toc 9"/>
    <w:basedOn w:val="Normal"/>
    <w:next w:val="Normal"/>
    <w:autoRedefine/>
    <w:uiPriority w:val="39"/>
    <w:unhideWhenUsed/>
    <w:rsid w:val="00772F96"/>
    <w:pPr>
      <w:ind w:left="1600"/>
    </w:pPr>
  </w:style>
  <w:style w:type="character" w:styleId="Nmerodelnea">
    <w:name w:val="line number"/>
    <w:basedOn w:val="Fuentedeprrafopredeter"/>
    <w:uiPriority w:val="99"/>
    <w:semiHidden/>
    <w:unhideWhenUsed/>
    <w:rsid w:val="00BC313D"/>
  </w:style>
  <w:style w:type="character" w:customStyle="1" w:styleId="Ttulo9Car">
    <w:name w:val="Título 9 Car"/>
    <w:basedOn w:val="Fuentedeprrafopredeter"/>
    <w:link w:val="Ttulo9"/>
    <w:uiPriority w:val="9"/>
    <w:rsid w:val="00B70BE6"/>
    <w:rPr>
      <w:rFonts w:ascii="Verdana" w:hAnsi="Verdana"/>
      <w:i/>
      <w:sz w:val="20"/>
      <w:lang w:val="en-US"/>
    </w:rPr>
  </w:style>
  <w:style w:type="character" w:styleId="Refdenotaalfinal">
    <w:name w:val="endnote reference"/>
    <w:basedOn w:val="Fuentedeprrafopredeter"/>
    <w:uiPriority w:val="99"/>
    <w:semiHidden/>
    <w:unhideWhenUsed/>
    <w:rsid w:val="00532C53"/>
    <w:rPr>
      <w:vertAlign w:val="superscript"/>
    </w:rPr>
  </w:style>
  <w:style w:type="paragraph" w:customStyle="1" w:styleId="Heading23">
    <w:name w:val="Heading 2.3"/>
    <w:basedOn w:val="Normal"/>
    <w:uiPriority w:val="99"/>
    <w:qFormat/>
    <w:rsid w:val="00724851"/>
    <w:rPr>
      <w:rFonts w:eastAsia="Calibri" w:cs="Times New Roman"/>
      <w:sz w:val="16"/>
      <w:szCs w:val="16"/>
      <w:vertAlign w:val="superscript"/>
      <w:lang w:val="x-none" w:eastAsia="x-none"/>
    </w:rPr>
  </w:style>
  <w:style w:type="table" w:styleId="Cuadrculaclara-nfasis4">
    <w:name w:val="Light Grid Accent 4"/>
    <w:basedOn w:val="Tablanormal"/>
    <w:uiPriority w:val="63"/>
    <w:rsid w:val="00493BFB"/>
    <w:pPr>
      <w:spacing w:after="0" w:line="240" w:lineRule="auto"/>
    </w:pPr>
    <w:rPr>
      <w:rFonts w:ascii="Times New Roman" w:eastAsia="Arial Unicode MS" w:hAnsi="Times New Roman" w:cs="Times New Roman"/>
      <w:sz w:val="20"/>
      <w:szCs w:val="20"/>
      <w:lang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ookTitle2">
    <w:name w:val="Book Title2"/>
    <w:uiPriority w:val="33"/>
    <w:qFormat/>
    <w:rsid w:val="00493BFB"/>
    <w:rPr>
      <w:b/>
      <w:bCs/>
      <w:smallCaps/>
      <w:spacing w:val="5"/>
    </w:rPr>
  </w:style>
  <w:style w:type="paragraph" w:styleId="Textosinformato">
    <w:name w:val="Plain Text"/>
    <w:basedOn w:val="Normal"/>
    <w:link w:val="TextosinformatoCar"/>
    <w:uiPriority w:val="99"/>
    <w:unhideWhenUsed/>
    <w:rsid w:val="00493BFB"/>
    <w:pPr>
      <w:tabs>
        <w:tab w:val="left" w:pos="567"/>
      </w:tabs>
    </w:pPr>
    <w:rPr>
      <w:rFonts w:eastAsia="Batang" w:cs="Times New Roman"/>
      <w:spacing w:val="-4"/>
      <w:szCs w:val="21"/>
      <w:lang w:val="es-CO" w:eastAsia="es-MX"/>
    </w:rPr>
  </w:style>
  <w:style w:type="character" w:customStyle="1" w:styleId="TextosinformatoCar">
    <w:name w:val="Texto sin formato Car"/>
    <w:basedOn w:val="Fuentedeprrafopredeter"/>
    <w:link w:val="Textosinformato"/>
    <w:uiPriority w:val="99"/>
    <w:rsid w:val="00493BFB"/>
    <w:rPr>
      <w:rFonts w:ascii="Verdana" w:eastAsia="Batang" w:hAnsi="Verdana" w:cs="Times New Roman"/>
      <w:spacing w:val="-4"/>
      <w:sz w:val="20"/>
      <w:szCs w:val="21"/>
      <w:lang w:val="es-CO" w:eastAsia="es-MX"/>
    </w:rPr>
  </w:style>
  <w:style w:type="paragraph" w:customStyle="1" w:styleId="Estilo4">
    <w:name w:val="Estilo4"/>
    <w:uiPriority w:val="99"/>
    <w:qFormat/>
    <w:rsid w:val="00493BFB"/>
    <w:pPr>
      <w:numPr>
        <w:ilvl w:val="1"/>
        <w:numId w:val="65"/>
      </w:numPr>
      <w:tabs>
        <w:tab w:val="num" w:pos="1410"/>
      </w:tabs>
      <w:spacing w:after="120"/>
      <w:ind w:left="0" w:firstLine="357"/>
      <w:jc w:val="both"/>
    </w:pPr>
    <w:rPr>
      <w:rFonts w:ascii="Verdana" w:eastAsia="Times New Roman" w:hAnsi="Verdana" w:cs="Times New Roman"/>
      <w:spacing w:val="-2"/>
      <w:sz w:val="20"/>
      <w:szCs w:val="20"/>
    </w:rPr>
  </w:style>
  <w:style w:type="table" w:styleId="Cuadrculamedia1-nfasis2">
    <w:name w:val="Medium Grid 1 Accent 2"/>
    <w:basedOn w:val="Tablanormal"/>
    <w:uiPriority w:val="67"/>
    <w:rsid w:val="00493BFB"/>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inguno">
    <w:name w:val="Ninguno"/>
    <w:rsid w:val="00493BFB"/>
    <w:rPr>
      <w:lang w:val="es-ES_tradnl"/>
    </w:rPr>
  </w:style>
  <w:style w:type="paragraph" w:customStyle="1" w:styleId="Poromisin">
    <w:name w:val="Por omisión"/>
    <w:rsid w:val="00493BF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character" w:styleId="nfasissutil">
    <w:name w:val="Subtle Emphasis"/>
    <w:uiPriority w:val="19"/>
    <w:qFormat/>
    <w:rsid w:val="00CF39A7"/>
    <w:rPr>
      <w:b/>
      <w:lang w:eastAsia="es-CR"/>
    </w:rPr>
  </w:style>
  <w:style w:type="character" w:customStyle="1" w:styleId="UnresolvedMention1">
    <w:name w:val="Unresolved Mention1"/>
    <w:basedOn w:val="Fuentedeprrafopredeter"/>
    <w:uiPriority w:val="99"/>
    <w:semiHidden/>
    <w:unhideWhenUsed/>
    <w:rsid w:val="004125DD"/>
    <w:rPr>
      <w:color w:val="605E5C"/>
      <w:shd w:val="clear" w:color="auto" w:fill="E1DFDD"/>
    </w:rPr>
  </w:style>
  <w:style w:type="paragraph" w:styleId="TtuloTDC">
    <w:name w:val="TOC Heading"/>
    <w:basedOn w:val="Ttulo1"/>
    <w:next w:val="Normal"/>
    <w:uiPriority w:val="39"/>
    <w:unhideWhenUsed/>
    <w:qFormat/>
    <w:rsid w:val="004125DD"/>
    <w:pPr>
      <w:keepNext/>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en-US"/>
    </w:rPr>
  </w:style>
  <w:style w:type="character" w:customStyle="1" w:styleId="Heading1Char1">
    <w:name w:val="Heading 1 Char1"/>
    <w:aliases w:val="Título Verdana Char1"/>
    <w:basedOn w:val="Fuentedeprrafopredeter"/>
    <w:rsid w:val="000E7B4C"/>
    <w:rPr>
      <w:rFonts w:asciiTheme="majorHAnsi" w:eastAsiaTheme="majorEastAsia" w:hAnsiTheme="majorHAnsi" w:cstheme="majorBidi"/>
      <w:color w:val="365F91" w:themeColor="accent1" w:themeShade="BF"/>
      <w:sz w:val="32"/>
      <w:szCs w:val="32"/>
      <w:lang w:val="en-US"/>
    </w:rPr>
  </w:style>
  <w:style w:type="paragraph" w:customStyle="1" w:styleId="msonormal0">
    <w:name w:val="msonormal"/>
    <w:basedOn w:val="Normal"/>
    <w:uiPriority w:val="99"/>
    <w:rsid w:val="000E7B4C"/>
    <w:pPr>
      <w:spacing w:before="100" w:beforeAutospacing="1" w:after="100" w:afterAutospacing="1"/>
      <w:jc w:val="left"/>
    </w:pPr>
    <w:rPr>
      <w:rFonts w:ascii="Times New Roman" w:eastAsia="Times New Roman" w:hAnsi="Times New Roman" w:cs="Times New Roman"/>
      <w:sz w:val="24"/>
      <w:szCs w:val="24"/>
      <w:lang w:val="es-CR" w:eastAsia="es-ES_tradnl"/>
    </w:rPr>
  </w:style>
  <w:style w:type="character" w:customStyle="1" w:styleId="HeaderChar1">
    <w:name w:val="Header Char1"/>
    <w:aliases w:val="encabezado Char1"/>
    <w:basedOn w:val="Fuentedeprrafopredeter"/>
    <w:uiPriority w:val="99"/>
    <w:semiHidden/>
    <w:rsid w:val="000E7B4C"/>
    <w:rPr>
      <w:rFonts w:ascii="Verdana" w:hAnsi="Verdana"/>
      <w:sz w:val="20"/>
      <w:lang w:val="en-US"/>
    </w:rPr>
  </w:style>
  <w:style w:type="paragraph" w:styleId="Listaconvietas">
    <w:name w:val="List Bullet"/>
    <w:basedOn w:val="Normal"/>
    <w:uiPriority w:val="99"/>
    <w:semiHidden/>
    <w:unhideWhenUsed/>
    <w:rsid w:val="000E7B4C"/>
    <w:pPr>
      <w:numPr>
        <w:numId w:val="82"/>
      </w:numPr>
      <w:spacing w:after="200" w:line="276" w:lineRule="auto"/>
      <w:contextualSpacing/>
      <w:jc w:val="left"/>
    </w:pPr>
    <w:rPr>
      <w:rFonts w:ascii="Calibri" w:eastAsia="Times New Roman" w:hAnsi="Calibri" w:cs="Times New Roman"/>
      <w:sz w:val="22"/>
      <w:lang w:val="es-CR"/>
    </w:rPr>
  </w:style>
  <w:style w:type="paragraph" w:customStyle="1" w:styleId="item">
    <w:name w:val="item"/>
    <w:basedOn w:val="Normal"/>
    <w:uiPriority w:val="99"/>
    <w:rsid w:val="000E7B4C"/>
    <w:pPr>
      <w:spacing w:before="100" w:beforeAutospacing="1" w:after="100" w:afterAutospacing="1"/>
      <w:jc w:val="left"/>
    </w:pPr>
    <w:rPr>
      <w:rFonts w:ascii="Times New Roman" w:eastAsia="Times New Roman" w:hAnsi="Times New Roman" w:cs="Times New Roman"/>
      <w:sz w:val="24"/>
      <w:szCs w:val="24"/>
    </w:rPr>
  </w:style>
  <w:style w:type="paragraph" w:customStyle="1" w:styleId="SingleTxt">
    <w:name w:val="__Single Txt"/>
    <w:basedOn w:val="Normal"/>
    <w:uiPriority w:val="99"/>
    <w:qFormat/>
    <w:rsid w:val="000E7B4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pPr>
    <w:rPr>
      <w:rFonts w:ascii="Times New Roman" w:hAnsi="Times New Roman" w:cs="Times New Roman"/>
      <w:spacing w:val="4"/>
      <w:w w:val="103"/>
      <w:kern w:val="14"/>
      <w:lang w:val="es-ES"/>
    </w:rPr>
  </w:style>
  <w:style w:type="character" w:customStyle="1" w:styleId="FAFunotentextCar">
    <w:name w:val="FA Fu?notentext Car"/>
    <w:aliases w:val="FA Fuﬂnotentext Car,C Car,FA Fu?notente Car"/>
    <w:basedOn w:val="Fuentedeprrafopredeter"/>
    <w:qFormat/>
    <w:rsid w:val="000E7B4C"/>
    <w:rPr>
      <w:rFonts w:ascii="Verdana" w:hAnsi="Verdana" w:hint="default"/>
      <w:sz w:val="20"/>
      <w:szCs w:val="20"/>
      <w:lang w:val="en-US"/>
    </w:rPr>
  </w:style>
  <w:style w:type="character" w:customStyle="1" w:styleId="annotationref">
    <w:name w:val="annotationref"/>
    <w:basedOn w:val="Fuentedeprrafopredeter"/>
    <w:rsid w:val="000E7B4C"/>
  </w:style>
  <w:style w:type="character" w:customStyle="1" w:styleId="ListParagraphChar1">
    <w:name w:val="List Paragraph Char1"/>
    <w:aliases w:val="Footnote Char1,Colorful List - Accent 11 Char1,List Paragraph1 Char1,Párrafo de lista1 Char1,List Paragraph2 Char1,Lista vistosa - Énfasis 11 Char1,Subtle Emphasis1 Char1,Footnote1 Char"/>
    <w:basedOn w:val="Fuentedeprrafopredeter"/>
    <w:uiPriority w:val="99"/>
    <w:rsid w:val="0084057F"/>
  </w:style>
  <w:style w:type="character" w:customStyle="1" w:styleId="UnresolvedMention2">
    <w:name w:val="Unresolved Mention2"/>
    <w:basedOn w:val="Fuentedeprrafopredeter"/>
    <w:uiPriority w:val="99"/>
    <w:semiHidden/>
    <w:unhideWhenUsed/>
    <w:rsid w:val="005601A5"/>
    <w:rPr>
      <w:color w:val="605E5C"/>
      <w:shd w:val="clear" w:color="auto" w:fill="E1DFDD"/>
    </w:rPr>
  </w:style>
  <w:style w:type="character" w:customStyle="1" w:styleId="st">
    <w:name w:val="st"/>
    <w:basedOn w:val="Fuentedeprrafopredeter"/>
    <w:rsid w:val="008F3C38"/>
  </w:style>
  <w:style w:type="character" w:customStyle="1" w:styleId="tagtrans">
    <w:name w:val="tag_trans"/>
    <w:basedOn w:val="Fuentedeprrafopredeter"/>
    <w:rsid w:val="00B73D64"/>
  </w:style>
  <w:style w:type="character" w:styleId="Mencinsinresolver">
    <w:name w:val="Unresolved Mention"/>
    <w:basedOn w:val="Fuentedeprrafopredeter"/>
    <w:uiPriority w:val="99"/>
    <w:semiHidden/>
    <w:unhideWhenUsed/>
    <w:rsid w:val="00833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8527">
      <w:bodyDiv w:val="1"/>
      <w:marLeft w:val="0"/>
      <w:marRight w:val="0"/>
      <w:marTop w:val="0"/>
      <w:marBottom w:val="0"/>
      <w:divBdr>
        <w:top w:val="none" w:sz="0" w:space="0" w:color="auto"/>
        <w:left w:val="none" w:sz="0" w:space="0" w:color="auto"/>
        <w:bottom w:val="none" w:sz="0" w:space="0" w:color="auto"/>
        <w:right w:val="none" w:sz="0" w:space="0" w:color="auto"/>
      </w:divBdr>
      <w:divsChild>
        <w:div w:id="391000841">
          <w:marLeft w:val="0"/>
          <w:marRight w:val="0"/>
          <w:marTop w:val="0"/>
          <w:marBottom w:val="0"/>
          <w:divBdr>
            <w:top w:val="none" w:sz="0" w:space="0" w:color="auto"/>
            <w:left w:val="none" w:sz="0" w:space="0" w:color="auto"/>
            <w:bottom w:val="none" w:sz="0" w:space="0" w:color="auto"/>
            <w:right w:val="none" w:sz="0" w:space="0" w:color="auto"/>
          </w:divBdr>
          <w:divsChild>
            <w:div w:id="337851800">
              <w:marLeft w:val="0"/>
              <w:marRight w:val="0"/>
              <w:marTop w:val="0"/>
              <w:marBottom w:val="0"/>
              <w:divBdr>
                <w:top w:val="none" w:sz="0" w:space="0" w:color="auto"/>
                <w:left w:val="none" w:sz="0" w:space="0" w:color="auto"/>
                <w:bottom w:val="none" w:sz="0" w:space="0" w:color="auto"/>
                <w:right w:val="none" w:sz="0" w:space="0" w:color="auto"/>
              </w:divBdr>
              <w:divsChild>
                <w:div w:id="17437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99435">
      <w:bodyDiv w:val="1"/>
      <w:marLeft w:val="0"/>
      <w:marRight w:val="0"/>
      <w:marTop w:val="0"/>
      <w:marBottom w:val="0"/>
      <w:divBdr>
        <w:top w:val="none" w:sz="0" w:space="0" w:color="auto"/>
        <w:left w:val="none" w:sz="0" w:space="0" w:color="auto"/>
        <w:bottom w:val="none" w:sz="0" w:space="0" w:color="auto"/>
        <w:right w:val="none" w:sz="0" w:space="0" w:color="auto"/>
      </w:divBdr>
      <w:divsChild>
        <w:div w:id="788623461">
          <w:marLeft w:val="0"/>
          <w:marRight w:val="0"/>
          <w:marTop w:val="0"/>
          <w:marBottom w:val="0"/>
          <w:divBdr>
            <w:top w:val="none" w:sz="0" w:space="0" w:color="auto"/>
            <w:left w:val="none" w:sz="0" w:space="0" w:color="auto"/>
            <w:bottom w:val="none" w:sz="0" w:space="0" w:color="auto"/>
            <w:right w:val="none" w:sz="0" w:space="0" w:color="auto"/>
          </w:divBdr>
          <w:divsChild>
            <w:div w:id="1609895404">
              <w:marLeft w:val="0"/>
              <w:marRight w:val="0"/>
              <w:marTop w:val="0"/>
              <w:marBottom w:val="0"/>
              <w:divBdr>
                <w:top w:val="none" w:sz="0" w:space="0" w:color="auto"/>
                <w:left w:val="none" w:sz="0" w:space="0" w:color="auto"/>
                <w:bottom w:val="none" w:sz="0" w:space="0" w:color="auto"/>
                <w:right w:val="none" w:sz="0" w:space="0" w:color="auto"/>
              </w:divBdr>
              <w:divsChild>
                <w:div w:id="4133561">
                  <w:marLeft w:val="0"/>
                  <w:marRight w:val="0"/>
                  <w:marTop w:val="0"/>
                  <w:marBottom w:val="0"/>
                  <w:divBdr>
                    <w:top w:val="none" w:sz="0" w:space="0" w:color="auto"/>
                    <w:left w:val="none" w:sz="0" w:space="0" w:color="auto"/>
                    <w:bottom w:val="none" w:sz="0" w:space="0" w:color="auto"/>
                    <w:right w:val="none" w:sz="0" w:space="0" w:color="auto"/>
                  </w:divBdr>
                  <w:divsChild>
                    <w:div w:id="1639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0558">
      <w:bodyDiv w:val="1"/>
      <w:marLeft w:val="0"/>
      <w:marRight w:val="0"/>
      <w:marTop w:val="0"/>
      <w:marBottom w:val="0"/>
      <w:divBdr>
        <w:top w:val="none" w:sz="0" w:space="0" w:color="auto"/>
        <w:left w:val="none" w:sz="0" w:space="0" w:color="auto"/>
        <w:bottom w:val="none" w:sz="0" w:space="0" w:color="auto"/>
        <w:right w:val="none" w:sz="0" w:space="0" w:color="auto"/>
      </w:divBdr>
    </w:div>
    <w:div w:id="64888340">
      <w:bodyDiv w:val="1"/>
      <w:marLeft w:val="0"/>
      <w:marRight w:val="0"/>
      <w:marTop w:val="0"/>
      <w:marBottom w:val="0"/>
      <w:divBdr>
        <w:top w:val="none" w:sz="0" w:space="0" w:color="auto"/>
        <w:left w:val="none" w:sz="0" w:space="0" w:color="auto"/>
        <w:bottom w:val="none" w:sz="0" w:space="0" w:color="auto"/>
        <w:right w:val="none" w:sz="0" w:space="0" w:color="auto"/>
      </w:divBdr>
      <w:divsChild>
        <w:div w:id="634677642">
          <w:marLeft w:val="0"/>
          <w:marRight w:val="0"/>
          <w:marTop w:val="0"/>
          <w:marBottom w:val="0"/>
          <w:divBdr>
            <w:top w:val="none" w:sz="0" w:space="0" w:color="auto"/>
            <w:left w:val="none" w:sz="0" w:space="0" w:color="auto"/>
            <w:bottom w:val="none" w:sz="0" w:space="0" w:color="auto"/>
            <w:right w:val="none" w:sz="0" w:space="0" w:color="auto"/>
          </w:divBdr>
          <w:divsChild>
            <w:div w:id="1465541987">
              <w:marLeft w:val="0"/>
              <w:marRight w:val="0"/>
              <w:marTop w:val="0"/>
              <w:marBottom w:val="0"/>
              <w:divBdr>
                <w:top w:val="none" w:sz="0" w:space="0" w:color="auto"/>
                <w:left w:val="none" w:sz="0" w:space="0" w:color="auto"/>
                <w:bottom w:val="none" w:sz="0" w:space="0" w:color="auto"/>
                <w:right w:val="none" w:sz="0" w:space="0" w:color="auto"/>
              </w:divBdr>
              <w:divsChild>
                <w:div w:id="8135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605">
      <w:bodyDiv w:val="1"/>
      <w:marLeft w:val="0"/>
      <w:marRight w:val="0"/>
      <w:marTop w:val="0"/>
      <w:marBottom w:val="0"/>
      <w:divBdr>
        <w:top w:val="none" w:sz="0" w:space="0" w:color="auto"/>
        <w:left w:val="none" w:sz="0" w:space="0" w:color="auto"/>
        <w:bottom w:val="none" w:sz="0" w:space="0" w:color="auto"/>
        <w:right w:val="none" w:sz="0" w:space="0" w:color="auto"/>
      </w:divBdr>
      <w:divsChild>
        <w:div w:id="1128548010">
          <w:marLeft w:val="0"/>
          <w:marRight w:val="0"/>
          <w:marTop w:val="0"/>
          <w:marBottom w:val="0"/>
          <w:divBdr>
            <w:top w:val="none" w:sz="0" w:space="0" w:color="auto"/>
            <w:left w:val="none" w:sz="0" w:space="0" w:color="auto"/>
            <w:bottom w:val="none" w:sz="0" w:space="0" w:color="auto"/>
            <w:right w:val="none" w:sz="0" w:space="0" w:color="auto"/>
          </w:divBdr>
          <w:divsChild>
            <w:div w:id="1731155562">
              <w:marLeft w:val="0"/>
              <w:marRight w:val="0"/>
              <w:marTop w:val="0"/>
              <w:marBottom w:val="0"/>
              <w:divBdr>
                <w:top w:val="none" w:sz="0" w:space="0" w:color="auto"/>
                <w:left w:val="none" w:sz="0" w:space="0" w:color="auto"/>
                <w:bottom w:val="none" w:sz="0" w:space="0" w:color="auto"/>
                <w:right w:val="none" w:sz="0" w:space="0" w:color="auto"/>
              </w:divBdr>
              <w:divsChild>
                <w:div w:id="13119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4913">
      <w:bodyDiv w:val="1"/>
      <w:marLeft w:val="0"/>
      <w:marRight w:val="0"/>
      <w:marTop w:val="0"/>
      <w:marBottom w:val="0"/>
      <w:divBdr>
        <w:top w:val="none" w:sz="0" w:space="0" w:color="auto"/>
        <w:left w:val="none" w:sz="0" w:space="0" w:color="auto"/>
        <w:bottom w:val="none" w:sz="0" w:space="0" w:color="auto"/>
        <w:right w:val="none" w:sz="0" w:space="0" w:color="auto"/>
      </w:divBdr>
      <w:divsChild>
        <w:div w:id="1730374524">
          <w:marLeft w:val="0"/>
          <w:marRight w:val="0"/>
          <w:marTop w:val="0"/>
          <w:marBottom w:val="0"/>
          <w:divBdr>
            <w:top w:val="none" w:sz="0" w:space="0" w:color="auto"/>
            <w:left w:val="none" w:sz="0" w:space="0" w:color="auto"/>
            <w:bottom w:val="none" w:sz="0" w:space="0" w:color="auto"/>
            <w:right w:val="none" w:sz="0" w:space="0" w:color="auto"/>
          </w:divBdr>
          <w:divsChild>
            <w:div w:id="212349715">
              <w:marLeft w:val="0"/>
              <w:marRight w:val="0"/>
              <w:marTop w:val="0"/>
              <w:marBottom w:val="0"/>
              <w:divBdr>
                <w:top w:val="none" w:sz="0" w:space="0" w:color="auto"/>
                <w:left w:val="none" w:sz="0" w:space="0" w:color="auto"/>
                <w:bottom w:val="none" w:sz="0" w:space="0" w:color="auto"/>
                <w:right w:val="none" w:sz="0" w:space="0" w:color="auto"/>
              </w:divBdr>
              <w:divsChild>
                <w:div w:id="1328703289">
                  <w:marLeft w:val="0"/>
                  <w:marRight w:val="0"/>
                  <w:marTop w:val="0"/>
                  <w:marBottom w:val="0"/>
                  <w:divBdr>
                    <w:top w:val="none" w:sz="0" w:space="0" w:color="auto"/>
                    <w:left w:val="none" w:sz="0" w:space="0" w:color="auto"/>
                    <w:bottom w:val="none" w:sz="0" w:space="0" w:color="auto"/>
                    <w:right w:val="none" w:sz="0" w:space="0" w:color="auto"/>
                  </w:divBdr>
                  <w:divsChild>
                    <w:div w:id="14414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0483">
      <w:bodyDiv w:val="1"/>
      <w:marLeft w:val="0"/>
      <w:marRight w:val="0"/>
      <w:marTop w:val="0"/>
      <w:marBottom w:val="0"/>
      <w:divBdr>
        <w:top w:val="none" w:sz="0" w:space="0" w:color="auto"/>
        <w:left w:val="none" w:sz="0" w:space="0" w:color="auto"/>
        <w:bottom w:val="none" w:sz="0" w:space="0" w:color="auto"/>
        <w:right w:val="none" w:sz="0" w:space="0" w:color="auto"/>
      </w:divBdr>
      <w:divsChild>
        <w:div w:id="96098737">
          <w:marLeft w:val="0"/>
          <w:marRight w:val="0"/>
          <w:marTop w:val="0"/>
          <w:marBottom w:val="0"/>
          <w:divBdr>
            <w:top w:val="none" w:sz="0" w:space="0" w:color="auto"/>
            <w:left w:val="none" w:sz="0" w:space="0" w:color="auto"/>
            <w:bottom w:val="none" w:sz="0" w:space="0" w:color="auto"/>
            <w:right w:val="none" w:sz="0" w:space="0" w:color="auto"/>
          </w:divBdr>
          <w:divsChild>
            <w:div w:id="1993022763">
              <w:marLeft w:val="0"/>
              <w:marRight w:val="0"/>
              <w:marTop w:val="0"/>
              <w:marBottom w:val="0"/>
              <w:divBdr>
                <w:top w:val="none" w:sz="0" w:space="0" w:color="auto"/>
                <w:left w:val="none" w:sz="0" w:space="0" w:color="auto"/>
                <w:bottom w:val="none" w:sz="0" w:space="0" w:color="auto"/>
                <w:right w:val="none" w:sz="0" w:space="0" w:color="auto"/>
              </w:divBdr>
              <w:divsChild>
                <w:div w:id="4855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8369">
      <w:bodyDiv w:val="1"/>
      <w:marLeft w:val="0"/>
      <w:marRight w:val="0"/>
      <w:marTop w:val="0"/>
      <w:marBottom w:val="0"/>
      <w:divBdr>
        <w:top w:val="none" w:sz="0" w:space="0" w:color="auto"/>
        <w:left w:val="none" w:sz="0" w:space="0" w:color="auto"/>
        <w:bottom w:val="none" w:sz="0" w:space="0" w:color="auto"/>
        <w:right w:val="none" w:sz="0" w:space="0" w:color="auto"/>
      </w:divBdr>
      <w:divsChild>
        <w:div w:id="384378613">
          <w:marLeft w:val="0"/>
          <w:marRight w:val="0"/>
          <w:marTop w:val="0"/>
          <w:marBottom w:val="0"/>
          <w:divBdr>
            <w:top w:val="none" w:sz="0" w:space="0" w:color="auto"/>
            <w:left w:val="none" w:sz="0" w:space="0" w:color="auto"/>
            <w:bottom w:val="none" w:sz="0" w:space="0" w:color="auto"/>
            <w:right w:val="none" w:sz="0" w:space="0" w:color="auto"/>
          </w:divBdr>
          <w:divsChild>
            <w:div w:id="1943418494">
              <w:marLeft w:val="0"/>
              <w:marRight w:val="0"/>
              <w:marTop w:val="0"/>
              <w:marBottom w:val="0"/>
              <w:divBdr>
                <w:top w:val="none" w:sz="0" w:space="0" w:color="auto"/>
                <w:left w:val="none" w:sz="0" w:space="0" w:color="auto"/>
                <w:bottom w:val="none" w:sz="0" w:space="0" w:color="auto"/>
                <w:right w:val="none" w:sz="0" w:space="0" w:color="auto"/>
              </w:divBdr>
              <w:divsChild>
                <w:div w:id="4611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1029">
      <w:bodyDiv w:val="1"/>
      <w:marLeft w:val="0"/>
      <w:marRight w:val="0"/>
      <w:marTop w:val="0"/>
      <w:marBottom w:val="0"/>
      <w:divBdr>
        <w:top w:val="none" w:sz="0" w:space="0" w:color="auto"/>
        <w:left w:val="none" w:sz="0" w:space="0" w:color="auto"/>
        <w:bottom w:val="none" w:sz="0" w:space="0" w:color="auto"/>
        <w:right w:val="none" w:sz="0" w:space="0" w:color="auto"/>
      </w:divBdr>
      <w:divsChild>
        <w:div w:id="1629123499">
          <w:marLeft w:val="0"/>
          <w:marRight w:val="0"/>
          <w:marTop w:val="0"/>
          <w:marBottom w:val="0"/>
          <w:divBdr>
            <w:top w:val="none" w:sz="0" w:space="0" w:color="auto"/>
            <w:left w:val="none" w:sz="0" w:space="0" w:color="auto"/>
            <w:bottom w:val="none" w:sz="0" w:space="0" w:color="auto"/>
            <w:right w:val="none" w:sz="0" w:space="0" w:color="auto"/>
          </w:divBdr>
          <w:divsChild>
            <w:div w:id="610743432">
              <w:marLeft w:val="0"/>
              <w:marRight w:val="0"/>
              <w:marTop w:val="0"/>
              <w:marBottom w:val="0"/>
              <w:divBdr>
                <w:top w:val="none" w:sz="0" w:space="0" w:color="auto"/>
                <w:left w:val="none" w:sz="0" w:space="0" w:color="auto"/>
                <w:bottom w:val="none" w:sz="0" w:space="0" w:color="auto"/>
                <w:right w:val="none" w:sz="0" w:space="0" w:color="auto"/>
              </w:divBdr>
              <w:divsChild>
                <w:div w:id="16783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9083">
      <w:bodyDiv w:val="1"/>
      <w:marLeft w:val="0"/>
      <w:marRight w:val="0"/>
      <w:marTop w:val="0"/>
      <w:marBottom w:val="0"/>
      <w:divBdr>
        <w:top w:val="none" w:sz="0" w:space="0" w:color="auto"/>
        <w:left w:val="none" w:sz="0" w:space="0" w:color="auto"/>
        <w:bottom w:val="none" w:sz="0" w:space="0" w:color="auto"/>
        <w:right w:val="none" w:sz="0" w:space="0" w:color="auto"/>
      </w:divBdr>
      <w:divsChild>
        <w:div w:id="368378580">
          <w:marLeft w:val="0"/>
          <w:marRight w:val="0"/>
          <w:marTop w:val="0"/>
          <w:marBottom w:val="0"/>
          <w:divBdr>
            <w:top w:val="none" w:sz="0" w:space="0" w:color="auto"/>
            <w:left w:val="none" w:sz="0" w:space="0" w:color="auto"/>
            <w:bottom w:val="none" w:sz="0" w:space="0" w:color="auto"/>
            <w:right w:val="none" w:sz="0" w:space="0" w:color="auto"/>
          </w:divBdr>
          <w:divsChild>
            <w:div w:id="573589732">
              <w:marLeft w:val="0"/>
              <w:marRight w:val="0"/>
              <w:marTop w:val="0"/>
              <w:marBottom w:val="0"/>
              <w:divBdr>
                <w:top w:val="none" w:sz="0" w:space="0" w:color="auto"/>
                <w:left w:val="none" w:sz="0" w:space="0" w:color="auto"/>
                <w:bottom w:val="none" w:sz="0" w:space="0" w:color="auto"/>
                <w:right w:val="none" w:sz="0" w:space="0" w:color="auto"/>
              </w:divBdr>
              <w:divsChild>
                <w:div w:id="572854617">
                  <w:marLeft w:val="0"/>
                  <w:marRight w:val="0"/>
                  <w:marTop w:val="0"/>
                  <w:marBottom w:val="0"/>
                  <w:divBdr>
                    <w:top w:val="none" w:sz="0" w:space="0" w:color="auto"/>
                    <w:left w:val="none" w:sz="0" w:space="0" w:color="auto"/>
                    <w:bottom w:val="none" w:sz="0" w:space="0" w:color="auto"/>
                    <w:right w:val="none" w:sz="0" w:space="0" w:color="auto"/>
                  </w:divBdr>
                </w:div>
              </w:divsChild>
            </w:div>
            <w:div w:id="785738612">
              <w:marLeft w:val="0"/>
              <w:marRight w:val="0"/>
              <w:marTop w:val="0"/>
              <w:marBottom w:val="0"/>
              <w:divBdr>
                <w:top w:val="none" w:sz="0" w:space="0" w:color="auto"/>
                <w:left w:val="none" w:sz="0" w:space="0" w:color="auto"/>
                <w:bottom w:val="none" w:sz="0" w:space="0" w:color="auto"/>
                <w:right w:val="none" w:sz="0" w:space="0" w:color="auto"/>
              </w:divBdr>
              <w:divsChild>
                <w:div w:id="980302980">
                  <w:marLeft w:val="0"/>
                  <w:marRight w:val="0"/>
                  <w:marTop w:val="0"/>
                  <w:marBottom w:val="0"/>
                  <w:divBdr>
                    <w:top w:val="none" w:sz="0" w:space="0" w:color="auto"/>
                    <w:left w:val="none" w:sz="0" w:space="0" w:color="auto"/>
                    <w:bottom w:val="none" w:sz="0" w:space="0" w:color="auto"/>
                    <w:right w:val="none" w:sz="0" w:space="0" w:color="auto"/>
                  </w:divBdr>
                </w:div>
              </w:divsChild>
            </w:div>
            <w:div w:id="1356883235">
              <w:marLeft w:val="0"/>
              <w:marRight w:val="0"/>
              <w:marTop w:val="0"/>
              <w:marBottom w:val="0"/>
              <w:divBdr>
                <w:top w:val="none" w:sz="0" w:space="0" w:color="auto"/>
                <w:left w:val="none" w:sz="0" w:space="0" w:color="auto"/>
                <w:bottom w:val="none" w:sz="0" w:space="0" w:color="auto"/>
                <w:right w:val="none" w:sz="0" w:space="0" w:color="auto"/>
              </w:divBdr>
              <w:divsChild>
                <w:div w:id="1938362548">
                  <w:marLeft w:val="0"/>
                  <w:marRight w:val="0"/>
                  <w:marTop w:val="0"/>
                  <w:marBottom w:val="0"/>
                  <w:divBdr>
                    <w:top w:val="none" w:sz="0" w:space="0" w:color="auto"/>
                    <w:left w:val="none" w:sz="0" w:space="0" w:color="auto"/>
                    <w:bottom w:val="none" w:sz="0" w:space="0" w:color="auto"/>
                    <w:right w:val="none" w:sz="0" w:space="0" w:color="auto"/>
                  </w:divBdr>
                </w:div>
              </w:divsChild>
            </w:div>
            <w:div w:id="1439325311">
              <w:marLeft w:val="0"/>
              <w:marRight w:val="0"/>
              <w:marTop w:val="0"/>
              <w:marBottom w:val="0"/>
              <w:divBdr>
                <w:top w:val="none" w:sz="0" w:space="0" w:color="auto"/>
                <w:left w:val="none" w:sz="0" w:space="0" w:color="auto"/>
                <w:bottom w:val="none" w:sz="0" w:space="0" w:color="auto"/>
                <w:right w:val="none" w:sz="0" w:space="0" w:color="auto"/>
              </w:divBdr>
              <w:divsChild>
                <w:div w:id="726341018">
                  <w:marLeft w:val="0"/>
                  <w:marRight w:val="0"/>
                  <w:marTop w:val="0"/>
                  <w:marBottom w:val="0"/>
                  <w:divBdr>
                    <w:top w:val="none" w:sz="0" w:space="0" w:color="auto"/>
                    <w:left w:val="none" w:sz="0" w:space="0" w:color="auto"/>
                    <w:bottom w:val="none" w:sz="0" w:space="0" w:color="auto"/>
                    <w:right w:val="none" w:sz="0" w:space="0" w:color="auto"/>
                  </w:divBdr>
                </w:div>
              </w:divsChild>
            </w:div>
            <w:div w:id="1538006442">
              <w:marLeft w:val="0"/>
              <w:marRight w:val="0"/>
              <w:marTop w:val="0"/>
              <w:marBottom w:val="0"/>
              <w:divBdr>
                <w:top w:val="none" w:sz="0" w:space="0" w:color="auto"/>
                <w:left w:val="none" w:sz="0" w:space="0" w:color="auto"/>
                <w:bottom w:val="none" w:sz="0" w:space="0" w:color="auto"/>
                <w:right w:val="none" w:sz="0" w:space="0" w:color="auto"/>
              </w:divBdr>
              <w:divsChild>
                <w:div w:id="1969313670">
                  <w:marLeft w:val="0"/>
                  <w:marRight w:val="0"/>
                  <w:marTop w:val="0"/>
                  <w:marBottom w:val="0"/>
                  <w:divBdr>
                    <w:top w:val="none" w:sz="0" w:space="0" w:color="auto"/>
                    <w:left w:val="none" w:sz="0" w:space="0" w:color="auto"/>
                    <w:bottom w:val="none" w:sz="0" w:space="0" w:color="auto"/>
                    <w:right w:val="none" w:sz="0" w:space="0" w:color="auto"/>
                  </w:divBdr>
                </w:div>
              </w:divsChild>
            </w:div>
            <w:div w:id="1837961587">
              <w:marLeft w:val="0"/>
              <w:marRight w:val="0"/>
              <w:marTop w:val="0"/>
              <w:marBottom w:val="0"/>
              <w:divBdr>
                <w:top w:val="none" w:sz="0" w:space="0" w:color="auto"/>
                <w:left w:val="none" w:sz="0" w:space="0" w:color="auto"/>
                <w:bottom w:val="none" w:sz="0" w:space="0" w:color="auto"/>
                <w:right w:val="none" w:sz="0" w:space="0" w:color="auto"/>
              </w:divBdr>
              <w:divsChild>
                <w:div w:id="140269357">
                  <w:marLeft w:val="0"/>
                  <w:marRight w:val="0"/>
                  <w:marTop w:val="0"/>
                  <w:marBottom w:val="0"/>
                  <w:divBdr>
                    <w:top w:val="none" w:sz="0" w:space="0" w:color="auto"/>
                    <w:left w:val="none" w:sz="0" w:space="0" w:color="auto"/>
                    <w:bottom w:val="none" w:sz="0" w:space="0" w:color="auto"/>
                    <w:right w:val="none" w:sz="0" w:space="0" w:color="auto"/>
                  </w:divBdr>
                </w:div>
              </w:divsChild>
            </w:div>
            <w:div w:id="1959993841">
              <w:marLeft w:val="0"/>
              <w:marRight w:val="0"/>
              <w:marTop w:val="0"/>
              <w:marBottom w:val="0"/>
              <w:divBdr>
                <w:top w:val="none" w:sz="0" w:space="0" w:color="auto"/>
                <w:left w:val="none" w:sz="0" w:space="0" w:color="auto"/>
                <w:bottom w:val="none" w:sz="0" w:space="0" w:color="auto"/>
                <w:right w:val="none" w:sz="0" w:space="0" w:color="auto"/>
              </w:divBdr>
              <w:divsChild>
                <w:div w:id="19109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91856">
      <w:bodyDiv w:val="1"/>
      <w:marLeft w:val="0"/>
      <w:marRight w:val="0"/>
      <w:marTop w:val="0"/>
      <w:marBottom w:val="0"/>
      <w:divBdr>
        <w:top w:val="none" w:sz="0" w:space="0" w:color="auto"/>
        <w:left w:val="none" w:sz="0" w:space="0" w:color="auto"/>
        <w:bottom w:val="none" w:sz="0" w:space="0" w:color="auto"/>
        <w:right w:val="none" w:sz="0" w:space="0" w:color="auto"/>
      </w:divBdr>
    </w:div>
    <w:div w:id="285240168">
      <w:bodyDiv w:val="1"/>
      <w:marLeft w:val="0"/>
      <w:marRight w:val="0"/>
      <w:marTop w:val="0"/>
      <w:marBottom w:val="0"/>
      <w:divBdr>
        <w:top w:val="none" w:sz="0" w:space="0" w:color="auto"/>
        <w:left w:val="none" w:sz="0" w:space="0" w:color="auto"/>
        <w:bottom w:val="none" w:sz="0" w:space="0" w:color="auto"/>
        <w:right w:val="none" w:sz="0" w:space="0" w:color="auto"/>
      </w:divBdr>
      <w:divsChild>
        <w:div w:id="1224488887">
          <w:marLeft w:val="0"/>
          <w:marRight w:val="0"/>
          <w:marTop w:val="0"/>
          <w:marBottom w:val="0"/>
          <w:divBdr>
            <w:top w:val="none" w:sz="0" w:space="0" w:color="auto"/>
            <w:left w:val="none" w:sz="0" w:space="0" w:color="auto"/>
            <w:bottom w:val="none" w:sz="0" w:space="0" w:color="auto"/>
            <w:right w:val="none" w:sz="0" w:space="0" w:color="auto"/>
          </w:divBdr>
          <w:divsChild>
            <w:div w:id="507254397">
              <w:marLeft w:val="0"/>
              <w:marRight w:val="0"/>
              <w:marTop w:val="0"/>
              <w:marBottom w:val="0"/>
              <w:divBdr>
                <w:top w:val="none" w:sz="0" w:space="0" w:color="auto"/>
                <w:left w:val="none" w:sz="0" w:space="0" w:color="auto"/>
                <w:bottom w:val="none" w:sz="0" w:space="0" w:color="auto"/>
                <w:right w:val="none" w:sz="0" w:space="0" w:color="auto"/>
              </w:divBdr>
              <w:divsChild>
                <w:div w:id="110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12250">
      <w:bodyDiv w:val="1"/>
      <w:marLeft w:val="0"/>
      <w:marRight w:val="0"/>
      <w:marTop w:val="0"/>
      <w:marBottom w:val="0"/>
      <w:divBdr>
        <w:top w:val="none" w:sz="0" w:space="0" w:color="auto"/>
        <w:left w:val="none" w:sz="0" w:space="0" w:color="auto"/>
        <w:bottom w:val="none" w:sz="0" w:space="0" w:color="auto"/>
        <w:right w:val="none" w:sz="0" w:space="0" w:color="auto"/>
      </w:divBdr>
    </w:div>
    <w:div w:id="328944461">
      <w:bodyDiv w:val="1"/>
      <w:marLeft w:val="0"/>
      <w:marRight w:val="0"/>
      <w:marTop w:val="0"/>
      <w:marBottom w:val="0"/>
      <w:divBdr>
        <w:top w:val="none" w:sz="0" w:space="0" w:color="auto"/>
        <w:left w:val="none" w:sz="0" w:space="0" w:color="auto"/>
        <w:bottom w:val="none" w:sz="0" w:space="0" w:color="auto"/>
        <w:right w:val="none" w:sz="0" w:space="0" w:color="auto"/>
      </w:divBdr>
      <w:divsChild>
        <w:div w:id="969870484">
          <w:marLeft w:val="0"/>
          <w:marRight w:val="0"/>
          <w:marTop w:val="0"/>
          <w:marBottom w:val="0"/>
          <w:divBdr>
            <w:top w:val="none" w:sz="0" w:space="0" w:color="auto"/>
            <w:left w:val="none" w:sz="0" w:space="0" w:color="auto"/>
            <w:bottom w:val="none" w:sz="0" w:space="0" w:color="auto"/>
            <w:right w:val="none" w:sz="0" w:space="0" w:color="auto"/>
          </w:divBdr>
          <w:divsChild>
            <w:div w:id="999582592">
              <w:marLeft w:val="0"/>
              <w:marRight w:val="0"/>
              <w:marTop w:val="0"/>
              <w:marBottom w:val="0"/>
              <w:divBdr>
                <w:top w:val="none" w:sz="0" w:space="0" w:color="auto"/>
                <w:left w:val="none" w:sz="0" w:space="0" w:color="auto"/>
                <w:bottom w:val="none" w:sz="0" w:space="0" w:color="auto"/>
                <w:right w:val="none" w:sz="0" w:space="0" w:color="auto"/>
              </w:divBdr>
              <w:divsChild>
                <w:div w:id="1963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4776">
          <w:marLeft w:val="0"/>
          <w:marRight w:val="0"/>
          <w:marTop w:val="0"/>
          <w:marBottom w:val="0"/>
          <w:divBdr>
            <w:top w:val="none" w:sz="0" w:space="0" w:color="auto"/>
            <w:left w:val="none" w:sz="0" w:space="0" w:color="auto"/>
            <w:bottom w:val="none" w:sz="0" w:space="0" w:color="auto"/>
            <w:right w:val="none" w:sz="0" w:space="0" w:color="auto"/>
          </w:divBdr>
          <w:divsChild>
            <w:div w:id="722096950">
              <w:marLeft w:val="0"/>
              <w:marRight w:val="0"/>
              <w:marTop w:val="0"/>
              <w:marBottom w:val="0"/>
              <w:divBdr>
                <w:top w:val="none" w:sz="0" w:space="0" w:color="auto"/>
                <w:left w:val="none" w:sz="0" w:space="0" w:color="auto"/>
                <w:bottom w:val="none" w:sz="0" w:space="0" w:color="auto"/>
                <w:right w:val="none" w:sz="0" w:space="0" w:color="auto"/>
              </w:divBdr>
              <w:divsChild>
                <w:div w:id="303632156">
                  <w:marLeft w:val="0"/>
                  <w:marRight w:val="0"/>
                  <w:marTop w:val="0"/>
                  <w:marBottom w:val="0"/>
                  <w:divBdr>
                    <w:top w:val="none" w:sz="0" w:space="0" w:color="auto"/>
                    <w:left w:val="none" w:sz="0" w:space="0" w:color="auto"/>
                    <w:bottom w:val="none" w:sz="0" w:space="0" w:color="auto"/>
                    <w:right w:val="none" w:sz="0" w:space="0" w:color="auto"/>
                  </w:divBdr>
                </w:div>
              </w:divsChild>
            </w:div>
            <w:div w:id="1183326687">
              <w:marLeft w:val="0"/>
              <w:marRight w:val="0"/>
              <w:marTop w:val="0"/>
              <w:marBottom w:val="0"/>
              <w:divBdr>
                <w:top w:val="none" w:sz="0" w:space="0" w:color="auto"/>
                <w:left w:val="none" w:sz="0" w:space="0" w:color="auto"/>
                <w:bottom w:val="none" w:sz="0" w:space="0" w:color="auto"/>
                <w:right w:val="none" w:sz="0" w:space="0" w:color="auto"/>
              </w:divBdr>
              <w:divsChild>
                <w:div w:id="12868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12461">
      <w:bodyDiv w:val="1"/>
      <w:marLeft w:val="0"/>
      <w:marRight w:val="0"/>
      <w:marTop w:val="0"/>
      <w:marBottom w:val="0"/>
      <w:divBdr>
        <w:top w:val="none" w:sz="0" w:space="0" w:color="auto"/>
        <w:left w:val="none" w:sz="0" w:space="0" w:color="auto"/>
        <w:bottom w:val="none" w:sz="0" w:space="0" w:color="auto"/>
        <w:right w:val="none" w:sz="0" w:space="0" w:color="auto"/>
      </w:divBdr>
      <w:divsChild>
        <w:div w:id="1541940614">
          <w:marLeft w:val="0"/>
          <w:marRight w:val="0"/>
          <w:marTop w:val="0"/>
          <w:marBottom w:val="0"/>
          <w:divBdr>
            <w:top w:val="none" w:sz="0" w:space="0" w:color="auto"/>
            <w:left w:val="none" w:sz="0" w:space="0" w:color="auto"/>
            <w:bottom w:val="none" w:sz="0" w:space="0" w:color="auto"/>
            <w:right w:val="none" w:sz="0" w:space="0" w:color="auto"/>
          </w:divBdr>
          <w:divsChild>
            <w:div w:id="1726177302">
              <w:marLeft w:val="0"/>
              <w:marRight w:val="0"/>
              <w:marTop w:val="0"/>
              <w:marBottom w:val="0"/>
              <w:divBdr>
                <w:top w:val="none" w:sz="0" w:space="0" w:color="auto"/>
                <w:left w:val="none" w:sz="0" w:space="0" w:color="auto"/>
                <w:bottom w:val="none" w:sz="0" w:space="0" w:color="auto"/>
                <w:right w:val="none" w:sz="0" w:space="0" w:color="auto"/>
              </w:divBdr>
              <w:divsChild>
                <w:div w:id="392391447">
                  <w:marLeft w:val="0"/>
                  <w:marRight w:val="0"/>
                  <w:marTop w:val="0"/>
                  <w:marBottom w:val="0"/>
                  <w:divBdr>
                    <w:top w:val="none" w:sz="0" w:space="0" w:color="auto"/>
                    <w:left w:val="none" w:sz="0" w:space="0" w:color="auto"/>
                    <w:bottom w:val="none" w:sz="0" w:space="0" w:color="auto"/>
                    <w:right w:val="none" w:sz="0" w:space="0" w:color="auto"/>
                  </w:divBdr>
                  <w:divsChild>
                    <w:div w:id="10827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06955">
      <w:bodyDiv w:val="1"/>
      <w:marLeft w:val="0"/>
      <w:marRight w:val="0"/>
      <w:marTop w:val="0"/>
      <w:marBottom w:val="0"/>
      <w:divBdr>
        <w:top w:val="none" w:sz="0" w:space="0" w:color="auto"/>
        <w:left w:val="none" w:sz="0" w:space="0" w:color="auto"/>
        <w:bottom w:val="none" w:sz="0" w:space="0" w:color="auto"/>
        <w:right w:val="none" w:sz="0" w:space="0" w:color="auto"/>
      </w:divBdr>
      <w:divsChild>
        <w:div w:id="1584142762">
          <w:marLeft w:val="0"/>
          <w:marRight w:val="0"/>
          <w:marTop w:val="0"/>
          <w:marBottom w:val="0"/>
          <w:divBdr>
            <w:top w:val="none" w:sz="0" w:space="0" w:color="auto"/>
            <w:left w:val="none" w:sz="0" w:space="0" w:color="auto"/>
            <w:bottom w:val="none" w:sz="0" w:space="0" w:color="auto"/>
            <w:right w:val="none" w:sz="0" w:space="0" w:color="auto"/>
          </w:divBdr>
          <w:divsChild>
            <w:div w:id="956450123">
              <w:marLeft w:val="0"/>
              <w:marRight w:val="0"/>
              <w:marTop w:val="0"/>
              <w:marBottom w:val="0"/>
              <w:divBdr>
                <w:top w:val="none" w:sz="0" w:space="0" w:color="auto"/>
                <w:left w:val="none" w:sz="0" w:space="0" w:color="auto"/>
                <w:bottom w:val="none" w:sz="0" w:space="0" w:color="auto"/>
                <w:right w:val="none" w:sz="0" w:space="0" w:color="auto"/>
              </w:divBdr>
              <w:divsChild>
                <w:div w:id="11724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69498">
      <w:bodyDiv w:val="1"/>
      <w:marLeft w:val="0"/>
      <w:marRight w:val="0"/>
      <w:marTop w:val="0"/>
      <w:marBottom w:val="0"/>
      <w:divBdr>
        <w:top w:val="none" w:sz="0" w:space="0" w:color="auto"/>
        <w:left w:val="none" w:sz="0" w:space="0" w:color="auto"/>
        <w:bottom w:val="none" w:sz="0" w:space="0" w:color="auto"/>
        <w:right w:val="none" w:sz="0" w:space="0" w:color="auto"/>
      </w:divBdr>
      <w:divsChild>
        <w:div w:id="137461709">
          <w:marLeft w:val="0"/>
          <w:marRight w:val="0"/>
          <w:marTop w:val="0"/>
          <w:marBottom w:val="0"/>
          <w:divBdr>
            <w:top w:val="none" w:sz="0" w:space="0" w:color="auto"/>
            <w:left w:val="none" w:sz="0" w:space="0" w:color="auto"/>
            <w:bottom w:val="none" w:sz="0" w:space="0" w:color="auto"/>
            <w:right w:val="none" w:sz="0" w:space="0" w:color="auto"/>
          </w:divBdr>
          <w:divsChild>
            <w:div w:id="76824741">
              <w:marLeft w:val="0"/>
              <w:marRight w:val="0"/>
              <w:marTop w:val="0"/>
              <w:marBottom w:val="0"/>
              <w:divBdr>
                <w:top w:val="none" w:sz="0" w:space="0" w:color="auto"/>
                <w:left w:val="none" w:sz="0" w:space="0" w:color="auto"/>
                <w:bottom w:val="none" w:sz="0" w:space="0" w:color="auto"/>
                <w:right w:val="none" w:sz="0" w:space="0" w:color="auto"/>
              </w:divBdr>
              <w:divsChild>
                <w:div w:id="9483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37621">
      <w:bodyDiv w:val="1"/>
      <w:marLeft w:val="0"/>
      <w:marRight w:val="0"/>
      <w:marTop w:val="0"/>
      <w:marBottom w:val="0"/>
      <w:divBdr>
        <w:top w:val="none" w:sz="0" w:space="0" w:color="auto"/>
        <w:left w:val="none" w:sz="0" w:space="0" w:color="auto"/>
        <w:bottom w:val="none" w:sz="0" w:space="0" w:color="auto"/>
        <w:right w:val="none" w:sz="0" w:space="0" w:color="auto"/>
      </w:divBdr>
    </w:div>
    <w:div w:id="456729006">
      <w:bodyDiv w:val="1"/>
      <w:marLeft w:val="0"/>
      <w:marRight w:val="0"/>
      <w:marTop w:val="0"/>
      <w:marBottom w:val="0"/>
      <w:divBdr>
        <w:top w:val="none" w:sz="0" w:space="0" w:color="auto"/>
        <w:left w:val="none" w:sz="0" w:space="0" w:color="auto"/>
        <w:bottom w:val="none" w:sz="0" w:space="0" w:color="auto"/>
        <w:right w:val="none" w:sz="0" w:space="0" w:color="auto"/>
      </w:divBdr>
      <w:divsChild>
        <w:div w:id="50158992">
          <w:marLeft w:val="0"/>
          <w:marRight w:val="0"/>
          <w:marTop w:val="0"/>
          <w:marBottom w:val="0"/>
          <w:divBdr>
            <w:top w:val="none" w:sz="0" w:space="0" w:color="auto"/>
            <w:left w:val="none" w:sz="0" w:space="0" w:color="auto"/>
            <w:bottom w:val="none" w:sz="0" w:space="0" w:color="auto"/>
            <w:right w:val="none" w:sz="0" w:space="0" w:color="auto"/>
          </w:divBdr>
          <w:divsChild>
            <w:div w:id="760612631">
              <w:marLeft w:val="0"/>
              <w:marRight w:val="0"/>
              <w:marTop w:val="0"/>
              <w:marBottom w:val="0"/>
              <w:divBdr>
                <w:top w:val="none" w:sz="0" w:space="0" w:color="auto"/>
                <w:left w:val="none" w:sz="0" w:space="0" w:color="auto"/>
                <w:bottom w:val="none" w:sz="0" w:space="0" w:color="auto"/>
                <w:right w:val="none" w:sz="0" w:space="0" w:color="auto"/>
              </w:divBdr>
              <w:divsChild>
                <w:div w:id="1244100177">
                  <w:marLeft w:val="0"/>
                  <w:marRight w:val="0"/>
                  <w:marTop w:val="0"/>
                  <w:marBottom w:val="0"/>
                  <w:divBdr>
                    <w:top w:val="none" w:sz="0" w:space="0" w:color="auto"/>
                    <w:left w:val="none" w:sz="0" w:space="0" w:color="auto"/>
                    <w:bottom w:val="none" w:sz="0" w:space="0" w:color="auto"/>
                    <w:right w:val="none" w:sz="0" w:space="0" w:color="auto"/>
                  </w:divBdr>
                </w:div>
              </w:divsChild>
            </w:div>
            <w:div w:id="1228153140">
              <w:marLeft w:val="0"/>
              <w:marRight w:val="0"/>
              <w:marTop w:val="0"/>
              <w:marBottom w:val="0"/>
              <w:divBdr>
                <w:top w:val="none" w:sz="0" w:space="0" w:color="auto"/>
                <w:left w:val="none" w:sz="0" w:space="0" w:color="auto"/>
                <w:bottom w:val="none" w:sz="0" w:space="0" w:color="auto"/>
                <w:right w:val="none" w:sz="0" w:space="0" w:color="auto"/>
              </w:divBdr>
              <w:divsChild>
                <w:div w:id="239875765">
                  <w:marLeft w:val="0"/>
                  <w:marRight w:val="0"/>
                  <w:marTop w:val="0"/>
                  <w:marBottom w:val="0"/>
                  <w:divBdr>
                    <w:top w:val="none" w:sz="0" w:space="0" w:color="auto"/>
                    <w:left w:val="none" w:sz="0" w:space="0" w:color="auto"/>
                    <w:bottom w:val="none" w:sz="0" w:space="0" w:color="auto"/>
                    <w:right w:val="none" w:sz="0" w:space="0" w:color="auto"/>
                  </w:divBdr>
                </w:div>
              </w:divsChild>
            </w:div>
            <w:div w:id="1624728221">
              <w:marLeft w:val="0"/>
              <w:marRight w:val="0"/>
              <w:marTop w:val="0"/>
              <w:marBottom w:val="0"/>
              <w:divBdr>
                <w:top w:val="none" w:sz="0" w:space="0" w:color="auto"/>
                <w:left w:val="none" w:sz="0" w:space="0" w:color="auto"/>
                <w:bottom w:val="none" w:sz="0" w:space="0" w:color="auto"/>
                <w:right w:val="none" w:sz="0" w:space="0" w:color="auto"/>
              </w:divBdr>
              <w:divsChild>
                <w:div w:id="15292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20766">
          <w:marLeft w:val="0"/>
          <w:marRight w:val="0"/>
          <w:marTop w:val="0"/>
          <w:marBottom w:val="0"/>
          <w:divBdr>
            <w:top w:val="none" w:sz="0" w:space="0" w:color="auto"/>
            <w:left w:val="none" w:sz="0" w:space="0" w:color="auto"/>
            <w:bottom w:val="none" w:sz="0" w:space="0" w:color="auto"/>
            <w:right w:val="none" w:sz="0" w:space="0" w:color="auto"/>
          </w:divBdr>
          <w:divsChild>
            <w:div w:id="824859910">
              <w:marLeft w:val="0"/>
              <w:marRight w:val="0"/>
              <w:marTop w:val="0"/>
              <w:marBottom w:val="0"/>
              <w:divBdr>
                <w:top w:val="none" w:sz="0" w:space="0" w:color="auto"/>
                <w:left w:val="none" w:sz="0" w:space="0" w:color="auto"/>
                <w:bottom w:val="none" w:sz="0" w:space="0" w:color="auto"/>
                <w:right w:val="none" w:sz="0" w:space="0" w:color="auto"/>
              </w:divBdr>
              <w:divsChild>
                <w:div w:id="20150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5112">
      <w:bodyDiv w:val="1"/>
      <w:marLeft w:val="0"/>
      <w:marRight w:val="0"/>
      <w:marTop w:val="0"/>
      <w:marBottom w:val="0"/>
      <w:divBdr>
        <w:top w:val="none" w:sz="0" w:space="0" w:color="auto"/>
        <w:left w:val="none" w:sz="0" w:space="0" w:color="auto"/>
        <w:bottom w:val="none" w:sz="0" w:space="0" w:color="auto"/>
        <w:right w:val="none" w:sz="0" w:space="0" w:color="auto"/>
      </w:divBdr>
      <w:divsChild>
        <w:div w:id="2124376576">
          <w:marLeft w:val="0"/>
          <w:marRight w:val="0"/>
          <w:marTop w:val="0"/>
          <w:marBottom w:val="0"/>
          <w:divBdr>
            <w:top w:val="none" w:sz="0" w:space="0" w:color="auto"/>
            <w:left w:val="none" w:sz="0" w:space="0" w:color="auto"/>
            <w:bottom w:val="none" w:sz="0" w:space="0" w:color="auto"/>
            <w:right w:val="none" w:sz="0" w:space="0" w:color="auto"/>
          </w:divBdr>
          <w:divsChild>
            <w:div w:id="1324239487">
              <w:marLeft w:val="0"/>
              <w:marRight w:val="0"/>
              <w:marTop w:val="0"/>
              <w:marBottom w:val="0"/>
              <w:divBdr>
                <w:top w:val="none" w:sz="0" w:space="0" w:color="auto"/>
                <w:left w:val="none" w:sz="0" w:space="0" w:color="auto"/>
                <w:bottom w:val="none" w:sz="0" w:space="0" w:color="auto"/>
                <w:right w:val="none" w:sz="0" w:space="0" w:color="auto"/>
              </w:divBdr>
              <w:divsChild>
                <w:div w:id="4139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82126">
      <w:bodyDiv w:val="1"/>
      <w:marLeft w:val="0"/>
      <w:marRight w:val="0"/>
      <w:marTop w:val="0"/>
      <w:marBottom w:val="0"/>
      <w:divBdr>
        <w:top w:val="none" w:sz="0" w:space="0" w:color="auto"/>
        <w:left w:val="none" w:sz="0" w:space="0" w:color="auto"/>
        <w:bottom w:val="none" w:sz="0" w:space="0" w:color="auto"/>
        <w:right w:val="none" w:sz="0" w:space="0" w:color="auto"/>
      </w:divBdr>
    </w:div>
    <w:div w:id="542329598">
      <w:bodyDiv w:val="1"/>
      <w:marLeft w:val="0"/>
      <w:marRight w:val="0"/>
      <w:marTop w:val="0"/>
      <w:marBottom w:val="0"/>
      <w:divBdr>
        <w:top w:val="none" w:sz="0" w:space="0" w:color="auto"/>
        <w:left w:val="none" w:sz="0" w:space="0" w:color="auto"/>
        <w:bottom w:val="none" w:sz="0" w:space="0" w:color="auto"/>
        <w:right w:val="none" w:sz="0" w:space="0" w:color="auto"/>
      </w:divBdr>
    </w:div>
    <w:div w:id="544106025">
      <w:bodyDiv w:val="1"/>
      <w:marLeft w:val="0"/>
      <w:marRight w:val="0"/>
      <w:marTop w:val="0"/>
      <w:marBottom w:val="0"/>
      <w:divBdr>
        <w:top w:val="none" w:sz="0" w:space="0" w:color="auto"/>
        <w:left w:val="none" w:sz="0" w:space="0" w:color="auto"/>
        <w:bottom w:val="none" w:sz="0" w:space="0" w:color="auto"/>
        <w:right w:val="none" w:sz="0" w:space="0" w:color="auto"/>
      </w:divBdr>
      <w:divsChild>
        <w:div w:id="640963944">
          <w:marLeft w:val="0"/>
          <w:marRight w:val="0"/>
          <w:marTop w:val="0"/>
          <w:marBottom w:val="0"/>
          <w:divBdr>
            <w:top w:val="none" w:sz="0" w:space="0" w:color="auto"/>
            <w:left w:val="none" w:sz="0" w:space="0" w:color="auto"/>
            <w:bottom w:val="none" w:sz="0" w:space="0" w:color="auto"/>
            <w:right w:val="none" w:sz="0" w:space="0" w:color="auto"/>
          </w:divBdr>
          <w:divsChild>
            <w:div w:id="658730875">
              <w:marLeft w:val="0"/>
              <w:marRight w:val="0"/>
              <w:marTop w:val="0"/>
              <w:marBottom w:val="0"/>
              <w:divBdr>
                <w:top w:val="none" w:sz="0" w:space="0" w:color="auto"/>
                <w:left w:val="none" w:sz="0" w:space="0" w:color="auto"/>
                <w:bottom w:val="none" w:sz="0" w:space="0" w:color="auto"/>
                <w:right w:val="none" w:sz="0" w:space="0" w:color="auto"/>
              </w:divBdr>
              <w:divsChild>
                <w:div w:id="1694378201">
                  <w:marLeft w:val="0"/>
                  <w:marRight w:val="0"/>
                  <w:marTop w:val="0"/>
                  <w:marBottom w:val="0"/>
                  <w:divBdr>
                    <w:top w:val="none" w:sz="0" w:space="0" w:color="auto"/>
                    <w:left w:val="none" w:sz="0" w:space="0" w:color="auto"/>
                    <w:bottom w:val="none" w:sz="0" w:space="0" w:color="auto"/>
                    <w:right w:val="none" w:sz="0" w:space="0" w:color="auto"/>
                  </w:divBdr>
                </w:div>
              </w:divsChild>
            </w:div>
            <w:div w:id="1420179611">
              <w:marLeft w:val="0"/>
              <w:marRight w:val="0"/>
              <w:marTop w:val="0"/>
              <w:marBottom w:val="0"/>
              <w:divBdr>
                <w:top w:val="none" w:sz="0" w:space="0" w:color="auto"/>
                <w:left w:val="none" w:sz="0" w:space="0" w:color="auto"/>
                <w:bottom w:val="none" w:sz="0" w:space="0" w:color="auto"/>
                <w:right w:val="none" w:sz="0" w:space="0" w:color="auto"/>
              </w:divBdr>
              <w:divsChild>
                <w:div w:id="2052801346">
                  <w:marLeft w:val="0"/>
                  <w:marRight w:val="0"/>
                  <w:marTop w:val="0"/>
                  <w:marBottom w:val="0"/>
                  <w:divBdr>
                    <w:top w:val="none" w:sz="0" w:space="0" w:color="auto"/>
                    <w:left w:val="none" w:sz="0" w:space="0" w:color="auto"/>
                    <w:bottom w:val="none" w:sz="0" w:space="0" w:color="auto"/>
                    <w:right w:val="none" w:sz="0" w:space="0" w:color="auto"/>
                  </w:divBdr>
                </w:div>
              </w:divsChild>
            </w:div>
            <w:div w:id="1445730865">
              <w:marLeft w:val="0"/>
              <w:marRight w:val="0"/>
              <w:marTop w:val="0"/>
              <w:marBottom w:val="0"/>
              <w:divBdr>
                <w:top w:val="none" w:sz="0" w:space="0" w:color="auto"/>
                <w:left w:val="none" w:sz="0" w:space="0" w:color="auto"/>
                <w:bottom w:val="none" w:sz="0" w:space="0" w:color="auto"/>
                <w:right w:val="none" w:sz="0" w:space="0" w:color="auto"/>
              </w:divBdr>
              <w:divsChild>
                <w:div w:id="205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5375">
      <w:bodyDiv w:val="1"/>
      <w:marLeft w:val="0"/>
      <w:marRight w:val="0"/>
      <w:marTop w:val="0"/>
      <w:marBottom w:val="0"/>
      <w:divBdr>
        <w:top w:val="none" w:sz="0" w:space="0" w:color="auto"/>
        <w:left w:val="none" w:sz="0" w:space="0" w:color="auto"/>
        <w:bottom w:val="none" w:sz="0" w:space="0" w:color="auto"/>
        <w:right w:val="none" w:sz="0" w:space="0" w:color="auto"/>
      </w:divBdr>
    </w:div>
    <w:div w:id="622544332">
      <w:bodyDiv w:val="1"/>
      <w:marLeft w:val="0"/>
      <w:marRight w:val="0"/>
      <w:marTop w:val="0"/>
      <w:marBottom w:val="0"/>
      <w:divBdr>
        <w:top w:val="none" w:sz="0" w:space="0" w:color="auto"/>
        <w:left w:val="none" w:sz="0" w:space="0" w:color="auto"/>
        <w:bottom w:val="none" w:sz="0" w:space="0" w:color="auto"/>
        <w:right w:val="none" w:sz="0" w:space="0" w:color="auto"/>
      </w:divBdr>
      <w:divsChild>
        <w:div w:id="1040276884">
          <w:marLeft w:val="0"/>
          <w:marRight w:val="0"/>
          <w:marTop w:val="0"/>
          <w:marBottom w:val="0"/>
          <w:divBdr>
            <w:top w:val="none" w:sz="0" w:space="0" w:color="auto"/>
            <w:left w:val="none" w:sz="0" w:space="0" w:color="auto"/>
            <w:bottom w:val="none" w:sz="0" w:space="0" w:color="auto"/>
            <w:right w:val="none" w:sz="0" w:space="0" w:color="auto"/>
          </w:divBdr>
          <w:divsChild>
            <w:div w:id="612327926">
              <w:marLeft w:val="0"/>
              <w:marRight w:val="0"/>
              <w:marTop w:val="0"/>
              <w:marBottom w:val="0"/>
              <w:divBdr>
                <w:top w:val="none" w:sz="0" w:space="0" w:color="auto"/>
                <w:left w:val="none" w:sz="0" w:space="0" w:color="auto"/>
                <w:bottom w:val="none" w:sz="0" w:space="0" w:color="auto"/>
                <w:right w:val="none" w:sz="0" w:space="0" w:color="auto"/>
              </w:divBdr>
              <w:divsChild>
                <w:div w:id="11208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34608">
      <w:bodyDiv w:val="1"/>
      <w:marLeft w:val="0"/>
      <w:marRight w:val="0"/>
      <w:marTop w:val="0"/>
      <w:marBottom w:val="0"/>
      <w:divBdr>
        <w:top w:val="none" w:sz="0" w:space="0" w:color="auto"/>
        <w:left w:val="none" w:sz="0" w:space="0" w:color="auto"/>
        <w:bottom w:val="none" w:sz="0" w:space="0" w:color="auto"/>
        <w:right w:val="none" w:sz="0" w:space="0" w:color="auto"/>
      </w:divBdr>
      <w:divsChild>
        <w:div w:id="192351984">
          <w:marLeft w:val="0"/>
          <w:marRight w:val="0"/>
          <w:marTop w:val="0"/>
          <w:marBottom w:val="0"/>
          <w:divBdr>
            <w:top w:val="none" w:sz="0" w:space="0" w:color="auto"/>
            <w:left w:val="none" w:sz="0" w:space="0" w:color="auto"/>
            <w:bottom w:val="none" w:sz="0" w:space="0" w:color="auto"/>
            <w:right w:val="none" w:sz="0" w:space="0" w:color="auto"/>
          </w:divBdr>
          <w:divsChild>
            <w:div w:id="1912961747">
              <w:marLeft w:val="0"/>
              <w:marRight w:val="0"/>
              <w:marTop w:val="0"/>
              <w:marBottom w:val="0"/>
              <w:divBdr>
                <w:top w:val="none" w:sz="0" w:space="0" w:color="auto"/>
                <w:left w:val="none" w:sz="0" w:space="0" w:color="auto"/>
                <w:bottom w:val="none" w:sz="0" w:space="0" w:color="auto"/>
                <w:right w:val="none" w:sz="0" w:space="0" w:color="auto"/>
              </w:divBdr>
              <w:divsChild>
                <w:div w:id="17606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76907">
      <w:bodyDiv w:val="1"/>
      <w:marLeft w:val="0"/>
      <w:marRight w:val="0"/>
      <w:marTop w:val="0"/>
      <w:marBottom w:val="0"/>
      <w:divBdr>
        <w:top w:val="none" w:sz="0" w:space="0" w:color="auto"/>
        <w:left w:val="none" w:sz="0" w:space="0" w:color="auto"/>
        <w:bottom w:val="none" w:sz="0" w:space="0" w:color="auto"/>
        <w:right w:val="none" w:sz="0" w:space="0" w:color="auto"/>
      </w:divBdr>
    </w:div>
    <w:div w:id="708649979">
      <w:bodyDiv w:val="1"/>
      <w:marLeft w:val="0"/>
      <w:marRight w:val="0"/>
      <w:marTop w:val="0"/>
      <w:marBottom w:val="0"/>
      <w:divBdr>
        <w:top w:val="none" w:sz="0" w:space="0" w:color="auto"/>
        <w:left w:val="none" w:sz="0" w:space="0" w:color="auto"/>
        <w:bottom w:val="none" w:sz="0" w:space="0" w:color="auto"/>
        <w:right w:val="none" w:sz="0" w:space="0" w:color="auto"/>
      </w:divBdr>
      <w:divsChild>
        <w:div w:id="437599124">
          <w:marLeft w:val="0"/>
          <w:marRight w:val="0"/>
          <w:marTop w:val="0"/>
          <w:marBottom w:val="0"/>
          <w:divBdr>
            <w:top w:val="none" w:sz="0" w:space="0" w:color="auto"/>
            <w:left w:val="none" w:sz="0" w:space="0" w:color="auto"/>
            <w:bottom w:val="none" w:sz="0" w:space="0" w:color="auto"/>
            <w:right w:val="none" w:sz="0" w:space="0" w:color="auto"/>
          </w:divBdr>
          <w:divsChild>
            <w:div w:id="885023418">
              <w:marLeft w:val="0"/>
              <w:marRight w:val="0"/>
              <w:marTop w:val="0"/>
              <w:marBottom w:val="0"/>
              <w:divBdr>
                <w:top w:val="none" w:sz="0" w:space="0" w:color="auto"/>
                <w:left w:val="none" w:sz="0" w:space="0" w:color="auto"/>
                <w:bottom w:val="none" w:sz="0" w:space="0" w:color="auto"/>
                <w:right w:val="none" w:sz="0" w:space="0" w:color="auto"/>
              </w:divBdr>
              <w:divsChild>
                <w:div w:id="192603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458">
      <w:bodyDiv w:val="1"/>
      <w:marLeft w:val="0"/>
      <w:marRight w:val="0"/>
      <w:marTop w:val="0"/>
      <w:marBottom w:val="0"/>
      <w:divBdr>
        <w:top w:val="none" w:sz="0" w:space="0" w:color="auto"/>
        <w:left w:val="none" w:sz="0" w:space="0" w:color="auto"/>
        <w:bottom w:val="none" w:sz="0" w:space="0" w:color="auto"/>
        <w:right w:val="none" w:sz="0" w:space="0" w:color="auto"/>
      </w:divBdr>
      <w:divsChild>
        <w:div w:id="1832452544">
          <w:marLeft w:val="0"/>
          <w:marRight w:val="0"/>
          <w:marTop w:val="0"/>
          <w:marBottom w:val="0"/>
          <w:divBdr>
            <w:top w:val="none" w:sz="0" w:space="0" w:color="auto"/>
            <w:left w:val="none" w:sz="0" w:space="0" w:color="auto"/>
            <w:bottom w:val="none" w:sz="0" w:space="0" w:color="auto"/>
            <w:right w:val="none" w:sz="0" w:space="0" w:color="auto"/>
          </w:divBdr>
          <w:divsChild>
            <w:div w:id="651180963">
              <w:marLeft w:val="0"/>
              <w:marRight w:val="0"/>
              <w:marTop w:val="0"/>
              <w:marBottom w:val="0"/>
              <w:divBdr>
                <w:top w:val="none" w:sz="0" w:space="0" w:color="auto"/>
                <w:left w:val="none" w:sz="0" w:space="0" w:color="auto"/>
                <w:bottom w:val="none" w:sz="0" w:space="0" w:color="auto"/>
                <w:right w:val="none" w:sz="0" w:space="0" w:color="auto"/>
              </w:divBdr>
              <w:divsChild>
                <w:div w:id="1915503465">
                  <w:marLeft w:val="0"/>
                  <w:marRight w:val="0"/>
                  <w:marTop w:val="0"/>
                  <w:marBottom w:val="0"/>
                  <w:divBdr>
                    <w:top w:val="none" w:sz="0" w:space="0" w:color="auto"/>
                    <w:left w:val="none" w:sz="0" w:space="0" w:color="auto"/>
                    <w:bottom w:val="none" w:sz="0" w:space="0" w:color="auto"/>
                    <w:right w:val="none" w:sz="0" w:space="0" w:color="auto"/>
                  </w:divBdr>
                  <w:divsChild>
                    <w:div w:id="7700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548708">
      <w:bodyDiv w:val="1"/>
      <w:marLeft w:val="0"/>
      <w:marRight w:val="0"/>
      <w:marTop w:val="0"/>
      <w:marBottom w:val="0"/>
      <w:divBdr>
        <w:top w:val="none" w:sz="0" w:space="0" w:color="auto"/>
        <w:left w:val="none" w:sz="0" w:space="0" w:color="auto"/>
        <w:bottom w:val="none" w:sz="0" w:space="0" w:color="auto"/>
        <w:right w:val="none" w:sz="0" w:space="0" w:color="auto"/>
      </w:divBdr>
      <w:divsChild>
        <w:div w:id="39131759">
          <w:marLeft w:val="0"/>
          <w:marRight w:val="0"/>
          <w:marTop w:val="0"/>
          <w:marBottom w:val="0"/>
          <w:divBdr>
            <w:top w:val="none" w:sz="0" w:space="0" w:color="auto"/>
            <w:left w:val="none" w:sz="0" w:space="0" w:color="auto"/>
            <w:bottom w:val="none" w:sz="0" w:space="0" w:color="auto"/>
            <w:right w:val="none" w:sz="0" w:space="0" w:color="auto"/>
          </w:divBdr>
          <w:divsChild>
            <w:div w:id="639506404">
              <w:marLeft w:val="0"/>
              <w:marRight w:val="0"/>
              <w:marTop w:val="0"/>
              <w:marBottom w:val="0"/>
              <w:divBdr>
                <w:top w:val="none" w:sz="0" w:space="0" w:color="auto"/>
                <w:left w:val="none" w:sz="0" w:space="0" w:color="auto"/>
                <w:bottom w:val="none" w:sz="0" w:space="0" w:color="auto"/>
                <w:right w:val="none" w:sz="0" w:space="0" w:color="auto"/>
              </w:divBdr>
              <w:divsChild>
                <w:div w:id="604969540">
                  <w:marLeft w:val="0"/>
                  <w:marRight w:val="0"/>
                  <w:marTop w:val="0"/>
                  <w:marBottom w:val="0"/>
                  <w:divBdr>
                    <w:top w:val="none" w:sz="0" w:space="0" w:color="auto"/>
                    <w:left w:val="none" w:sz="0" w:space="0" w:color="auto"/>
                    <w:bottom w:val="none" w:sz="0" w:space="0" w:color="auto"/>
                    <w:right w:val="none" w:sz="0" w:space="0" w:color="auto"/>
                  </w:divBdr>
                  <w:divsChild>
                    <w:div w:id="20822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08259">
      <w:bodyDiv w:val="1"/>
      <w:marLeft w:val="0"/>
      <w:marRight w:val="0"/>
      <w:marTop w:val="0"/>
      <w:marBottom w:val="0"/>
      <w:divBdr>
        <w:top w:val="none" w:sz="0" w:space="0" w:color="auto"/>
        <w:left w:val="none" w:sz="0" w:space="0" w:color="auto"/>
        <w:bottom w:val="none" w:sz="0" w:space="0" w:color="auto"/>
        <w:right w:val="none" w:sz="0" w:space="0" w:color="auto"/>
      </w:divBdr>
      <w:divsChild>
        <w:div w:id="245765910">
          <w:marLeft w:val="0"/>
          <w:marRight w:val="0"/>
          <w:marTop w:val="0"/>
          <w:marBottom w:val="0"/>
          <w:divBdr>
            <w:top w:val="none" w:sz="0" w:space="0" w:color="auto"/>
            <w:left w:val="none" w:sz="0" w:space="0" w:color="auto"/>
            <w:bottom w:val="none" w:sz="0" w:space="0" w:color="auto"/>
            <w:right w:val="none" w:sz="0" w:space="0" w:color="auto"/>
          </w:divBdr>
          <w:divsChild>
            <w:div w:id="1437406423">
              <w:marLeft w:val="0"/>
              <w:marRight w:val="0"/>
              <w:marTop w:val="0"/>
              <w:marBottom w:val="0"/>
              <w:divBdr>
                <w:top w:val="none" w:sz="0" w:space="0" w:color="auto"/>
                <w:left w:val="none" w:sz="0" w:space="0" w:color="auto"/>
                <w:bottom w:val="none" w:sz="0" w:space="0" w:color="auto"/>
                <w:right w:val="none" w:sz="0" w:space="0" w:color="auto"/>
              </w:divBdr>
              <w:divsChild>
                <w:div w:id="10792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96700">
      <w:bodyDiv w:val="1"/>
      <w:marLeft w:val="0"/>
      <w:marRight w:val="0"/>
      <w:marTop w:val="0"/>
      <w:marBottom w:val="0"/>
      <w:divBdr>
        <w:top w:val="none" w:sz="0" w:space="0" w:color="auto"/>
        <w:left w:val="none" w:sz="0" w:space="0" w:color="auto"/>
        <w:bottom w:val="none" w:sz="0" w:space="0" w:color="auto"/>
        <w:right w:val="none" w:sz="0" w:space="0" w:color="auto"/>
      </w:divBdr>
    </w:div>
    <w:div w:id="1008754215">
      <w:bodyDiv w:val="1"/>
      <w:marLeft w:val="0"/>
      <w:marRight w:val="0"/>
      <w:marTop w:val="0"/>
      <w:marBottom w:val="0"/>
      <w:divBdr>
        <w:top w:val="none" w:sz="0" w:space="0" w:color="auto"/>
        <w:left w:val="none" w:sz="0" w:space="0" w:color="auto"/>
        <w:bottom w:val="none" w:sz="0" w:space="0" w:color="auto"/>
        <w:right w:val="none" w:sz="0" w:space="0" w:color="auto"/>
      </w:divBdr>
      <w:divsChild>
        <w:div w:id="435250945">
          <w:marLeft w:val="0"/>
          <w:marRight w:val="0"/>
          <w:marTop w:val="0"/>
          <w:marBottom w:val="0"/>
          <w:divBdr>
            <w:top w:val="none" w:sz="0" w:space="0" w:color="auto"/>
            <w:left w:val="none" w:sz="0" w:space="0" w:color="auto"/>
            <w:bottom w:val="none" w:sz="0" w:space="0" w:color="auto"/>
            <w:right w:val="none" w:sz="0" w:space="0" w:color="auto"/>
          </w:divBdr>
          <w:divsChild>
            <w:div w:id="1713462432">
              <w:marLeft w:val="0"/>
              <w:marRight w:val="0"/>
              <w:marTop w:val="0"/>
              <w:marBottom w:val="0"/>
              <w:divBdr>
                <w:top w:val="none" w:sz="0" w:space="0" w:color="auto"/>
                <w:left w:val="none" w:sz="0" w:space="0" w:color="auto"/>
                <w:bottom w:val="none" w:sz="0" w:space="0" w:color="auto"/>
                <w:right w:val="none" w:sz="0" w:space="0" w:color="auto"/>
              </w:divBdr>
              <w:divsChild>
                <w:div w:id="6753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931014">
      <w:bodyDiv w:val="1"/>
      <w:marLeft w:val="0"/>
      <w:marRight w:val="0"/>
      <w:marTop w:val="0"/>
      <w:marBottom w:val="0"/>
      <w:divBdr>
        <w:top w:val="none" w:sz="0" w:space="0" w:color="auto"/>
        <w:left w:val="none" w:sz="0" w:space="0" w:color="auto"/>
        <w:bottom w:val="none" w:sz="0" w:space="0" w:color="auto"/>
        <w:right w:val="none" w:sz="0" w:space="0" w:color="auto"/>
      </w:divBdr>
    </w:div>
    <w:div w:id="1043748973">
      <w:bodyDiv w:val="1"/>
      <w:marLeft w:val="0"/>
      <w:marRight w:val="0"/>
      <w:marTop w:val="0"/>
      <w:marBottom w:val="0"/>
      <w:divBdr>
        <w:top w:val="none" w:sz="0" w:space="0" w:color="auto"/>
        <w:left w:val="none" w:sz="0" w:space="0" w:color="auto"/>
        <w:bottom w:val="none" w:sz="0" w:space="0" w:color="auto"/>
        <w:right w:val="none" w:sz="0" w:space="0" w:color="auto"/>
      </w:divBdr>
      <w:divsChild>
        <w:div w:id="152306346">
          <w:marLeft w:val="0"/>
          <w:marRight w:val="0"/>
          <w:marTop w:val="0"/>
          <w:marBottom w:val="0"/>
          <w:divBdr>
            <w:top w:val="none" w:sz="0" w:space="0" w:color="auto"/>
            <w:left w:val="none" w:sz="0" w:space="0" w:color="auto"/>
            <w:bottom w:val="none" w:sz="0" w:space="0" w:color="auto"/>
            <w:right w:val="none" w:sz="0" w:space="0" w:color="auto"/>
          </w:divBdr>
          <w:divsChild>
            <w:div w:id="2069330786">
              <w:marLeft w:val="0"/>
              <w:marRight w:val="0"/>
              <w:marTop w:val="0"/>
              <w:marBottom w:val="0"/>
              <w:divBdr>
                <w:top w:val="none" w:sz="0" w:space="0" w:color="auto"/>
                <w:left w:val="none" w:sz="0" w:space="0" w:color="auto"/>
                <w:bottom w:val="none" w:sz="0" w:space="0" w:color="auto"/>
                <w:right w:val="none" w:sz="0" w:space="0" w:color="auto"/>
              </w:divBdr>
              <w:divsChild>
                <w:div w:id="16438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4006">
      <w:bodyDiv w:val="1"/>
      <w:marLeft w:val="0"/>
      <w:marRight w:val="0"/>
      <w:marTop w:val="0"/>
      <w:marBottom w:val="0"/>
      <w:divBdr>
        <w:top w:val="none" w:sz="0" w:space="0" w:color="auto"/>
        <w:left w:val="none" w:sz="0" w:space="0" w:color="auto"/>
        <w:bottom w:val="none" w:sz="0" w:space="0" w:color="auto"/>
        <w:right w:val="none" w:sz="0" w:space="0" w:color="auto"/>
      </w:divBdr>
      <w:divsChild>
        <w:div w:id="178012143">
          <w:marLeft w:val="0"/>
          <w:marRight w:val="0"/>
          <w:marTop w:val="0"/>
          <w:marBottom w:val="0"/>
          <w:divBdr>
            <w:top w:val="none" w:sz="0" w:space="0" w:color="auto"/>
            <w:left w:val="none" w:sz="0" w:space="0" w:color="auto"/>
            <w:bottom w:val="none" w:sz="0" w:space="0" w:color="auto"/>
            <w:right w:val="none" w:sz="0" w:space="0" w:color="auto"/>
          </w:divBdr>
          <w:divsChild>
            <w:div w:id="1728796795">
              <w:marLeft w:val="0"/>
              <w:marRight w:val="0"/>
              <w:marTop w:val="0"/>
              <w:marBottom w:val="0"/>
              <w:divBdr>
                <w:top w:val="none" w:sz="0" w:space="0" w:color="auto"/>
                <w:left w:val="none" w:sz="0" w:space="0" w:color="auto"/>
                <w:bottom w:val="none" w:sz="0" w:space="0" w:color="auto"/>
                <w:right w:val="none" w:sz="0" w:space="0" w:color="auto"/>
              </w:divBdr>
              <w:divsChild>
                <w:div w:id="676157782">
                  <w:marLeft w:val="0"/>
                  <w:marRight w:val="0"/>
                  <w:marTop w:val="0"/>
                  <w:marBottom w:val="0"/>
                  <w:divBdr>
                    <w:top w:val="none" w:sz="0" w:space="0" w:color="auto"/>
                    <w:left w:val="none" w:sz="0" w:space="0" w:color="auto"/>
                    <w:bottom w:val="none" w:sz="0" w:space="0" w:color="auto"/>
                    <w:right w:val="none" w:sz="0" w:space="0" w:color="auto"/>
                  </w:divBdr>
                </w:div>
              </w:divsChild>
            </w:div>
            <w:div w:id="1997342701">
              <w:marLeft w:val="0"/>
              <w:marRight w:val="0"/>
              <w:marTop w:val="0"/>
              <w:marBottom w:val="0"/>
              <w:divBdr>
                <w:top w:val="none" w:sz="0" w:space="0" w:color="auto"/>
                <w:left w:val="none" w:sz="0" w:space="0" w:color="auto"/>
                <w:bottom w:val="none" w:sz="0" w:space="0" w:color="auto"/>
                <w:right w:val="none" w:sz="0" w:space="0" w:color="auto"/>
              </w:divBdr>
              <w:divsChild>
                <w:div w:id="20501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7773">
      <w:bodyDiv w:val="1"/>
      <w:marLeft w:val="0"/>
      <w:marRight w:val="0"/>
      <w:marTop w:val="0"/>
      <w:marBottom w:val="0"/>
      <w:divBdr>
        <w:top w:val="none" w:sz="0" w:space="0" w:color="auto"/>
        <w:left w:val="none" w:sz="0" w:space="0" w:color="auto"/>
        <w:bottom w:val="none" w:sz="0" w:space="0" w:color="auto"/>
        <w:right w:val="none" w:sz="0" w:space="0" w:color="auto"/>
      </w:divBdr>
      <w:divsChild>
        <w:div w:id="1088765998">
          <w:marLeft w:val="0"/>
          <w:marRight w:val="0"/>
          <w:marTop w:val="0"/>
          <w:marBottom w:val="0"/>
          <w:divBdr>
            <w:top w:val="none" w:sz="0" w:space="0" w:color="auto"/>
            <w:left w:val="none" w:sz="0" w:space="0" w:color="auto"/>
            <w:bottom w:val="none" w:sz="0" w:space="0" w:color="auto"/>
            <w:right w:val="none" w:sz="0" w:space="0" w:color="auto"/>
          </w:divBdr>
          <w:divsChild>
            <w:div w:id="1069767127">
              <w:marLeft w:val="0"/>
              <w:marRight w:val="0"/>
              <w:marTop w:val="0"/>
              <w:marBottom w:val="0"/>
              <w:divBdr>
                <w:top w:val="none" w:sz="0" w:space="0" w:color="auto"/>
                <w:left w:val="none" w:sz="0" w:space="0" w:color="auto"/>
                <w:bottom w:val="none" w:sz="0" w:space="0" w:color="auto"/>
                <w:right w:val="none" w:sz="0" w:space="0" w:color="auto"/>
              </w:divBdr>
              <w:divsChild>
                <w:div w:id="10486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248597">
      <w:bodyDiv w:val="1"/>
      <w:marLeft w:val="0"/>
      <w:marRight w:val="0"/>
      <w:marTop w:val="0"/>
      <w:marBottom w:val="0"/>
      <w:divBdr>
        <w:top w:val="none" w:sz="0" w:space="0" w:color="auto"/>
        <w:left w:val="none" w:sz="0" w:space="0" w:color="auto"/>
        <w:bottom w:val="none" w:sz="0" w:space="0" w:color="auto"/>
        <w:right w:val="none" w:sz="0" w:space="0" w:color="auto"/>
      </w:divBdr>
      <w:divsChild>
        <w:div w:id="1491486917">
          <w:marLeft w:val="0"/>
          <w:marRight w:val="0"/>
          <w:marTop w:val="0"/>
          <w:marBottom w:val="0"/>
          <w:divBdr>
            <w:top w:val="none" w:sz="0" w:space="0" w:color="auto"/>
            <w:left w:val="none" w:sz="0" w:space="0" w:color="auto"/>
            <w:bottom w:val="none" w:sz="0" w:space="0" w:color="auto"/>
            <w:right w:val="none" w:sz="0" w:space="0" w:color="auto"/>
          </w:divBdr>
          <w:divsChild>
            <w:div w:id="1427188214">
              <w:marLeft w:val="0"/>
              <w:marRight w:val="0"/>
              <w:marTop w:val="0"/>
              <w:marBottom w:val="0"/>
              <w:divBdr>
                <w:top w:val="none" w:sz="0" w:space="0" w:color="auto"/>
                <w:left w:val="none" w:sz="0" w:space="0" w:color="auto"/>
                <w:bottom w:val="none" w:sz="0" w:space="0" w:color="auto"/>
                <w:right w:val="none" w:sz="0" w:space="0" w:color="auto"/>
              </w:divBdr>
              <w:divsChild>
                <w:div w:id="3412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38177">
      <w:bodyDiv w:val="1"/>
      <w:marLeft w:val="0"/>
      <w:marRight w:val="0"/>
      <w:marTop w:val="0"/>
      <w:marBottom w:val="0"/>
      <w:divBdr>
        <w:top w:val="none" w:sz="0" w:space="0" w:color="auto"/>
        <w:left w:val="none" w:sz="0" w:space="0" w:color="auto"/>
        <w:bottom w:val="none" w:sz="0" w:space="0" w:color="auto"/>
        <w:right w:val="none" w:sz="0" w:space="0" w:color="auto"/>
      </w:divBdr>
    </w:div>
    <w:div w:id="1244534083">
      <w:bodyDiv w:val="1"/>
      <w:marLeft w:val="0"/>
      <w:marRight w:val="0"/>
      <w:marTop w:val="0"/>
      <w:marBottom w:val="0"/>
      <w:divBdr>
        <w:top w:val="none" w:sz="0" w:space="0" w:color="auto"/>
        <w:left w:val="none" w:sz="0" w:space="0" w:color="auto"/>
        <w:bottom w:val="none" w:sz="0" w:space="0" w:color="auto"/>
        <w:right w:val="none" w:sz="0" w:space="0" w:color="auto"/>
      </w:divBdr>
      <w:divsChild>
        <w:div w:id="693573278">
          <w:marLeft w:val="0"/>
          <w:marRight w:val="0"/>
          <w:marTop w:val="0"/>
          <w:marBottom w:val="0"/>
          <w:divBdr>
            <w:top w:val="none" w:sz="0" w:space="0" w:color="auto"/>
            <w:left w:val="none" w:sz="0" w:space="0" w:color="auto"/>
            <w:bottom w:val="none" w:sz="0" w:space="0" w:color="auto"/>
            <w:right w:val="none" w:sz="0" w:space="0" w:color="auto"/>
          </w:divBdr>
          <w:divsChild>
            <w:div w:id="1428844249">
              <w:marLeft w:val="0"/>
              <w:marRight w:val="0"/>
              <w:marTop w:val="0"/>
              <w:marBottom w:val="0"/>
              <w:divBdr>
                <w:top w:val="none" w:sz="0" w:space="0" w:color="auto"/>
                <w:left w:val="none" w:sz="0" w:space="0" w:color="auto"/>
                <w:bottom w:val="none" w:sz="0" w:space="0" w:color="auto"/>
                <w:right w:val="none" w:sz="0" w:space="0" w:color="auto"/>
              </w:divBdr>
              <w:divsChild>
                <w:div w:id="9330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16710">
      <w:bodyDiv w:val="1"/>
      <w:marLeft w:val="0"/>
      <w:marRight w:val="0"/>
      <w:marTop w:val="0"/>
      <w:marBottom w:val="0"/>
      <w:divBdr>
        <w:top w:val="none" w:sz="0" w:space="0" w:color="auto"/>
        <w:left w:val="none" w:sz="0" w:space="0" w:color="auto"/>
        <w:bottom w:val="none" w:sz="0" w:space="0" w:color="auto"/>
        <w:right w:val="none" w:sz="0" w:space="0" w:color="auto"/>
      </w:divBdr>
      <w:divsChild>
        <w:div w:id="312756588">
          <w:marLeft w:val="0"/>
          <w:marRight w:val="0"/>
          <w:marTop w:val="0"/>
          <w:marBottom w:val="0"/>
          <w:divBdr>
            <w:top w:val="none" w:sz="0" w:space="0" w:color="auto"/>
            <w:left w:val="none" w:sz="0" w:space="0" w:color="auto"/>
            <w:bottom w:val="none" w:sz="0" w:space="0" w:color="auto"/>
            <w:right w:val="none" w:sz="0" w:space="0" w:color="auto"/>
          </w:divBdr>
          <w:divsChild>
            <w:div w:id="676032874">
              <w:marLeft w:val="0"/>
              <w:marRight w:val="0"/>
              <w:marTop w:val="0"/>
              <w:marBottom w:val="0"/>
              <w:divBdr>
                <w:top w:val="none" w:sz="0" w:space="0" w:color="auto"/>
                <w:left w:val="none" w:sz="0" w:space="0" w:color="auto"/>
                <w:bottom w:val="none" w:sz="0" w:space="0" w:color="auto"/>
                <w:right w:val="none" w:sz="0" w:space="0" w:color="auto"/>
              </w:divBdr>
              <w:divsChild>
                <w:div w:id="1284993416">
                  <w:marLeft w:val="0"/>
                  <w:marRight w:val="0"/>
                  <w:marTop w:val="0"/>
                  <w:marBottom w:val="0"/>
                  <w:divBdr>
                    <w:top w:val="none" w:sz="0" w:space="0" w:color="auto"/>
                    <w:left w:val="none" w:sz="0" w:space="0" w:color="auto"/>
                    <w:bottom w:val="none" w:sz="0" w:space="0" w:color="auto"/>
                    <w:right w:val="none" w:sz="0" w:space="0" w:color="auto"/>
                  </w:divBdr>
                  <w:divsChild>
                    <w:div w:id="12651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947083">
      <w:bodyDiv w:val="1"/>
      <w:marLeft w:val="0"/>
      <w:marRight w:val="0"/>
      <w:marTop w:val="0"/>
      <w:marBottom w:val="0"/>
      <w:divBdr>
        <w:top w:val="none" w:sz="0" w:space="0" w:color="auto"/>
        <w:left w:val="none" w:sz="0" w:space="0" w:color="auto"/>
        <w:bottom w:val="none" w:sz="0" w:space="0" w:color="auto"/>
        <w:right w:val="none" w:sz="0" w:space="0" w:color="auto"/>
      </w:divBdr>
    </w:div>
    <w:div w:id="1321543735">
      <w:bodyDiv w:val="1"/>
      <w:marLeft w:val="0"/>
      <w:marRight w:val="0"/>
      <w:marTop w:val="0"/>
      <w:marBottom w:val="0"/>
      <w:divBdr>
        <w:top w:val="none" w:sz="0" w:space="0" w:color="auto"/>
        <w:left w:val="none" w:sz="0" w:space="0" w:color="auto"/>
        <w:bottom w:val="none" w:sz="0" w:space="0" w:color="auto"/>
        <w:right w:val="none" w:sz="0" w:space="0" w:color="auto"/>
      </w:divBdr>
    </w:div>
    <w:div w:id="1341589479">
      <w:bodyDiv w:val="1"/>
      <w:marLeft w:val="0"/>
      <w:marRight w:val="0"/>
      <w:marTop w:val="0"/>
      <w:marBottom w:val="0"/>
      <w:divBdr>
        <w:top w:val="none" w:sz="0" w:space="0" w:color="auto"/>
        <w:left w:val="none" w:sz="0" w:space="0" w:color="auto"/>
        <w:bottom w:val="none" w:sz="0" w:space="0" w:color="auto"/>
        <w:right w:val="none" w:sz="0" w:space="0" w:color="auto"/>
      </w:divBdr>
      <w:divsChild>
        <w:div w:id="2054697045">
          <w:marLeft w:val="0"/>
          <w:marRight w:val="0"/>
          <w:marTop w:val="0"/>
          <w:marBottom w:val="0"/>
          <w:divBdr>
            <w:top w:val="none" w:sz="0" w:space="0" w:color="auto"/>
            <w:left w:val="none" w:sz="0" w:space="0" w:color="auto"/>
            <w:bottom w:val="none" w:sz="0" w:space="0" w:color="auto"/>
            <w:right w:val="none" w:sz="0" w:space="0" w:color="auto"/>
          </w:divBdr>
          <w:divsChild>
            <w:div w:id="1957977825">
              <w:marLeft w:val="0"/>
              <w:marRight w:val="0"/>
              <w:marTop w:val="0"/>
              <w:marBottom w:val="0"/>
              <w:divBdr>
                <w:top w:val="none" w:sz="0" w:space="0" w:color="auto"/>
                <w:left w:val="none" w:sz="0" w:space="0" w:color="auto"/>
                <w:bottom w:val="none" w:sz="0" w:space="0" w:color="auto"/>
                <w:right w:val="none" w:sz="0" w:space="0" w:color="auto"/>
              </w:divBdr>
              <w:divsChild>
                <w:div w:id="47599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1985">
      <w:bodyDiv w:val="1"/>
      <w:marLeft w:val="0"/>
      <w:marRight w:val="0"/>
      <w:marTop w:val="0"/>
      <w:marBottom w:val="0"/>
      <w:divBdr>
        <w:top w:val="none" w:sz="0" w:space="0" w:color="auto"/>
        <w:left w:val="none" w:sz="0" w:space="0" w:color="auto"/>
        <w:bottom w:val="none" w:sz="0" w:space="0" w:color="auto"/>
        <w:right w:val="none" w:sz="0" w:space="0" w:color="auto"/>
      </w:divBdr>
      <w:divsChild>
        <w:div w:id="979850205">
          <w:marLeft w:val="0"/>
          <w:marRight w:val="0"/>
          <w:marTop w:val="0"/>
          <w:marBottom w:val="0"/>
          <w:divBdr>
            <w:top w:val="none" w:sz="0" w:space="0" w:color="auto"/>
            <w:left w:val="none" w:sz="0" w:space="0" w:color="auto"/>
            <w:bottom w:val="none" w:sz="0" w:space="0" w:color="auto"/>
            <w:right w:val="none" w:sz="0" w:space="0" w:color="auto"/>
          </w:divBdr>
          <w:divsChild>
            <w:div w:id="2068644882">
              <w:marLeft w:val="0"/>
              <w:marRight w:val="0"/>
              <w:marTop w:val="0"/>
              <w:marBottom w:val="0"/>
              <w:divBdr>
                <w:top w:val="none" w:sz="0" w:space="0" w:color="auto"/>
                <w:left w:val="none" w:sz="0" w:space="0" w:color="auto"/>
                <w:bottom w:val="none" w:sz="0" w:space="0" w:color="auto"/>
                <w:right w:val="none" w:sz="0" w:space="0" w:color="auto"/>
              </w:divBdr>
              <w:divsChild>
                <w:div w:id="4361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02382">
      <w:bodyDiv w:val="1"/>
      <w:marLeft w:val="0"/>
      <w:marRight w:val="0"/>
      <w:marTop w:val="0"/>
      <w:marBottom w:val="0"/>
      <w:divBdr>
        <w:top w:val="none" w:sz="0" w:space="0" w:color="auto"/>
        <w:left w:val="none" w:sz="0" w:space="0" w:color="auto"/>
        <w:bottom w:val="none" w:sz="0" w:space="0" w:color="auto"/>
        <w:right w:val="none" w:sz="0" w:space="0" w:color="auto"/>
      </w:divBdr>
      <w:divsChild>
        <w:div w:id="970936254">
          <w:marLeft w:val="0"/>
          <w:marRight w:val="0"/>
          <w:marTop w:val="0"/>
          <w:marBottom w:val="0"/>
          <w:divBdr>
            <w:top w:val="none" w:sz="0" w:space="0" w:color="auto"/>
            <w:left w:val="none" w:sz="0" w:space="0" w:color="auto"/>
            <w:bottom w:val="none" w:sz="0" w:space="0" w:color="auto"/>
            <w:right w:val="none" w:sz="0" w:space="0" w:color="auto"/>
          </w:divBdr>
          <w:divsChild>
            <w:div w:id="1007517166">
              <w:marLeft w:val="0"/>
              <w:marRight w:val="0"/>
              <w:marTop w:val="0"/>
              <w:marBottom w:val="0"/>
              <w:divBdr>
                <w:top w:val="none" w:sz="0" w:space="0" w:color="auto"/>
                <w:left w:val="none" w:sz="0" w:space="0" w:color="auto"/>
                <w:bottom w:val="none" w:sz="0" w:space="0" w:color="auto"/>
                <w:right w:val="none" w:sz="0" w:space="0" w:color="auto"/>
              </w:divBdr>
              <w:divsChild>
                <w:div w:id="5996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92880">
      <w:bodyDiv w:val="1"/>
      <w:marLeft w:val="0"/>
      <w:marRight w:val="0"/>
      <w:marTop w:val="0"/>
      <w:marBottom w:val="0"/>
      <w:divBdr>
        <w:top w:val="none" w:sz="0" w:space="0" w:color="auto"/>
        <w:left w:val="none" w:sz="0" w:space="0" w:color="auto"/>
        <w:bottom w:val="none" w:sz="0" w:space="0" w:color="auto"/>
        <w:right w:val="none" w:sz="0" w:space="0" w:color="auto"/>
      </w:divBdr>
      <w:divsChild>
        <w:div w:id="1215191155">
          <w:marLeft w:val="0"/>
          <w:marRight w:val="0"/>
          <w:marTop w:val="0"/>
          <w:marBottom w:val="0"/>
          <w:divBdr>
            <w:top w:val="none" w:sz="0" w:space="0" w:color="auto"/>
            <w:left w:val="none" w:sz="0" w:space="0" w:color="auto"/>
            <w:bottom w:val="none" w:sz="0" w:space="0" w:color="auto"/>
            <w:right w:val="none" w:sz="0" w:space="0" w:color="auto"/>
          </w:divBdr>
          <w:divsChild>
            <w:div w:id="343628111">
              <w:marLeft w:val="0"/>
              <w:marRight w:val="0"/>
              <w:marTop w:val="0"/>
              <w:marBottom w:val="0"/>
              <w:divBdr>
                <w:top w:val="none" w:sz="0" w:space="0" w:color="auto"/>
                <w:left w:val="none" w:sz="0" w:space="0" w:color="auto"/>
                <w:bottom w:val="none" w:sz="0" w:space="0" w:color="auto"/>
                <w:right w:val="none" w:sz="0" w:space="0" w:color="auto"/>
              </w:divBdr>
              <w:divsChild>
                <w:div w:id="2596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93198">
      <w:bodyDiv w:val="1"/>
      <w:marLeft w:val="0"/>
      <w:marRight w:val="0"/>
      <w:marTop w:val="0"/>
      <w:marBottom w:val="0"/>
      <w:divBdr>
        <w:top w:val="none" w:sz="0" w:space="0" w:color="auto"/>
        <w:left w:val="none" w:sz="0" w:space="0" w:color="auto"/>
        <w:bottom w:val="none" w:sz="0" w:space="0" w:color="auto"/>
        <w:right w:val="none" w:sz="0" w:space="0" w:color="auto"/>
      </w:divBdr>
      <w:divsChild>
        <w:div w:id="1489442389">
          <w:marLeft w:val="0"/>
          <w:marRight w:val="0"/>
          <w:marTop w:val="0"/>
          <w:marBottom w:val="0"/>
          <w:divBdr>
            <w:top w:val="none" w:sz="0" w:space="0" w:color="auto"/>
            <w:left w:val="none" w:sz="0" w:space="0" w:color="auto"/>
            <w:bottom w:val="none" w:sz="0" w:space="0" w:color="auto"/>
            <w:right w:val="none" w:sz="0" w:space="0" w:color="auto"/>
          </w:divBdr>
          <w:divsChild>
            <w:div w:id="438180458">
              <w:marLeft w:val="0"/>
              <w:marRight w:val="0"/>
              <w:marTop w:val="0"/>
              <w:marBottom w:val="0"/>
              <w:divBdr>
                <w:top w:val="none" w:sz="0" w:space="0" w:color="auto"/>
                <w:left w:val="none" w:sz="0" w:space="0" w:color="auto"/>
                <w:bottom w:val="none" w:sz="0" w:space="0" w:color="auto"/>
                <w:right w:val="none" w:sz="0" w:space="0" w:color="auto"/>
              </w:divBdr>
              <w:divsChild>
                <w:div w:id="13280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7087">
      <w:bodyDiv w:val="1"/>
      <w:marLeft w:val="0"/>
      <w:marRight w:val="0"/>
      <w:marTop w:val="0"/>
      <w:marBottom w:val="0"/>
      <w:divBdr>
        <w:top w:val="none" w:sz="0" w:space="0" w:color="auto"/>
        <w:left w:val="none" w:sz="0" w:space="0" w:color="auto"/>
        <w:bottom w:val="none" w:sz="0" w:space="0" w:color="auto"/>
        <w:right w:val="none" w:sz="0" w:space="0" w:color="auto"/>
      </w:divBdr>
    </w:div>
    <w:div w:id="1492598744">
      <w:bodyDiv w:val="1"/>
      <w:marLeft w:val="0"/>
      <w:marRight w:val="0"/>
      <w:marTop w:val="0"/>
      <w:marBottom w:val="0"/>
      <w:divBdr>
        <w:top w:val="none" w:sz="0" w:space="0" w:color="auto"/>
        <w:left w:val="none" w:sz="0" w:space="0" w:color="auto"/>
        <w:bottom w:val="none" w:sz="0" w:space="0" w:color="auto"/>
        <w:right w:val="none" w:sz="0" w:space="0" w:color="auto"/>
      </w:divBdr>
      <w:divsChild>
        <w:div w:id="1952741397">
          <w:marLeft w:val="0"/>
          <w:marRight w:val="0"/>
          <w:marTop w:val="0"/>
          <w:marBottom w:val="0"/>
          <w:divBdr>
            <w:top w:val="none" w:sz="0" w:space="0" w:color="auto"/>
            <w:left w:val="none" w:sz="0" w:space="0" w:color="auto"/>
            <w:bottom w:val="none" w:sz="0" w:space="0" w:color="auto"/>
            <w:right w:val="none" w:sz="0" w:space="0" w:color="auto"/>
          </w:divBdr>
          <w:divsChild>
            <w:div w:id="10301696">
              <w:marLeft w:val="0"/>
              <w:marRight w:val="0"/>
              <w:marTop w:val="0"/>
              <w:marBottom w:val="0"/>
              <w:divBdr>
                <w:top w:val="none" w:sz="0" w:space="0" w:color="auto"/>
                <w:left w:val="none" w:sz="0" w:space="0" w:color="auto"/>
                <w:bottom w:val="none" w:sz="0" w:space="0" w:color="auto"/>
                <w:right w:val="none" w:sz="0" w:space="0" w:color="auto"/>
              </w:divBdr>
              <w:divsChild>
                <w:div w:id="1727678439">
                  <w:marLeft w:val="0"/>
                  <w:marRight w:val="0"/>
                  <w:marTop w:val="0"/>
                  <w:marBottom w:val="0"/>
                  <w:divBdr>
                    <w:top w:val="none" w:sz="0" w:space="0" w:color="auto"/>
                    <w:left w:val="none" w:sz="0" w:space="0" w:color="auto"/>
                    <w:bottom w:val="none" w:sz="0" w:space="0" w:color="auto"/>
                    <w:right w:val="none" w:sz="0" w:space="0" w:color="auto"/>
                  </w:divBdr>
                  <w:divsChild>
                    <w:div w:id="15650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5933">
      <w:bodyDiv w:val="1"/>
      <w:marLeft w:val="0"/>
      <w:marRight w:val="0"/>
      <w:marTop w:val="0"/>
      <w:marBottom w:val="0"/>
      <w:divBdr>
        <w:top w:val="none" w:sz="0" w:space="0" w:color="auto"/>
        <w:left w:val="none" w:sz="0" w:space="0" w:color="auto"/>
        <w:bottom w:val="none" w:sz="0" w:space="0" w:color="auto"/>
        <w:right w:val="none" w:sz="0" w:space="0" w:color="auto"/>
      </w:divBdr>
    </w:div>
    <w:div w:id="1506087576">
      <w:bodyDiv w:val="1"/>
      <w:marLeft w:val="0"/>
      <w:marRight w:val="0"/>
      <w:marTop w:val="0"/>
      <w:marBottom w:val="0"/>
      <w:divBdr>
        <w:top w:val="none" w:sz="0" w:space="0" w:color="auto"/>
        <w:left w:val="none" w:sz="0" w:space="0" w:color="auto"/>
        <w:bottom w:val="none" w:sz="0" w:space="0" w:color="auto"/>
        <w:right w:val="none" w:sz="0" w:space="0" w:color="auto"/>
      </w:divBdr>
    </w:div>
    <w:div w:id="1516068616">
      <w:bodyDiv w:val="1"/>
      <w:marLeft w:val="0"/>
      <w:marRight w:val="0"/>
      <w:marTop w:val="0"/>
      <w:marBottom w:val="0"/>
      <w:divBdr>
        <w:top w:val="none" w:sz="0" w:space="0" w:color="auto"/>
        <w:left w:val="none" w:sz="0" w:space="0" w:color="auto"/>
        <w:bottom w:val="none" w:sz="0" w:space="0" w:color="auto"/>
        <w:right w:val="none" w:sz="0" w:space="0" w:color="auto"/>
      </w:divBdr>
    </w:div>
    <w:div w:id="1606961845">
      <w:bodyDiv w:val="1"/>
      <w:marLeft w:val="0"/>
      <w:marRight w:val="0"/>
      <w:marTop w:val="0"/>
      <w:marBottom w:val="0"/>
      <w:divBdr>
        <w:top w:val="none" w:sz="0" w:space="0" w:color="auto"/>
        <w:left w:val="none" w:sz="0" w:space="0" w:color="auto"/>
        <w:bottom w:val="none" w:sz="0" w:space="0" w:color="auto"/>
        <w:right w:val="none" w:sz="0" w:space="0" w:color="auto"/>
      </w:divBdr>
      <w:divsChild>
        <w:div w:id="1506703037">
          <w:marLeft w:val="0"/>
          <w:marRight w:val="0"/>
          <w:marTop w:val="0"/>
          <w:marBottom w:val="0"/>
          <w:divBdr>
            <w:top w:val="none" w:sz="0" w:space="0" w:color="auto"/>
            <w:left w:val="none" w:sz="0" w:space="0" w:color="auto"/>
            <w:bottom w:val="none" w:sz="0" w:space="0" w:color="auto"/>
            <w:right w:val="none" w:sz="0" w:space="0" w:color="auto"/>
          </w:divBdr>
          <w:divsChild>
            <w:div w:id="14581418">
              <w:marLeft w:val="0"/>
              <w:marRight w:val="0"/>
              <w:marTop w:val="0"/>
              <w:marBottom w:val="0"/>
              <w:divBdr>
                <w:top w:val="none" w:sz="0" w:space="0" w:color="auto"/>
                <w:left w:val="none" w:sz="0" w:space="0" w:color="auto"/>
                <w:bottom w:val="none" w:sz="0" w:space="0" w:color="auto"/>
                <w:right w:val="none" w:sz="0" w:space="0" w:color="auto"/>
              </w:divBdr>
              <w:divsChild>
                <w:div w:id="836844641">
                  <w:marLeft w:val="0"/>
                  <w:marRight w:val="0"/>
                  <w:marTop w:val="0"/>
                  <w:marBottom w:val="0"/>
                  <w:divBdr>
                    <w:top w:val="none" w:sz="0" w:space="0" w:color="auto"/>
                    <w:left w:val="none" w:sz="0" w:space="0" w:color="auto"/>
                    <w:bottom w:val="none" w:sz="0" w:space="0" w:color="auto"/>
                    <w:right w:val="none" w:sz="0" w:space="0" w:color="auto"/>
                  </w:divBdr>
                </w:div>
              </w:divsChild>
            </w:div>
            <w:div w:id="160580598">
              <w:marLeft w:val="0"/>
              <w:marRight w:val="0"/>
              <w:marTop w:val="0"/>
              <w:marBottom w:val="0"/>
              <w:divBdr>
                <w:top w:val="none" w:sz="0" w:space="0" w:color="auto"/>
                <w:left w:val="none" w:sz="0" w:space="0" w:color="auto"/>
                <w:bottom w:val="none" w:sz="0" w:space="0" w:color="auto"/>
                <w:right w:val="none" w:sz="0" w:space="0" w:color="auto"/>
              </w:divBdr>
              <w:divsChild>
                <w:div w:id="1665432822">
                  <w:marLeft w:val="0"/>
                  <w:marRight w:val="0"/>
                  <w:marTop w:val="0"/>
                  <w:marBottom w:val="0"/>
                  <w:divBdr>
                    <w:top w:val="none" w:sz="0" w:space="0" w:color="auto"/>
                    <w:left w:val="none" w:sz="0" w:space="0" w:color="auto"/>
                    <w:bottom w:val="none" w:sz="0" w:space="0" w:color="auto"/>
                    <w:right w:val="none" w:sz="0" w:space="0" w:color="auto"/>
                  </w:divBdr>
                </w:div>
              </w:divsChild>
            </w:div>
            <w:div w:id="345863438">
              <w:marLeft w:val="0"/>
              <w:marRight w:val="0"/>
              <w:marTop w:val="0"/>
              <w:marBottom w:val="0"/>
              <w:divBdr>
                <w:top w:val="none" w:sz="0" w:space="0" w:color="auto"/>
                <w:left w:val="none" w:sz="0" w:space="0" w:color="auto"/>
                <w:bottom w:val="none" w:sz="0" w:space="0" w:color="auto"/>
                <w:right w:val="none" w:sz="0" w:space="0" w:color="auto"/>
              </w:divBdr>
              <w:divsChild>
                <w:div w:id="10541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8318">
      <w:bodyDiv w:val="1"/>
      <w:marLeft w:val="0"/>
      <w:marRight w:val="0"/>
      <w:marTop w:val="0"/>
      <w:marBottom w:val="0"/>
      <w:divBdr>
        <w:top w:val="none" w:sz="0" w:space="0" w:color="auto"/>
        <w:left w:val="none" w:sz="0" w:space="0" w:color="auto"/>
        <w:bottom w:val="none" w:sz="0" w:space="0" w:color="auto"/>
        <w:right w:val="none" w:sz="0" w:space="0" w:color="auto"/>
      </w:divBdr>
      <w:divsChild>
        <w:div w:id="2127701047">
          <w:marLeft w:val="0"/>
          <w:marRight w:val="0"/>
          <w:marTop w:val="0"/>
          <w:marBottom w:val="0"/>
          <w:divBdr>
            <w:top w:val="none" w:sz="0" w:space="0" w:color="auto"/>
            <w:left w:val="none" w:sz="0" w:space="0" w:color="auto"/>
            <w:bottom w:val="none" w:sz="0" w:space="0" w:color="auto"/>
            <w:right w:val="none" w:sz="0" w:space="0" w:color="auto"/>
          </w:divBdr>
          <w:divsChild>
            <w:div w:id="1479566656">
              <w:marLeft w:val="0"/>
              <w:marRight w:val="0"/>
              <w:marTop w:val="0"/>
              <w:marBottom w:val="0"/>
              <w:divBdr>
                <w:top w:val="none" w:sz="0" w:space="0" w:color="auto"/>
                <w:left w:val="none" w:sz="0" w:space="0" w:color="auto"/>
                <w:bottom w:val="none" w:sz="0" w:space="0" w:color="auto"/>
                <w:right w:val="none" w:sz="0" w:space="0" w:color="auto"/>
              </w:divBdr>
              <w:divsChild>
                <w:div w:id="1756853999">
                  <w:marLeft w:val="0"/>
                  <w:marRight w:val="0"/>
                  <w:marTop w:val="0"/>
                  <w:marBottom w:val="0"/>
                  <w:divBdr>
                    <w:top w:val="none" w:sz="0" w:space="0" w:color="auto"/>
                    <w:left w:val="none" w:sz="0" w:space="0" w:color="auto"/>
                    <w:bottom w:val="none" w:sz="0" w:space="0" w:color="auto"/>
                    <w:right w:val="none" w:sz="0" w:space="0" w:color="auto"/>
                  </w:divBdr>
                  <w:divsChild>
                    <w:div w:id="10744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59697">
      <w:bodyDiv w:val="1"/>
      <w:marLeft w:val="0"/>
      <w:marRight w:val="0"/>
      <w:marTop w:val="0"/>
      <w:marBottom w:val="0"/>
      <w:divBdr>
        <w:top w:val="none" w:sz="0" w:space="0" w:color="auto"/>
        <w:left w:val="none" w:sz="0" w:space="0" w:color="auto"/>
        <w:bottom w:val="none" w:sz="0" w:space="0" w:color="auto"/>
        <w:right w:val="none" w:sz="0" w:space="0" w:color="auto"/>
      </w:divBdr>
    </w:div>
    <w:div w:id="1690250424">
      <w:bodyDiv w:val="1"/>
      <w:marLeft w:val="0"/>
      <w:marRight w:val="0"/>
      <w:marTop w:val="0"/>
      <w:marBottom w:val="0"/>
      <w:divBdr>
        <w:top w:val="none" w:sz="0" w:space="0" w:color="auto"/>
        <w:left w:val="none" w:sz="0" w:space="0" w:color="auto"/>
        <w:bottom w:val="none" w:sz="0" w:space="0" w:color="auto"/>
        <w:right w:val="none" w:sz="0" w:space="0" w:color="auto"/>
      </w:divBdr>
    </w:div>
    <w:div w:id="1690372750">
      <w:bodyDiv w:val="1"/>
      <w:marLeft w:val="0"/>
      <w:marRight w:val="0"/>
      <w:marTop w:val="0"/>
      <w:marBottom w:val="0"/>
      <w:divBdr>
        <w:top w:val="none" w:sz="0" w:space="0" w:color="auto"/>
        <w:left w:val="none" w:sz="0" w:space="0" w:color="auto"/>
        <w:bottom w:val="none" w:sz="0" w:space="0" w:color="auto"/>
        <w:right w:val="none" w:sz="0" w:space="0" w:color="auto"/>
      </w:divBdr>
    </w:div>
    <w:div w:id="1700619044">
      <w:bodyDiv w:val="1"/>
      <w:marLeft w:val="0"/>
      <w:marRight w:val="0"/>
      <w:marTop w:val="0"/>
      <w:marBottom w:val="0"/>
      <w:divBdr>
        <w:top w:val="none" w:sz="0" w:space="0" w:color="auto"/>
        <w:left w:val="none" w:sz="0" w:space="0" w:color="auto"/>
        <w:bottom w:val="none" w:sz="0" w:space="0" w:color="auto"/>
        <w:right w:val="none" w:sz="0" w:space="0" w:color="auto"/>
      </w:divBdr>
      <w:divsChild>
        <w:div w:id="208996048">
          <w:marLeft w:val="0"/>
          <w:marRight w:val="0"/>
          <w:marTop w:val="0"/>
          <w:marBottom w:val="0"/>
          <w:divBdr>
            <w:top w:val="none" w:sz="0" w:space="0" w:color="auto"/>
            <w:left w:val="none" w:sz="0" w:space="0" w:color="auto"/>
            <w:bottom w:val="none" w:sz="0" w:space="0" w:color="auto"/>
            <w:right w:val="none" w:sz="0" w:space="0" w:color="auto"/>
          </w:divBdr>
          <w:divsChild>
            <w:div w:id="88360041">
              <w:marLeft w:val="0"/>
              <w:marRight w:val="0"/>
              <w:marTop w:val="0"/>
              <w:marBottom w:val="0"/>
              <w:divBdr>
                <w:top w:val="none" w:sz="0" w:space="0" w:color="auto"/>
                <w:left w:val="none" w:sz="0" w:space="0" w:color="auto"/>
                <w:bottom w:val="none" w:sz="0" w:space="0" w:color="auto"/>
                <w:right w:val="none" w:sz="0" w:space="0" w:color="auto"/>
              </w:divBdr>
              <w:divsChild>
                <w:div w:id="3896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0717">
      <w:bodyDiv w:val="1"/>
      <w:marLeft w:val="0"/>
      <w:marRight w:val="0"/>
      <w:marTop w:val="0"/>
      <w:marBottom w:val="0"/>
      <w:divBdr>
        <w:top w:val="none" w:sz="0" w:space="0" w:color="auto"/>
        <w:left w:val="none" w:sz="0" w:space="0" w:color="auto"/>
        <w:bottom w:val="none" w:sz="0" w:space="0" w:color="auto"/>
        <w:right w:val="none" w:sz="0" w:space="0" w:color="auto"/>
      </w:divBdr>
      <w:divsChild>
        <w:div w:id="144277132">
          <w:marLeft w:val="0"/>
          <w:marRight w:val="0"/>
          <w:marTop w:val="0"/>
          <w:marBottom w:val="0"/>
          <w:divBdr>
            <w:top w:val="none" w:sz="0" w:space="0" w:color="auto"/>
            <w:left w:val="none" w:sz="0" w:space="0" w:color="auto"/>
            <w:bottom w:val="none" w:sz="0" w:space="0" w:color="auto"/>
            <w:right w:val="none" w:sz="0" w:space="0" w:color="auto"/>
          </w:divBdr>
          <w:divsChild>
            <w:div w:id="126121449">
              <w:marLeft w:val="0"/>
              <w:marRight w:val="0"/>
              <w:marTop w:val="0"/>
              <w:marBottom w:val="0"/>
              <w:divBdr>
                <w:top w:val="none" w:sz="0" w:space="0" w:color="auto"/>
                <w:left w:val="none" w:sz="0" w:space="0" w:color="auto"/>
                <w:bottom w:val="none" w:sz="0" w:space="0" w:color="auto"/>
                <w:right w:val="none" w:sz="0" w:space="0" w:color="auto"/>
              </w:divBdr>
              <w:divsChild>
                <w:div w:id="86324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43410">
      <w:bodyDiv w:val="1"/>
      <w:marLeft w:val="0"/>
      <w:marRight w:val="0"/>
      <w:marTop w:val="0"/>
      <w:marBottom w:val="0"/>
      <w:divBdr>
        <w:top w:val="none" w:sz="0" w:space="0" w:color="auto"/>
        <w:left w:val="none" w:sz="0" w:space="0" w:color="auto"/>
        <w:bottom w:val="none" w:sz="0" w:space="0" w:color="auto"/>
        <w:right w:val="none" w:sz="0" w:space="0" w:color="auto"/>
      </w:divBdr>
      <w:divsChild>
        <w:div w:id="1687099646">
          <w:marLeft w:val="0"/>
          <w:marRight w:val="0"/>
          <w:marTop w:val="0"/>
          <w:marBottom w:val="0"/>
          <w:divBdr>
            <w:top w:val="none" w:sz="0" w:space="0" w:color="auto"/>
            <w:left w:val="none" w:sz="0" w:space="0" w:color="auto"/>
            <w:bottom w:val="none" w:sz="0" w:space="0" w:color="auto"/>
            <w:right w:val="none" w:sz="0" w:space="0" w:color="auto"/>
          </w:divBdr>
          <w:divsChild>
            <w:div w:id="1537504817">
              <w:marLeft w:val="0"/>
              <w:marRight w:val="0"/>
              <w:marTop w:val="0"/>
              <w:marBottom w:val="0"/>
              <w:divBdr>
                <w:top w:val="none" w:sz="0" w:space="0" w:color="auto"/>
                <w:left w:val="none" w:sz="0" w:space="0" w:color="auto"/>
                <w:bottom w:val="none" w:sz="0" w:space="0" w:color="auto"/>
                <w:right w:val="none" w:sz="0" w:space="0" w:color="auto"/>
              </w:divBdr>
              <w:divsChild>
                <w:div w:id="7665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328">
      <w:bodyDiv w:val="1"/>
      <w:marLeft w:val="0"/>
      <w:marRight w:val="0"/>
      <w:marTop w:val="0"/>
      <w:marBottom w:val="0"/>
      <w:divBdr>
        <w:top w:val="none" w:sz="0" w:space="0" w:color="auto"/>
        <w:left w:val="none" w:sz="0" w:space="0" w:color="auto"/>
        <w:bottom w:val="none" w:sz="0" w:space="0" w:color="auto"/>
        <w:right w:val="none" w:sz="0" w:space="0" w:color="auto"/>
      </w:divBdr>
      <w:divsChild>
        <w:div w:id="1791976801">
          <w:marLeft w:val="0"/>
          <w:marRight w:val="0"/>
          <w:marTop w:val="0"/>
          <w:marBottom w:val="0"/>
          <w:divBdr>
            <w:top w:val="none" w:sz="0" w:space="0" w:color="auto"/>
            <w:left w:val="none" w:sz="0" w:space="0" w:color="auto"/>
            <w:bottom w:val="none" w:sz="0" w:space="0" w:color="auto"/>
            <w:right w:val="none" w:sz="0" w:space="0" w:color="auto"/>
          </w:divBdr>
          <w:divsChild>
            <w:div w:id="1101877670">
              <w:marLeft w:val="0"/>
              <w:marRight w:val="0"/>
              <w:marTop w:val="0"/>
              <w:marBottom w:val="0"/>
              <w:divBdr>
                <w:top w:val="none" w:sz="0" w:space="0" w:color="auto"/>
                <w:left w:val="none" w:sz="0" w:space="0" w:color="auto"/>
                <w:bottom w:val="none" w:sz="0" w:space="0" w:color="auto"/>
                <w:right w:val="none" w:sz="0" w:space="0" w:color="auto"/>
              </w:divBdr>
              <w:divsChild>
                <w:div w:id="3402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42586">
      <w:bodyDiv w:val="1"/>
      <w:marLeft w:val="0"/>
      <w:marRight w:val="0"/>
      <w:marTop w:val="0"/>
      <w:marBottom w:val="0"/>
      <w:divBdr>
        <w:top w:val="none" w:sz="0" w:space="0" w:color="auto"/>
        <w:left w:val="none" w:sz="0" w:space="0" w:color="auto"/>
        <w:bottom w:val="none" w:sz="0" w:space="0" w:color="auto"/>
        <w:right w:val="none" w:sz="0" w:space="0" w:color="auto"/>
      </w:divBdr>
      <w:divsChild>
        <w:div w:id="390277296">
          <w:marLeft w:val="0"/>
          <w:marRight w:val="0"/>
          <w:marTop w:val="0"/>
          <w:marBottom w:val="0"/>
          <w:divBdr>
            <w:top w:val="none" w:sz="0" w:space="0" w:color="auto"/>
            <w:left w:val="none" w:sz="0" w:space="0" w:color="auto"/>
            <w:bottom w:val="none" w:sz="0" w:space="0" w:color="auto"/>
            <w:right w:val="none" w:sz="0" w:space="0" w:color="auto"/>
          </w:divBdr>
          <w:divsChild>
            <w:div w:id="1884825366">
              <w:marLeft w:val="0"/>
              <w:marRight w:val="0"/>
              <w:marTop w:val="0"/>
              <w:marBottom w:val="0"/>
              <w:divBdr>
                <w:top w:val="none" w:sz="0" w:space="0" w:color="auto"/>
                <w:left w:val="none" w:sz="0" w:space="0" w:color="auto"/>
                <w:bottom w:val="none" w:sz="0" w:space="0" w:color="auto"/>
                <w:right w:val="none" w:sz="0" w:space="0" w:color="auto"/>
              </w:divBdr>
              <w:divsChild>
                <w:div w:id="15953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9249">
      <w:bodyDiv w:val="1"/>
      <w:marLeft w:val="0"/>
      <w:marRight w:val="0"/>
      <w:marTop w:val="0"/>
      <w:marBottom w:val="0"/>
      <w:divBdr>
        <w:top w:val="none" w:sz="0" w:space="0" w:color="auto"/>
        <w:left w:val="none" w:sz="0" w:space="0" w:color="auto"/>
        <w:bottom w:val="none" w:sz="0" w:space="0" w:color="auto"/>
        <w:right w:val="none" w:sz="0" w:space="0" w:color="auto"/>
      </w:divBdr>
      <w:divsChild>
        <w:div w:id="1902324888">
          <w:marLeft w:val="0"/>
          <w:marRight w:val="0"/>
          <w:marTop w:val="0"/>
          <w:marBottom w:val="0"/>
          <w:divBdr>
            <w:top w:val="none" w:sz="0" w:space="0" w:color="auto"/>
            <w:left w:val="none" w:sz="0" w:space="0" w:color="auto"/>
            <w:bottom w:val="none" w:sz="0" w:space="0" w:color="auto"/>
            <w:right w:val="none" w:sz="0" w:space="0" w:color="auto"/>
          </w:divBdr>
          <w:divsChild>
            <w:div w:id="762728600">
              <w:marLeft w:val="0"/>
              <w:marRight w:val="0"/>
              <w:marTop w:val="0"/>
              <w:marBottom w:val="0"/>
              <w:divBdr>
                <w:top w:val="none" w:sz="0" w:space="0" w:color="auto"/>
                <w:left w:val="none" w:sz="0" w:space="0" w:color="auto"/>
                <w:bottom w:val="none" w:sz="0" w:space="0" w:color="auto"/>
                <w:right w:val="none" w:sz="0" w:space="0" w:color="auto"/>
              </w:divBdr>
              <w:divsChild>
                <w:div w:id="20599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76599">
      <w:bodyDiv w:val="1"/>
      <w:marLeft w:val="0"/>
      <w:marRight w:val="0"/>
      <w:marTop w:val="0"/>
      <w:marBottom w:val="0"/>
      <w:divBdr>
        <w:top w:val="none" w:sz="0" w:space="0" w:color="auto"/>
        <w:left w:val="none" w:sz="0" w:space="0" w:color="auto"/>
        <w:bottom w:val="none" w:sz="0" w:space="0" w:color="auto"/>
        <w:right w:val="none" w:sz="0" w:space="0" w:color="auto"/>
      </w:divBdr>
      <w:divsChild>
        <w:div w:id="1338073171">
          <w:marLeft w:val="0"/>
          <w:marRight w:val="0"/>
          <w:marTop w:val="0"/>
          <w:marBottom w:val="0"/>
          <w:divBdr>
            <w:top w:val="none" w:sz="0" w:space="0" w:color="auto"/>
            <w:left w:val="none" w:sz="0" w:space="0" w:color="auto"/>
            <w:bottom w:val="none" w:sz="0" w:space="0" w:color="auto"/>
            <w:right w:val="none" w:sz="0" w:space="0" w:color="auto"/>
          </w:divBdr>
          <w:divsChild>
            <w:div w:id="99688479">
              <w:marLeft w:val="0"/>
              <w:marRight w:val="0"/>
              <w:marTop w:val="0"/>
              <w:marBottom w:val="0"/>
              <w:divBdr>
                <w:top w:val="none" w:sz="0" w:space="0" w:color="auto"/>
                <w:left w:val="none" w:sz="0" w:space="0" w:color="auto"/>
                <w:bottom w:val="none" w:sz="0" w:space="0" w:color="auto"/>
                <w:right w:val="none" w:sz="0" w:space="0" w:color="auto"/>
              </w:divBdr>
              <w:divsChild>
                <w:div w:id="17024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06338">
      <w:bodyDiv w:val="1"/>
      <w:marLeft w:val="0"/>
      <w:marRight w:val="0"/>
      <w:marTop w:val="0"/>
      <w:marBottom w:val="0"/>
      <w:divBdr>
        <w:top w:val="none" w:sz="0" w:space="0" w:color="auto"/>
        <w:left w:val="none" w:sz="0" w:space="0" w:color="auto"/>
        <w:bottom w:val="none" w:sz="0" w:space="0" w:color="auto"/>
        <w:right w:val="none" w:sz="0" w:space="0" w:color="auto"/>
      </w:divBdr>
      <w:divsChild>
        <w:div w:id="711853626">
          <w:marLeft w:val="0"/>
          <w:marRight w:val="0"/>
          <w:marTop w:val="0"/>
          <w:marBottom w:val="0"/>
          <w:divBdr>
            <w:top w:val="none" w:sz="0" w:space="0" w:color="auto"/>
            <w:left w:val="none" w:sz="0" w:space="0" w:color="auto"/>
            <w:bottom w:val="none" w:sz="0" w:space="0" w:color="auto"/>
            <w:right w:val="none" w:sz="0" w:space="0" w:color="auto"/>
          </w:divBdr>
          <w:divsChild>
            <w:div w:id="1772239240">
              <w:marLeft w:val="0"/>
              <w:marRight w:val="0"/>
              <w:marTop w:val="0"/>
              <w:marBottom w:val="0"/>
              <w:divBdr>
                <w:top w:val="none" w:sz="0" w:space="0" w:color="auto"/>
                <w:left w:val="none" w:sz="0" w:space="0" w:color="auto"/>
                <w:bottom w:val="none" w:sz="0" w:space="0" w:color="auto"/>
                <w:right w:val="none" w:sz="0" w:space="0" w:color="auto"/>
              </w:divBdr>
              <w:divsChild>
                <w:div w:id="11285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3344">
      <w:bodyDiv w:val="1"/>
      <w:marLeft w:val="0"/>
      <w:marRight w:val="0"/>
      <w:marTop w:val="0"/>
      <w:marBottom w:val="0"/>
      <w:divBdr>
        <w:top w:val="none" w:sz="0" w:space="0" w:color="auto"/>
        <w:left w:val="none" w:sz="0" w:space="0" w:color="auto"/>
        <w:bottom w:val="none" w:sz="0" w:space="0" w:color="auto"/>
        <w:right w:val="none" w:sz="0" w:space="0" w:color="auto"/>
      </w:divBdr>
      <w:divsChild>
        <w:div w:id="1831364014">
          <w:marLeft w:val="0"/>
          <w:marRight w:val="0"/>
          <w:marTop w:val="0"/>
          <w:marBottom w:val="0"/>
          <w:divBdr>
            <w:top w:val="none" w:sz="0" w:space="0" w:color="auto"/>
            <w:left w:val="none" w:sz="0" w:space="0" w:color="auto"/>
            <w:bottom w:val="none" w:sz="0" w:space="0" w:color="auto"/>
            <w:right w:val="none" w:sz="0" w:space="0" w:color="auto"/>
          </w:divBdr>
          <w:divsChild>
            <w:div w:id="1015766536">
              <w:marLeft w:val="0"/>
              <w:marRight w:val="0"/>
              <w:marTop w:val="0"/>
              <w:marBottom w:val="0"/>
              <w:divBdr>
                <w:top w:val="none" w:sz="0" w:space="0" w:color="auto"/>
                <w:left w:val="none" w:sz="0" w:space="0" w:color="auto"/>
                <w:bottom w:val="none" w:sz="0" w:space="0" w:color="auto"/>
                <w:right w:val="none" w:sz="0" w:space="0" w:color="auto"/>
              </w:divBdr>
              <w:divsChild>
                <w:div w:id="16190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12982">
      <w:bodyDiv w:val="1"/>
      <w:marLeft w:val="0"/>
      <w:marRight w:val="0"/>
      <w:marTop w:val="0"/>
      <w:marBottom w:val="0"/>
      <w:divBdr>
        <w:top w:val="none" w:sz="0" w:space="0" w:color="auto"/>
        <w:left w:val="none" w:sz="0" w:space="0" w:color="auto"/>
        <w:bottom w:val="none" w:sz="0" w:space="0" w:color="auto"/>
        <w:right w:val="none" w:sz="0" w:space="0" w:color="auto"/>
      </w:divBdr>
      <w:divsChild>
        <w:div w:id="260771016">
          <w:marLeft w:val="0"/>
          <w:marRight w:val="0"/>
          <w:marTop w:val="0"/>
          <w:marBottom w:val="0"/>
          <w:divBdr>
            <w:top w:val="none" w:sz="0" w:space="0" w:color="auto"/>
            <w:left w:val="none" w:sz="0" w:space="0" w:color="auto"/>
            <w:bottom w:val="none" w:sz="0" w:space="0" w:color="auto"/>
            <w:right w:val="none" w:sz="0" w:space="0" w:color="auto"/>
          </w:divBdr>
          <w:divsChild>
            <w:div w:id="1494375774">
              <w:marLeft w:val="0"/>
              <w:marRight w:val="0"/>
              <w:marTop w:val="0"/>
              <w:marBottom w:val="0"/>
              <w:divBdr>
                <w:top w:val="none" w:sz="0" w:space="0" w:color="auto"/>
                <w:left w:val="none" w:sz="0" w:space="0" w:color="auto"/>
                <w:bottom w:val="none" w:sz="0" w:space="0" w:color="auto"/>
                <w:right w:val="none" w:sz="0" w:space="0" w:color="auto"/>
              </w:divBdr>
              <w:divsChild>
                <w:div w:id="5571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2980">
      <w:bodyDiv w:val="1"/>
      <w:marLeft w:val="0"/>
      <w:marRight w:val="0"/>
      <w:marTop w:val="0"/>
      <w:marBottom w:val="0"/>
      <w:divBdr>
        <w:top w:val="none" w:sz="0" w:space="0" w:color="auto"/>
        <w:left w:val="none" w:sz="0" w:space="0" w:color="auto"/>
        <w:bottom w:val="none" w:sz="0" w:space="0" w:color="auto"/>
        <w:right w:val="none" w:sz="0" w:space="0" w:color="auto"/>
      </w:divBdr>
    </w:div>
    <w:div w:id="1917011577">
      <w:bodyDiv w:val="1"/>
      <w:marLeft w:val="0"/>
      <w:marRight w:val="0"/>
      <w:marTop w:val="0"/>
      <w:marBottom w:val="0"/>
      <w:divBdr>
        <w:top w:val="none" w:sz="0" w:space="0" w:color="auto"/>
        <w:left w:val="none" w:sz="0" w:space="0" w:color="auto"/>
        <w:bottom w:val="none" w:sz="0" w:space="0" w:color="auto"/>
        <w:right w:val="none" w:sz="0" w:space="0" w:color="auto"/>
      </w:divBdr>
    </w:div>
    <w:div w:id="1934700018">
      <w:bodyDiv w:val="1"/>
      <w:marLeft w:val="0"/>
      <w:marRight w:val="0"/>
      <w:marTop w:val="0"/>
      <w:marBottom w:val="0"/>
      <w:divBdr>
        <w:top w:val="none" w:sz="0" w:space="0" w:color="auto"/>
        <w:left w:val="none" w:sz="0" w:space="0" w:color="auto"/>
        <w:bottom w:val="none" w:sz="0" w:space="0" w:color="auto"/>
        <w:right w:val="none" w:sz="0" w:space="0" w:color="auto"/>
      </w:divBdr>
      <w:divsChild>
        <w:div w:id="2085445428">
          <w:marLeft w:val="0"/>
          <w:marRight w:val="0"/>
          <w:marTop w:val="0"/>
          <w:marBottom w:val="0"/>
          <w:divBdr>
            <w:top w:val="none" w:sz="0" w:space="0" w:color="auto"/>
            <w:left w:val="none" w:sz="0" w:space="0" w:color="auto"/>
            <w:bottom w:val="none" w:sz="0" w:space="0" w:color="auto"/>
            <w:right w:val="none" w:sz="0" w:space="0" w:color="auto"/>
          </w:divBdr>
          <w:divsChild>
            <w:div w:id="2057048035">
              <w:marLeft w:val="0"/>
              <w:marRight w:val="0"/>
              <w:marTop w:val="0"/>
              <w:marBottom w:val="0"/>
              <w:divBdr>
                <w:top w:val="none" w:sz="0" w:space="0" w:color="auto"/>
                <w:left w:val="none" w:sz="0" w:space="0" w:color="auto"/>
                <w:bottom w:val="none" w:sz="0" w:space="0" w:color="auto"/>
                <w:right w:val="none" w:sz="0" w:space="0" w:color="auto"/>
              </w:divBdr>
              <w:divsChild>
                <w:div w:id="3666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99019">
      <w:bodyDiv w:val="1"/>
      <w:marLeft w:val="0"/>
      <w:marRight w:val="0"/>
      <w:marTop w:val="0"/>
      <w:marBottom w:val="0"/>
      <w:divBdr>
        <w:top w:val="none" w:sz="0" w:space="0" w:color="auto"/>
        <w:left w:val="none" w:sz="0" w:space="0" w:color="auto"/>
        <w:bottom w:val="none" w:sz="0" w:space="0" w:color="auto"/>
        <w:right w:val="none" w:sz="0" w:space="0" w:color="auto"/>
      </w:divBdr>
    </w:div>
    <w:div w:id="1981760956">
      <w:bodyDiv w:val="1"/>
      <w:marLeft w:val="0"/>
      <w:marRight w:val="0"/>
      <w:marTop w:val="0"/>
      <w:marBottom w:val="0"/>
      <w:divBdr>
        <w:top w:val="none" w:sz="0" w:space="0" w:color="auto"/>
        <w:left w:val="none" w:sz="0" w:space="0" w:color="auto"/>
        <w:bottom w:val="none" w:sz="0" w:space="0" w:color="auto"/>
        <w:right w:val="none" w:sz="0" w:space="0" w:color="auto"/>
      </w:divBdr>
      <w:divsChild>
        <w:div w:id="1988898358">
          <w:marLeft w:val="0"/>
          <w:marRight w:val="0"/>
          <w:marTop w:val="0"/>
          <w:marBottom w:val="0"/>
          <w:divBdr>
            <w:top w:val="none" w:sz="0" w:space="0" w:color="auto"/>
            <w:left w:val="none" w:sz="0" w:space="0" w:color="auto"/>
            <w:bottom w:val="none" w:sz="0" w:space="0" w:color="auto"/>
            <w:right w:val="none" w:sz="0" w:space="0" w:color="auto"/>
          </w:divBdr>
          <w:divsChild>
            <w:div w:id="146213628">
              <w:marLeft w:val="0"/>
              <w:marRight w:val="0"/>
              <w:marTop w:val="0"/>
              <w:marBottom w:val="0"/>
              <w:divBdr>
                <w:top w:val="none" w:sz="0" w:space="0" w:color="auto"/>
                <w:left w:val="none" w:sz="0" w:space="0" w:color="auto"/>
                <w:bottom w:val="none" w:sz="0" w:space="0" w:color="auto"/>
                <w:right w:val="none" w:sz="0" w:space="0" w:color="auto"/>
              </w:divBdr>
              <w:divsChild>
                <w:div w:id="7426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76118">
      <w:bodyDiv w:val="1"/>
      <w:marLeft w:val="0"/>
      <w:marRight w:val="0"/>
      <w:marTop w:val="0"/>
      <w:marBottom w:val="0"/>
      <w:divBdr>
        <w:top w:val="none" w:sz="0" w:space="0" w:color="auto"/>
        <w:left w:val="none" w:sz="0" w:space="0" w:color="auto"/>
        <w:bottom w:val="none" w:sz="0" w:space="0" w:color="auto"/>
        <w:right w:val="none" w:sz="0" w:space="0" w:color="auto"/>
      </w:divBdr>
      <w:divsChild>
        <w:div w:id="1562403863">
          <w:marLeft w:val="0"/>
          <w:marRight w:val="0"/>
          <w:marTop w:val="0"/>
          <w:marBottom w:val="0"/>
          <w:divBdr>
            <w:top w:val="none" w:sz="0" w:space="0" w:color="auto"/>
            <w:left w:val="none" w:sz="0" w:space="0" w:color="auto"/>
            <w:bottom w:val="none" w:sz="0" w:space="0" w:color="auto"/>
            <w:right w:val="none" w:sz="0" w:space="0" w:color="auto"/>
          </w:divBdr>
          <w:divsChild>
            <w:div w:id="985355205">
              <w:marLeft w:val="0"/>
              <w:marRight w:val="0"/>
              <w:marTop w:val="0"/>
              <w:marBottom w:val="0"/>
              <w:divBdr>
                <w:top w:val="none" w:sz="0" w:space="0" w:color="auto"/>
                <w:left w:val="none" w:sz="0" w:space="0" w:color="auto"/>
                <w:bottom w:val="none" w:sz="0" w:space="0" w:color="auto"/>
                <w:right w:val="none" w:sz="0" w:space="0" w:color="auto"/>
              </w:divBdr>
              <w:divsChild>
                <w:div w:id="3349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71669">
      <w:bodyDiv w:val="1"/>
      <w:marLeft w:val="0"/>
      <w:marRight w:val="0"/>
      <w:marTop w:val="0"/>
      <w:marBottom w:val="0"/>
      <w:divBdr>
        <w:top w:val="none" w:sz="0" w:space="0" w:color="auto"/>
        <w:left w:val="none" w:sz="0" w:space="0" w:color="auto"/>
        <w:bottom w:val="none" w:sz="0" w:space="0" w:color="auto"/>
        <w:right w:val="none" w:sz="0" w:space="0" w:color="auto"/>
      </w:divBdr>
    </w:div>
    <w:div w:id="2071538855">
      <w:bodyDiv w:val="1"/>
      <w:marLeft w:val="0"/>
      <w:marRight w:val="0"/>
      <w:marTop w:val="0"/>
      <w:marBottom w:val="0"/>
      <w:divBdr>
        <w:top w:val="none" w:sz="0" w:space="0" w:color="auto"/>
        <w:left w:val="none" w:sz="0" w:space="0" w:color="auto"/>
        <w:bottom w:val="none" w:sz="0" w:space="0" w:color="auto"/>
        <w:right w:val="none" w:sz="0" w:space="0" w:color="auto"/>
      </w:divBdr>
      <w:divsChild>
        <w:div w:id="39212685">
          <w:marLeft w:val="0"/>
          <w:marRight w:val="0"/>
          <w:marTop w:val="280"/>
          <w:marBottom w:val="280"/>
          <w:divBdr>
            <w:top w:val="none" w:sz="0" w:space="0" w:color="auto"/>
            <w:left w:val="none" w:sz="0" w:space="0" w:color="auto"/>
            <w:bottom w:val="none" w:sz="0" w:space="0" w:color="auto"/>
            <w:right w:val="none" w:sz="0" w:space="0" w:color="auto"/>
          </w:divBdr>
        </w:div>
        <w:div w:id="44910750">
          <w:marLeft w:val="0"/>
          <w:marRight w:val="0"/>
          <w:marTop w:val="280"/>
          <w:marBottom w:val="280"/>
          <w:divBdr>
            <w:top w:val="none" w:sz="0" w:space="0" w:color="auto"/>
            <w:left w:val="none" w:sz="0" w:space="0" w:color="auto"/>
            <w:bottom w:val="none" w:sz="0" w:space="0" w:color="auto"/>
            <w:right w:val="none" w:sz="0" w:space="0" w:color="auto"/>
          </w:divBdr>
        </w:div>
        <w:div w:id="897668525">
          <w:marLeft w:val="0"/>
          <w:marRight w:val="0"/>
          <w:marTop w:val="280"/>
          <w:marBottom w:val="280"/>
          <w:divBdr>
            <w:top w:val="none" w:sz="0" w:space="0" w:color="auto"/>
            <w:left w:val="none" w:sz="0" w:space="0" w:color="auto"/>
            <w:bottom w:val="none" w:sz="0" w:space="0" w:color="auto"/>
            <w:right w:val="none" w:sz="0" w:space="0" w:color="auto"/>
          </w:divBdr>
        </w:div>
        <w:div w:id="1828352416">
          <w:marLeft w:val="0"/>
          <w:marRight w:val="0"/>
          <w:marTop w:val="280"/>
          <w:marBottom w:val="280"/>
          <w:divBdr>
            <w:top w:val="none" w:sz="0" w:space="0" w:color="auto"/>
            <w:left w:val="none" w:sz="0" w:space="0" w:color="auto"/>
            <w:bottom w:val="none" w:sz="0" w:space="0" w:color="auto"/>
            <w:right w:val="none" w:sz="0" w:space="0" w:color="auto"/>
          </w:divBdr>
        </w:div>
      </w:divsChild>
    </w:div>
    <w:div w:id="2111582400">
      <w:bodyDiv w:val="1"/>
      <w:marLeft w:val="0"/>
      <w:marRight w:val="0"/>
      <w:marTop w:val="0"/>
      <w:marBottom w:val="0"/>
      <w:divBdr>
        <w:top w:val="none" w:sz="0" w:space="0" w:color="auto"/>
        <w:left w:val="none" w:sz="0" w:space="0" w:color="auto"/>
        <w:bottom w:val="none" w:sz="0" w:space="0" w:color="auto"/>
        <w:right w:val="none" w:sz="0" w:space="0" w:color="auto"/>
      </w:divBdr>
    </w:div>
    <w:div w:id="213786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guee.es/ingles-espanol/traduccion/vis-%C3%A0-vi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hudoc.echr.coe.int/eng" TargetMode="External"/><Relationship Id="rId3" Type="http://schemas.openxmlformats.org/officeDocument/2006/relationships/hyperlink" Target="http://hudoc.echr.coe.int/fre" TargetMode="External"/><Relationship Id="rId7" Type="http://schemas.openxmlformats.org/officeDocument/2006/relationships/hyperlink" Target="http://hudoc.echr.coe.int/eng" TargetMode="External"/><Relationship Id="rId2" Type="http://schemas.openxmlformats.org/officeDocument/2006/relationships/hyperlink" Target="http://www.corteidh.or.cr/docs/asuntos/selvasgomez_18_10_17.pdf" TargetMode="External"/><Relationship Id="rId1" Type="http://schemas.openxmlformats.org/officeDocument/2006/relationships/hyperlink" Target="http://www.corteidh.or.cr/docs/asuntos/selvas_fv_17.pdf" TargetMode="External"/><Relationship Id="rId6" Type="http://schemas.openxmlformats.org/officeDocument/2006/relationships/hyperlink" Target="http://hudoc.echr.coe.int/eng" TargetMode="External"/><Relationship Id="rId5" Type="http://schemas.openxmlformats.org/officeDocument/2006/relationships/hyperlink" Target="http://hudoc.echr.coe.int/eng" TargetMode="External"/><Relationship Id="rId4" Type="http://schemas.openxmlformats.org/officeDocument/2006/relationships/hyperlink" Target="http://hudoc.echr.coe.int/f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66069-48B4-4EC0-B920-CE239523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94</Pages>
  <Words>62125</Words>
  <Characters>341691</Characters>
  <Application>Microsoft Office Word</Application>
  <DocSecurity>0</DocSecurity>
  <Lines>2847</Lines>
  <Paragraphs>806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dc:creator>
  <cp:lastModifiedBy>Francella Hernandez</cp:lastModifiedBy>
  <cp:revision>3</cp:revision>
  <cp:lastPrinted>2020-06-04T23:03:00Z</cp:lastPrinted>
  <dcterms:created xsi:type="dcterms:W3CDTF">2020-06-04T23:03:00Z</dcterms:created>
  <dcterms:modified xsi:type="dcterms:W3CDTF">2020-06-04T23:05:00Z</dcterms:modified>
</cp:coreProperties>
</file>