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CE1E5" w14:textId="77777777" w:rsidR="005B536C" w:rsidRPr="00D66B27" w:rsidRDefault="005B536C" w:rsidP="00AE1DD8">
      <w:pPr>
        <w:spacing w:after="0" w:line="240" w:lineRule="auto"/>
        <w:rPr>
          <w:rFonts w:ascii="Verdana" w:hAnsi="Verdana"/>
          <w:b/>
          <w:sz w:val="20"/>
          <w:szCs w:val="20"/>
        </w:rPr>
      </w:pPr>
    </w:p>
    <w:p w14:paraId="0392D108" w14:textId="77777777" w:rsidR="005B536C" w:rsidRPr="00D66B27" w:rsidRDefault="005B536C">
      <w:pPr>
        <w:spacing w:after="0" w:line="240" w:lineRule="auto"/>
        <w:rPr>
          <w:rFonts w:ascii="Verdana" w:hAnsi="Verdana"/>
          <w:b/>
          <w:sz w:val="20"/>
          <w:szCs w:val="20"/>
        </w:rPr>
      </w:pPr>
    </w:p>
    <w:p w14:paraId="3269D448" w14:textId="77777777" w:rsidR="005B536C" w:rsidRPr="00D66B27" w:rsidRDefault="005B536C">
      <w:pPr>
        <w:spacing w:after="0" w:line="240" w:lineRule="auto"/>
        <w:rPr>
          <w:rFonts w:ascii="Verdana" w:hAnsi="Verdana"/>
          <w:b/>
          <w:sz w:val="20"/>
          <w:szCs w:val="20"/>
        </w:rPr>
      </w:pPr>
    </w:p>
    <w:p w14:paraId="2101A6B9" w14:textId="77777777" w:rsidR="005B536C" w:rsidRPr="00D66B27" w:rsidRDefault="005B536C">
      <w:pPr>
        <w:spacing w:after="0" w:line="240" w:lineRule="auto"/>
        <w:rPr>
          <w:rFonts w:ascii="Verdana" w:hAnsi="Verdana"/>
          <w:b/>
          <w:sz w:val="20"/>
          <w:szCs w:val="20"/>
        </w:rPr>
      </w:pPr>
    </w:p>
    <w:p w14:paraId="5765D582" w14:textId="77777777" w:rsidR="005B536C" w:rsidRPr="00D66B27" w:rsidRDefault="005B536C">
      <w:pPr>
        <w:spacing w:after="0" w:line="240" w:lineRule="auto"/>
        <w:rPr>
          <w:rFonts w:ascii="Verdana" w:hAnsi="Verdana"/>
          <w:b/>
          <w:sz w:val="20"/>
          <w:szCs w:val="20"/>
        </w:rPr>
      </w:pPr>
    </w:p>
    <w:p w14:paraId="78BCAEF2" w14:textId="77777777" w:rsidR="005B536C" w:rsidRDefault="005B536C">
      <w:pPr>
        <w:spacing w:after="0" w:line="240" w:lineRule="auto"/>
        <w:rPr>
          <w:rFonts w:ascii="Verdana" w:hAnsi="Verdana"/>
          <w:b/>
          <w:sz w:val="20"/>
          <w:szCs w:val="20"/>
        </w:rPr>
      </w:pPr>
    </w:p>
    <w:p w14:paraId="47ED7A0E" w14:textId="77777777" w:rsidR="00995868" w:rsidRDefault="00995868">
      <w:pPr>
        <w:spacing w:after="0" w:line="240" w:lineRule="auto"/>
        <w:rPr>
          <w:rFonts w:ascii="Verdana" w:hAnsi="Verdana"/>
          <w:b/>
          <w:sz w:val="20"/>
          <w:szCs w:val="20"/>
        </w:rPr>
      </w:pPr>
    </w:p>
    <w:p w14:paraId="7C703E07" w14:textId="77777777" w:rsidR="00995868" w:rsidRDefault="00995868">
      <w:pPr>
        <w:spacing w:after="0" w:line="240" w:lineRule="auto"/>
        <w:rPr>
          <w:rFonts w:ascii="Verdana" w:hAnsi="Verdana"/>
          <w:b/>
          <w:sz w:val="20"/>
          <w:szCs w:val="20"/>
        </w:rPr>
      </w:pPr>
    </w:p>
    <w:p w14:paraId="790895AA" w14:textId="77777777" w:rsidR="00995868" w:rsidRPr="00D66B27" w:rsidRDefault="00995868">
      <w:pPr>
        <w:spacing w:after="0" w:line="240" w:lineRule="auto"/>
        <w:rPr>
          <w:rFonts w:ascii="Verdana" w:hAnsi="Verdana"/>
          <w:b/>
          <w:sz w:val="20"/>
          <w:szCs w:val="20"/>
        </w:rPr>
      </w:pPr>
    </w:p>
    <w:p w14:paraId="79906821" w14:textId="77777777" w:rsidR="005B536C" w:rsidRPr="00D66B27" w:rsidRDefault="005B536C">
      <w:pPr>
        <w:spacing w:after="0" w:line="240" w:lineRule="auto"/>
        <w:rPr>
          <w:rFonts w:ascii="Verdana" w:hAnsi="Verdana"/>
          <w:b/>
          <w:sz w:val="20"/>
          <w:szCs w:val="20"/>
        </w:rPr>
      </w:pPr>
    </w:p>
    <w:p w14:paraId="33F7C1AF" w14:textId="77777777" w:rsidR="005B536C" w:rsidRPr="00D66B27" w:rsidRDefault="005B536C">
      <w:pPr>
        <w:pStyle w:val="Ttulo"/>
        <w:numPr>
          <w:ilvl w:val="0"/>
          <w:numId w:val="0"/>
        </w:numPr>
        <w:ind w:right="-138"/>
        <w:jc w:val="center"/>
        <w:rPr>
          <w:rFonts w:eastAsia="MS Mincho"/>
          <w:lang w:val="es-CR"/>
        </w:rPr>
      </w:pPr>
      <w:r w:rsidRPr="00D66B27">
        <w:rPr>
          <w:rFonts w:eastAsia="MS Mincho"/>
          <w:lang w:val="es-CR"/>
        </w:rPr>
        <w:t>CORTE INTERAMERICANA DE DERECHOS HUMANOS</w:t>
      </w:r>
    </w:p>
    <w:p w14:paraId="42CE2E9D" w14:textId="77777777" w:rsidR="005B536C" w:rsidRDefault="005B536C">
      <w:pPr>
        <w:spacing w:after="0" w:line="240" w:lineRule="auto"/>
        <w:jc w:val="center"/>
        <w:rPr>
          <w:rFonts w:ascii="Verdana" w:hAnsi="Verdana"/>
          <w:b/>
          <w:sz w:val="20"/>
          <w:szCs w:val="20"/>
        </w:rPr>
      </w:pPr>
    </w:p>
    <w:p w14:paraId="2FAD4CD9" w14:textId="77777777" w:rsidR="0028072B" w:rsidRPr="00D66B27" w:rsidRDefault="0028072B">
      <w:pPr>
        <w:spacing w:after="0" w:line="240" w:lineRule="auto"/>
        <w:jc w:val="center"/>
        <w:rPr>
          <w:rFonts w:ascii="Verdana" w:hAnsi="Verdana"/>
          <w:b/>
          <w:sz w:val="20"/>
          <w:szCs w:val="20"/>
        </w:rPr>
      </w:pPr>
    </w:p>
    <w:p w14:paraId="7ADF2748" w14:textId="77777777" w:rsidR="005B536C" w:rsidRPr="00D66B27" w:rsidRDefault="005B536C">
      <w:pPr>
        <w:spacing w:after="0" w:line="240" w:lineRule="auto"/>
        <w:jc w:val="center"/>
        <w:rPr>
          <w:rFonts w:ascii="Verdana" w:hAnsi="Verdana"/>
          <w:b/>
          <w:sz w:val="20"/>
          <w:szCs w:val="20"/>
        </w:rPr>
      </w:pPr>
    </w:p>
    <w:p w14:paraId="5DF2E4B9" w14:textId="77777777" w:rsidR="005B536C" w:rsidRPr="00D66B27" w:rsidRDefault="005B536C">
      <w:pPr>
        <w:autoSpaceDE w:val="0"/>
        <w:autoSpaceDN w:val="0"/>
        <w:adjustRightInd w:val="0"/>
        <w:spacing w:after="0" w:line="240" w:lineRule="auto"/>
        <w:jc w:val="center"/>
        <w:rPr>
          <w:rFonts w:ascii="Verdana" w:eastAsia="MS Mincho" w:hAnsi="Verdana" w:cs="Times New Roman"/>
          <w:b/>
          <w:i/>
          <w:sz w:val="20"/>
          <w:szCs w:val="20"/>
          <w:lang w:eastAsia="es-ES" w:bidi="en-US"/>
        </w:rPr>
      </w:pPr>
      <w:r w:rsidRPr="00D66B27">
        <w:rPr>
          <w:rFonts w:ascii="Verdana" w:eastAsia="MS Mincho" w:hAnsi="Verdana" w:cs="Times New Roman"/>
          <w:b/>
          <w:i/>
          <w:sz w:val="20"/>
          <w:szCs w:val="20"/>
          <w:lang w:eastAsia="es-ES" w:bidi="en-US"/>
        </w:rPr>
        <w:t xml:space="preserve">CASO </w:t>
      </w:r>
      <w:r w:rsidR="005F7E6F" w:rsidRPr="00D66B27">
        <w:rPr>
          <w:rFonts w:ascii="Verdana" w:eastAsia="MS Mincho" w:hAnsi="Verdana" w:cs="Times New Roman"/>
          <w:b/>
          <w:i/>
          <w:sz w:val="20"/>
          <w:szCs w:val="20"/>
          <w:lang w:eastAsia="es-ES" w:bidi="en-US"/>
        </w:rPr>
        <w:t>ÓRDENES GUERRA</w:t>
      </w:r>
      <w:r w:rsidRPr="00D66B27">
        <w:rPr>
          <w:rFonts w:ascii="Verdana" w:eastAsia="MS Mincho" w:hAnsi="Verdana" w:cs="Times New Roman"/>
          <w:b/>
          <w:i/>
          <w:sz w:val="20"/>
          <w:szCs w:val="20"/>
          <w:lang w:eastAsia="es-ES" w:bidi="en-US"/>
        </w:rPr>
        <w:t xml:space="preserve"> Y OTROS VS. </w:t>
      </w:r>
      <w:r w:rsidR="005F7E6F" w:rsidRPr="00D66B27">
        <w:rPr>
          <w:rFonts w:ascii="Verdana" w:eastAsia="MS Mincho" w:hAnsi="Verdana" w:cs="Times New Roman"/>
          <w:b/>
          <w:i/>
          <w:sz w:val="20"/>
          <w:szCs w:val="20"/>
          <w:lang w:eastAsia="es-ES" w:bidi="en-US"/>
        </w:rPr>
        <w:t>CHILE</w:t>
      </w:r>
    </w:p>
    <w:p w14:paraId="4A3D78E1" w14:textId="77777777" w:rsidR="005B536C" w:rsidRDefault="005B536C">
      <w:pPr>
        <w:pStyle w:val="Ttulo"/>
        <w:numPr>
          <w:ilvl w:val="0"/>
          <w:numId w:val="0"/>
        </w:numPr>
        <w:ind w:right="-138"/>
        <w:jc w:val="center"/>
        <w:rPr>
          <w:rFonts w:eastAsia="MS Mincho"/>
          <w:lang w:val="es-CR"/>
        </w:rPr>
      </w:pPr>
    </w:p>
    <w:p w14:paraId="2669DA87" w14:textId="77777777" w:rsidR="0028072B" w:rsidRPr="00D66B27" w:rsidRDefault="0028072B">
      <w:pPr>
        <w:pStyle w:val="Ttulo"/>
        <w:numPr>
          <w:ilvl w:val="0"/>
          <w:numId w:val="0"/>
        </w:numPr>
        <w:ind w:right="-138"/>
        <w:jc w:val="center"/>
        <w:rPr>
          <w:rFonts w:eastAsia="MS Mincho"/>
          <w:lang w:val="es-CR"/>
        </w:rPr>
      </w:pPr>
    </w:p>
    <w:p w14:paraId="33532A41" w14:textId="77777777" w:rsidR="005B536C" w:rsidRPr="00D66B27" w:rsidRDefault="005B536C">
      <w:pPr>
        <w:pStyle w:val="Ttulo"/>
        <w:numPr>
          <w:ilvl w:val="0"/>
          <w:numId w:val="0"/>
        </w:numPr>
        <w:ind w:right="-138"/>
        <w:jc w:val="center"/>
        <w:rPr>
          <w:rFonts w:eastAsia="MS Mincho"/>
          <w:lang w:val="es-CR"/>
        </w:rPr>
      </w:pPr>
    </w:p>
    <w:p w14:paraId="1888C347" w14:textId="77777777" w:rsidR="005B536C" w:rsidRPr="00D66B27" w:rsidRDefault="005B536C">
      <w:pPr>
        <w:pStyle w:val="Ttulo"/>
        <w:numPr>
          <w:ilvl w:val="0"/>
          <w:numId w:val="0"/>
        </w:numPr>
        <w:ind w:right="-138"/>
        <w:jc w:val="center"/>
        <w:rPr>
          <w:rFonts w:eastAsia="MS Mincho"/>
          <w:lang w:val="es-CR"/>
        </w:rPr>
      </w:pPr>
      <w:r w:rsidRPr="00D66B27">
        <w:rPr>
          <w:rFonts w:eastAsia="MS Mincho"/>
          <w:lang w:val="es-CR"/>
        </w:rPr>
        <w:t xml:space="preserve">SENTENCIA DE </w:t>
      </w:r>
      <w:r w:rsidR="00B12698" w:rsidRPr="003940E3">
        <w:rPr>
          <w:rFonts w:eastAsia="MS Mincho"/>
          <w:lang w:val="es-CR"/>
        </w:rPr>
        <w:t>29</w:t>
      </w:r>
      <w:r w:rsidR="005F7E6F" w:rsidRPr="003940E3">
        <w:rPr>
          <w:rFonts w:eastAsia="MS Mincho"/>
          <w:lang w:val="es-CR"/>
        </w:rPr>
        <w:t xml:space="preserve"> </w:t>
      </w:r>
      <w:r w:rsidRPr="00D66B27">
        <w:rPr>
          <w:rFonts w:eastAsia="MS Mincho"/>
          <w:lang w:val="es-CR"/>
        </w:rPr>
        <w:t xml:space="preserve">DE </w:t>
      </w:r>
      <w:r w:rsidR="005F7E6F" w:rsidRPr="00D66B27">
        <w:rPr>
          <w:rFonts w:eastAsia="MS Mincho"/>
          <w:lang w:val="es-CR"/>
        </w:rPr>
        <w:t xml:space="preserve">NOVIEMBRE </w:t>
      </w:r>
      <w:r w:rsidRPr="00D66B27">
        <w:rPr>
          <w:rFonts w:eastAsia="MS Mincho"/>
          <w:lang w:val="es-CR"/>
        </w:rPr>
        <w:t>DE 2018</w:t>
      </w:r>
    </w:p>
    <w:p w14:paraId="51B82F18" w14:textId="77777777" w:rsidR="005B536C" w:rsidRPr="00D66B27" w:rsidRDefault="005B536C">
      <w:pPr>
        <w:pStyle w:val="Ttulo"/>
        <w:numPr>
          <w:ilvl w:val="0"/>
          <w:numId w:val="0"/>
        </w:numPr>
        <w:ind w:right="-138"/>
        <w:jc w:val="center"/>
        <w:rPr>
          <w:rFonts w:eastAsia="MS Mincho"/>
          <w:lang w:val="es-CR"/>
        </w:rPr>
      </w:pPr>
      <w:r w:rsidRPr="00D66B27">
        <w:rPr>
          <w:rFonts w:eastAsia="MS Mincho"/>
          <w:lang w:val="es-CR"/>
        </w:rPr>
        <w:t>(Fondo, Reparaciones y Costas)</w:t>
      </w:r>
    </w:p>
    <w:p w14:paraId="21F37D51" w14:textId="77777777" w:rsidR="005B536C" w:rsidRPr="00D66B27" w:rsidRDefault="005B536C">
      <w:pPr>
        <w:pStyle w:val="Ttulo"/>
        <w:numPr>
          <w:ilvl w:val="0"/>
          <w:numId w:val="0"/>
        </w:numPr>
        <w:ind w:left="-502" w:right="-138"/>
        <w:rPr>
          <w:rFonts w:eastAsia="MS Mincho"/>
          <w:lang w:val="es-CR"/>
        </w:rPr>
      </w:pPr>
    </w:p>
    <w:p w14:paraId="151B5EDA" w14:textId="77777777" w:rsidR="005B536C" w:rsidRDefault="005B536C">
      <w:pPr>
        <w:spacing w:after="0" w:line="240" w:lineRule="auto"/>
        <w:jc w:val="both"/>
        <w:rPr>
          <w:rFonts w:ascii="Verdana" w:hAnsi="Verdana"/>
          <w:b/>
          <w:i/>
          <w:sz w:val="20"/>
          <w:szCs w:val="20"/>
        </w:rPr>
      </w:pPr>
    </w:p>
    <w:p w14:paraId="45F141A3" w14:textId="77777777" w:rsidR="0028072B" w:rsidRDefault="0028072B">
      <w:pPr>
        <w:spacing w:after="0" w:line="240" w:lineRule="auto"/>
        <w:jc w:val="both"/>
        <w:rPr>
          <w:rFonts w:ascii="Verdana" w:hAnsi="Verdana"/>
          <w:b/>
          <w:i/>
          <w:sz w:val="20"/>
          <w:szCs w:val="20"/>
        </w:rPr>
      </w:pPr>
    </w:p>
    <w:p w14:paraId="536FE6D3" w14:textId="77777777" w:rsidR="0028072B" w:rsidRPr="00D66B27" w:rsidRDefault="0028072B">
      <w:pPr>
        <w:spacing w:after="0" w:line="240" w:lineRule="auto"/>
        <w:jc w:val="both"/>
        <w:rPr>
          <w:rFonts w:ascii="Verdana" w:hAnsi="Verdana"/>
          <w:b/>
          <w:i/>
          <w:sz w:val="20"/>
          <w:szCs w:val="20"/>
        </w:rPr>
      </w:pPr>
    </w:p>
    <w:p w14:paraId="56127D2D" w14:textId="77777777" w:rsidR="005B536C" w:rsidRPr="00D66B27" w:rsidRDefault="005B536C">
      <w:pPr>
        <w:spacing w:after="0" w:line="240" w:lineRule="auto"/>
        <w:jc w:val="both"/>
        <w:rPr>
          <w:rFonts w:ascii="Verdana" w:hAnsi="Verdana"/>
          <w:b/>
          <w:i/>
          <w:sz w:val="20"/>
          <w:szCs w:val="20"/>
        </w:rPr>
      </w:pPr>
    </w:p>
    <w:p w14:paraId="1E591917" w14:textId="77777777" w:rsidR="005B536C" w:rsidRPr="00D66B27" w:rsidRDefault="005B536C">
      <w:pPr>
        <w:autoSpaceDE w:val="0"/>
        <w:autoSpaceDN w:val="0"/>
        <w:adjustRightInd w:val="0"/>
        <w:spacing w:after="0" w:line="240" w:lineRule="auto"/>
        <w:rPr>
          <w:rFonts w:ascii="Verdana" w:eastAsia="MS Mincho" w:hAnsi="Verdana" w:cs="Times New Roman"/>
          <w:b/>
          <w:sz w:val="20"/>
          <w:szCs w:val="20"/>
          <w:lang w:eastAsia="es-ES" w:bidi="en-US"/>
        </w:rPr>
      </w:pPr>
      <w:r w:rsidRPr="00D66B27">
        <w:rPr>
          <w:rFonts w:ascii="Verdana" w:hAnsi="Verdana"/>
          <w:sz w:val="20"/>
          <w:szCs w:val="20"/>
        </w:rPr>
        <w:t xml:space="preserve">En el </w:t>
      </w:r>
      <w:r w:rsidRPr="00D66B27">
        <w:rPr>
          <w:rFonts w:ascii="Verdana" w:hAnsi="Verdana"/>
          <w:i/>
          <w:sz w:val="20"/>
          <w:szCs w:val="20"/>
        </w:rPr>
        <w:t xml:space="preserve">caso </w:t>
      </w:r>
      <w:r w:rsidR="005F7E6F" w:rsidRPr="00D66B27">
        <w:rPr>
          <w:rFonts w:ascii="Verdana" w:hAnsi="Verdana"/>
          <w:i/>
          <w:sz w:val="20"/>
          <w:szCs w:val="20"/>
        </w:rPr>
        <w:t>Órdenes Guerra</w:t>
      </w:r>
      <w:r w:rsidRPr="00D66B27">
        <w:rPr>
          <w:rFonts w:ascii="Verdana" w:hAnsi="Verdana"/>
          <w:i/>
          <w:sz w:val="20"/>
          <w:szCs w:val="20"/>
        </w:rPr>
        <w:t xml:space="preserve"> y otros,</w:t>
      </w:r>
      <w:r w:rsidRPr="00D66B27">
        <w:rPr>
          <w:rFonts w:ascii="Verdana" w:eastAsia="MS Mincho" w:hAnsi="Verdana" w:cs="Times New Roman"/>
          <w:b/>
          <w:sz w:val="20"/>
          <w:szCs w:val="20"/>
          <w:lang w:eastAsia="es-ES" w:bidi="en-US"/>
        </w:rPr>
        <w:t xml:space="preserve"> </w:t>
      </w:r>
    </w:p>
    <w:p w14:paraId="5B2456DA" w14:textId="77777777" w:rsidR="005B536C" w:rsidRPr="00D66B27" w:rsidRDefault="005B536C">
      <w:pPr>
        <w:autoSpaceDE w:val="0"/>
        <w:autoSpaceDN w:val="0"/>
        <w:adjustRightInd w:val="0"/>
        <w:spacing w:after="0" w:line="240" w:lineRule="auto"/>
        <w:rPr>
          <w:rFonts w:ascii="Verdana" w:hAnsi="Verdana"/>
          <w:sz w:val="20"/>
          <w:szCs w:val="20"/>
        </w:rPr>
      </w:pPr>
    </w:p>
    <w:p w14:paraId="1C24DEAF" w14:textId="77777777" w:rsidR="005B536C" w:rsidRPr="00D66B27" w:rsidRDefault="005B536C">
      <w:pPr>
        <w:spacing w:after="0" w:line="240" w:lineRule="auto"/>
        <w:jc w:val="both"/>
        <w:rPr>
          <w:rFonts w:ascii="Verdana" w:hAnsi="Verdana"/>
          <w:sz w:val="20"/>
          <w:szCs w:val="20"/>
        </w:rPr>
      </w:pPr>
      <w:r w:rsidRPr="00D66B27">
        <w:rPr>
          <w:rFonts w:ascii="Verdana" w:hAnsi="Verdana"/>
          <w:sz w:val="20"/>
          <w:szCs w:val="20"/>
        </w:rPr>
        <w:t>la Corte Interamericana de Derechos Humanos (en adelante “la Corte Interamericana”, “la Corte” o “el Tribunal”), integrada por los siguientes Jueces</w:t>
      </w:r>
      <w:r w:rsidR="00716377" w:rsidRPr="00D66B27">
        <w:rPr>
          <w:rStyle w:val="Refdenotaalpie"/>
          <w:rFonts w:eastAsia="MS Mincho"/>
        </w:rPr>
        <w:footnoteReference w:customMarkFollows="1" w:id="1"/>
        <w:t>*</w:t>
      </w:r>
      <w:r w:rsidRPr="00D66B27">
        <w:rPr>
          <w:rFonts w:ascii="Verdana" w:hAnsi="Verdana"/>
          <w:sz w:val="20"/>
          <w:szCs w:val="20"/>
        </w:rPr>
        <w:t>:</w:t>
      </w:r>
    </w:p>
    <w:p w14:paraId="4D7FB238" w14:textId="77777777" w:rsidR="005B536C" w:rsidRPr="00D66B27" w:rsidRDefault="005B536C">
      <w:pPr>
        <w:spacing w:after="0" w:line="240" w:lineRule="auto"/>
        <w:jc w:val="both"/>
        <w:rPr>
          <w:rFonts w:ascii="Verdana" w:hAnsi="Verdana"/>
          <w:sz w:val="20"/>
          <w:szCs w:val="20"/>
        </w:rPr>
      </w:pPr>
    </w:p>
    <w:p w14:paraId="36E4F599" w14:textId="77777777" w:rsidR="005B536C" w:rsidRPr="00D66B27" w:rsidRDefault="005B536C">
      <w:pPr>
        <w:spacing w:after="0" w:line="240" w:lineRule="auto"/>
        <w:ind w:left="720"/>
        <w:jc w:val="both"/>
        <w:rPr>
          <w:rFonts w:ascii="Verdana" w:hAnsi="Verdana"/>
          <w:sz w:val="20"/>
          <w:szCs w:val="20"/>
        </w:rPr>
      </w:pPr>
      <w:r w:rsidRPr="00D66B27">
        <w:rPr>
          <w:rFonts w:ascii="Verdana" w:eastAsia="Verdana" w:hAnsi="Verdana" w:cs="Verdana"/>
          <w:spacing w:val="-1"/>
          <w:sz w:val="20"/>
          <w:szCs w:val="20"/>
        </w:rPr>
        <w:t>Eduardo Ferrer Mac-Gregor Poisot, Presidente;</w:t>
      </w:r>
    </w:p>
    <w:p w14:paraId="08AEAD9A" w14:textId="77777777" w:rsidR="005B536C" w:rsidRPr="00D66B27" w:rsidRDefault="005F7E6F">
      <w:pPr>
        <w:spacing w:after="0" w:line="240" w:lineRule="auto"/>
        <w:ind w:left="720"/>
        <w:jc w:val="both"/>
        <w:rPr>
          <w:rFonts w:ascii="Verdana" w:eastAsia="Verdana" w:hAnsi="Verdana" w:cs="Verdana"/>
          <w:spacing w:val="-1"/>
          <w:sz w:val="20"/>
          <w:szCs w:val="20"/>
        </w:rPr>
      </w:pPr>
      <w:r w:rsidRPr="00D66B27">
        <w:rPr>
          <w:rFonts w:ascii="Verdana" w:eastAsia="Verdana" w:hAnsi="Verdana" w:cs="Verdana"/>
          <w:spacing w:val="-1"/>
          <w:sz w:val="20"/>
          <w:szCs w:val="20"/>
        </w:rPr>
        <w:t>Humberto Antonio Sierra Porto</w:t>
      </w:r>
      <w:r w:rsidR="00716377" w:rsidRPr="00D66B27">
        <w:rPr>
          <w:rFonts w:ascii="Verdana" w:eastAsia="Verdana" w:hAnsi="Verdana" w:cs="Verdana"/>
          <w:spacing w:val="-1"/>
          <w:sz w:val="20"/>
          <w:szCs w:val="20"/>
        </w:rPr>
        <w:t>, J</w:t>
      </w:r>
      <w:r w:rsidRPr="00D66B27">
        <w:rPr>
          <w:rFonts w:ascii="Verdana" w:eastAsia="Verdana" w:hAnsi="Verdana" w:cs="Verdana"/>
          <w:spacing w:val="-1"/>
          <w:sz w:val="20"/>
          <w:szCs w:val="20"/>
        </w:rPr>
        <w:t>uez;</w:t>
      </w:r>
    </w:p>
    <w:p w14:paraId="30469735" w14:textId="77777777" w:rsidR="005B536C" w:rsidRPr="00D66B27" w:rsidRDefault="005B536C">
      <w:pPr>
        <w:spacing w:after="0" w:line="240" w:lineRule="auto"/>
        <w:ind w:left="720"/>
        <w:jc w:val="both"/>
        <w:rPr>
          <w:rFonts w:ascii="Verdana" w:hAnsi="Verdana"/>
          <w:sz w:val="20"/>
          <w:szCs w:val="20"/>
        </w:rPr>
      </w:pPr>
      <w:r w:rsidRPr="00D66B27">
        <w:rPr>
          <w:rFonts w:ascii="Verdana" w:eastAsia="Verdana" w:hAnsi="Verdana" w:cs="Verdana"/>
          <w:sz w:val="20"/>
          <w:szCs w:val="20"/>
        </w:rPr>
        <w:t xml:space="preserve">Elizabeth Odio Benito, </w:t>
      </w:r>
      <w:r w:rsidR="00716377" w:rsidRPr="00D66B27">
        <w:rPr>
          <w:rFonts w:ascii="Verdana" w:eastAsia="Verdana" w:hAnsi="Verdana" w:cs="Verdana"/>
          <w:sz w:val="20"/>
          <w:szCs w:val="20"/>
        </w:rPr>
        <w:t>J</w:t>
      </w:r>
      <w:r w:rsidRPr="00D66B27">
        <w:rPr>
          <w:rFonts w:ascii="Verdana" w:eastAsia="Verdana" w:hAnsi="Verdana" w:cs="Verdana"/>
          <w:sz w:val="20"/>
          <w:szCs w:val="20"/>
        </w:rPr>
        <w:t>ueza;</w:t>
      </w:r>
    </w:p>
    <w:p w14:paraId="1F2390D1" w14:textId="77777777" w:rsidR="005B536C" w:rsidRPr="00D66B27" w:rsidRDefault="005B536C">
      <w:pPr>
        <w:spacing w:after="0" w:line="240" w:lineRule="auto"/>
        <w:ind w:left="720"/>
        <w:jc w:val="both"/>
        <w:rPr>
          <w:rFonts w:ascii="Verdana" w:hAnsi="Verdana"/>
          <w:sz w:val="20"/>
          <w:szCs w:val="20"/>
        </w:rPr>
      </w:pPr>
      <w:r w:rsidRPr="00D66B27">
        <w:rPr>
          <w:rFonts w:ascii="Verdana" w:eastAsia="Verdana" w:hAnsi="Verdana" w:cs="Verdana"/>
          <w:sz w:val="20"/>
          <w:szCs w:val="20"/>
        </w:rPr>
        <w:t xml:space="preserve">Eugenio Raúl Zaffaroni, </w:t>
      </w:r>
      <w:r w:rsidR="00716377" w:rsidRPr="00D66B27">
        <w:rPr>
          <w:rFonts w:ascii="Verdana" w:eastAsia="Verdana" w:hAnsi="Verdana" w:cs="Verdana"/>
          <w:sz w:val="20"/>
          <w:szCs w:val="20"/>
        </w:rPr>
        <w:t>J</w:t>
      </w:r>
      <w:r w:rsidRPr="00D66B27">
        <w:rPr>
          <w:rFonts w:ascii="Verdana" w:eastAsia="Verdana" w:hAnsi="Verdana" w:cs="Verdana"/>
          <w:sz w:val="20"/>
          <w:szCs w:val="20"/>
        </w:rPr>
        <w:t>uez, y</w:t>
      </w:r>
    </w:p>
    <w:p w14:paraId="32775D1F" w14:textId="77777777" w:rsidR="005B536C" w:rsidRPr="00D66B27" w:rsidRDefault="005B536C">
      <w:pPr>
        <w:spacing w:after="0" w:line="240" w:lineRule="auto"/>
        <w:ind w:left="720"/>
        <w:jc w:val="both"/>
        <w:rPr>
          <w:rFonts w:ascii="Verdana" w:hAnsi="Verdana"/>
          <w:sz w:val="20"/>
          <w:szCs w:val="20"/>
        </w:rPr>
      </w:pPr>
      <w:r w:rsidRPr="00D66B27">
        <w:rPr>
          <w:rFonts w:ascii="Verdana" w:eastAsia="Verdana" w:hAnsi="Verdana" w:cs="Verdana"/>
          <w:sz w:val="20"/>
          <w:szCs w:val="20"/>
        </w:rPr>
        <w:t xml:space="preserve">L. Patricio Pazmiño Freire, </w:t>
      </w:r>
      <w:r w:rsidR="00716377" w:rsidRPr="00D66B27">
        <w:rPr>
          <w:rFonts w:ascii="Verdana" w:eastAsia="Verdana" w:hAnsi="Verdana" w:cs="Verdana"/>
          <w:sz w:val="20"/>
          <w:szCs w:val="20"/>
        </w:rPr>
        <w:t>J</w:t>
      </w:r>
      <w:r w:rsidRPr="00D66B27">
        <w:rPr>
          <w:rFonts w:ascii="Verdana" w:eastAsia="Verdana" w:hAnsi="Verdana" w:cs="Verdana"/>
          <w:sz w:val="20"/>
          <w:szCs w:val="20"/>
        </w:rPr>
        <w:t>uez;</w:t>
      </w:r>
    </w:p>
    <w:p w14:paraId="283C34C5" w14:textId="77777777" w:rsidR="005B536C" w:rsidRPr="00D66B27" w:rsidRDefault="005B536C">
      <w:pPr>
        <w:widowControl w:val="0"/>
        <w:tabs>
          <w:tab w:val="left" w:pos="5670"/>
        </w:tabs>
        <w:spacing w:after="0" w:line="240" w:lineRule="auto"/>
        <w:ind w:left="100" w:right="4630"/>
        <w:rPr>
          <w:rFonts w:ascii="Verdana" w:eastAsia="Verdana" w:hAnsi="Verdana" w:cs="Verdana"/>
          <w:sz w:val="20"/>
          <w:szCs w:val="20"/>
        </w:rPr>
      </w:pPr>
    </w:p>
    <w:p w14:paraId="28C1407C" w14:textId="77CF4765" w:rsidR="005B536C" w:rsidRPr="00D66B27" w:rsidRDefault="00716377">
      <w:pPr>
        <w:spacing w:after="0" w:line="240" w:lineRule="auto"/>
        <w:jc w:val="both"/>
        <w:rPr>
          <w:rFonts w:ascii="Verdana" w:hAnsi="Verdana"/>
          <w:sz w:val="20"/>
          <w:szCs w:val="20"/>
        </w:rPr>
      </w:pPr>
      <w:r w:rsidRPr="00D66B27">
        <w:rPr>
          <w:rFonts w:ascii="Verdana" w:hAnsi="Verdana"/>
          <w:sz w:val="20"/>
          <w:szCs w:val="20"/>
        </w:rPr>
        <w:t>presente</w:t>
      </w:r>
      <w:r w:rsidR="005B536C" w:rsidRPr="00D66B27">
        <w:rPr>
          <w:rFonts w:ascii="Verdana" w:hAnsi="Verdana"/>
          <w:sz w:val="20"/>
          <w:szCs w:val="20"/>
        </w:rPr>
        <w:t xml:space="preserve">, además, </w:t>
      </w:r>
    </w:p>
    <w:p w14:paraId="18D3A380" w14:textId="77777777" w:rsidR="005B536C" w:rsidRPr="00D66B27" w:rsidRDefault="005B536C">
      <w:pPr>
        <w:spacing w:after="0" w:line="240" w:lineRule="auto"/>
        <w:jc w:val="both"/>
        <w:rPr>
          <w:rFonts w:ascii="Verdana" w:hAnsi="Verdana"/>
          <w:sz w:val="20"/>
          <w:szCs w:val="20"/>
        </w:rPr>
      </w:pPr>
    </w:p>
    <w:p w14:paraId="0A341FCC" w14:textId="21E855EF" w:rsidR="005B536C" w:rsidRPr="00D66B27" w:rsidRDefault="003940E3">
      <w:pPr>
        <w:spacing w:after="0" w:line="240" w:lineRule="auto"/>
        <w:ind w:left="720"/>
        <w:jc w:val="both"/>
        <w:rPr>
          <w:rFonts w:ascii="Verdana" w:hAnsi="Verdana"/>
          <w:sz w:val="20"/>
          <w:szCs w:val="20"/>
        </w:rPr>
      </w:pPr>
      <w:r>
        <w:rPr>
          <w:rFonts w:ascii="Verdana" w:hAnsi="Verdana"/>
          <w:sz w:val="20"/>
          <w:szCs w:val="20"/>
        </w:rPr>
        <w:t>Pablo Saavedra Alessandri</w:t>
      </w:r>
      <w:r w:rsidR="00716377" w:rsidRPr="00D66B27">
        <w:rPr>
          <w:rFonts w:ascii="Verdana" w:hAnsi="Verdana"/>
          <w:sz w:val="20"/>
          <w:szCs w:val="20"/>
        </w:rPr>
        <w:t>, S</w:t>
      </w:r>
      <w:r>
        <w:rPr>
          <w:rFonts w:ascii="Verdana" w:hAnsi="Verdana"/>
          <w:sz w:val="20"/>
          <w:szCs w:val="20"/>
        </w:rPr>
        <w:t>ecretario</w:t>
      </w:r>
      <w:r w:rsidR="005B536C" w:rsidRPr="00D66B27">
        <w:rPr>
          <w:rFonts w:ascii="Verdana" w:hAnsi="Verdana"/>
          <w:sz w:val="20"/>
          <w:szCs w:val="20"/>
        </w:rPr>
        <w:t>,</w:t>
      </w:r>
    </w:p>
    <w:p w14:paraId="0CB494BA" w14:textId="77777777" w:rsidR="005B536C" w:rsidRPr="00D66B27" w:rsidRDefault="005B536C">
      <w:pPr>
        <w:spacing w:after="0" w:line="240" w:lineRule="auto"/>
        <w:jc w:val="both"/>
        <w:rPr>
          <w:rFonts w:ascii="Verdana" w:hAnsi="Verdana"/>
          <w:sz w:val="20"/>
          <w:szCs w:val="20"/>
        </w:rPr>
      </w:pPr>
    </w:p>
    <w:p w14:paraId="06BA5F38" w14:textId="77777777" w:rsidR="005B536C" w:rsidRPr="00D66B27" w:rsidRDefault="005B536C">
      <w:pPr>
        <w:spacing w:after="0" w:line="240" w:lineRule="auto"/>
        <w:jc w:val="both"/>
        <w:rPr>
          <w:rFonts w:ascii="Verdana" w:hAnsi="Verdana"/>
          <w:sz w:val="20"/>
          <w:szCs w:val="20"/>
        </w:rPr>
      </w:pPr>
      <w:r w:rsidRPr="00D66B27">
        <w:rPr>
          <w:rFonts w:ascii="Verdana" w:hAnsi="Verdana"/>
          <w:sz w:val="20"/>
          <w:szCs w:val="20"/>
        </w:rPr>
        <w:t>de conformidad con los artículos 62.3 y 63.1 de la Convención Americana sobre Derechos Humanos (en adelante “la Convención” o “la Convención Americana”) y con los artículos 31, 32, 65 y 67 del Reglamento de la Corte (en adelante “el Reglamento”), dicta la presente Sentencia, que se estructura en el siguiente orden:</w:t>
      </w:r>
    </w:p>
    <w:p w14:paraId="36E38AF0" w14:textId="77777777" w:rsidR="005B536C" w:rsidRPr="00D66B27" w:rsidRDefault="005B536C">
      <w:pPr>
        <w:spacing w:after="0" w:line="240" w:lineRule="auto"/>
        <w:jc w:val="both"/>
        <w:rPr>
          <w:rFonts w:ascii="Verdana" w:hAnsi="Verdana"/>
          <w:sz w:val="20"/>
          <w:szCs w:val="20"/>
        </w:rPr>
      </w:pPr>
    </w:p>
    <w:p w14:paraId="5255D761" w14:textId="77777777" w:rsidR="005B536C" w:rsidRPr="00D66B27" w:rsidRDefault="005B536C">
      <w:pPr>
        <w:spacing w:after="0" w:line="240" w:lineRule="auto"/>
        <w:rPr>
          <w:rFonts w:ascii="Verdana" w:hAnsi="Verdana" w:cs="Times New Roman"/>
          <w:sz w:val="20"/>
          <w:szCs w:val="20"/>
        </w:rPr>
      </w:pPr>
      <w:r w:rsidRPr="00D66B27">
        <w:rPr>
          <w:rFonts w:ascii="Verdana" w:hAnsi="Verdana" w:cs="Times New Roman"/>
          <w:sz w:val="20"/>
          <w:szCs w:val="20"/>
        </w:rPr>
        <w:br w:type="page"/>
      </w:r>
    </w:p>
    <w:p w14:paraId="423474F0" w14:textId="77777777" w:rsidR="005B536C" w:rsidRDefault="005B536C" w:rsidP="00756418">
      <w:pPr>
        <w:spacing w:line="240" w:lineRule="auto"/>
        <w:jc w:val="center"/>
        <w:rPr>
          <w:rFonts w:ascii="Verdana" w:hAnsi="Verdana"/>
          <w:b/>
          <w:snapToGrid w:val="0"/>
          <w:sz w:val="20"/>
          <w:szCs w:val="20"/>
          <w:lang w:eastAsia="es-ES"/>
        </w:rPr>
      </w:pPr>
      <w:r w:rsidRPr="00D66B27">
        <w:rPr>
          <w:rFonts w:ascii="Verdana" w:hAnsi="Verdana"/>
          <w:b/>
          <w:snapToGrid w:val="0"/>
          <w:sz w:val="20"/>
          <w:szCs w:val="20"/>
          <w:lang w:eastAsia="es-ES"/>
        </w:rPr>
        <w:lastRenderedPageBreak/>
        <w:t>TABLA DE CONTENIDO</w:t>
      </w:r>
    </w:p>
    <w:p w14:paraId="148E96DA" w14:textId="77777777" w:rsidR="00394303" w:rsidRDefault="00394303" w:rsidP="00756418">
      <w:pPr>
        <w:spacing w:line="240" w:lineRule="auto"/>
        <w:jc w:val="center"/>
        <w:rPr>
          <w:rFonts w:ascii="Verdana" w:hAnsi="Verdana"/>
          <w:b/>
          <w:snapToGrid w:val="0"/>
          <w:sz w:val="20"/>
          <w:szCs w:val="20"/>
          <w:lang w:eastAsia="es-ES"/>
        </w:rPr>
      </w:pPr>
    </w:p>
    <w:p w14:paraId="3D3DE06B" w14:textId="77777777" w:rsidR="00394303" w:rsidRPr="00D66B27" w:rsidRDefault="00394303" w:rsidP="00756418">
      <w:pPr>
        <w:spacing w:line="240" w:lineRule="auto"/>
        <w:jc w:val="center"/>
        <w:rPr>
          <w:rFonts w:ascii="Verdana" w:hAnsi="Verdana"/>
          <w:b/>
          <w:snapToGrid w:val="0"/>
          <w:sz w:val="20"/>
          <w:szCs w:val="20"/>
          <w:lang w:eastAsia="es-ES"/>
        </w:rPr>
      </w:pPr>
    </w:p>
    <w:sdt>
      <w:sdtPr>
        <w:rPr>
          <w:rFonts w:asciiTheme="minorHAnsi" w:hAnsiTheme="minorHAnsi"/>
          <w:b/>
          <w:bCs/>
          <w:noProof w:val="0"/>
          <w:sz w:val="22"/>
          <w:szCs w:val="20"/>
        </w:rPr>
        <w:id w:val="2141462081"/>
        <w:docPartObj>
          <w:docPartGallery w:val="Table of Contents"/>
          <w:docPartUnique/>
        </w:docPartObj>
      </w:sdtPr>
      <w:sdtEndPr>
        <w:rPr>
          <w:b w:val="0"/>
          <w:bCs w:val="0"/>
        </w:rPr>
      </w:sdtEndPr>
      <w:sdtContent>
        <w:p w14:paraId="6942FA2D" w14:textId="77777777" w:rsidR="00854C05" w:rsidRPr="00394303" w:rsidRDefault="005B536C" w:rsidP="00B26AA3">
          <w:pPr>
            <w:pStyle w:val="TDC1"/>
            <w:rPr>
              <w:rFonts w:asciiTheme="minorHAnsi" w:eastAsiaTheme="minorEastAsia" w:hAnsiTheme="minorHAnsi"/>
              <w:sz w:val="24"/>
              <w:lang w:eastAsia="es-CR"/>
            </w:rPr>
          </w:pPr>
          <w:r w:rsidRPr="00394303">
            <w:rPr>
              <w:noProof w:val="0"/>
              <w:szCs w:val="20"/>
            </w:rPr>
            <w:fldChar w:fldCharType="begin"/>
          </w:r>
          <w:r w:rsidRPr="00394303">
            <w:rPr>
              <w:noProof w:val="0"/>
              <w:szCs w:val="20"/>
            </w:rPr>
            <w:instrText xml:space="preserve"> TOC \o "1-3" \h \z \u </w:instrText>
          </w:r>
          <w:r w:rsidRPr="00394303">
            <w:rPr>
              <w:noProof w:val="0"/>
              <w:szCs w:val="20"/>
            </w:rPr>
            <w:fldChar w:fldCharType="separate"/>
          </w:r>
          <w:hyperlink w:anchor="_Toc528084356" w:history="1">
            <w:r w:rsidR="00854C05" w:rsidRPr="00394303">
              <w:rPr>
                <w:rStyle w:val="Hipervnculo"/>
                <w:sz w:val="20"/>
              </w:rPr>
              <w:t>I INTRODUCCIÓN DE LA CAUSA Y OBJETO DE LA CONTROVERSIA</w:t>
            </w:r>
            <w:r w:rsidR="00854C05" w:rsidRPr="00394303">
              <w:rPr>
                <w:webHidden/>
              </w:rPr>
              <w:tab/>
            </w:r>
            <w:r w:rsidR="00854C05" w:rsidRPr="00394303">
              <w:rPr>
                <w:webHidden/>
              </w:rPr>
              <w:fldChar w:fldCharType="begin"/>
            </w:r>
            <w:r w:rsidR="00854C05" w:rsidRPr="00394303">
              <w:rPr>
                <w:webHidden/>
              </w:rPr>
              <w:instrText xml:space="preserve"> PAGEREF _Toc528084356 \h </w:instrText>
            </w:r>
            <w:r w:rsidR="00854C05" w:rsidRPr="00394303">
              <w:rPr>
                <w:webHidden/>
              </w:rPr>
            </w:r>
            <w:r w:rsidR="00854C05" w:rsidRPr="00394303">
              <w:rPr>
                <w:webHidden/>
              </w:rPr>
              <w:fldChar w:fldCharType="separate"/>
            </w:r>
            <w:r w:rsidR="009D6540">
              <w:rPr>
                <w:webHidden/>
              </w:rPr>
              <w:t>3</w:t>
            </w:r>
            <w:r w:rsidR="00854C05" w:rsidRPr="00394303">
              <w:rPr>
                <w:webHidden/>
              </w:rPr>
              <w:fldChar w:fldCharType="end"/>
            </w:r>
          </w:hyperlink>
        </w:p>
        <w:p w14:paraId="631CFDE4" w14:textId="30C61221" w:rsidR="00854C05" w:rsidRPr="00394303" w:rsidRDefault="00854C05" w:rsidP="00B26AA3">
          <w:pPr>
            <w:pStyle w:val="TDC1"/>
            <w:rPr>
              <w:rStyle w:val="Hipervnculo"/>
              <w:sz w:val="20"/>
            </w:rPr>
          </w:pPr>
        </w:p>
        <w:p w14:paraId="49848CCE" w14:textId="77777777" w:rsidR="00854C05" w:rsidRPr="00394303" w:rsidRDefault="00BF0AAD" w:rsidP="00B26AA3">
          <w:pPr>
            <w:pStyle w:val="TDC1"/>
            <w:rPr>
              <w:rFonts w:asciiTheme="minorHAnsi" w:eastAsiaTheme="minorEastAsia" w:hAnsiTheme="minorHAnsi"/>
              <w:sz w:val="24"/>
              <w:lang w:eastAsia="es-CR"/>
            </w:rPr>
          </w:pPr>
          <w:hyperlink w:anchor="_Toc528084357" w:history="1">
            <w:r w:rsidR="00854C05" w:rsidRPr="00394303">
              <w:rPr>
                <w:rStyle w:val="Hipervnculo"/>
                <w:sz w:val="20"/>
              </w:rPr>
              <w:t>II PROCEDIMIENTO ANTE LA CORTE</w:t>
            </w:r>
            <w:r w:rsidR="00854C05" w:rsidRPr="00394303">
              <w:rPr>
                <w:webHidden/>
              </w:rPr>
              <w:tab/>
            </w:r>
            <w:r w:rsidR="00854C05" w:rsidRPr="00394303">
              <w:rPr>
                <w:webHidden/>
              </w:rPr>
              <w:fldChar w:fldCharType="begin"/>
            </w:r>
            <w:r w:rsidR="00854C05" w:rsidRPr="00394303">
              <w:rPr>
                <w:webHidden/>
              </w:rPr>
              <w:instrText xml:space="preserve"> PAGEREF _Toc528084357 \h </w:instrText>
            </w:r>
            <w:r w:rsidR="00854C05" w:rsidRPr="00394303">
              <w:rPr>
                <w:webHidden/>
              </w:rPr>
            </w:r>
            <w:r w:rsidR="00854C05" w:rsidRPr="00394303">
              <w:rPr>
                <w:webHidden/>
              </w:rPr>
              <w:fldChar w:fldCharType="separate"/>
            </w:r>
            <w:r w:rsidR="009D6540">
              <w:rPr>
                <w:webHidden/>
              </w:rPr>
              <w:t>4</w:t>
            </w:r>
            <w:r w:rsidR="00854C05" w:rsidRPr="00394303">
              <w:rPr>
                <w:webHidden/>
              </w:rPr>
              <w:fldChar w:fldCharType="end"/>
            </w:r>
          </w:hyperlink>
        </w:p>
        <w:p w14:paraId="77467CB3" w14:textId="77777777" w:rsidR="00854C05" w:rsidRPr="00394303" w:rsidRDefault="00854C05" w:rsidP="00B26AA3">
          <w:pPr>
            <w:pStyle w:val="TDC1"/>
            <w:rPr>
              <w:rStyle w:val="Hipervnculo"/>
              <w:sz w:val="20"/>
            </w:rPr>
          </w:pPr>
        </w:p>
        <w:p w14:paraId="7D1A895B" w14:textId="77777777" w:rsidR="00854C05" w:rsidRPr="00394303" w:rsidRDefault="00BF0AAD" w:rsidP="00B26AA3">
          <w:pPr>
            <w:pStyle w:val="TDC1"/>
            <w:rPr>
              <w:rFonts w:asciiTheme="minorHAnsi" w:eastAsiaTheme="minorEastAsia" w:hAnsiTheme="minorHAnsi"/>
              <w:sz w:val="24"/>
              <w:lang w:eastAsia="es-CR"/>
            </w:rPr>
          </w:pPr>
          <w:hyperlink w:anchor="_Toc528084358" w:history="1">
            <w:r w:rsidR="00854C05" w:rsidRPr="00394303">
              <w:rPr>
                <w:rStyle w:val="Hipervnculo"/>
                <w:sz w:val="20"/>
              </w:rPr>
              <w:t>III COMPETENCIA</w:t>
            </w:r>
            <w:r w:rsidR="00854C05" w:rsidRPr="00394303">
              <w:rPr>
                <w:webHidden/>
              </w:rPr>
              <w:tab/>
            </w:r>
            <w:r w:rsidR="00854C05" w:rsidRPr="00394303">
              <w:rPr>
                <w:webHidden/>
              </w:rPr>
              <w:fldChar w:fldCharType="begin"/>
            </w:r>
            <w:r w:rsidR="00854C05" w:rsidRPr="00394303">
              <w:rPr>
                <w:webHidden/>
              </w:rPr>
              <w:instrText xml:space="preserve"> PAGEREF _Toc528084358 \h </w:instrText>
            </w:r>
            <w:r w:rsidR="00854C05" w:rsidRPr="00394303">
              <w:rPr>
                <w:webHidden/>
              </w:rPr>
            </w:r>
            <w:r w:rsidR="00854C05" w:rsidRPr="00394303">
              <w:rPr>
                <w:webHidden/>
              </w:rPr>
              <w:fldChar w:fldCharType="separate"/>
            </w:r>
            <w:r w:rsidR="009D6540">
              <w:rPr>
                <w:webHidden/>
              </w:rPr>
              <w:t>6</w:t>
            </w:r>
            <w:r w:rsidR="00854C05" w:rsidRPr="00394303">
              <w:rPr>
                <w:webHidden/>
              </w:rPr>
              <w:fldChar w:fldCharType="end"/>
            </w:r>
          </w:hyperlink>
        </w:p>
        <w:p w14:paraId="544EA30F" w14:textId="77777777" w:rsidR="00854C05" w:rsidRPr="00394303" w:rsidRDefault="00854C05" w:rsidP="00B26AA3">
          <w:pPr>
            <w:pStyle w:val="TDC1"/>
            <w:rPr>
              <w:rStyle w:val="Hipervnculo"/>
              <w:sz w:val="20"/>
            </w:rPr>
          </w:pPr>
        </w:p>
        <w:p w14:paraId="7E14760B" w14:textId="77777777" w:rsidR="00854C05" w:rsidRPr="00394303" w:rsidRDefault="00BF0AAD" w:rsidP="00B26AA3">
          <w:pPr>
            <w:pStyle w:val="TDC1"/>
            <w:rPr>
              <w:rFonts w:asciiTheme="minorHAnsi" w:eastAsiaTheme="minorEastAsia" w:hAnsiTheme="minorHAnsi"/>
              <w:sz w:val="24"/>
              <w:lang w:eastAsia="es-CR"/>
            </w:rPr>
          </w:pPr>
          <w:hyperlink w:anchor="_Toc528084359" w:history="1">
            <w:r w:rsidR="00854C05" w:rsidRPr="00394303">
              <w:rPr>
                <w:rStyle w:val="Hipervnculo"/>
                <w:sz w:val="20"/>
              </w:rPr>
              <w:t>IV RECONOCIMIENTO DE RESPONSABILIDAD INTERNACIONAL DEL ESTADO</w:t>
            </w:r>
            <w:r w:rsidR="00854C05" w:rsidRPr="00394303">
              <w:rPr>
                <w:webHidden/>
              </w:rPr>
              <w:tab/>
            </w:r>
            <w:r w:rsidR="00854C05" w:rsidRPr="00394303">
              <w:rPr>
                <w:webHidden/>
              </w:rPr>
              <w:fldChar w:fldCharType="begin"/>
            </w:r>
            <w:r w:rsidR="00854C05" w:rsidRPr="00394303">
              <w:rPr>
                <w:webHidden/>
              </w:rPr>
              <w:instrText xml:space="preserve"> PAGEREF _Toc528084359 \h </w:instrText>
            </w:r>
            <w:r w:rsidR="00854C05" w:rsidRPr="00394303">
              <w:rPr>
                <w:webHidden/>
              </w:rPr>
            </w:r>
            <w:r w:rsidR="00854C05" w:rsidRPr="00394303">
              <w:rPr>
                <w:webHidden/>
              </w:rPr>
              <w:fldChar w:fldCharType="separate"/>
            </w:r>
            <w:r w:rsidR="009D6540">
              <w:rPr>
                <w:webHidden/>
              </w:rPr>
              <w:t>6</w:t>
            </w:r>
            <w:r w:rsidR="00854C05" w:rsidRPr="00394303">
              <w:rPr>
                <w:webHidden/>
              </w:rPr>
              <w:fldChar w:fldCharType="end"/>
            </w:r>
          </w:hyperlink>
        </w:p>
        <w:p w14:paraId="7F06CD45" w14:textId="77777777" w:rsidR="00854C05" w:rsidRPr="00394303" w:rsidRDefault="00854C05" w:rsidP="00B26AA3">
          <w:pPr>
            <w:pStyle w:val="TDC1"/>
            <w:rPr>
              <w:rStyle w:val="Hipervnculo"/>
              <w:sz w:val="20"/>
            </w:rPr>
          </w:pPr>
        </w:p>
        <w:p w14:paraId="72018C4A" w14:textId="77777777" w:rsidR="00854C05" w:rsidRPr="00394303" w:rsidRDefault="00BF0AAD" w:rsidP="00B26AA3">
          <w:pPr>
            <w:pStyle w:val="TDC1"/>
            <w:rPr>
              <w:rFonts w:asciiTheme="minorHAnsi" w:eastAsiaTheme="minorEastAsia" w:hAnsiTheme="minorHAnsi"/>
              <w:sz w:val="24"/>
              <w:lang w:eastAsia="es-CR"/>
            </w:rPr>
          </w:pPr>
          <w:hyperlink w:anchor="_Toc528084360" w:history="1">
            <w:r w:rsidR="00854C05" w:rsidRPr="00394303">
              <w:rPr>
                <w:rStyle w:val="Hipervnculo"/>
                <w:sz w:val="20"/>
              </w:rPr>
              <w:t>V HECHOS</w:t>
            </w:r>
            <w:r w:rsidR="00854C05" w:rsidRPr="00394303">
              <w:rPr>
                <w:webHidden/>
              </w:rPr>
              <w:tab/>
            </w:r>
            <w:r w:rsidR="00854C05" w:rsidRPr="00394303">
              <w:rPr>
                <w:webHidden/>
              </w:rPr>
              <w:fldChar w:fldCharType="begin"/>
            </w:r>
            <w:r w:rsidR="00854C05" w:rsidRPr="00394303">
              <w:rPr>
                <w:webHidden/>
              </w:rPr>
              <w:instrText xml:space="preserve"> PAGEREF _Toc528084360 \h </w:instrText>
            </w:r>
            <w:r w:rsidR="00854C05" w:rsidRPr="00394303">
              <w:rPr>
                <w:webHidden/>
              </w:rPr>
            </w:r>
            <w:r w:rsidR="00854C05" w:rsidRPr="00394303">
              <w:rPr>
                <w:webHidden/>
              </w:rPr>
              <w:fldChar w:fldCharType="separate"/>
            </w:r>
            <w:r w:rsidR="009D6540">
              <w:rPr>
                <w:webHidden/>
              </w:rPr>
              <w:t>12</w:t>
            </w:r>
            <w:r w:rsidR="00854C05" w:rsidRPr="00394303">
              <w:rPr>
                <w:webHidden/>
              </w:rPr>
              <w:fldChar w:fldCharType="end"/>
            </w:r>
          </w:hyperlink>
        </w:p>
        <w:p w14:paraId="0B6BCA82" w14:textId="77777777" w:rsidR="00854C05" w:rsidRPr="00394303" w:rsidRDefault="00854C05" w:rsidP="00B26AA3">
          <w:pPr>
            <w:pStyle w:val="TDC1"/>
            <w:rPr>
              <w:rStyle w:val="Hipervnculo"/>
              <w:sz w:val="20"/>
            </w:rPr>
          </w:pPr>
        </w:p>
        <w:p w14:paraId="406FDC4F" w14:textId="3E75B220" w:rsidR="00854C05" w:rsidRPr="00394303" w:rsidRDefault="00BF0AAD" w:rsidP="00B26AA3">
          <w:pPr>
            <w:pStyle w:val="TDC1"/>
            <w:rPr>
              <w:rFonts w:asciiTheme="minorHAnsi" w:eastAsiaTheme="minorEastAsia" w:hAnsiTheme="minorHAnsi"/>
              <w:sz w:val="24"/>
              <w:lang w:eastAsia="es-CR"/>
            </w:rPr>
          </w:pPr>
          <w:hyperlink w:anchor="_Toc528084361" w:history="1">
            <w:r w:rsidR="00854C05" w:rsidRPr="00394303">
              <w:rPr>
                <w:rStyle w:val="Hipervnculo"/>
                <w:sz w:val="20"/>
              </w:rPr>
              <w:t>VI FONDO</w:t>
            </w:r>
            <w:r w:rsidR="00854C05" w:rsidRPr="00394303">
              <w:rPr>
                <w:webHidden/>
              </w:rPr>
              <w:tab/>
            </w:r>
            <w:r w:rsidR="00854C05" w:rsidRPr="00394303">
              <w:rPr>
                <w:webHidden/>
              </w:rPr>
              <w:fldChar w:fldCharType="begin"/>
            </w:r>
            <w:r w:rsidR="00854C05" w:rsidRPr="00394303">
              <w:rPr>
                <w:webHidden/>
              </w:rPr>
              <w:instrText xml:space="preserve"> PAGEREF _Toc528084361 \h </w:instrText>
            </w:r>
            <w:r w:rsidR="00854C05" w:rsidRPr="00394303">
              <w:rPr>
                <w:webHidden/>
              </w:rPr>
            </w:r>
            <w:r w:rsidR="00854C05" w:rsidRPr="00394303">
              <w:rPr>
                <w:webHidden/>
              </w:rPr>
              <w:fldChar w:fldCharType="separate"/>
            </w:r>
            <w:r w:rsidR="009D6540">
              <w:rPr>
                <w:webHidden/>
              </w:rPr>
              <w:t>16</w:t>
            </w:r>
            <w:r w:rsidR="00854C05" w:rsidRPr="00394303">
              <w:rPr>
                <w:webHidden/>
              </w:rPr>
              <w:fldChar w:fldCharType="end"/>
            </w:r>
          </w:hyperlink>
        </w:p>
        <w:p w14:paraId="1E638C0E" w14:textId="77777777" w:rsidR="00854C05" w:rsidRPr="00394303" w:rsidRDefault="00BF0AAD" w:rsidP="00B26AA3">
          <w:pPr>
            <w:pStyle w:val="TDC1"/>
            <w:ind w:firstLine="0"/>
            <w:rPr>
              <w:rFonts w:asciiTheme="minorHAnsi" w:eastAsiaTheme="minorEastAsia" w:hAnsiTheme="minorHAnsi"/>
              <w:sz w:val="22"/>
              <w:lang w:eastAsia="es-CR"/>
            </w:rPr>
          </w:pPr>
          <w:hyperlink w:anchor="_Toc528084362" w:history="1">
            <w:r w:rsidR="00854C05" w:rsidRPr="00394303">
              <w:rPr>
                <w:rStyle w:val="Hipervnculo"/>
                <w:sz w:val="20"/>
              </w:rPr>
              <w:t>DERECHOS A LAS GARANTÍAS JUDICIALES Y A LA PROTECCIÓN JUDICIAL  (ARTÍCULOS 1.1, 2, 8.1 y 25 DE LA CONVENCIÓN AMERICANA)</w:t>
            </w:r>
            <w:r w:rsidR="00854C05" w:rsidRPr="00394303">
              <w:rPr>
                <w:webHidden/>
              </w:rPr>
              <w:tab/>
            </w:r>
            <w:r w:rsidR="00854C05" w:rsidRPr="00394303">
              <w:rPr>
                <w:webHidden/>
              </w:rPr>
              <w:fldChar w:fldCharType="begin"/>
            </w:r>
            <w:r w:rsidR="00854C05" w:rsidRPr="00394303">
              <w:rPr>
                <w:webHidden/>
              </w:rPr>
              <w:instrText xml:space="preserve"> PAGEREF _Toc528084362 \h </w:instrText>
            </w:r>
            <w:r w:rsidR="00854C05" w:rsidRPr="00394303">
              <w:rPr>
                <w:webHidden/>
              </w:rPr>
            </w:r>
            <w:r w:rsidR="00854C05" w:rsidRPr="00394303">
              <w:rPr>
                <w:webHidden/>
              </w:rPr>
              <w:fldChar w:fldCharType="separate"/>
            </w:r>
            <w:r w:rsidR="009D6540">
              <w:rPr>
                <w:webHidden/>
              </w:rPr>
              <w:t>16</w:t>
            </w:r>
            <w:r w:rsidR="00854C05" w:rsidRPr="00394303">
              <w:rPr>
                <w:webHidden/>
              </w:rPr>
              <w:fldChar w:fldCharType="end"/>
            </w:r>
          </w:hyperlink>
        </w:p>
        <w:p w14:paraId="263FA41B" w14:textId="77777777" w:rsidR="00854C05" w:rsidRPr="00394303" w:rsidRDefault="00854C05" w:rsidP="00B26AA3">
          <w:pPr>
            <w:pStyle w:val="TDC1"/>
            <w:rPr>
              <w:rStyle w:val="Hipervnculo"/>
              <w:sz w:val="20"/>
            </w:rPr>
          </w:pPr>
        </w:p>
        <w:p w14:paraId="6C00C841" w14:textId="2B2F159D" w:rsidR="00854C05" w:rsidRPr="00394303" w:rsidRDefault="00BF0AAD" w:rsidP="00B26AA3">
          <w:pPr>
            <w:pStyle w:val="TDC1"/>
            <w:rPr>
              <w:rFonts w:asciiTheme="minorHAnsi" w:eastAsiaTheme="minorEastAsia" w:hAnsiTheme="minorHAnsi"/>
              <w:sz w:val="24"/>
              <w:lang w:eastAsia="es-CR"/>
            </w:rPr>
          </w:pPr>
          <w:hyperlink w:anchor="_Toc528084363" w:history="1">
            <w:r w:rsidR="00854C05" w:rsidRPr="00394303">
              <w:rPr>
                <w:rStyle w:val="Hipervnculo"/>
                <w:sz w:val="20"/>
              </w:rPr>
              <w:t>VII   REPARACIONES</w:t>
            </w:r>
            <w:r w:rsidR="00854C05" w:rsidRPr="00394303">
              <w:rPr>
                <w:webHidden/>
              </w:rPr>
              <w:tab/>
            </w:r>
            <w:r w:rsidR="00854C05" w:rsidRPr="00394303">
              <w:rPr>
                <w:webHidden/>
              </w:rPr>
              <w:fldChar w:fldCharType="begin"/>
            </w:r>
            <w:r w:rsidR="00854C05" w:rsidRPr="00394303">
              <w:rPr>
                <w:webHidden/>
              </w:rPr>
              <w:instrText xml:space="preserve"> PAGEREF _Toc528084363 \h </w:instrText>
            </w:r>
            <w:r w:rsidR="00854C05" w:rsidRPr="00394303">
              <w:rPr>
                <w:webHidden/>
              </w:rPr>
            </w:r>
            <w:r w:rsidR="00854C05" w:rsidRPr="00394303">
              <w:rPr>
                <w:webHidden/>
              </w:rPr>
              <w:fldChar w:fldCharType="separate"/>
            </w:r>
            <w:r w:rsidR="009D6540">
              <w:rPr>
                <w:webHidden/>
              </w:rPr>
              <w:t>16</w:t>
            </w:r>
            <w:r w:rsidR="00854C05" w:rsidRPr="00394303">
              <w:rPr>
                <w:webHidden/>
              </w:rPr>
              <w:fldChar w:fldCharType="end"/>
            </w:r>
          </w:hyperlink>
        </w:p>
        <w:p w14:paraId="750F5747" w14:textId="77777777" w:rsidR="00854C05" w:rsidRPr="00394303" w:rsidRDefault="00BF0AAD" w:rsidP="00854C05">
          <w:pPr>
            <w:pStyle w:val="TDC2"/>
            <w:spacing w:after="0" w:line="240" w:lineRule="auto"/>
            <w:ind w:left="221"/>
            <w:rPr>
              <w:rFonts w:asciiTheme="minorHAnsi" w:eastAsiaTheme="minorEastAsia" w:hAnsiTheme="minorHAnsi" w:cstheme="minorBidi"/>
              <w:bCs w:val="0"/>
              <w:i w:val="0"/>
              <w:iCs w:val="0"/>
              <w:sz w:val="22"/>
              <w:szCs w:val="22"/>
              <w:lang w:val="es-CR" w:eastAsia="es-CR"/>
            </w:rPr>
          </w:pPr>
          <w:hyperlink w:anchor="_Toc528084364" w:history="1">
            <w:r w:rsidR="00854C05" w:rsidRPr="00394303">
              <w:rPr>
                <w:rStyle w:val="Hipervnculo"/>
                <w:lang w:val="es-CR"/>
              </w:rPr>
              <w:t>A.</w:t>
            </w:r>
            <w:r w:rsidR="00854C05" w:rsidRPr="00394303">
              <w:rPr>
                <w:rFonts w:asciiTheme="minorHAnsi" w:eastAsiaTheme="minorEastAsia" w:hAnsiTheme="minorHAnsi" w:cstheme="minorBidi"/>
                <w:bCs w:val="0"/>
                <w:i w:val="0"/>
                <w:iCs w:val="0"/>
                <w:sz w:val="22"/>
                <w:szCs w:val="22"/>
                <w:lang w:val="es-CR" w:eastAsia="es-CR"/>
              </w:rPr>
              <w:tab/>
            </w:r>
            <w:r w:rsidR="00854C05" w:rsidRPr="00394303">
              <w:rPr>
                <w:rStyle w:val="Hipervnculo"/>
                <w:lang w:val="es-CR"/>
              </w:rPr>
              <w:t>Parte lesionada</w:t>
            </w:r>
            <w:r w:rsidR="00854C05" w:rsidRPr="00394303">
              <w:rPr>
                <w:webHidden/>
                <w:lang w:val="es-CR"/>
              </w:rPr>
              <w:tab/>
            </w:r>
            <w:r w:rsidR="00854C05" w:rsidRPr="00394303">
              <w:rPr>
                <w:webHidden/>
                <w:lang w:val="es-CR"/>
              </w:rPr>
              <w:fldChar w:fldCharType="begin"/>
            </w:r>
            <w:r w:rsidR="00854C05" w:rsidRPr="00394303">
              <w:rPr>
                <w:webHidden/>
                <w:lang w:val="es-CR"/>
              </w:rPr>
              <w:instrText xml:space="preserve"> PAGEREF _Toc528084364 \h </w:instrText>
            </w:r>
            <w:r w:rsidR="00854C05" w:rsidRPr="00394303">
              <w:rPr>
                <w:webHidden/>
                <w:lang w:val="es-CR"/>
              </w:rPr>
            </w:r>
            <w:r w:rsidR="00854C05" w:rsidRPr="00394303">
              <w:rPr>
                <w:webHidden/>
                <w:lang w:val="es-CR"/>
              </w:rPr>
              <w:fldChar w:fldCharType="separate"/>
            </w:r>
            <w:r w:rsidR="009D6540">
              <w:rPr>
                <w:webHidden/>
                <w:lang w:val="es-CR"/>
              </w:rPr>
              <w:t>16</w:t>
            </w:r>
            <w:r w:rsidR="00854C05" w:rsidRPr="00394303">
              <w:rPr>
                <w:webHidden/>
                <w:lang w:val="es-CR"/>
              </w:rPr>
              <w:fldChar w:fldCharType="end"/>
            </w:r>
          </w:hyperlink>
        </w:p>
        <w:p w14:paraId="68942DC2" w14:textId="77777777" w:rsidR="00854C05" w:rsidRPr="00394303" w:rsidRDefault="00BF0AAD" w:rsidP="00854C05">
          <w:pPr>
            <w:pStyle w:val="TDC2"/>
            <w:spacing w:after="0" w:line="240" w:lineRule="auto"/>
            <w:ind w:left="221"/>
            <w:rPr>
              <w:rFonts w:asciiTheme="minorHAnsi" w:eastAsiaTheme="minorEastAsia" w:hAnsiTheme="minorHAnsi" w:cstheme="minorBidi"/>
              <w:bCs w:val="0"/>
              <w:i w:val="0"/>
              <w:iCs w:val="0"/>
              <w:sz w:val="22"/>
              <w:szCs w:val="22"/>
              <w:lang w:val="es-CR" w:eastAsia="es-CR"/>
            </w:rPr>
          </w:pPr>
          <w:hyperlink w:anchor="_Toc528084365" w:history="1">
            <w:r w:rsidR="00854C05" w:rsidRPr="00394303">
              <w:rPr>
                <w:rStyle w:val="Hipervnculo"/>
                <w:lang w:val="es-CR"/>
              </w:rPr>
              <w:t>B.</w:t>
            </w:r>
            <w:r w:rsidR="00854C05" w:rsidRPr="00394303">
              <w:rPr>
                <w:rFonts w:asciiTheme="minorHAnsi" w:eastAsiaTheme="minorEastAsia" w:hAnsiTheme="minorHAnsi" w:cstheme="minorBidi"/>
                <w:bCs w:val="0"/>
                <w:i w:val="0"/>
                <w:iCs w:val="0"/>
                <w:sz w:val="22"/>
                <w:szCs w:val="22"/>
                <w:lang w:val="es-CR" w:eastAsia="es-CR"/>
              </w:rPr>
              <w:tab/>
            </w:r>
            <w:r w:rsidR="00854C05" w:rsidRPr="00394303">
              <w:rPr>
                <w:rStyle w:val="Hipervnculo"/>
                <w:lang w:val="es-CR"/>
              </w:rPr>
              <w:t>Indemnización compensatoria</w:t>
            </w:r>
            <w:r w:rsidR="00854C05" w:rsidRPr="00394303">
              <w:rPr>
                <w:webHidden/>
                <w:lang w:val="es-CR"/>
              </w:rPr>
              <w:tab/>
            </w:r>
            <w:r w:rsidR="00854C05" w:rsidRPr="00394303">
              <w:rPr>
                <w:webHidden/>
                <w:lang w:val="es-CR"/>
              </w:rPr>
              <w:fldChar w:fldCharType="begin"/>
            </w:r>
            <w:r w:rsidR="00854C05" w:rsidRPr="00394303">
              <w:rPr>
                <w:webHidden/>
                <w:lang w:val="es-CR"/>
              </w:rPr>
              <w:instrText xml:space="preserve"> PAGEREF _Toc528084365 \h </w:instrText>
            </w:r>
            <w:r w:rsidR="00854C05" w:rsidRPr="00394303">
              <w:rPr>
                <w:webHidden/>
                <w:lang w:val="es-CR"/>
              </w:rPr>
            </w:r>
            <w:r w:rsidR="00854C05" w:rsidRPr="00394303">
              <w:rPr>
                <w:webHidden/>
                <w:lang w:val="es-CR"/>
              </w:rPr>
              <w:fldChar w:fldCharType="separate"/>
            </w:r>
            <w:r w:rsidR="009D6540">
              <w:rPr>
                <w:webHidden/>
                <w:lang w:val="es-CR"/>
              </w:rPr>
              <w:t>16</w:t>
            </w:r>
            <w:r w:rsidR="00854C05" w:rsidRPr="00394303">
              <w:rPr>
                <w:webHidden/>
                <w:lang w:val="es-CR"/>
              </w:rPr>
              <w:fldChar w:fldCharType="end"/>
            </w:r>
          </w:hyperlink>
        </w:p>
        <w:p w14:paraId="17AC6C22" w14:textId="77777777" w:rsidR="00854C05" w:rsidRPr="00394303" w:rsidRDefault="00BF0AAD" w:rsidP="00854C05">
          <w:pPr>
            <w:pStyle w:val="TDC2"/>
            <w:spacing w:after="0" w:line="240" w:lineRule="auto"/>
            <w:ind w:left="221"/>
            <w:rPr>
              <w:rFonts w:asciiTheme="minorHAnsi" w:eastAsiaTheme="minorEastAsia" w:hAnsiTheme="minorHAnsi" w:cstheme="minorBidi"/>
              <w:bCs w:val="0"/>
              <w:i w:val="0"/>
              <w:iCs w:val="0"/>
              <w:sz w:val="22"/>
              <w:szCs w:val="22"/>
              <w:lang w:val="es-CR" w:eastAsia="es-CR"/>
            </w:rPr>
          </w:pPr>
          <w:hyperlink w:anchor="_Toc528084366" w:history="1">
            <w:r w:rsidR="00854C05" w:rsidRPr="00394303">
              <w:rPr>
                <w:rStyle w:val="Hipervnculo"/>
                <w:lang w:val="es-CR"/>
              </w:rPr>
              <w:t>C.</w:t>
            </w:r>
            <w:r w:rsidR="00854C05" w:rsidRPr="00394303">
              <w:rPr>
                <w:rFonts w:asciiTheme="minorHAnsi" w:eastAsiaTheme="minorEastAsia" w:hAnsiTheme="minorHAnsi" w:cstheme="minorBidi"/>
                <w:bCs w:val="0"/>
                <w:i w:val="0"/>
                <w:iCs w:val="0"/>
                <w:sz w:val="22"/>
                <w:szCs w:val="22"/>
                <w:lang w:val="es-CR" w:eastAsia="es-CR"/>
              </w:rPr>
              <w:tab/>
            </w:r>
            <w:r w:rsidR="00854C05" w:rsidRPr="00394303">
              <w:rPr>
                <w:rStyle w:val="Hipervnculo"/>
                <w:lang w:val="es-CR"/>
              </w:rPr>
              <w:t>Medida de satisfacción (publicación y difusión de la sentencia)</w:t>
            </w:r>
            <w:r w:rsidR="00854C05" w:rsidRPr="00394303">
              <w:rPr>
                <w:webHidden/>
                <w:lang w:val="es-CR"/>
              </w:rPr>
              <w:tab/>
            </w:r>
            <w:r w:rsidR="00854C05" w:rsidRPr="00394303">
              <w:rPr>
                <w:webHidden/>
                <w:lang w:val="es-CR"/>
              </w:rPr>
              <w:fldChar w:fldCharType="begin"/>
            </w:r>
            <w:r w:rsidR="00854C05" w:rsidRPr="00394303">
              <w:rPr>
                <w:webHidden/>
                <w:lang w:val="es-CR"/>
              </w:rPr>
              <w:instrText xml:space="preserve"> PAGEREF _Toc528084366 \h </w:instrText>
            </w:r>
            <w:r w:rsidR="00854C05" w:rsidRPr="00394303">
              <w:rPr>
                <w:webHidden/>
                <w:lang w:val="es-CR"/>
              </w:rPr>
            </w:r>
            <w:r w:rsidR="00854C05" w:rsidRPr="00394303">
              <w:rPr>
                <w:webHidden/>
                <w:lang w:val="es-CR"/>
              </w:rPr>
              <w:fldChar w:fldCharType="separate"/>
            </w:r>
            <w:r w:rsidR="009D6540">
              <w:rPr>
                <w:webHidden/>
                <w:lang w:val="es-CR"/>
              </w:rPr>
              <w:t>16</w:t>
            </w:r>
            <w:r w:rsidR="00854C05" w:rsidRPr="00394303">
              <w:rPr>
                <w:webHidden/>
                <w:lang w:val="es-CR"/>
              </w:rPr>
              <w:fldChar w:fldCharType="end"/>
            </w:r>
          </w:hyperlink>
        </w:p>
        <w:p w14:paraId="4CBD031B" w14:textId="77777777" w:rsidR="00854C05" w:rsidRPr="00394303" w:rsidRDefault="00BF0AAD" w:rsidP="00854C05">
          <w:pPr>
            <w:pStyle w:val="TDC2"/>
            <w:spacing w:after="0" w:line="240" w:lineRule="auto"/>
            <w:ind w:left="221"/>
            <w:rPr>
              <w:rFonts w:asciiTheme="minorHAnsi" w:eastAsiaTheme="minorEastAsia" w:hAnsiTheme="minorHAnsi" w:cstheme="minorBidi"/>
              <w:bCs w:val="0"/>
              <w:i w:val="0"/>
              <w:iCs w:val="0"/>
              <w:sz w:val="22"/>
              <w:szCs w:val="22"/>
              <w:lang w:val="es-CR" w:eastAsia="es-CR"/>
            </w:rPr>
          </w:pPr>
          <w:hyperlink w:anchor="_Toc528084367" w:history="1">
            <w:r w:rsidR="00854C05" w:rsidRPr="00394303">
              <w:rPr>
                <w:rStyle w:val="Hipervnculo"/>
                <w:lang w:val="es-CR"/>
              </w:rPr>
              <w:t>D.</w:t>
            </w:r>
            <w:r w:rsidR="00854C05" w:rsidRPr="00394303">
              <w:rPr>
                <w:rFonts w:asciiTheme="minorHAnsi" w:eastAsiaTheme="minorEastAsia" w:hAnsiTheme="minorHAnsi" w:cstheme="minorBidi"/>
                <w:bCs w:val="0"/>
                <w:i w:val="0"/>
                <w:iCs w:val="0"/>
                <w:sz w:val="22"/>
                <w:szCs w:val="22"/>
                <w:lang w:val="es-CR" w:eastAsia="es-CR"/>
              </w:rPr>
              <w:tab/>
            </w:r>
            <w:r w:rsidR="00854C05" w:rsidRPr="00394303">
              <w:rPr>
                <w:rStyle w:val="Hipervnculo"/>
                <w:lang w:val="es-CR"/>
              </w:rPr>
              <w:t>Otras medidas solicitadas</w:t>
            </w:r>
            <w:r w:rsidR="00854C05" w:rsidRPr="00394303">
              <w:rPr>
                <w:webHidden/>
                <w:lang w:val="es-CR"/>
              </w:rPr>
              <w:tab/>
            </w:r>
            <w:r w:rsidR="00854C05" w:rsidRPr="00394303">
              <w:rPr>
                <w:webHidden/>
                <w:lang w:val="es-CR"/>
              </w:rPr>
              <w:fldChar w:fldCharType="begin"/>
            </w:r>
            <w:r w:rsidR="00854C05" w:rsidRPr="00394303">
              <w:rPr>
                <w:webHidden/>
                <w:lang w:val="es-CR"/>
              </w:rPr>
              <w:instrText xml:space="preserve"> PAGEREF _Toc528084367 \h </w:instrText>
            </w:r>
            <w:r w:rsidR="00854C05" w:rsidRPr="00394303">
              <w:rPr>
                <w:webHidden/>
                <w:lang w:val="es-CR"/>
              </w:rPr>
            </w:r>
            <w:r w:rsidR="00854C05" w:rsidRPr="00394303">
              <w:rPr>
                <w:webHidden/>
                <w:lang w:val="es-CR"/>
              </w:rPr>
              <w:fldChar w:fldCharType="separate"/>
            </w:r>
            <w:r w:rsidR="009D6540">
              <w:rPr>
                <w:webHidden/>
                <w:lang w:val="es-CR"/>
              </w:rPr>
              <w:t>16</w:t>
            </w:r>
            <w:r w:rsidR="00854C05" w:rsidRPr="00394303">
              <w:rPr>
                <w:webHidden/>
                <w:lang w:val="es-CR"/>
              </w:rPr>
              <w:fldChar w:fldCharType="end"/>
            </w:r>
          </w:hyperlink>
        </w:p>
        <w:p w14:paraId="0A2D09D7" w14:textId="77777777" w:rsidR="00854C05" w:rsidRPr="00394303" w:rsidRDefault="00BF0AAD" w:rsidP="00854C05">
          <w:pPr>
            <w:pStyle w:val="TDC2"/>
            <w:spacing w:after="0" w:line="240" w:lineRule="auto"/>
            <w:ind w:left="221"/>
            <w:rPr>
              <w:rFonts w:asciiTheme="minorHAnsi" w:eastAsiaTheme="minorEastAsia" w:hAnsiTheme="minorHAnsi" w:cstheme="minorBidi"/>
              <w:bCs w:val="0"/>
              <w:i w:val="0"/>
              <w:iCs w:val="0"/>
              <w:sz w:val="22"/>
              <w:szCs w:val="22"/>
              <w:lang w:val="es-CR" w:eastAsia="es-CR"/>
            </w:rPr>
          </w:pPr>
          <w:hyperlink w:anchor="_Toc528084368" w:history="1">
            <w:r w:rsidR="00854C05" w:rsidRPr="00394303">
              <w:rPr>
                <w:rStyle w:val="Hipervnculo"/>
                <w:lang w:val="es-CR"/>
              </w:rPr>
              <w:t>E.</w:t>
            </w:r>
            <w:r w:rsidR="00854C05" w:rsidRPr="00394303">
              <w:rPr>
                <w:rFonts w:asciiTheme="minorHAnsi" w:eastAsiaTheme="minorEastAsia" w:hAnsiTheme="minorHAnsi" w:cstheme="minorBidi"/>
                <w:bCs w:val="0"/>
                <w:i w:val="0"/>
                <w:iCs w:val="0"/>
                <w:sz w:val="22"/>
                <w:szCs w:val="22"/>
                <w:lang w:val="es-CR" w:eastAsia="es-CR"/>
              </w:rPr>
              <w:tab/>
            </w:r>
            <w:r w:rsidR="00854C05" w:rsidRPr="00394303">
              <w:rPr>
                <w:rStyle w:val="Hipervnculo"/>
                <w:lang w:val="es-CR"/>
              </w:rPr>
              <w:t>Costas y gastos</w:t>
            </w:r>
            <w:r w:rsidR="00854C05" w:rsidRPr="00394303">
              <w:rPr>
                <w:webHidden/>
                <w:lang w:val="es-CR"/>
              </w:rPr>
              <w:tab/>
            </w:r>
            <w:r w:rsidR="00854C05" w:rsidRPr="00394303">
              <w:rPr>
                <w:webHidden/>
                <w:lang w:val="es-CR"/>
              </w:rPr>
              <w:fldChar w:fldCharType="begin"/>
            </w:r>
            <w:r w:rsidR="00854C05" w:rsidRPr="00394303">
              <w:rPr>
                <w:webHidden/>
                <w:lang w:val="es-CR"/>
              </w:rPr>
              <w:instrText xml:space="preserve"> PAGEREF _Toc528084368 \h </w:instrText>
            </w:r>
            <w:r w:rsidR="00854C05" w:rsidRPr="00394303">
              <w:rPr>
                <w:webHidden/>
                <w:lang w:val="es-CR"/>
              </w:rPr>
            </w:r>
            <w:r w:rsidR="00854C05" w:rsidRPr="00394303">
              <w:rPr>
                <w:webHidden/>
                <w:lang w:val="es-CR"/>
              </w:rPr>
              <w:fldChar w:fldCharType="separate"/>
            </w:r>
            <w:r w:rsidR="009D6540">
              <w:rPr>
                <w:webHidden/>
                <w:lang w:val="es-CR"/>
              </w:rPr>
              <w:t>16</w:t>
            </w:r>
            <w:r w:rsidR="00854C05" w:rsidRPr="00394303">
              <w:rPr>
                <w:webHidden/>
                <w:lang w:val="es-CR"/>
              </w:rPr>
              <w:fldChar w:fldCharType="end"/>
            </w:r>
          </w:hyperlink>
        </w:p>
        <w:p w14:paraId="7CDF2736" w14:textId="77777777" w:rsidR="00854C05" w:rsidRPr="00394303" w:rsidRDefault="00BF0AAD" w:rsidP="00854C05">
          <w:pPr>
            <w:pStyle w:val="TDC2"/>
            <w:spacing w:after="0" w:line="240" w:lineRule="auto"/>
            <w:ind w:left="221"/>
            <w:rPr>
              <w:rFonts w:asciiTheme="minorHAnsi" w:eastAsiaTheme="minorEastAsia" w:hAnsiTheme="minorHAnsi" w:cstheme="minorBidi"/>
              <w:bCs w:val="0"/>
              <w:i w:val="0"/>
              <w:iCs w:val="0"/>
              <w:sz w:val="22"/>
              <w:szCs w:val="22"/>
              <w:lang w:val="es-CR" w:eastAsia="es-CR"/>
            </w:rPr>
          </w:pPr>
          <w:hyperlink w:anchor="_Toc528084369" w:history="1">
            <w:r w:rsidR="00854C05" w:rsidRPr="00394303">
              <w:rPr>
                <w:rStyle w:val="Hipervnculo"/>
                <w:lang w:val="es-CR"/>
              </w:rPr>
              <w:t>F.</w:t>
            </w:r>
            <w:r w:rsidR="00854C05" w:rsidRPr="00394303">
              <w:rPr>
                <w:rFonts w:asciiTheme="minorHAnsi" w:eastAsiaTheme="minorEastAsia" w:hAnsiTheme="minorHAnsi" w:cstheme="minorBidi"/>
                <w:bCs w:val="0"/>
                <w:i w:val="0"/>
                <w:iCs w:val="0"/>
                <w:sz w:val="22"/>
                <w:szCs w:val="22"/>
                <w:lang w:val="es-CR" w:eastAsia="es-CR"/>
              </w:rPr>
              <w:tab/>
            </w:r>
            <w:r w:rsidR="00854C05" w:rsidRPr="00394303">
              <w:rPr>
                <w:rStyle w:val="Hipervnculo"/>
                <w:lang w:val="es-CR"/>
              </w:rPr>
              <w:t>Modalidades de cumplimiento de los pagos ordenados</w:t>
            </w:r>
            <w:r w:rsidR="00854C05" w:rsidRPr="00394303">
              <w:rPr>
                <w:webHidden/>
                <w:lang w:val="es-CR"/>
              </w:rPr>
              <w:tab/>
            </w:r>
            <w:r w:rsidR="00854C05" w:rsidRPr="00394303">
              <w:rPr>
                <w:webHidden/>
                <w:lang w:val="es-CR"/>
              </w:rPr>
              <w:fldChar w:fldCharType="begin"/>
            </w:r>
            <w:r w:rsidR="00854C05" w:rsidRPr="00394303">
              <w:rPr>
                <w:webHidden/>
                <w:lang w:val="es-CR"/>
              </w:rPr>
              <w:instrText xml:space="preserve"> PAGEREF _Toc528084369 \h </w:instrText>
            </w:r>
            <w:r w:rsidR="00854C05" w:rsidRPr="00394303">
              <w:rPr>
                <w:webHidden/>
                <w:lang w:val="es-CR"/>
              </w:rPr>
            </w:r>
            <w:r w:rsidR="00854C05" w:rsidRPr="00394303">
              <w:rPr>
                <w:webHidden/>
                <w:lang w:val="es-CR"/>
              </w:rPr>
              <w:fldChar w:fldCharType="separate"/>
            </w:r>
            <w:r w:rsidR="009D6540">
              <w:rPr>
                <w:webHidden/>
                <w:lang w:val="es-CR"/>
              </w:rPr>
              <w:t>16</w:t>
            </w:r>
            <w:r w:rsidR="00854C05" w:rsidRPr="00394303">
              <w:rPr>
                <w:webHidden/>
                <w:lang w:val="es-CR"/>
              </w:rPr>
              <w:fldChar w:fldCharType="end"/>
            </w:r>
          </w:hyperlink>
        </w:p>
        <w:p w14:paraId="4FB8B856" w14:textId="77777777" w:rsidR="00854C05" w:rsidRPr="00394303" w:rsidRDefault="00854C05" w:rsidP="00B26AA3">
          <w:pPr>
            <w:pStyle w:val="TDC1"/>
            <w:rPr>
              <w:rStyle w:val="Hipervnculo"/>
              <w:sz w:val="20"/>
            </w:rPr>
          </w:pPr>
        </w:p>
        <w:p w14:paraId="17F045F8" w14:textId="77777777" w:rsidR="00854C05" w:rsidRPr="00394303" w:rsidRDefault="00BF0AAD" w:rsidP="00B26AA3">
          <w:pPr>
            <w:pStyle w:val="TDC1"/>
            <w:rPr>
              <w:rFonts w:asciiTheme="minorHAnsi" w:eastAsiaTheme="minorEastAsia" w:hAnsiTheme="minorHAnsi"/>
              <w:sz w:val="24"/>
              <w:lang w:eastAsia="es-CR"/>
            </w:rPr>
          </w:pPr>
          <w:hyperlink w:anchor="_Toc528084370" w:history="1">
            <w:r w:rsidR="00854C05" w:rsidRPr="00394303">
              <w:rPr>
                <w:rStyle w:val="Hipervnculo"/>
                <w:sz w:val="20"/>
              </w:rPr>
              <w:t>VIII PUNTOS RESOLUTIVOS</w:t>
            </w:r>
            <w:r w:rsidR="00854C05" w:rsidRPr="00394303">
              <w:rPr>
                <w:webHidden/>
              </w:rPr>
              <w:tab/>
            </w:r>
            <w:r w:rsidR="00854C05" w:rsidRPr="00394303">
              <w:rPr>
                <w:webHidden/>
              </w:rPr>
              <w:fldChar w:fldCharType="begin"/>
            </w:r>
            <w:r w:rsidR="00854C05" w:rsidRPr="00394303">
              <w:rPr>
                <w:webHidden/>
              </w:rPr>
              <w:instrText xml:space="preserve"> PAGEREF _Toc528084370 \h </w:instrText>
            </w:r>
            <w:r w:rsidR="00854C05" w:rsidRPr="00394303">
              <w:rPr>
                <w:webHidden/>
              </w:rPr>
            </w:r>
            <w:r w:rsidR="00854C05" w:rsidRPr="00394303">
              <w:rPr>
                <w:webHidden/>
              </w:rPr>
              <w:fldChar w:fldCharType="separate"/>
            </w:r>
            <w:r w:rsidR="009D6540">
              <w:rPr>
                <w:webHidden/>
              </w:rPr>
              <w:t>16</w:t>
            </w:r>
            <w:r w:rsidR="00854C05" w:rsidRPr="00394303">
              <w:rPr>
                <w:webHidden/>
              </w:rPr>
              <w:fldChar w:fldCharType="end"/>
            </w:r>
          </w:hyperlink>
        </w:p>
        <w:p w14:paraId="19A73771" w14:textId="77777777" w:rsidR="005B536C" w:rsidRPr="00D66B27" w:rsidRDefault="005B536C">
          <w:pPr>
            <w:spacing w:after="60" w:line="240" w:lineRule="auto"/>
            <w:rPr>
              <w:rFonts w:ascii="Verdana" w:hAnsi="Verdana"/>
              <w:sz w:val="20"/>
              <w:szCs w:val="20"/>
            </w:rPr>
          </w:pPr>
          <w:r w:rsidRPr="00394303">
            <w:rPr>
              <w:rFonts w:ascii="Verdana" w:hAnsi="Verdana"/>
              <w:b/>
              <w:bCs/>
              <w:szCs w:val="20"/>
            </w:rPr>
            <w:fldChar w:fldCharType="end"/>
          </w:r>
        </w:p>
      </w:sdtContent>
    </w:sdt>
    <w:p w14:paraId="3F06AA57" w14:textId="77777777" w:rsidR="005B536C" w:rsidRPr="00D66B27" w:rsidRDefault="005B536C" w:rsidP="00756418">
      <w:pPr>
        <w:spacing w:line="240" w:lineRule="auto"/>
        <w:rPr>
          <w:rFonts w:ascii="Verdana" w:hAnsi="Verdana"/>
          <w:sz w:val="20"/>
          <w:szCs w:val="20"/>
          <w:lang w:eastAsia="es-ES"/>
        </w:rPr>
      </w:pPr>
      <w:r w:rsidRPr="00D66B27">
        <w:rPr>
          <w:rFonts w:ascii="Verdana" w:hAnsi="Verdana"/>
          <w:sz w:val="20"/>
          <w:szCs w:val="20"/>
          <w:lang w:eastAsia="es-ES"/>
        </w:rPr>
        <w:br w:type="page"/>
      </w:r>
    </w:p>
    <w:p w14:paraId="7DC19F99" w14:textId="77777777" w:rsidR="005B536C" w:rsidRPr="00D66B27" w:rsidRDefault="005B536C" w:rsidP="00AE1DD8">
      <w:pPr>
        <w:pStyle w:val="Ttulo1"/>
        <w:spacing w:before="0" w:after="0"/>
        <w:rPr>
          <w:caps w:val="0"/>
        </w:rPr>
      </w:pPr>
      <w:bookmarkStart w:id="0" w:name="_Toc340752578"/>
      <w:bookmarkStart w:id="1" w:name="_Toc528084356"/>
      <w:r w:rsidRPr="00D66B27">
        <w:lastRenderedPageBreak/>
        <w:t>I</w:t>
      </w:r>
      <w:r w:rsidRPr="00D66B27">
        <w:br/>
        <w:t>INTRODUCCIÓN DE LA CAUSA Y OBJETO DE LA CONTROVERSIA</w:t>
      </w:r>
      <w:bookmarkEnd w:id="0"/>
      <w:bookmarkEnd w:id="1"/>
    </w:p>
    <w:p w14:paraId="0814A22D" w14:textId="77777777" w:rsidR="005B536C" w:rsidRPr="00D66B27" w:rsidRDefault="005B536C">
      <w:pPr>
        <w:spacing w:after="0" w:line="240" w:lineRule="auto"/>
        <w:jc w:val="both"/>
        <w:rPr>
          <w:rFonts w:ascii="Verdana" w:hAnsi="Verdana" w:cs="Times New Roman"/>
          <w:b/>
          <w:sz w:val="20"/>
          <w:szCs w:val="20"/>
        </w:rPr>
      </w:pPr>
    </w:p>
    <w:p w14:paraId="1A9E59EA" w14:textId="08E8AB98" w:rsidR="009F6604" w:rsidRPr="00D66B27" w:rsidRDefault="005B536C" w:rsidP="001D6943">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i/>
          <w:sz w:val="20"/>
          <w:szCs w:val="20"/>
        </w:rPr>
        <w:t>El caso sometido a la Corte</w:t>
      </w:r>
      <w:r w:rsidRPr="00D66B27">
        <w:rPr>
          <w:rFonts w:ascii="Verdana" w:hAnsi="Verdana"/>
          <w:sz w:val="20"/>
          <w:szCs w:val="20"/>
        </w:rPr>
        <w:t xml:space="preserve">. – El </w:t>
      </w:r>
      <w:r w:rsidR="009F6604" w:rsidRPr="00D66B27">
        <w:rPr>
          <w:rFonts w:ascii="Verdana" w:hAnsi="Verdana" w:cs="Arial"/>
          <w:sz w:val="20"/>
          <w:szCs w:val="20"/>
        </w:rPr>
        <w:t>17 de mayo de 2017</w:t>
      </w:r>
      <w:r w:rsidRPr="00D66B27">
        <w:rPr>
          <w:rFonts w:ascii="Verdana" w:hAnsi="Verdana"/>
          <w:sz w:val="20"/>
          <w:szCs w:val="20"/>
        </w:rPr>
        <w:t xml:space="preserve"> la Comisión Interamericana de Derechos Humanos (en adelante “la Comisión Interamericana” o </w:t>
      </w:r>
      <w:r w:rsidRPr="00D66B27">
        <w:rPr>
          <w:rFonts w:ascii="Verdana" w:eastAsia="Cambria" w:hAnsi="Verdana" w:cs="Cambria"/>
          <w:spacing w:val="2"/>
          <w:sz w:val="20"/>
          <w:szCs w:val="20"/>
        </w:rPr>
        <w:t>“la Comisión”) sometió</w:t>
      </w:r>
      <w:r w:rsidR="00394303" w:rsidRPr="00394303">
        <w:rPr>
          <w:rFonts w:ascii="Verdana" w:eastAsia="Cambria" w:hAnsi="Verdana" w:cs="Cambria"/>
          <w:spacing w:val="2"/>
          <w:sz w:val="20"/>
          <w:szCs w:val="20"/>
        </w:rPr>
        <w:t xml:space="preserve"> </w:t>
      </w:r>
      <w:r w:rsidR="00394303" w:rsidRPr="00D66B27">
        <w:rPr>
          <w:rFonts w:ascii="Verdana" w:eastAsia="Cambria" w:hAnsi="Verdana" w:cs="Cambria"/>
          <w:spacing w:val="2"/>
          <w:sz w:val="20"/>
          <w:szCs w:val="20"/>
        </w:rPr>
        <w:t xml:space="preserve">el caso </w:t>
      </w:r>
      <w:r w:rsidR="00394303" w:rsidRPr="00D66B27">
        <w:rPr>
          <w:rFonts w:ascii="Verdana" w:hAnsi="Verdana"/>
          <w:i/>
          <w:iCs/>
          <w:sz w:val="20"/>
          <w:szCs w:val="20"/>
        </w:rPr>
        <w:t xml:space="preserve">María Laura Órdenes Guerra y otros respecto de la República de Chile </w:t>
      </w:r>
      <w:r w:rsidR="00394303" w:rsidRPr="00D66B27">
        <w:rPr>
          <w:rFonts w:ascii="Verdana" w:eastAsia="Cambria" w:hAnsi="Verdana" w:cs="Cambria"/>
          <w:spacing w:val="2"/>
          <w:sz w:val="20"/>
          <w:szCs w:val="20"/>
        </w:rPr>
        <w:t>(en adelante “el Estado”, o “Chile”)</w:t>
      </w:r>
      <w:r w:rsidRPr="00D66B27">
        <w:rPr>
          <w:rFonts w:ascii="Verdana" w:eastAsia="Cambria" w:hAnsi="Verdana" w:cs="Cambria"/>
          <w:spacing w:val="2"/>
          <w:sz w:val="20"/>
          <w:szCs w:val="20"/>
        </w:rPr>
        <w:t xml:space="preserve"> a la jurisdicción de la Corte Interamericana</w:t>
      </w:r>
      <w:r w:rsidRPr="00D66B27">
        <w:rPr>
          <w:rFonts w:ascii="Verdana" w:hAnsi="Verdana"/>
          <w:sz w:val="20"/>
          <w:szCs w:val="20"/>
        </w:rPr>
        <w:t>, de conformidad con lo dispuesto en los artículos 51 y 61 de la Convención Americana y el artícul</w:t>
      </w:r>
      <w:r w:rsidR="00394303">
        <w:rPr>
          <w:rFonts w:ascii="Verdana" w:hAnsi="Verdana"/>
          <w:sz w:val="20"/>
          <w:szCs w:val="20"/>
        </w:rPr>
        <w:t>o 35 del Reglamento de la Corte</w:t>
      </w:r>
      <w:r w:rsidRPr="00D66B27">
        <w:rPr>
          <w:rFonts w:ascii="Verdana" w:eastAsia="Cambria" w:hAnsi="Verdana" w:cs="Cambria"/>
          <w:spacing w:val="2"/>
          <w:sz w:val="20"/>
          <w:szCs w:val="20"/>
        </w:rPr>
        <w:t xml:space="preserve">. Según la Comisión, el caso se relaciona con </w:t>
      </w:r>
      <w:r w:rsidR="009F6604" w:rsidRPr="00D66B27">
        <w:rPr>
          <w:rFonts w:ascii="Verdana" w:hAnsi="Verdana"/>
          <w:sz w:val="20"/>
          <w:szCs w:val="20"/>
        </w:rPr>
        <w:t>la alegada responsabilidad del Estado por violación de los derechos a las garantías judiciales y protección judicial como consecuencia de la aplicación de la figura de prescripción a acciones civiles de reparación relacionadas con crímenes de lesa humanidad. Las presuntas víctimas son siete grupos de personas</w:t>
      </w:r>
      <w:r w:rsidR="009F6604" w:rsidRPr="00D66B27">
        <w:rPr>
          <w:rStyle w:val="Refdenotaalpie"/>
          <w:rFonts w:ascii="Verdana" w:hAnsi="Verdana"/>
          <w:sz w:val="20"/>
          <w:szCs w:val="20"/>
        </w:rPr>
        <w:footnoteReference w:id="2"/>
      </w:r>
      <w:r w:rsidR="00394303">
        <w:rPr>
          <w:rFonts w:ascii="Verdana" w:hAnsi="Verdana"/>
          <w:sz w:val="20"/>
          <w:szCs w:val="20"/>
        </w:rPr>
        <w:t xml:space="preserve"> que, entre 1997 y 2001</w:t>
      </w:r>
      <w:r w:rsidR="00716377" w:rsidRPr="00D66B27">
        <w:rPr>
          <w:rFonts w:ascii="Verdana" w:hAnsi="Verdana"/>
          <w:sz w:val="20"/>
          <w:szCs w:val="20"/>
        </w:rPr>
        <w:t>,</w:t>
      </w:r>
      <w:r w:rsidR="009F6604" w:rsidRPr="00D66B27">
        <w:rPr>
          <w:rFonts w:ascii="Verdana" w:hAnsi="Verdana"/>
          <w:sz w:val="20"/>
          <w:szCs w:val="20"/>
        </w:rPr>
        <w:t xml:space="preserve"> interpusieron por separado </w:t>
      </w:r>
      <w:r w:rsidR="00CF1250" w:rsidRPr="00D66B27">
        <w:rPr>
          <w:rFonts w:ascii="Verdana" w:hAnsi="Verdana"/>
          <w:sz w:val="20"/>
          <w:szCs w:val="20"/>
        </w:rPr>
        <w:t xml:space="preserve">siete </w:t>
      </w:r>
      <w:r w:rsidR="009F6604" w:rsidRPr="00D66B27">
        <w:rPr>
          <w:rFonts w:ascii="Verdana" w:hAnsi="Verdana"/>
          <w:sz w:val="20"/>
          <w:szCs w:val="20"/>
        </w:rPr>
        <w:t>acciones civiles de indemnización por per</w:t>
      </w:r>
      <w:r w:rsidR="00394303">
        <w:rPr>
          <w:rFonts w:ascii="Verdana" w:hAnsi="Verdana"/>
          <w:sz w:val="20"/>
          <w:szCs w:val="20"/>
        </w:rPr>
        <w:t>juicios, en razón del secuestro y</w:t>
      </w:r>
      <w:r w:rsidR="009F6604" w:rsidRPr="00D66B27">
        <w:rPr>
          <w:rFonts w:ascii="Verdana" w:hAnsi="Verdana"/>
          <w:sz w:val="20"/>
          <w:szCs w:val="20"/>
        </w:rPr>
        <w:t xml:space="preserve"> desaparición o ejecución de sus familiares por parte de agentes estatales en 1973 y 1974, durante la dictadura militar. Tales acciones fueron rechazadas entre 1999 y 2003, por juzgados, tribunales de apelación o la Corte Suprema de Justicia, </w:t>
      </w:r>
      <w:r w:rsidR="000551E7" w:rsidRPr="00D66B27">
        <w:rPr>
          <w:rFonts w:ascii="Verdana" w:hAnsi="Verdana"/>
          <w:sz w:val="20"/>
          <w:szCs w:val="20"/>
        </w:rPr>
        <w:t>con base en la</w:t>
      </w:r>
      <w:r w:rsidR="009F6604" w:rsidRPr="00D66B27">
        <w:rPr>
          <w:rFonts w:ascii="Verdana" w:hAnsi="Verdana"/>
          <w:sz w:val="20"/>
          <w:szCs w:val="20"/>
        </w:rPr>
        <w:t xml:space="preserve"> aplicación del plazo de la figura de prescripción</w:t>
      </w:r>
      <w:r w:rsidR="00715F96" w:rsidRPr="00D66B27">
        <w:rPr>
          <w:rFonts w:ascii="Verdana" w:hAnsi="Verdana"/>
          <w:sz w:val="20"/>
          <w:szCs w:val="20"/>
        </w:rPr>
        <w:t xml:space="preserve"> establecida en el Código Civil. Si bien l</w:t>
      </w:r>
      <w:r w:rsidR="009F6604" w:rsidRPr="00D66B27">
        <w:rPr>
          <w:rFonts w:ascii="Verdana" w:hAnsi="Verdana"/>
          <w:sz w:val="20"/>
          <w:szCs w:val="20"/>
        </w:rPr>
        <w:t>as presuntas víctimas han recibido una pensión mensual</w:t>
      </w:r>
      <w:r w:rsidR="00715F96" w:rsidRPr="00D66B27">
        <w:rPr>
          <w:rFonts w:ascii="Verdana" w:hAnsi="Verdana"/>
          <w:sz w:val="20"/>
          <w:szCs w:val="20"/>
        </w:rPr>
        <w:t xml:space="preserve"> administrativa</w:t>
      </w:r>
      <w:r w:rsidR="009F6604" w:rsidRPr="00D66B27">
        <w:rPr>
          <w:rFonts w:ascii="Verdana" w:hAnsi="Verdana"/>
          <w:sz w:val="20"/>
          <w:szCs w:val="20"/>
        </w:rPr>
        <w:t xml:space="preserve"> en virtud de lo dispuesto en la Ley 19.123 de 1992, así como otros beneficios en algunos casos (bono de reparación</w:t>
      </w:r>
      <w:r w:rsidR="00715F96" w:rsidRPr="00D66B27">
        <w:rPr>
          <w:rFonts w:ascii="Verdana" w:hAnsi="Verdana"/>
          <w:sz w:val="20"/>
          <w:szCs w:val="20"/>
        </w:rPr>
        <w:t xml:space="preserve"> o bonificación compensatoria), l</w:t>
      </w:r>
      <w:r w:rsidR="009F6604" w:rsidRPr="00D66B27">
        <w:rPr>
          <w:rFonts w:ascii="Verdana" w:hAnsi="Verdana"/>
          <w:sz w:val="20"/>
          <w:szCs w:val="20"/>
        </w:rPr>
        <w:t>a Comisión consideró que la existencia de un progr</w:t>
      </w:r>
      <w:r w:rsidR="00CF1250" w:rsidRPr="00D66B27">
        <w:rPr>
          <w:rFonts w:ascii="Verdana" w:hAnsi="Verdana"/>
          <w:sz w:val="20"/>
          <w:szCs w:val="20"/>
        </w:rPr>
        <w:t>ama administrativo de reparaciones</w:t>
      </w:r>
      <w:r w:rsidR="009F6604" w:rsidRPr="00D66B27">
        <w:rPr>
          <w:rFonts w:ascii="Verdana" w:hAnsi="Verdana"/>
          <w:sz w:val="20"/>
          <w:szCs w:val="20"/>
        </w:rPr>
        <w:t xml:space="preserve"> no excluye la posibilidad de que las víctimas de graves violaciones opten por reclamar reparación por vía judicial y que, tratándose de crímenes de lesa humanidad, </w:t>
      </w:r>
      <w:r w:rsidR="00716377" w:rsidRPr="00D66B27">
        <w:rPr>
          <w:rFonts w:ascii="Verdana" w:hAnsi="Verdana"/>
          <w:sz w:val="20"/>
          <w:szCs w:val="20"/>
        </w:rPr>
        <w:t>es</w:t>
      </w:r>
      <w:r w:rsidR="009F6604" w:rsidRPr="00D66B27">
        <w:rPr>
          <w:rFonts w:ascii="Verdana" w:hAnsi="Verdana"/>
          <w:sz w:val="20"/>
          <w:szCs w:val="20"/>
        </w:rPr>
        <w:t xml:space="preserve"> desproporcionado negar</w:t>
      </w:r>
      <w:r w:rsidR="00715F96" w:rsidRPr="00D66B27">
        <w:rPr>
          <w:rFonts w:ascii="Verdana" w:hAnsi="Verdana"/>
          <w:sz w:val="20"/>
          <w:szCs w:val="20"/>
        </w:rPr>
        <w:t>les sus</w:t>
      </w:r>
      <w:r w:rsidR="009F6604" w:rsidRPr="00D66B27">
        <w:rPr>
          <w:rFonts w:ascii="Verdana" w:hAnsi="Verdana"/>
          <w:sz w:val="20"/>
          <w:szCs w:val="20"/>
        </w:rPr>
        <w:t xml:space="preserve"> derechos a una reparación bajo el argumento de prescripción.</w:t>
      </w:r>
    </w:p>
    <w:p w14:paraId="47EC1703" w14:textId="77777777" w:rsidR="005B536C" w:rsidRPr="00D66B27" w:rsidRDefault="005B536C" w:rsidP="00756418">
      <w:pPr>
        <w:pStyle w:val="Prrafodelista"/>
        <w:spacing w:line="240" w:lineRule="auto"/>
        <w:ind w:left="0"/>
        <w:jc w:val="both"/>
        <w:rPr>
          <w:rFonts w:ascii="Verdana" w:hAnsi="Verdana"/>
          <w:sz w:val="20"/>
          <w:szCs w:val="20"/>
        </w:rPr>
      </w:pPr>
    </w:p>
    <w:p w14:paraId="473B9FFD" w14:textId="5CE4E5A4" w:rsidR="005B536C" w:rsidRPr="00D66B27" w:rsidRDefault="005B536C" w:rsidP="001D6943">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i/>
          <w:sz w:val="20"/>
          <w:szCs w:val="20"/>
        </w:rPr>
        <w:t>Trámite ante la Comisión.</w:t>
      </w:r>
      <w:r w:rsidRPr="00D66B27">
        <w:rPr>
          <w:rFonts w:ascii="Verdana" w:hAnsi="Verdana"/>
          <w:sz w:val="20"/>
          <w:szCs w:val="20"/>
        </w:rPr>
        <w:t xml:space="preserve"> – El trámite ante la Comisión fue el siguiente:</w:t>
      </w:r>
    </w:p>
    <w:p w14:paraId="557574D7" w14:textId="77777777" w:rsidR="005B536C" w:rsidRPr="00D66B27" w:rsidRDefault="005B536C" w:rsidP="00756418">
      <w:pPr>
        <w:pStyle w:val="Prrafodelista"/>
        <w:spacing w:line="240" w:lineRule="auto"/>
        <w:ind w:left="567"/>
        <w:jc w:val="both"/>
        <w:rPr>
          <w:rFonts w:ascii="Verdana" w:hAnsi="Verdana"/>
          <w:sz w:val="20"/>
          <w:szCs w:val="20"/>
        </w:rPr>
      </w:pPr>
    </w:p>
    <w:p w14:paraId="16104455" w14:textId="77777777" w:rsidR="005B536C" w:rsidRPr="00D66B27" w:rsidRDefault="00167645" w:rsidP="001D6943">
      <w:pPr>
        <w:pStyle w:val="Prrafodelista"/>
        <w:numPr>
          <w:ilvl w:val="1"/>
          <w:numId w:val="2"/>
        </w:numPr>
        <w:spacing w:after="0" w:line="240" w:lineRule="auto"/>
        <w:ind w:left="426" w:hanging="219"/>
        <w:jc w:val="both"/>
        <w:rPr>
          <w:rFonts w:ascii="Verdana" w:hAnsi="Verdana"/>
          <w:sz w:val="20"/>
          <w:szCs w:val="20"/>
        </w:rPr>
      </w:pPr>
      <w:r w:rsidRPr="00D66B27">
        <w:rPr>
          <w:rFonts w:ascii="Verdana" w:hAnsi="Verdana"/>
          <w:i/>
          <w:iCs/>
          <w:sz w:val="20"/>
          <w:szCs w:val="20"/>
          <w:shd w:val="clear" w:color="auto" w:fill="FFFFFF"/>
        </w:rPr>
        <w:t>Peticio</w:t>
      </w:r>
      <w:r w:rsidR="005B536C" w:rsidRPr="00D66B27">
        <w:rPr>
          <w:rFonts w:ascii="Verdana" w:hAnsi="Verdana"/>
          <w:i/>
          <w:iCs/>
          <w:sz w:val="20"/>
          <w:szCs w:val="20"/>
          <w:shd w:val="clear" w:color="auto" w:fill="FFFFFF"/>
        </w:rPr>
        <w:t>n</w:t>
      </w:r>
      <w:r w:rsidRPr="00D66B27">
        <w:rPr>
          <w:rFonts w:ascii="Verdana" w:hAnsi="Verdana"/>
          <w:i/>
          <w:iCs/>
          <w:sz w:val="20"/>
          <w:szCs w:val="20"/>
          <w:shd w:val="clear" w:color="auto" w:fill="FFFFFF"/>
        </w:rPr>
        <w:t>es</w:t>
      </w:r>
      <w:r w:rsidR="00153E3E" w:rsidRPr="00D66B27">
        <w:rPr>
          <w:rFonts w:ascii="Verdana" w:hAnsi="Verdana"/>
          <w:sz w:val="20"/>
          <w:szCs w:val="20"/>
          <w:shd w:val="clear" w:color="auto" w:fill="FFFFFF"/>
        </w:rPr>
        <w:t xml:space="preserve">.- </w:t>
      </w:r>
      <w:r w:rsidRPr="00D66B27">
        <w:rPr>
          <w:rFonts w:ascii="Verdana" w:hAnsi="Verdana"/>
          <w:sz w:val="20"/>
          <w:szCs w:val="20"/>
          <w:shd w:val="clear" w:color="auto" w:fill="FFFFFF"/>
        </w:rPr>
        <w:t>El 14 de julio, 3 de septiembre y 24 de octubre de 2003, así como el 22 de enero de 2004,</w:t>
      </w:r>
      <w:r w:rsidR="005B536C" w:rsidRPr="00D66B27">
        <w:rPr>
          <w:rFonts w:ascii="Verdana" w:hAnsi="Verdana"/>
          <w:sz w:val="20"/>
          <w:szCs w:val="20"/>
          <w:shd w:val="clear" w:color="auto" w:fill="FFFFFF"/>
        </w:rPr>
        <w:t xml:space="preserve"> la Comisión recibió </w:t>
      </w:r>
      <w:r w:rsidRPr="00D66B27">
        <w:rPr>
          <w:rFonts w:ascii="Verdana" w:hAnsi="Verdana" w:cs="Cambria"/>
          <w:sz w:val="20"/>
          <w:szCs w:val="20"/>
        </w:rPr>
        <w:t>cuatro peticiones</w:t>
      </w:r>
      <w:r w:rsidR="005B536C" w:rsidRPr="00D66B27">
        <w:rPr>
          <w:rFonts w:ascii="Verdana" w:hAnsi="Verdana" w:cs="Cambria"/>
          <w:sz w:val="20"/>
          <w:szCs w:val="20"/>
        </w:rPr>
        <w:t xml:space="preserve"> </w:t>
      </w:r>
      <w:r w:rsidR="005B536C" w:rsidRPr="00D66B27">
        <w:rPr>
          <w:rFonts w:ascii="Verdana" w:hAnsi="Verdana"/>
          <w:sz w:val="20"/>
          <w:szCs w:val="20"/>
          <w:shd w:val="clear" w:color="auto" w:fill="FFFFFF"/>
        </w:rPr>
        <w:t>presentada</w:t>
      </w:r>
      <w:r w:rsidRPr="00D66B27">
        <w:rPr>
          <w:rFonts w:ascii="Verdana" w:hAnsi="Verdana"/>
          <w:sz w:val="20"/>
          <w:szCs w:val="20"/>
          <w:shd w:val="clear" w:color="auto" w:fill="FFFFFF"/>
        </w:rPr>
        <w:t>s</w:t>
      </w:r>
      <w:r w:rsidR="005B536C" w:rsidRPr="00D66B27">
        <w:rPr>
          <w:rFonts w:ascii="Verdana" w:hAnsi="Verdana"/>
          <w:sz w:val="20"/>
          <w:szCs w:val="20"/>
          <w:shd w:val="clear" w:color="auto" w:fill="FFFFFF"/>
        </w:rPr>
        <w:t xml:space="preserve"> por </w:t>
      </w:r>
      <w:r w:rsidRPr="00D66B27">
        <w:rPr>
          <w:rFonts w:ascii="Verdana" w:hAnsi="Verdana"/>
          <w:sz w:val="20"/>
          <w:szCs w:val="20"/>
          <w:shd w:val="clear" w:color="auto" w:fill="FFFFFF"/>
        </w:rPr>
        <w:t>el abogado Nelson Caucoto</w:t>
      </w:r>
      <w:r w:rsidR="005B536C" w:rsidRPr="00D66B27">
        <w:rPr>
          <w:rFonts w:ascii="Verdana" w:hAnsi="Verdana"/>
          <w:sz w:val="20"/>
          <w:szCs w:val="20"/>
          <w:shd w:val="clear" w:color="auto" w:fill="FFFFFF"/>
        </w:rPr>
        <w:t>, en representación de las presuntas víctimas.</w:t>
      </w:r>
      <w:r w:rsidR="00756418" w:rsidRPr="00D66B27">
        <w:rPr>
          <w:rFonts w:ascii="Verdana" w:hAnsi="Verdana"/>
          <w:sz w:val="20"/>
          <w:szCs w:val="20"/>
          <w:shd w:val="clear" w:color="auto" w:fill="FFFFFF"/>
        </w:rPr>
        <w:t xml:space="preserve"> </w:t>
      </w:r>
      <w:r w:rsidR="00584DDD" w:rsidRPr="00D66B27">
        <w:rPr>
          <w:rFonts w:ascii="Verdana" w:hAnsi="Verdana"/>
          <w:b/>
          <w:sz w:val="18"/>
          <w:szCs w:val="20"/>
          <w:shd w:val="clear" w:color="auto" w:fill="FFFFFF"/>
        </w:rPr>
        <w:t xml:space="preserve"> </w:t>
      </w:r>
    </w:p>
    <w:p w14:paraId="091A3DC2" w14:textId="77777777" w:rsidR="005B536C" w:rsidRPr="00D66B27" w:rsidRDefault="005B536C" w:rsidP="00756418">
      <w:pPr>
        <w:pStyle w:val="Prrafodelista"/>
        <w:spacing w:line="240" w:lineRule="auto"/>
        <w:ind w:left="426" w:hanging="219"/>
        <w:jc w:val="both"/>
        <w:rPr>
          <w:rFonts w:ascii="Verdana" w:hAnsi="Verdana"/>
          <w:sz w:val="20"/>
          <w:szCs w:val="20"/>
        </w:rPr>
      </w:pPr>
    </w:p>
    <w:p w14:paraId="4EBFFCE3" w14:textId="77777777" w:rsidR="005B536C" w:rsidRPr="00D66B27" w:rsidRDefault="005B536C" w:rsidP="001D6943">
      <w:pPr>
        <w:pStyle w:val="Prrafodelista"/>
        <w:numPr>
          <w:ilvl w:val="1"/>
          <w:numId w:val="2"/>
        </w:numPr>
        <w:spacing w:after="0" w:line="240" w:lineRule="auto"/>
        <w:ind w:left="426" w:hanging="219"/>
        <w:jc w:val="both"/>
        <w:rPr>
          <w:rFonts w:ascii="Verdana" w:hAnsi="Verdana"/>
          <w:sz w:val="20"/>
          <w:szCs w:val="20"/>
        </w:rPr>
      </w:pPr>
      <w:r w:rsidRPr="00D66B27">
        <w:rPr>
          <w:rFonts w:ascii="Verdana" w:hAnsi="Verdana"/>
          <w:i/>
          <w:iCs/>
          <w:sz w:val="20"/>
          <w:szCs w:val="20"/>
          <w:shd w:val="clear" w:color="auto" w:fill="FFFFFF"/>
        </w:rPr>
        <w:t>Informe</w:t>
      </w:r>
      <w:r w:rsidR="00167645" w:rsidRPr="00D66B27">
        <w:rPr>
          <w:rFonts w:ascii="Verdana" w:hAnsi="Verdana"/>
          <w:i/>
          <w:iCs/>
          <w:sz w:val="20"/>
          <w:szCs w:val="20"/>
          <w:shd w:val="clear" w:color="auto" w:fill="FFFFFF"/>
        </w:rPr>
        <w:t>s</w:t>
      </w:r>
      <w:r w:rsidRPr="00D66B27">
        <w:rPr>
          <w:rFonts w:ascii="Verdana" w:hAnsi="Verdana"/>
          <w:i/>
          <w:iCs/>
          <w:sz w:val="20"/>
          <w:szCs w:val="20"/>
          <w:shd w:val="clear" w:color="auto" w:fill="FFFFFF"/>
        </w:rPr>
        <w:t xml:space="preserve"> de admisibilidad</w:t>
      </w:r>
      <w:r w:rsidRPr="00D66B27">
        <w:rPr>
          <w:rFonts w:ascii="Verdana" w:hAnsi="Verdana"/>
          <w:sz w:val="20"/>
          <w:szCs w:val="20"/>
          <w:shd w:val="clear" w:color="auto" w:fill="FFFFFF"/>
        </w:rPr>
        <w:t>. –</w:t>
      </w:r>
      <w:r w:rsidR="002F046A" w:rsidRPr="00D66B27">
        <w:rPr>
          <w:rFonts w:ascii="Verdana" w:hAnsi="Verdana"/>
          <w:sz w:val="20"/>
          <w:szCs w:val="20"/>
          <w:shd w:val="clear" w:color="auto" w:fill="FFFFFF"/>
        </w:rPr>
        <w:t xml:space="preserve"> El 12</w:t>
      </w:r>
      <w:r w:rsidR="002F046A" w:rsidRPr="00D66B27">
        <w:rPr>
          <w:rFonts w:ascii="Verdana" w:eastAsia="Times New Roman" w:hAnsi="Verdana"/>
          <w:sz w:val="20"/>
          <w:szCs w:val="20"/>
        </w:rPr>
        <w:t xml:space="preserve"> de octubre de 2005 la Comisión emitió sus informes sobre admisibilidad No. 60/05</w:t>
      </w:r>
      <w:r w:rsidR="002F046A" w:rsidRPr="00D66B27">
        <w:rPr>
          <w:rFonts w:ascii="Verdana" w:hAnsi="Verdana"/>
          <w:sz w:val="20"/>
          <w:szCs w:val="20"/>
          <w:vertAlign w:val="superscript"/>
        </w:rPr>
        <w:footnoteReference w:id="3"/>
      </w:r>
      <w:r w:rsidR="002F046A" w:rsidRPr="00D66B27">
        <w:rPr>
          <w:rFonts w:ascii="Verdana" w:eastAsia="Times New Roman" w:hAnsi="Verdana"/>
          <w:sz w:val="20"/>
          <w:szCs w:val="20"/>
        </w:rPr>
        <w:t>, 61/05</w:t>
      </w:r>
      <w:r w:rsidR="002F046A" w:rsidRPr="00D66B27">
        <w:rPr>
          <w:rFonts w:ascii="Verdana" w:hAnsi="Verdana"/>
          <w:sz w:val="20"/>
          <w:szCs w:val="20"/>
          <w:vertAlign w:val="superscript"/>
        </w:rPr>
        <w:footnoteReference w:id="4"/>
      </w:r>
      <w:r w:rsidR="002F046A" w:rsidRPr="00D66B27">
        <w:rPr>
          <w:rFonts w:ascii="Verdana" w:eastAsia="Times New Roman" w:hAnsi="Verdana"/>
          <w:sz w:val="20"/>
          <w:szCs w:val="20"/>
        </w:rPr>
        <w:t>, 62/05</w:t>
      </w:r>
      <w:r w:rsidR="002F046A" w:rsidRPr="00D66B27">
        <w:rPr>
          <w:rFonts w:ascii="Verdana" w:hAnsi="Verdana"/>
          <w:sz w:val="20"/>
          <w:szCs w:val="20"/>
          <w:vertAlign w:val="superscript"/>
        </w:rPr>
        <w:footnoteReference w:id="5"/>
      </w:r>
      <w:r w:rsidR="002F046A" w:rsidRPr="00D66B27">
        <w:rPr>
          <w:rFonts w:ascii="Verdana" w:eastAsia="Times New Roman" w:hAnsi="Verdana"/>
          <w:sz w:val="20"/>
          <w:szCs w:val="20"/>
        </w:rPr>
        <w:t xml:space="preserve"> y 59/05</w:t>
      </w:r>
      <w:r w:rsidR="002F046A" w:rsidRPr="00D66B27">
        <w:rPr>
          <w:rFonts w:ascii="Verdana" w:hAnsi="Verdana"/>
          <w:sz w:val="20"/>
          <w:szCs w:val="20"/>
          <w:vertAlign w:val="superscript"/>
        </w:rPr>
        <w:footnoteReference w:id="6"/>
      </w:r>
      <w:r w:rsidRPr="00D66B27">
        <w:rPr>
          <w:rFonts w:ascii="Verdana" w:hAnsi="Verdana"/>
          <w:sz w:val="20"/>
          <w:szCs w:val="20"/>
          <w:shd w:val="clear" w:color="auto" w:fill="FFFFFF"/>
        </w:rPr>
        <w:t xml:space="preserve">, en </w:t>
      </w:r>
      <w:r w:rsidR="00C25131" w:rsidRPr="00D66B27">
        <w:rPr>
          <w:rFonts w:ascii="Verdana" w:hAnsi="Verdana"/>
          <w:sz w:val="20"/>
          <w:szCs w:val="20"/>
          <w:shd w:val="clear" w:color="auto" w:fill="FFFFFF"/>
        </w:rPr>
        <w:t xml:space="preserve">los cuales </w:t>
      </w:r>
      <w:r w:rsidRPr="00D66B27">
        <w:rPr>
          <w:rFonts w:ascii="Verdana" w:hAnsi="Verdana"/>
          <w:sz w:val="20"/>
          <w:szCs w:val="20"/>
          <w:shd w:val="clear" w:color="auto" w:fill="FFFFFF"/>
        </w:rPr>
        <w:t>declaró que la</w:t>
      </w:r>
      <w:r w:rsidR="00C25131" w:rsidRPr="00D66B27">
        <w:rPr>
          <w:rFonts w:ascii="Verdana" w:hAnsi="Verdana"/>
          <w:sz w:val="20"/>
          <w:szCs w:val="20"/>
          <w:shd w:val="clear" w:color="auto" w:fill="FFFFFF"/>
        </w:rPr>
        <w:t xml:space="preserve">s peticiones 511-03, 698-03, 862-03 y 381-04, respectivamente, </w:t>
      </w:r>
      <w:r w:rsidRPr="00D66B27">
        <w:rPr>
          <w:rFonts w:ascii="Verdana" w:hAnsi="Verdana"/>
          <w:sz w:val="20"/>
          <w:szCs w:val="20"/>
          <w:shd w:val="clear" w:color="auto" w:fill="FFFFFF"/>
        </w:rPr>
        <w:t>era</w:t>
      </w:r>
      <w:r w:rsidR="00C25131" w:rsidRPr="00D66B27">
        <w:rPr>
          <w:rFonts w:ascii="Verdana" w:hAnsi="Verdana"/>
          <w:sz w:val="20"/>
          <w:szCs w:val="20"/>
          <w:shd w:val="clear" w:color="auto" w:fill="FFFFFF"/>
        </w:rPr>
        <w:t>n</w:t>
      </w:r>
      <w:r w:rsidRPr="00D66B27">
        <w:rPr>
          <w:rFonts w:ascii="Verdana" w:hAnsi="Verdana"/>
          <w:sz w:val="20"/>
          <w:szCs w:val="20"/>
          <w:shd w:val="clear" w:color="auto" w:fill="FFFFFF"/>
        </w:rPr>
        <w:t xml:space="preserve"> admisible</w:t>
      </w:r>
      <w:r w:rsidR="00C25131" w:rsidRPr="00D66B27">
        <w:rPr>
          <w:rFonts w:ascii="Verdana" w:hAnsi="Verdana"/>
          <w:sz w:val="20"/>
          <w:szCs w:val="20"/>
          <w:shd w:val="clear" w:color="auto" w:fill="FFFFFF"/>
        </w:rPr>
        <w:t>s</w:t>
      </w:r>
      <w:r w:rsidRPr="00D66B27">
        <w:rPr>
          <w:rFonts w:ascii="Verdana" w:hAnsi="Verdana"/>
          <w:sz w:val="20"/>
          <w:szCs w:val="20"/>
          <w:shd w:val="clear" w:color="auto" w:fill="FFFFFF"/>
        </w:rPr>
        <w:t>.</w:t>
      </w:r>
      <w:r w:rsidR="00D74B41" w:rsidRPr="00D66B27">
        <w:rPr>
          <w:rFonts w:ascii="Verdana" w:hAnsi="Verdana"/>
          <w:sz w:val="20"/>
          <w:szCs w:val="20"/>
          <w:shd w:val="clear" w:color="auto" w:fill="FFFFFF"/>
        </w:rPr>
        <w:t xml:space="preserve"> </w:t>
      </w:r>
    </w:p>
    <w:p w14:paraId="36558042" w14:textId="77777777" w:rsidR="000A646B" w:rsidRPr="00D66B27" w:rsidRDefault="000A646B" w:rsidP="000A646B">
      <w:pPr>
        <w:pStyle w:val="Prrafodelista"/>
        <w:rPr>
          <w:rFonts w:ascii="Verdana" w:hAnsi="Verdana"/>
          <w:sz w:val="20"/>
          <w:szCs w:val="20"/>
        </w:rPr>
      </w:pPr>
    </w:p>
    <w:p w14:paraId="09263E1E" w14:textId="77777777" w:rsidR="000A646B" w:rsidRPr="00D66B27" w:rsidRDefault="000A646B" w:rsidP="001D6943">
      <w:pPr>
        <w:pStyle w:val="Prrafodelista"/>
        <w:numPr>
          <w:ilvl w:val="1"/>
          <w:numId w:val="2"/>
        </w:numPr>
        <w:spacing w:after="0" w:line="240" w:lineRule="auto"/>
        <w:ind w:left="426" w:hanging="219"/>
        <w:jc w:val="both"/>
        <w:rPr>
          <w:rFonts w:ascii="Verdana" w:hAnsi="Verdana"/>
          <w:sz w:val="20"/>
          <w:szCs w:val="20"/>
        </w:rPr>
      </w:pPr>
      <w:r w:rsidRPr="00D66B27">
        <w:rPr>
          <w:rFonts w:ascii="Verdana" w:hAnsi="Verdana"/>
          <w:i/>
          <w:sz w:val="20"/>
          <w:szCs w:val="20"/>
        </w:rPr>
        <w:t>Acumulación de los casos</w:t>
      </w:r>
      <w:r w:rsidRPr="00D66B27">
        <w:rPr>
          <w:rFonts w:ascii="Verdana" w:hAnsi="Verdana"/>
          <w:sz w:val="20"/>
          <w:szCs w:val="20"/>
        </w:rPr>
        <w:t>. - El 8 de abril de 2008 la Comisión decidió acumular los casos N° 12.522 (Lucía Morales Compagnon y otros) y N° 12.523 (Alina María Barraza y otros) al caso N° 12.521 (María Laura Órdenes Guerra y otros), en aplicación del artículo 29.1.d) de su Reglamento vigente en ese momento, por considerar que versaban sobre hechos similares. El 30 de abril de 2009 la Comisión comunicó a las partes su decisión de acumular el caso N° 12.520 (Mario Melo Prádenas y otros) al caso No. 12.521, en los mismos términos.</w:t>
      </w:r>
    </w:p>
    <w:p w14:paraId="1B29CC15" w14:textId="77777777" w:rsidR="005B536C" w:rsidRPr="00D66B27" w:rsidRDefault="005B536C" w:rsidP="00756418">
      <w:pPr>
        <w:pStyle w:val="Prrafodelista"/>
        <w:spacing w:line="240" w:lineRule="auto"/>
        <w:ind w:left="426" w:hanging="219"/>
        <w:jc w:val="both"/>
        <w:rPr>
          <w:rFonts w:ascii="Verdana" w:hAnsi="Verdana"/>
          <w:sz w:val="20"/>
          <w:szCs w:val="20"/>
        </w:rPr>
      </w:pPr>
    </w:p>
    <w:p w14:paraId="2D870A89" w14:textId="486BE37B" w:rsidR="005B536C" w:rsidRPr="00D66B27" w:rsidRDefault="005B536C" w:rsidP="001D6943">
      <w:pPr>
        <w:pStyle w:val="Prrafodelista"/>
        <w:numPr>
          <w:ilvl w:val="1"/>
          <w:numId w:val="2"/>
        </w:numPr>
        <w:spacing w:after="0" w:line="240" w:lineRule="auto"/>
        <w:ind w:left="426" w:hanging="219"/>
        <w:jc w:val="both"/>
        <w:rPr>
          <w:rFonts w:ascii="Verdana" w:hAnsi="Verdana"/>
          <w:sz w:val="20"/>
          <w:szCs w:val="20"/>
        </w:rPr>
      </w:pPr>
      <w:r w:rsidRPr="00D66B27">
        <w:rPr>
          <w:rFonts w:ascii="Verdana" w:hAnsi="Verdana"/>
          <w:i/>
          <w:sz w:val="20"/>
          <w:szCs w:val="20"/>
        </w:rPr>
        <w:t>Informe de Fondo.</w:t>
      </w:r>
      <w:r w:rsidRPr="00D66B27">
        <w:rPr>
          <w:rFonts w:ascii="Verdana" w:hAnsi="Verdana"/>
          <w:sz w:val="20"/>
          <w:szCs w:val="20"/>
        </w:rPr>
        <w:t xml:space="preserve"> – </w:t>
      </w:r>
      <w:r w:rsidR="00D373C2" w:rsidRPr="00D66B27">
        <w:rPr>
          <w:rFonts w:ascii="Verdana" w:hAnsi="Verdana"/>
          <w:sz w:val="20"/>
          <w:szCs w:val="20"/>
        </w:rPr>
        <w:t>El 30 de noviembre de 2016 la Comisión aprobó el Informe de Fondo No. 52/16</w:t>
      </w:r>
      <w:r w:rsidRPr="00D66B27">
        <w:rPr>
          <w:rFonts w:ascii="Verdana" w:hAnsi="Verdana"/>
          <w:sz w:val="20"/>
          <w:szCs w:val="20"/>
        </w:rPr>
        <w:t xml:space="preserve">, de conformidad con el artículo 50 de la Convención Americana (en adelante “Informe de Fondo” o “el Informe”), en el cual </w:t>
      </w:r>
      <w:r w:rsidR="00D373C2" w:rsidRPr="00D66B27">
        <w:rPr>
          <w:rFonts w:ascii="Verdana" w:hAnsi="Verdana"/>
          <w:sz w:val="20"/>
          <w:szCs w:val="20"/>
        </w:rPr>
        <w:t>llegó a una serie de conclusiones y formuló varias recomendaciones al Estado</w:t>
      </w:r>
      <w:r w:rsidR="008874EE" w:rsidRPr="00D66B27">
        <w:rPr>
          <w:rStyle w:val="Refdenotaalpie"/>
          <w:rFonts w:ascii="Verdana" w:hAnsi="Verdana"/>
          <w:sz w:val="20"/>
          <w:szCs w:val="20"/>
        </w:rPr>
        <w:footnoteReference w:id="7"/>
      </w:r>
      <w:r w:rsidR="008874EE" w:rsidRPr="00D66B27">
        <w:rPr>
          <w:rFonts w:ascii="Verdana" w:hAnsi="Verdana"/>
          <w:sz w:val="20"/>
          <w:szCs w:val="20"/>
        </w:rPr>
        <w:t>.</w:t>
      </w:r>
    </w:p>
    <w:p w14:paraId="30ABF97F" w14:textId="77777777" w:rsidR="005F4CD2" w:rsidRPr="00D66B27" w:rsidRDefault="005F4CD2" w:rsidP="00756418">
      <w:pPr>
        <w:pStyle w:val="Prrafodelista"/>
        <w:spacing w:line="240" w:lineRule="auto"/>
        <w:ind w:left="851"/>
        <w:jc w:val="both"/>
        <w:rPr>
          <w:rFonts w:ascii="Verdana" w:hAnsi="Verdana"/>
          <w:sz w:val="20"/>
          <w:szCs w:val="20"/>
        </w:rPr>
      </w:pPr>
    </w:p>
    <w:p w14:paraId="475DF39C" w14:textId="229C632A" w:rsidR="005B536C" w:rsidRPr="00D66B27" w:rsidRDefault="005B536C" w:rsidP="001D6943">
      <w:pPr>
        <w:pStyle w:val="Prrafodelista"/>
        <w:numPr>
          <w:ilvl w:val="1"/>
          <w:numId w:val="2"/>
        </w:numPr>
        <w:spacing w:after="0" w:line="240" w:lineRule="auto"/>
        <w:ind w:left="426" w:hanging="284"/>
        <w:jc w:val="both"/>
        <w:rPr>
          <w:rFonts w:ascii="Verdana" w:hAnsi="Verdana"/>
          <w:sz w:val="20"/>
          <w:szCs w:val="20"/>
        </w:rPr>
      </w:pPr>
      <w:r w:rsidRPr="00D66B27">
        <w:rPr>
          <w:rFonts w:ascii="Verdana" w:hAnsi="Verdana"/>
          <w:i/>
          <w:sz w:val="20"/>
          <w:szCs w:val="20"/>
        </w:rPr>
        <w:t>Notificación al Estado</w:t>
      </w:r>
      <w:r w:rsidRPr="00D66B27">
        <w:rPr>
          <w:rFonts w:ascii="Verdana" w:hAnsi="Verdana"/>
          <w:sz w:val="20"/>
          <w:szCs w:val="20"/>
        </w:rPr>
        <w:t xml:space="preserve">.- La Comisión notificó el Informe de Fondo al Estado el </w:t>
      </w:r>
      <w:r w:rsidR="00D373C2" w:rsidRPr="00D66B27">
        <w:rPr>
          <w:rFonts w:ascii="Verdana" w:hAnsi="Verdana"/>
          <w:sz w:val="20"/>
          <w:szCs w:val="20"/>
        </w:rPr>
        <w:t xml:space="preserve">17 de febrero de 2017 </w:t>
      </w:r>
      <w:r w:rsidRPr="00D66B27">
        <w:rPr>
          <w:rFonts w:ascii="Verdana" w:hAnsi="Verdana"/>
          <w:sz w:val="20"/>
          <w:szCs w:val="20"/>
        </w:rPr>
        <w:t>y le otorgó un plazo de dos meses para informar sobre el cumpl</w:t>
      </w:r>
      <w:r w:rsidR="00EB6760" w:rsidRPr="00D66B27">
        <w:rPr>
          <w:rFonts w:ascii="Verdana" w:hAnsi="Verdana"/>
          <w:sz w:val="20"/>
          <w:szCs w:val="20"/>
        </w:rPr>
        <w:t xml:space="preserve">imiento de las recomendaciones. </w:t>
      </w:r>
      <w:r w:rsidR="00CF1250" w:rsidRPr="00D66B27">
        <w:rPr>
          <w:rFonts w:ascii="Verdana" w:hAnsi="Verdana"/>
          <w:sz w:val="20"/>
          <w:szCs w:val="20"/>
        </w:rPr>
        <w:t xml:space="preserve">La Comisión señaló que, posteriormente, </w:t>
      </w:r>
      <w:r w:rsidR="00D373C2" w:rsidRPr="00D66B27">
        <w:rPr>
          <w:rFonts w:ascii="Verdana" w:hAnsi="Verdana"/>
          <w:sz w:val="20"/>
          <w:szCs w:val="20"/>
        </w:rPr>
        <w:t xml:space="preserve">el Estado </w:t>
      </w:r>
      <w:r w:rsidR="00CF1250" w:rsidRPr="00D66B27">
        <w:rPr>
          <w:rFonts w:ascii="Verdana" w:hAnsi="Verdana"/>
          <w:sz w:val="20"/>
          <w:szCs w:val="20"/>
        </w:rPr>
        <w:t xml:space="preserve">manifestó </w:t>
      </w:r>
      <w:r w:rsidR="00D373C2" w:rsidRPr="00D66B27">
        <w:rPr>
          <w:rFonts w:ascii="Verdana" w:hAnsi="Verdana"/>
          <w:sz w:val="20"/>
          <w:szCs w:val="20"/>
        </w:rPr>
        <w:t>que el plazo otorgado resultaba</w:t>
      </w:r>
      <w:r w:rsidR="00541B39" w:rsidRPr="00D66B27">
        <w:rPr>
          <w:rFonts w:ascii="Verdana" w:hAnsi="Verdana"/>
          <w:sz w:val="20"/>
          <w:szCs w:val="20"/>
        </w:rPr>
        <w:t xml:space="preserve"> insuficiente para esos efectos; que a la fecha ya existía</w:t>
      </w:r>
      <w:r w:rsidR="00D373C2" w:rsidRPr="00D66B27">
        <w:rPr>
          <w:rFonts w:ascii="Verdana" w:hAnsi="Verdana"/>
          <w:sz w:val="20"/>
          <w:szCs w:val="20"/>
        </w:rPr>
        <w:t xml:space="preserve"> un criterio jurisprudencial uniforme sobre la inaplicabilidad de la figura de la prescripción en el marco de acciones civiles de reparación por crímenes de lesa humanidad y que, por lo tanto, existe internamente un recurso efectivo</w:t>
      </w:r>
      <w:r w:rsidRPr="00D66B27">
        <w:rPr>
          <w:rFonts w:ascii="Verdana" w:hAnsi="Verdana"/>
          <w:sz w:val="20"/>
          <w:szCs w:val="20"/>
        </w:rPr>
        <w:t>.</w:t>
      </w:r>
      <w:r w:rsidR="00541B39" w:rsidRPr="00D66B27">
        <w:rPr>
          <w:rFonts w:ascii="Verdana" w:hAnsi="Verdana"/>
          <w:sz w:val="20"/>
          <w:szCs w:val="20"/>
        </w:rPr>
        <w:t xml:space="preserve"> El Estado no solicitó una prórroga para la suspensión del plazo previsto en el artículo 51 de la Convención.</w:t>
      </w:r>
    </w:p>
    <w:p w14:paraId="7A579524" w14:textId="77777777" w:rsidR="005B536C" w:rsidRPr="00D66B27" w:rsidRDefault="005B536C" w:rsidP="00756418">
      <w:pPr>
        <w:pStyle w:val="Prrafodelista"/>
        <w:spacing w:line="240" w:lineRule="auto"/>
        <w:ind w:left="0"/>
        <w:jc w:val="both"/>
        <w:rPr>
          <w:rFonts w:ascii="Verdana" w:hAnsi="Verdana"/>
          <w:sz w:val="20"/>
          <w:szCs w:val="20"/>
        </w:rPr>
      </w:pPr>
    </w:p>
    <w:p w14:paraId="0D016E62" w14:textId="77777777" w:rsidR="005B536C" w:rsidRPr="00D66B27" w:rsidRDefault="005B536C" w:rsidP="001D6943">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i/>
          <w:iCs/>
          <w:sz w:val="20"/>
          <w:szCs w:val="20"/>
        </w:rPr>
        <w:t xml:space="preserve">Sometimiento </w:t>
      </w:r>
      <w:r w:rsidR="001F229B" w:rsidRPr="00D66B27">
        <w:rPr>
          <w:rFonts w:ascii="Verdana" w:hAnsi="Verdana"/>
          <w:i/>
          <w:iCs/>
          <w:sz w:val="20"/>
          <w:szCs w:val="20"/>
        </w:rPr>
        <w:t xml:space="preserve">del caso </w:t>
      </w:r>
      <w:r w:rsidRPr="00D66B27">
        <w:rPr>
          <w:rFonts w:ascii="Verdana" w:hAnsi="Verdana"/>
          <w:i/>
          <w:iCs/>
          <w:sz w:val="20"/>
          <w:szCs w:val="20"/>
        </w:rPr>
        <w:t>a</w:t>
      </w:r>
      <w:r w:rsidR="001F229B" w:rsidRPr="00D66B27">
        <w:rPr>
          <w:rFonts w:ascii="Verdana" w:hAnsi="Verdana"/>
          <w:i/>
          <w:iCs/>
          <w:sz w:val="20"/>
          <w:szCs w:val="20"/>
        </w:rPr>
        <w:t>nte</w:t>
      </w:r>
      <w:r w:rsidRPr="00D66B27">
        <w:rPr>
          <w:rFonts w:ascii="Verdana" w:hAnsi="Verdana"/>
          <w:i/>
          <w:iCs/>
          <w:sz w:val="20"/>
          <w:szCs w:val="20"/>
        </w:rPr>
        <w:t xml:space="preserve"> la Corte</w:t>
      </w:r>
      <w:r w:rsidRPr="00D66B27">
        <w:rPr>
          <w:rFonts w:ascii="Verdana" w:hAnsi="Verdana"/>
          <w:sz w:val="20"/>
          <w:szCs w:val="20"/>
        </w:rPr>
        <w:t xml:space="preserve">.- El </w:t>
      </w:r>
      <w:r w:rsidR="00541B39" w:rsidRPr="00D66B27">
        <w:rPr>
          <w:rFonts w:ascii="Verdana" w:hAnsi="Verdana"/>
          <w:sz w:val="20"/>
          <w:szCs w:val="20"/>
        </w:rPr>
        <w:t>17 de mayo de 2017</w:t>
      </w:r>
      <w:r w:rsidRPr="00D66B27">
        <w:rPr>
          <w:rFonts w:ascii="Verdana" w:hAnsi="Verdana"/>
          <w:sz w:val="20"/>
          <w:szCs w:val="20"/>
        </w:rPr>
        <w:t xml:space="preserve"> la Comisión sometió a la Corte la totalidad de los hechos y violaciones de derechos humanos descritos en el Informe de Fondo </w:t>
      </w:r>
      <w:r w:rsidR="00541B39" w:rsidRPr="00D66B27">
        <w:rPr>
          <w:rFonts w:ascii="Verdana" w:hAnsi="Verdana"/>
          <w:sz w:val="20"/>
          <w:szCs w:val="20"/>
        </w:rPr>
        <w:t>52/16,</w:t>
      </w:r>
      <w:r w:rsidRPr="00D66B27">
        <w:rPr>
          <w:rFonts w:ascii="Verdana" w:hAnsi="Verdana"/>
          <w:sz w:val="20"/>
          <w:szCs w:val="20"/>
        </w:rPr>
        <w:t xml:space="preserve"> </w:t>
      </w:r>
      <w:r w:rsidR="00541B39" w:rsidRPr="00D66B27">
        <w:rPr>
          <w:rFonts w:ascii="Verdana" w:hAnsi="Verdana"/>
          <w:sz w:val="20"/>
          <w:szCs w:val="20"/>
        </w:rPr>
        <w:t xml:space="preserve">ante </w:t>
      </w:r>
      <w:r w:rsidRPr="00D66B27">
        <w:rPr>
          <w:rFonts w:ascii="Verdana" w:hAnsi="Verdana"/>
          <w:sz w:val="20"/>
          <w:szCs w:val="20"/>
        </w:rPr>
        <w:t>la “necesidad de obtención de justicia para las [presuntas] víctimas”</w:t>
      </w:r>
      <w:r w:rsidR="00541B39" w:rsidRPr="00D66B27">
        <w:rPr>
          <w:rFonts w:ascii="Verdana" w:hAnsi="Verdana"/>
          <w:sz w:val="20"/>
          <w:szCs w:val="20"/>
        </w:rPr>
        <w:t xml:space="preserve"> y por considerar que el Estado no había indicado la manera en que éstas, cuyas acciones ya fueron rechazadas, podrían ser reparadas</w:t>
      </w:r>
      <w:r w:rsidRPr="00D66B27">
        <w:rPr>
          <w:rFonts w:ascii="Verdana" w:hAnsi="Verdana"/>
          <w:sz w:val="20"/>
          <w:szCs w:val="20"/>
          <w:vertAlign w:val="superscript"/>
        </w:rPr>
        <w:footnoteReference w:id="8"/>
      </w:r>
      <w:r w:rsidRPr="00D66B27">
        <w:rPr>
          <w:rFonts w:ascii="Verdana" w:hAnsi="Verdana"/>
          <w:sz w:val="20"/>
          <w:szCs w:val="20"/>
        </w:rPr>
        <w:t xml:space="preserve">. </w:t>
      </w:r>
    </w:p>
    <w:p w14:paraId="0AF45316" w14:textId="77777777" w:rsidR="005B536C" w:rsidRPr="00D66B27" w:rsidRDefault="005B536C" w:rsidP="00756418">
      <w:pPr>
        <w:pStyle w:val="Prrafodelista"/>
        <w:spacing w:line="240" w:lineRule="auto"/>
        <w:ind w:left="0"/>
        <w:jc w:val="both"/>
        <w:rPr>
          <w:rFonts w:ascii="Verdana" w:hAnsi="Verdana"/>
          <w:sz w:val="20"/>
          <w:szCs w:val="20"/>
        </w:rPr>
      </w:pPr>
    </w:p>
    <w:p w14:paraId="5A243048" w14:textId="77777777" w:rsidR="005B536C" w:rsidRPr="00D66B27" w:rsidRDefault="005B536C" w:rsidP="001D6943">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i/>
          <w:sz w:val="20"/>
          <w:szCs w:val="20"/>
        </w:rPr>
        <w:t>Solicitudes de la Comisión Interamericana</w:t>
      </w:r>
      <w:r w:rsidRPr="00D66B27">
        <w:rPr>
          <w:rFonts w:ascii="Verdana" w:hAnsi="Verdana"/>
          <w:sz w:val="20"/>
          <w:szCs w:val="20"/>
        </w:rPr>
        <w:t>.- Con base en lo anterior, la Comisión solicit</w:t>
      </w:r>
      <w:r w:rsidR="00663255" w:rsidRPr="00D66B27">
        <w:rPr>
          <w:rFonts w:ascii="Verdana" w:hAnsi="Verdana"/>
          <w:sz w:val="20"/>
          <w:szCs w:val="20"/>
        </w:rPr>
        <w:t>ó a este Tribunal que concluya y declare</w:t>
      </w:r>
      <w:r w:rsidRPr="00D66B27">
        <w:rPr>
          <w:rFonts w:ascii="Verdana" w:hAnsi="Verdana"/>
          <w:sz w:val="20"/>
          <w:szCs w:val="20"/>
        </w:rPr>
        <w:t xml:space="preserve"> que el Estado es responsable por la violación de los derechos declarados en su In</w:t>
      </w:r>
      <w:r w:rsidR="00663255" w:rsidRPr="00D66B27">
        <w:rPr>
          <w:rFonts w:ascii="Verdana" w:hAnsi="Verdana"/>
          <w:sz w:val="20"/>
          <w:szCs w:val="20"/>
        </w:rPr>
        <w:t>forme de Fondo y que le ordene</w:t>
      </w:r>
      <w:r w:rsidRPr="00D66B27">
        <w:rPr>
          <w:rFonts w:ascii="Verdana" w:hAnsi="Verdana"/>
          <w:sz w:val="20"/>
          <w:szCs w:val="20"/>
        </w:rPr>
        <w:t xml:space="preserve">, como medidas de reparación, las recomendaciones contenidas en el mismo. </w:t>
      </w:r>
    </w:p>
    <w:p w14:paraId="6F446989" w14:textId="77777777" w:rsidR="009519B0" w:rsidRDefault="009519B0" w:rsidP="00756418">
      <w:pPr>
        <w:pStyle w:val="Prrafodelista"/>
        <w:spacing w:line="240" w:lineRule="auto"/>
        <w:ind w:left="0"/>
        <w:jc w:val="both"/>
        <w:rPr>
          <w:rFonts w:ascii="Verdana" w:hAnsi="Verdana"/>
          <w:sz w:val="20"/>
          <w:szCs w:val="20"/>
        </w:rPr>
      </w:pPr>
    </w:p>
    <w:p w14:paraId="462D88C5" w14:textId="77777777" w:rsidR="005B536C" w:rsidRPr="00D66B27" w:rsidRDefault="005B536C" w:rsidP="00AE1DD8">
      <w:pPr>
        <w:pStyle w:val="Ttulo1"/>
        <w:spacing w:before="0" w:after="0"/>
        <w:rPr>
          <w:caps w:val="0"/>
        </w:rPr>
      </w:pPr>
      <w:bookmarkStart w:id="2" w:name="_Toc340752579"/>
      <w:bookmarkStart w:id="3" w:name="_Toc528084357"/>
      <w:r w:rsidRPr="00D66B27">
        <w:t>II</w:t>
      </w:r>
      <w:r w:rsidRPr="00D66B27">
        <w:br/>
        <w:t>PROCEDIMIENTO ANTE LA CORTE</w:t>
      </w:r>
      <w:bookmarkEnd w:id="2"/>
      <w:bookmarkEnd w:id="3"/>
    </w:p>
    <w:p w14:paraId="5BE4C681" w14:textId="77777777" w:rsidR="005B536C" w:rsidRPr="00D66B27" w:rsidRDefault="005B536C">
      <w:pPr>
        <w:spacing w:after="0" w:line="240" w:lineRule="auto"/>
        <w:jc w:val="both"/>
        <w:rPr>
          <w:rFonts w:ascii="Verdana" w:hAnsi="Verdana" w:cs="Times New Roman"/>
          <w:sz w:val="20"/>
          <w:szCs w:val="20"/>
        </w:rPr>
      </w:pPr>
    </w:p>
    <w:p w14:paraId="72A03401" w14:textId="5C698652" w:rsidR="005B536C" w:rsidRPr="00D66B27" w:rsidRDefault="005B536C" w:rsidP="001D6943">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i/>
          <w:sz w:val="20"/>
          <w:szCs w:val="20"/>
        </w:rPr>
        <w:t>Notificación</w:t>
      </w:r>
      <w:r w:rsidR="00F84F9B" w:rsidRPr="00D66B27">
        <w:rPr>
          <w:rFonts w:ascii="Verdana" w:hAnsi="Verdana"/>
          <w:i/>
          <w:sz w:val="20"/>
          <w:szCs w:val="20"/>
        </w:rPr>
        <w:t xml:space="preserve"> del caso</w:t>
      </w:r>
      <w:r w:rsidRPr="00D66B27">
        <w:rPr>
          <w:rFonts w:ascii="Verdana" w:hAnsi="Verdana"/>
          <w:i/>
          <w:sz w:val="20"/>
          <w:szCs w:val="20"/>
        </w:rPr>
        <w:t xml:space="preserve"> al Estado y a</w:t>
      </w:r>
      <w:r w:rsidR="00F84F9B" w:rsidRPr="00D66B27">
        <w:rPr>
          <w:rFonts w:ascii="Verdana" w:hAnsi="Verdana"/>
          <w:i/>
          <w:sz w:val="20"/>
          <w:szCs w:val="20"/>
        </w:rPr>
        <w:t>l</w:t>
      </w:r>
      <w:r w:rsidRPr="00D66B27">
        <w:rPr>
          <w:rFonts w:ascii="Verdana" w:hAnsi="Verdana"/>
          <w:i/>
          <w:sz w:val="20"/>
          <w:szCs w:val="20"/>
        </w:rPr>
        <w:t xml:space="preserve"> representante de presuntas víctimas</w:t>
      </w:r>
      <w:r w:rsidRPr="00D66B27">
        <w:rPr>
          <w:rFonts w:ascii="Verdana" w:hAnsi="Verdana"/>
          <w:sz w:val="20"/>
          <w:szCs w:val="20"/>
        </w:rPr>
        <w:t xml:space="preserve">.- El sometimiento del caso por parte de la Comisión fue notificado </w:t>
      </w:r>
      <w:r w:rsidR="00F84F9B" w:rsidRPr="00D66B27">
        <w:rPr>
          <w:rFonts w:ascii="Verdana" w:hAnsi="Verdana"/>
          <w:sz w:val="20"/>
          <w:szCs w:val="20"/>
        </w:rPr>
        <w:t xml:space="preserve">al Estado y al </w:t>
      </w:r>
      <w:r w:rsidRPr="00D66B27">
        <w:rPr>
          <w:rFonts w:ascii="Verdana" w:hAnsi="Verdana"/>
          <w:sz w:val="20"/>
          <w:szCs w:val="20"/>
        </w:rPr>
        <w:t>representante de las presuntas víctimas</w:t>
      </w:r>
      <w:r w:rsidR="00663255" w:rsidRPr="00D66B27">
        <w:rPr>
          <w:rStyle w:val="Refdenotaalpie"/>
          <w:rFonts w:ascii="Verdana" w:hAnsi="Verdana"/>
          <w:sz w:val="20"/>
          <w:szCs w:val="20"/>
        </w:rPr>
        <w:footnoteReference w:id="9"/>
      </w:r>
      <w:r w:rsidRPr="00D66B27">
        <w:rPr>
          <w:rFonts w:ascii="Verdana" w:hAnsi="Verdana"/>
          <w:sz w:val="20"/>
          <w:szCs w:val="20"/>
        </w:rPr>
        <w:t xml:space="preserve"> (en adelante “</w:t>
      </w:r>
      <w:r w:rsidR="00F84F9B" w:rsidRPr="00D66B27">
        <w:rPr>
          <w:rFonts w:ascii="Verdana" w:hAnsi="Verdana"/>
          <w:sz w:val="20"/>
          <w:szCs w:val="20"/>
        </w:rPr>
        <w:t>el</w:t>
      </w:r>
      <w:r w:rsidRPr="00D66B27">
        <w:rPr>
          <w:rFonts w:ascii="Verdana" w:hAnsi="Verdana"/>
          <w:sz w:val="20"/>
          <w:szCs w:val="20"/>
        </w:rPr>
        <w:t xml:space="preserve"> representante”)</w:t>
      </w:r>
      <w:r w:rsidR="00663255" w:rsidRPr="00D66B27">
        <w:rPr>
          <w:rStyle w:val="Refdenotaalpie"/>
          <w:rFonts w:ascii="Verdana" w:hAnsi="Verdana"/>
          <w:sz w:val="20"/>
          <w:szCs w:val="20"/>
        </w:rPr>
        <w:t xml:space="preserve"> </w:t>
      </w:r>
      <w:r w:rsidR="00F84F9B" w:rsidRPr="00D66B27">
        <w:rPr>
          <w:rFonts w:ascii="Verdana" w:hAnsi="Verdana"/>
          <w:sz w:val="20"/>
          <w:szCs w:val="20"/>
        </w:rPr>
        <w:t>los días 4 y 6 de septi</w:t>
      </w:r>
      <w:r w:rsidR="00BB6A9B">
        <w:rPr>
          <w:rFonts w:ascii="Verdana" w:hAnsi="Verdana"/>
          <w:sz w:val="20"/>
          <w:szCs w:val="20"/>
        </w:rPr>
        <w:t>embre de 2017, respectivamente.</w:t>
      </w:r>
    </w:p>
    <w:p w14:paraId="06F7EED9" w14:textId="77777777" w:rsidR="005B536C" w:rsidRPr="00D66B27" w:rsidRDefault="005B536C" w:rsidP="00756418">
      <w:pPr>
        <w:pStyle w:val="Prrafodelista"/>
        <w:spacing w:line="240" w:lineRule="auto"/>
        <w:ind w:left="0"/>
        <w:jc w:val="both"/>
        <w:rPr>
          <w:rFonts w:ascii="Verdana" w:hAnsi="Verdana"/>
          <w:sz w:val="20"/>
          <w:szCs w:val="20"/>
        </w:rPr>
      </w:pPr>
    </w:p>
    <w:p w14:paraId="70929E45" w14:textId="5752E961" w:rsidR="00253164" w:rsidRPr="00D66B27" w:rsidRDefault="00065013" w:rsidP="001D6943">
      <w:pPr>
        <w:pStyle w:val="Prrafodelista"/>
        <w:numPr>
          <w:ilvl w:val="0"/>
          <w:numId w:val="2"/>
        </w:numPr>
        <w:spacing w:after="0" w:line="240" w:lineRule="auto"/>
        <w:ind w:left="0" w:firstLine="0"/>
        <w:jc w:val="both"/>
        <w:rPr>
          <w:rFonts w:ascii="Verdana" w:eastAsia="Verdana" w:hAnsi="Verdana" w:cs="Verdana"/>
          <w:sz w:val="20"/>
          <w:szCs w:val="20"/>
        </w:rPr>
      </w:pPr>
      <w:r w:rsidRPr="00D66B27">
        <w:rPr>
          <w:rFonts w:ascii="Verdana" w:hAnsi="Verdana"/>
          <w:i/>
          <w:sz w:val="20"/>
          <w:szCs w:val="20"/>
        </w:rPr>
        <w:t>Inadmisibilidad del e</w:t>
      </w:r>
      <w:r w:rsidR="005B536C" w:rsidRPr="00D66B27">
        <w:rPr>
          <w:rFonts w:ascii="Verdana" w:hAnsi="Verdana"/>
          <w:i/>
          <w:sz w:val="20"/>
          <w:szCs w:val="20"/>
        </w:rPr>
        <w:t>scrito de solicitudes, argumentos y pruebas.-</w:t>
      </w:r>
      <w:r w:rsidR="00315AAB" w:rsidRPr="00D66B27">
        <w:rPr>
          <w:rFonts w:ascii="Verdana" w:hAnsi="Verdana"/>
          <w:sz w:val="20"/>
          <w:szCs w:val="20"/>
        </w:rPr>
        <w:t xml:space="preserve"> </w:t>
      </w:r>
      <w:r w:rsidR="0069707C" w:rsidRPr="00D66B27">
        <w:rPr>
          <w:rFonts w:ascii="Verdana" w:eastAsia="Verdana" w:hAnsi="Verdana" w:cs="Verdana"/>
          <w:sz w:val="20"/>
          <w:szCs w:val="20"/>
        </w:rPr>
        <w:t>El 10 de noviembre de 2017 el representante remitió, de forma extemporánea</w:t>
      </w:r>
      <w:r w:rsidR="002C337F" w:rsidRPr="00D66B27">
        <w:rPr>
          <w:rFonts w:ascii="Verdana" w:eastAsia="Verdana" w:hAnsi="Verdana" w:cs="Verdana"/>
          <w:sz w:val="20"/>
          <w:szCs w:val="20"/>
        </w:rPr>
        <w:t>, su escrito de solicitudes,</w:t>
      </w:r>
      <w:r w:rsidR="0069707C" w:rsidRPr="00D66B27">
        <w:rPr>
          <w:rFonts w:ascii="Verdana" w:eastAsia="Verdana" w:hAnsi="Verdana" w:cs="Verdana"/>
          <w:sz w:val="20"/>
          <w:szCs w:val="20"/>
        </w:rPr>
        <w:t xml:space="preserve"> argumentos</w:t>
      </w:r>
      <w:r w:rsidR="002C337F" w:rsidRPr="00D66B27">
        <w:rPr>
          <w:rFonts w:ascii="Verdana" w:eastAsia="Verdana" w:hAnsi="Verdana" w:cs="Verdana"/>
          <w:sz w:val="20"/>
          <w:szCs w:val="20"/>
        </w:rPr>
        <w:t xml:space="preserve"> y pruebas</w:t>
      </w:r>
      <w:r w:rsidR="002C337F" w:rsidRPr="00D66B27">
        <w:rPr>
          <w:rStyle w:val="Refdenotaalpie"/>
          <w:rFonts w:ascii="Verdana" w:eastAsia="Verdana" w:hAnsi="Verdana" w:cs="Verdana"/>
          <w:sz w:val="20"/>
          <w:szCs w:val="20"/>
        </w:rPr>
        <w:footnoteReference w:id="10"/>
      </w:r>
      <w:r w:rsidR="00EC7C53" w:rsidRPr="00D66B27">
        <w:rPr>
          <w:rFonts w:ascii="Verdana" w:eastAsia="Verdana" w:hAnsi="Verdana" w:cs="Verdana"/>
          <w:sz w:val="20"/>
          <w:szCs w:val="20"/>
        </w:rPr>
        <w:t>. El 6 de diciembre de 2017 la Secretaría informó</w:t>
      </w:r>
      <w:r w:rsidR="00253164" w:rsidRPr="00D66B27">
        <w:rPr>
          <w:rFonts w:ascii="Verdana" w:eastAsia="Verdana" w:hAnsi="Verdana" w:cs="Verdana"/>
          <w:sz w:val="20"/>
          <w:szCs w:val="20"/>
        </w:rPr>
        <w:t xml:space="preserve">, siguiendo instrucciones del Presidente del Tribunal y en aplicación del artículo 40 del Reglamento, </w:t>
      </w:r>
      <w:r w:rsidR="00EC7C53" w:rsidRPr="00D66B27">
        <w:rPr>
          <w:rFonts w:ascii="Verdana" w:eastAsia="Verdana" w:hAnsi="Verdana" w:cs="Verdana"/>
          <w:sz w:val="20"/>
          <w:szCs w:val="20"/>
        </w:rPr>
        <w:t>que dicho escrito era</w:t>
      </w:r>
      <w:r w:rsidR="00253164" w:rsidRPr="00D66B27">
        <w:rPr>
          <w:rFonts w:ascii="Verdana" w:eastAsia="Verdana" w:hAnsi="Verdana" w:cs="Verdana"/>
          <w:sz w:val="20"/>
          <w:szCs w:val="20"/>
        </w:rPr>
        <w:t xml:space="preserve"> inadmisible y, en consecuencia, no fue transmitido al Estado </w:t>
      </w:r>
      <w:r w:rsidR="003B7E34" w:rsidRPr="00D66B27">
        <w:rPr>
          <w:rFonts w:ascii="Verdana" w:eastAsia="Verdana" w:hAnsi="Verdana" w:cs="Verdana"/>
          <w:sz w:val="20"/>
          <w:szCs w:val="20"/>
        </w:rPr>
        <w:t>y</w:t>
      </w:r>
      <w:r w:rsidR="00253164" w:rsidRPr="00D66B27">
        <w:rPr>
          <w:rFonts w:ascii="Verdana" w:eastAsia="Verdana" w:hAnsi="Verdana" w:cs="Verdana"/>
          <w:sz w:val="20"/>
          <w:szCs w:val="20"/>
        </w:rPr>
        <w:t xml:space="preserve"> a la Comisión</w:t>
      </w:r>
      <w:r w:rsidR="003B7E34" w:rsidRPr="00D66B27">
        <w:rPr>
          <w:rFonts w:ascii="Verdana" w:eastAsia="Verdana" w:hAnsi="Verdana" w:cs="Verdana"/>
          <w:sz w:val="20"/>
          <w:szCs w:val="20"/>
        </w:rPr>
        <w:t xml:space="preserve"> ni</w:t>
      </w:r>
      <w:r w:rsidR="00253164" w:rsidRPr="00D66B27">
        <w:rPr>
          <w:rFonts w:ascii="Verdana" w:eastAsia="Verdana" w:hAnsi="Verdana" w:cs="Verdana"/>
          <w:sz w:val="20"/>
          <w:szCs w:val="20"/>
        </w:rPr>
        <w:t xml:space="preserve"> fue incorporado al expediente del caso</w:t>
      </w:r>
      <w:r w:rsidR="003B7E34" w:rsidRPr="00D66B27">
        <w:rPr>
          <w:rFonts w:ascii="Verdana" w:eastAsia="Verdana" w:hAnsi="Verdana" w:cs="Verdana"/>
          <w:sz w:val="20"/>
          <w:szCs w:val="20"/>
        </w:rPr>
        <w:t xml:space="preserve">, por lo que </w:t>
      </w:r>
      <w:r w:rsidR="00EC7C53" w:rsidRPr="00D66B27">
        <w:rPr>
          <w:rFonts w:ascii="Verdana" w:eastAsia="Verdana" w:hAnsi="Verdana" w:cs="Verdana"/>
          <w:sz w:val="20"/>
          <w:szCs w:val="20"/>
        </w:rPr>
        <w:t>el plazo para que el Estado presentara su contestación comenzó a correr a partir de esa última fecha.</w:t>
      </w:r>
      <w:r w:rsidR="006721AF" w:rsidRPr="00D66B27">
        <w:rPr>
          <w:rFonts w:ascii="Verdana" w:eastAsia="Verdana" w:hAnsi="Verdana" w:cs="Verdana"/>
          <w:sz w:val="20"/>
          <w:szCs w:val="20"/>
        </w:rPr>
        <w:t xml:space="preserve"> </w:t>
      </w:r>
    </w:p>
    <w:p w14:paraId="43CEBA0C" w14:textId="77777777" w:rsidR="005B536C" w:rsidRPr="00D66B27" w:rsidRDefault="005B536C">
      <w:pPr>
        <w:pStyle w:val="Prrafodelista"/>
        <w:spacing w:after="0" w:line="240" w:lineRule="auto"/>
        <w:ind w:left="0"/>
        <w:jc w:val="both"/>
        <w:rPr>
          <w:rFonts w:ascii="Verdana" w:eastAsia="Verdana" w:hAnsi="Verdana" w:cs="Verdana"/>
          <w:sz w:val="20"/>
          <w:szCs w:val="20"/>
        </w:rPr>
      </w:pPr>
    </w:p>
    <w:p w14:paraId="6CC4374C" w14:textId="4615AE2D" w:rsidR="00201BDD" w:rsidRPr="00D66B27" w:rsidRDefault="00201BDD" w:rsidP="001D6943">
      <w:pPr>
        <w:pStyle w:val="Prrafodelista"/>
        <w:numPr>
          <w:ilvl w:val="0"/>
          <w:numId w:val="2"/>
        </w:numPr>
        <w:spacing w:after="0" w:line="240" w:lineRule="auto"/>
        <w:ind w:left="0" w:firstLine="0"/>
        <w:jc w:val="both"/>
        <w:rPr>
          <w:rFonts w:ascii="Verdana" w:hAnsi="Verdana"/>
          <w:sz w:val="20"/>
          <w:szCs w:val="20"/>
        </w:rPr>
      </w:pPr>
      <w:r w:rsidRPr="00D66B27">
        <w:rPr>
          <w:rFonts w:ascii="Verdana" w:eastAsia="Verdana" w:hAnsi="Verdana" w:cs="Verdana"/>
          <w:i/>
          <w:sz w:val="20"/>
          <w:szCs w:val="20"/>
        </w:rPr>
        <w:t>Escrito de</w:t>
      </w:r>
      <w:r w:rsidRPr="00D66B27">
        <w:rPr>
          <w:rFonts w:ascii="Verdana" w:eastAsia="Calibri" w:hAnsi="Verdana"/>
          <w:bCs/>
          <w:i/>
          <w:sz w:val="20"/>
          <w:szCs w:val="20"/>
        </w:rPr>
        <w:t xml:space="preserve"> contestación y reconocimiento de responsabilidad</w:t>
      </w:r>
      <w:r w:rsidRPr="00D66B27">
        <w:rPr>
          <w:rStyle w:val="Refdenotaalpie"/>
          <w:rFonts w:ascii="Verdana" w:eastAsia="Calibri" w:hAnsi="Verdana"/>
          <w:bCs/>
          <w:sz w:val="20"/>
          <w:szCs w:val="20"/>
        </w:rPr>
        <w:footnoteReference w:id="11"/>
      </w:r>
      <w:r w:rsidRPr="00D66B27">
        <w:rPr>
          <w:rFonts w:ascii="Verdana" w:eastAsia="Calibri" w:hAnsi="Verdana"/>
          <w:bCs/>
          <w:sz w:val="20"/>
          <w:szCs w:val="20"/>
        </w:rPr>
        <w:t xml:space="preserve">. – </w:t>
      </w:r>
      <w:r w:rsidRPr="00D66B27">
        <w:rPr>
          <w:rFonts w:ascii="Verdana" w:hAnsi="Verdana"/>
          <w:sz w:val="20"/>
          <w:szCs w:val="20"/>
        </w:rPr>
        <w:t xml:space="preserve">El </w:t>
      </w:r>
      <w:r w:rsidR="004D20E8" w:rsidRPr="00D66B27">
        <w:rPr>
          <w:rFonts w:ascii="Verdana" w:hAnsi="Verdana"/>
          <w:sz w:val="20"/>
          <w:szCs w:val="20"/>
        </w:rPr>
        <w:t>5 de febrero de 2018</w:t>
      </w:r>
      <w:r w:rsidRPr="00D66B27">
        <w:rPr>
          <w:rFonts w:ascii="Verdana" w:hAnsi="Verdana"/>
          <w:sz w:val="20"/>
          <w:szCs w:val="20"/>
        </w:rPr>
        <w:t xml:space="preserve"> el Estado presentó su escrito de contestación al sometimiento del caso (en adelante “contestación” o “escrito de contestación”), en el cual</w:t>
      </w:r>
      <w:r w:rsidR="001C4A38" w:rsidRPr="00D66B27">
        <w:rPr>
          <w:rFonts w:ascii="Verdana" w:hAnsi="Verdana"/>
          <w:sz w:val="20"/>
          <w:szCs w:val="20"/>
        </w:rPr>
        <w:t xml:space="preserve"> también</w:t>
      </w:r>
      <w:r w:rsidRPr="00D66B27">
        <w:rPr>
          <w:rFonts w:ascii="Verdana" w:hAnsi="Verdana"/>
          <w:sz w:val="20"/>
          <w:szCs w:val="20"/>
        </w:rPr>
        <w:t xml:space="preserve"> </w:t>
      </w:r>
      <w:r w:rsidR="001C4A38" w:rsidRPr="00D66B27">
        <w:rPr>
          <w:rFonts w:ascii="Verdana" w:hAnsi="Verdana"/>
          <w:sz w:val="20"/>
          <w:szCs w:val="20"/>
        </w:rPr>
        <w:t>efectuó un reconocimiento de</w:t>
      </w:r>
      <w:r w:rsidRPr="00D66B27">
        <w:rPr>
          <w:rFonts w:ascii="Verdana" w:hAnsi="Verdana"/>
          <w:sz w:val="20"/>
          <w:szCs w:val="20"/>
        </w:rPr>
        <w:t xml:space="preserve"> responsabilidad internacional.</w:t>
      </w:r>
    </w:p>
    <w:p w14:paraId="3E8A4FC0" w14:textId="77777777" w:rsidR="00201BDD" w:rsidRPr="00D66B27" w:rsidRDefault="00201BDD">
      <w:pPr>
        <w:pStyle w:val="Prrafodelista"/>
        <w:spacing w:after="0" w:line="240" w:lineRule="auto"/>
        <w:ind w:left="0"/>
        <w:jc w:val="both"/>
        <w:rPr>
          <w:rFonts w:ascii="Verdana" w:hAnsi="Verdana"/>
          <w:sz w:val="20"/>
          <w:szCs w:val="20"/>
        </w:rPr>
      </w:pPr>
    </w:p>
    <w:p w14:paraId="5B225D61" w14:textId="37DAF144" w:rsidR="00201BDD" w:rsidRPr="00D66B27" w:rsidRDefault="00201BDD" w:rsidP="001D6943">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i/>
          <w:sz w:val="20"/>
          <w:szCs w:val="20"/>
        </w:rPr>
        <w:t>Observaciones al reconocimiento de responsabilidad</w:t>
      </w:r>
      <w:r w:rsidRPr="00D66B27">
        <w:rPr>
          <w:rFonts w:ascii="Verdana" w:hAnsi="Verdana"/>
          <w:sz w:val="20"/>
          <w:szCs w:val="20"/>
        </w:rPr>
        <w:t xml:space="preserve">. </w:t>
      </w:r>
      <w:r w:rsidR="001C4A38" w:rsidRPr="00D66B27">
        <w:rPr>
          <w:rFonts w:ascii="Verdana" w:hAnsi="Verdana"/>
          <w:sz w:val="20"/>
          <w:szCs w:val="20"/>
        </w:rPr>
        <w:t xml:space="preserve">- El </w:t>
      </w:r>
      <w:r w:rsidR="00F80E00" w:rsidRPr="00D66B27">
        <w:rPr>
          <w:rFonts w:ascii="Verdana" w:hAnsi="Verdana"/>
          <w:sz w:val="20"/>
          <w:szCs w:val="20"/>
        </w:rPr>
        <w:t>1 de marzo de 2018</w:t>
      </w:r>
      <w:r w:rsidRPr="00D66B27">
        <w:rPr>
          <w:rFonts w:ascii="Verdana" w:hAnsi="Verdana"/>
          <w:sz w:val="20"/>
          <w:szCs w:val="20"/>
        </w:rPr>
        <w:t xml:space="preserve"> los representantes y la Comisión presentaron sus observaciones sobre </w:t>
      </w:r>
      <w:r w:rsidR="00663255" w:rsidRPr="00D66B27">
        <w:rPr>
          <w:rFonts w:ascii="Verdana" w:hAnsi="Verdana"/>
          <w:sz w:val="20"/>
          <w:szCs w:val="20"/>
        </w:rPr>
        <w:t>dicho</w:t>
      </w:r>
      <w:r w:rsidRPr="00D66B27">
        <w:rPr>
          <w:rFonts w:ascii="Verdana" w:hAnsi="Verdana"/>
          <w:sz w:val="20"/>
          <w:szCs w:val="20"/>
        </w:rPr>
        <w:t xml:space="preserve"> reconocimiento</w:t>
      </w:r>
      <w:r w:rsidR="001C4A38" w:rsidRPr="00D66B27">
        <w:rPr>
          <w:rFonts w:ascii="Verdana" w:hAnsi="Verdana"/>
          <w:sz w:val="20"/>
          <w:szCs w:val="20"/>
        </w:rPr>
        <w:t>.</w:t>
      </w:r>
    </w:p>
    <w:p w14:paraId="506529E7" w14:textId="77777777" w:rsidR="001C4A38" w:rsidRPr="00D66B27" w:rsidRDefault="001C4A38">
      <w:pPr>
        <w:pStyle w:val="Prrafodelista"/>
        <w:spacing w:after="0" w:line="240" w:lineRule="auto"/>
        <w:ind w:left="0"/>
        <w:jc w:val="both"/>
        <w:rPr>
          <w:rFonts w:ascii="Verdana" w:hAnsi="Verdana"/>
          <w:sz w:val="20"/>
          <w:szCs w:val="20"/>
        </w:rPr>
      </w:pPr>
    </w:p>
    <w:p w14:paraId="540570B0" w14:textId="31EA3D89" w:rsidR="005B536C" w:rsidRPr="00D66B27" w:rsidRDefault="000770D5" w:rsidP="001D6943">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i/>
          <w:sz w:val="20"/>
          <w:szCs w:val="20"/>
        </w:rPr>
        <w:t xml:space="preserve">Decisión sobre no </w:t>
      </w:r>
      <w:r w:rsidR="00F14AB3" w:rsidRPr="00D66B27">
        <w:rPr>
          <w:rFonts w:ascii="Verdana" w:hAnsi="Verdana"/>
          <w:i/>
          <w:sz w:val="20"/>
          <w:szCs w:val="20"/>
        </w:rPr>
        <w:t>apertura del procedimiento oral</w:t>
      </w:r>
      <w:r w:rsidR="005B536C" w:rsidRPr="00D66B27">
        <w:rPr>
          <w:rFonts w:ascii="Verdana" w:hAnsi="Verdana"/>
          <w:sz w:val="20"/>
          <w:szCs w:val="20"/>
        </w:rPr>
        <w:t xml:space="preserve">.- </w:t>
      </w:r>
      <w:r w:rsidRPr="00D66B27">
        <w:rPr>
          <w:rFonts w:ascii="Verdana" w:hAnsi="Verdana"/>
          <w:sz w:val="20"/>
          <w:szCs w:val="20"/>
        </w:rPr>
        <w:t>El 15 de marzo de 2018 la Secretaría informó que, en aplicación del artículo 45 del Reglamento</w:t>
      </w:r>
      <w:r w:rsidRPr="00D66B27">
        <w:rPr>
          <w:rStyle w:val="Refdenotaalpie"/>
          <w:rFonts w:ascii="Verdana" w:hAnsi="Verdana"/>
          <w:sz w:val="20"/>
          <w:szCs w:val="20"/>
        </w:rPr>
        <w:footnoteReference w:id="12"/>
      </w:r>
      <w:r w:rsidRPr="00D66B27">
        <w:rPr>
          <w:rFonts w:ascii="Verdana" w:hAnsi="Verdana"/>
          <w:sz w:val="20"/>
          <w:szCs w:val="20"/>
        </w:rPr>
        <w:t>, el Pleno de la Corte había evaluado el Informe de Fondo presentado por la Comisión y el escrito de contestación y reconocimiento</w:t>
      </w:r>
      <w:r w:rsidR="00F14AB3" w:rsidRPr="00D66B27">
        <w:rPr>
          <w:rFonts w:ascii="Verdana" w:hAnsi="Verdana"/>
          <w:sz w:val="20"/>
          <w:szCs w:val="20"/>
        </w:rPr>
        <w:t xml:space="preserve"> de responsabilidad del Estado. Así</w:t>
      </w:r>
      <w:r w:rsidRPr="00D66B27">
        <w:rPr>
          <w:rFonts w:ascii="Verdana" w:hAnsi="Verdana"/>
          <w:sz w:val="20"/>
          <w:szCs w:val="20"/>
        </w:rPr>
        <w:t>, luego de constatar que las</w:t>
      </w:r>
      <w:r w:rsidR="00397E2C" w:rsidRPr="00D66B27">
        <w:rPr>
          <w:rFonts w:ascii="Verdana" w:hAnsi="Verdana"/>
          <w:sz w:val="20"/>
          <w:szCs w:val="20"/>
        </w:rPr>
        <w:t xml:space="preserve"> partes y la Comisión coincidían</w:t>
      </w:r>
      <w:r w:rsidRPr="00D66B27">
        <w:rPr>
          <w:rFonts w:ascii="Verdana" w:hAnsi="Verdana"/>
          <w:sz w:val="20"/>
          <w:szCs w:val="20"/>
        </w:rPr>
        <w:t xml:space="preserve"> en que ha cesado la controversia sobre el fondo</w:t>
      </w:r>
      <w:r w:rsidR="00F14AB3" w:rsidRPr="00D66B27">
        <w:rPr>
          <w:rFonts w:ascii="Verdana" w:hAnsi="Verdana"/>
          <w:sz w:val="20"/>
          <w:szCs w:val="20"/>
        </w:rPr>
        <w:t>, y sin perjuicio de lo establecido en el artículo 62 del Reglamento, el Tribunal decidió que no era necesario convocar a una audiencia ni recibir el dictamen ofrecido por la Comisión.</w:t>
      </w:r>
      <w:r w:rsidR="003B7E0C" w:rsidRPr="00D66B27">
        <w:rPr>
          <w:rFonts w:ascii="Verdana" w:hAnsi="Verdana"/>
          <w:sz w:val="20"/>
          <w:szCs w:val="20"/>
        </w:rPr>
        <w:t xml:space="preserve"> Además, en relación con </w:t>
      </w:r>
      <w:r w:rsidR="00433C7A" w:rsidRPr="00D66B27">
        <w:rPr>
          <w:rFonts w:ascii="Verdana" w:hAnsi="Verdana"/>
          <w:sz w:val="20"/>
          <w:szCs w:val="20"/>
        </w:rPr>
        <w:t>una</w:t>
      </w:r>
      <w:r w:rsidR="003B7E0C" w:rsidRPr="00D66B27">
        <w:rPr>
          <w:rFonts w:ascii="Verdana" w:hAnsi="Verdana"/>
          <w:sz w:val="20"/>
          <w:szCs w:val="20"/>
        </w:rPr>
        <w:t xml:space="preserve"> “sugerencia” del representante </w:t>
      </w:r>
      <w:r w:rsidR="00433C7A" w:rsidRPr="00D66B27">
        <w:rPr>
          <w:rFonts w:ascii="Verdana" w:hAnsi="Verdana"/>
          <w:sz w:val="20"/>
          <w:szCs w:val="20"/>
        </w:rPr>
        <w:t xml:space="preserve">para </w:t>
      </w:r>
      <w:r w:rsidR="003B7E0C" w:rsidRPr="00D66B27">
        <w:rPr>
          <w:rFonts w:ascii="Verdana" w:hAnsi="Verdana"/>
          <w:sz w:val="20"/>
          <w:szCs w:val="20"/>
        </w:rPr>
        <w:t xml:space="preserve">que la Corte </w:t>
      </w:r>
      <w:r w:rsidR="00433C7A" w:rsidRPr="00D66B27">
        <w:rPr>
          <w:rFonts w:ascii="Verdana" w:hAnsi="Verdana"/>
          <w:sz w:val="20"/>
          <w:szCs w:val="20"/>
        </w:rPr>
        <w:t xml:space="preserve">propusiera </w:t>
      </w:r>
      <w:r w:rsidR="003B7E0C" w:rsidRPr="00D66B27">
        <w:rPr>
          <w:rFonts w:ascii="Verdana" w:hAnsi="Verdana"/>
          <w:sz w:val="20"/>
          <w:szCs w:val="20"/>
        </w:rPr>
        <w:t xml:space="preserve">a las partes un acuerdo de solución amistosa, se </w:t>
      </w:r>
      <w:r w:rsidR="00433C7A" w:rsidRPr="00D66B27">
        <w:rPr>
          <w:rFonts w:ascii="Verdana" w:hAnsi="Verdana"/>
          <w:sz w:val="20"/>
          <w:szCs w:val="20"/>
        </w:rPr>
        <w:t xml:space="preserve">hizo notar </w:t>
      </w:r>
      <w:r w:rsidR="003B7E0C" w:rsidRPr="00D66B27">
        <w:rPr>
          <w:rFonts w:ascii="Verdana" w:hAnsi="Verdana"/>
          <w:sz w:val="20"/>
          <w:szCs w:val="20"/>
        </w:rPr>
        <w:t xml:space="preserve">que </w:t>
      </w:r>
      <w:r w:rsidR="00433C7A" w:rsidRPr="00D66B27">
        <w:rPr>
          <w:rFonts w:ascii="Verdana" w:hAnsi="Verdana"/>
          <w:sz w:val="20"/>
          <w:szCs w:val="20"/>
        </w:rPr>
        <w:t xml:space="preserve">ésta </w:t>
      </w:r>
      <w:r w:rsidR="003B7E0C" w:rsidRPr="00D66B27">
        <w:rPr>
          <w:rFonts w:ascii="Verdana" w:hAnsi="Verdana"/>
          <w:sz w:val="20"/>
          <w:szCs w:val="20"/>
        </w:rPr>
        <w:t xml:space="preserve">no había sido </w:t>
      </w:r>
      <w:r w:rsidR="00433C7A" w:rsidRPr="00D66B27">
        <w:rPr>
          <w:rFonts w:ascii="Verdana" w:hAnsi="Verdana"/>
          <w:sz w:val="20"/>
          <w:szCs w:val="20"/>
        </w:rPr>
        <w:t>informada</w:t>
      </w:r>
      <w:r w:rsidR="003B7E0C" w:rsidRPr="00D66B27">
        <w:rPr>
          <w:rFonts w:ascii="Verdana" w:hAnsi="Verdana"/>
          <w:sz w:val="20"/>
          <w:szCs w:val="20"/>
        </w:rPr>
        <w:t xml:space="preserve"> acerca de algún acuerdo entre las partes.</w:t>
      </w:r>
      <w:r w:rsidR="00F14AB3" w:rsidRPr="00D66B27">
        <w:rPr>
          <w:rFonts w:ascii="Verdana" w:hAnsi="Verdana"/>
          <w:sz w:val="20"/>
          <w:szCs w:val="20"/>
        </w:rPr>
        <w:t xml:space="preserve"> En consecuencia, se informó</w:t>
      </w:r>
      <w:r w:rsidR="00D00FA4" w:rsidRPr="00D66B27">
        <w:rPr>
          <w:rFonts w:ascii="Verdana" w:hAnsi="Verdana"/>
          <w:sz w:val="20"/>
          <w:szCs w:val="20"/>
        </w:rPr>
        <w:t xml:space="preserve"> al representante</w:t>
      </w:r>
      <w:r w:rsidR="00F14AB3" w:rsidRPr="00D66B27">
        <w:rPr>
          <w:rFonts w:ascii="Verdana" w:hAnsi="Verdana"/>
          <w:sz w:val="20"/>
          <w:szCs w:val="20"/>
        </w:rPr>
        <w:t xml:space="preserve">, al Estado y a la Comisión que contaban con un plazo improrrogable hasta el 16 de abril de 2018 para presentar sus alegatos finales escritos y observaciones finales escritas, respectivamente, en relación con las reparaciones. </w:t>
      </w:r>
    </w:p>
    <w:p w14:paraId="6FC0EDBF" w14:textId="77777777" w:rsidR="005B536C" w:rsidRPr="00D66B27" w:rsidRDefault="005B536C" w:rsidP="00756418">
      <w:pPr>
        <w:pStyle w:val="Prrafodelista"/>
        <w:spacing w:line="240" w:lineRule="auto"/>
        <w:rPr>
          <w:rFonts w:ascii="Verdana" w:hAnsi="Verdana"/>
          <w:i/>
          <w:sz w:val="20"/>
          <w:szCs w:val="20"/>
        </w:rPr>
      </w:pPr>
    </w:p>
    <w:p w14:paraId="576DA21C" w14:textId="77777777" w:rsidR="005B536C" w:rsidRPr="00D66B27" w:rsidRDefault="005B536C" w:rsidP="001D6943">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i/>
          <w:sz w:val="20"/>
          <w:szCs w:val="20"/>
        </w:rPr>
        <w:t>Alegatos y observaciones finales escritos</w:t>
      </w:r>
      <w:r w:rsidRPr="00D66B27">
        <w:rPr>
          <w:rFonts w:ascii="Verdana" w:hAnsi="Verdana"/>
          <w:sz w:val="20"/>
          <w:szCs w:val="20"/>
        </w:rPr>
        <w:t xml:space="preserve">.- El </w:t>
      </w:r>
      <w:r w:rsidR="00D00FA4" w:rsidRPr="00D66B27">
        <w:rPr>
          <w:rFonts w:ascii="Verdana" w:hAnsi="Verdana"/>
          <w:sz w:val="20"/>
          <w:szCs w:val="20"/>
        </w:rPr>
        <w:t xml:space="preserve">16 de abril </w:t>
      </w:r>
      <w:r w:rsidR="00A74FE8" w:rsidRPr="00D66B27">
        <w:rPr>
          <w:rFonts w:ascii="Verdana" w:hAnsi="Verdana"/>
          <w:sz w:val="20"/>
          <w:szCs w:val="20"/>
        </w:rPr>
        <w:t>de 2018</w:t>
      </w:r>
      <w:r w:rsidRPr="00D66B27">
        <w:rPr>
          <w:rFonts w:ascii="Verdana" w:hAnsi="Verdana"/>
          <w:sz w:val="20"/>
          <w:szCs w:val="20"/>
        </w:rPr>
        <w:t xml:space="preserve"> las partes y la Comisión remitieron sus alegatos y observaciones finales escritas, respectivamente</w:t>
      </w:r>
      <w:r w:rsidR="00D00FA4" w:rsidRPr="00D66B27">
        <w:rPr>
          <w:rStyle w:val="Refdenotaalpie"/>
          <w:rFonts w:ascii="Verdana" w:hAnsi="Verdana"/>
          <w:sz w:val="20"/>
          <w:szCs w:val="20"/>
        </w:rPr>
        <w:footnoteReference w:id="13"/>
      </w:r>
      <w:r w:rsidRPr="00D66B27">
        <w:rPr>
          <w:rFonts w:ascii="Verdana" w:hAnsi="Verdana"/>
          <w:sz w:val="20"/>
          <w:szCs w:val="20"/>
        </w:rPr>
        <w:t xml:space="preserve">. </w:t>
      </w:r>
    </w:p>
    <w:p w14:paraId="23F0F167" w14:textId="77777777" w:rsidR="005B536C" w:rsidRPr="00D66B27" w:rsidRDefault="005B536C" w:rsidP="00756418">
      <w:pPr>
        <w:pStyle w:val="Prrafodelista"/>
        <w:spacing w:line="240" w:lineRule="auto"/>
        <w:rPr>
          <w:rFonts w:ascii="Verdana" w:hAnsi="Verdana"/>
          <w:sz w:val="20"/>
          <w:szCs w:val="20"/>
        </w:rPr>
      </w:pPr>
    </w:p>
    <w:p w14:paraId="6D69BF1A" w14:textId="77777777" w:rsidR="005B536C" w:rsidRPr="00D66B27" w:rsidRDefault="005B536C" w:rsidP="001D6943">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i/>
          <w:sz w:val="20"/>
          <w:szCs w:val="20"/>
        </w:rPr>
        <w:t>Deliberación del presente caso</w:t>
      </w:r>
      <w:r w:rsidRPr="00D66B27">
        <w:rPr>
          <w:rFonts w:ascii="Verdana" w:hAnsi="Verdana"/>
          <w:sz w:val="20"/>
          <w:szCs w:val="20"/>
        </w:rPr>
        <w:t xml:space="preserve">.- La Corte inició la deliberación de la presente Sentencia el </w:t>
      </w:r>
      <w:r w:rsidR="00B12698" w:rsidRPr="00926ADC">
        <w:rPr>
          <w:rFonts w:ascii="Verdana" w:hAnsi="Verdana"/>
          <w:sz w:val="20"/>
          <w:szCs w:val="20"/>
        </w:rPr>
        <w:t>29 de noviembre</w:t>
      </w:r>
      <w:r w:rsidR="007C67E0" w:rsidRPr="00D66B27">
        <w:rPr>
          <w:rFonts w:ascii="Verdana" w:hAnsi="Verdana"/>
          <w:sz w:val="20"/>
          <w:szCs w:val="20"/>
        </w:rPr>
        <w:t xml:space="preserve"> de </w:t>
      </w:r>
      <w:r w:rsidRPr="00D66B27">
        <w:rPr>
          <w:rFonts w:ascii="Verdana" w:hAnsi="Verdana"/>
          <w:sz w:val="20"/>
          <w:szCs w:val="20"/>
        </w:rPr>
        <w:t>2018.</w:t>
      </w:r>
    </w:p>
    <w:p w14:paraId="0CD53B9D" w14:textId="77777777" w:rsidR="005B536C" w:rsidRDefault="005B536C" w:rsidP="00756418">
      <w:pPr>
        <w:pStyle w:val="Prrafodelista"/>
        <w:spacing w:line="240" w:lineRule="auto"/>
        <w:ind w:left="0"/>
        <w:jc w:val="both"/>
        <w:rPr>
          <w:rFonts w:ascii="Verdana" w:hAnsi="Verdana"/>
          <w:sz w:val="20"/>
          <w:szCs w:val="20"/>
        </w:rPr>
      </w:pPr>
    </w:p>
    <w:p w14:paraId="4DCC9827" w14:textId="77777777" w:rsidR="00FF3C8E" w:rsidRPr="00D66B27" w:rsidRDefault="00FF3C8E" w:rsidP="00756418">
      <w:pPr>
        <w:pStyle w:val="Prrafodelista"/>
        <w:spacing w:line="240" w:lineRule="auto"/>
        <w:ind w:left="0"/>
        <w:jc w:val="both"/>
        <w:rPr>
          <w:rFonts w:ascii="Verdana" w:hAnsi="Verdana"/>
          <w:sz w:val="20"/>
          <w:szCs w:val="20"/>
        </w:rPr>
      </w:pPr>
    </w:p>
    <w:p w14:paraId="6B5CB08D" w14:textId="77777777" w:rsidR="005B536C" w:rsidRPr="00D66B27" w:rsidRDefault="005B536C" w:rsidP="00AE1DD8">
      <w:pPr>
        <w:pStyle w:val="Ttulo1"/>
        <w:spacing w:before="0" w:after="0"/>
        <w:rPr>
          <w:caps w:val="0"/>
        </w:rPr>
      </w:pPr>
      <w:bookmarkStart w:id="4" w:name="_Toc340752580"/>
      <w:bookmarkStart w:id="5" w:name="_Toc528084358"/>
      <w:r w:rsidRPr="00D66B27">
        <w:t>III</w:t>
      </w:r>
      <w:r w:rsidRPr="00D66B27">
        <w:br/>
        <w:t>COMPETENCIA</w:t>
      </w:r>
      <w:bookmarkEnd w:id="4"/>
      <w:bookmarkEnd w:id="5"/>
    </w:p>
    <w:p w14:paraId="5DEE0C1B" w14:textId="77777777" w:rsidR="005B536C" w:rsidRPr="00D66B27" w:rsidRDefault="005B536C" w:rsidP="00756418">
      <w:pPr>
        <w:pStyle w:val="Prrafodelista"/>
        <w:spacing w:line="240" w:lineRule="auto"/>
        <w:ind w:left="0"/>
        <w:jc w:val="both"/>
        <w:rPr>
          <w:rFonts w:ascii="Verdana" w:hAnsi="Verdana"/>
          <w:sz w:val="20"/>
          <w:szCs w:val="20"/>
        </w:rPr>
      </w:pPr>
    </w:p>
    <w:p w14:paraId="10533D74" w14:textId="77777777" w:rsidR="005B536C" w:rsidRPr="00D66B27" w:rsidRDefault="0010556B" w:rsidP="001D6943">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 xml:space="preserve">La Corte es competente para conocer del presente caso, en los términos del artículo 62.3 de la Convención, </w:t>
      </w:r>
      <w:r w:rsidR="009C275E" w:rsidRPr="00D66B27">
        <w:rPr>
          <w:rFonts w:ascii="Verdana" w:hAnsi="Verdana"/>
          <w:sz w:val="20"/>
          <w:szCs w:val="20"/>
        </w:rPr>
        <w:t>en razón de</w:t>
      </w:r>
      <w:r w:rsidRPr="00D66B27">
        <w:rPr>
          <w:rFonts w:ascii="Verdana" w:hAnsi="Verdana"/>
          <w:sz w:val="20"/>
          <w:szCs w:val="20"/>
        </w:rPr>
        <w:t xml:space="preserve"> que </w:t>
      </w:r>
      <w:r w:rsidR="007B0A18" w:rsidRPr="00D66B27">
        <w:rPr>
          <w:rFonts w:ascii="Verdana" w:hAnsi="Verdana"/>
          <w:sz w:val="20"/>
          <w:szCs w:val="20"/>
        </w:rPr>
        <w:t>Chile es Estado Parte en la Convención desde el 21 de agosto de 1990 y reconoció la competencia contenciosa de la Corte en esa misma fecha.</w:t>
      </w:r>
    </w:p>
    <w:p w14:paraId="64695638" w14:textId="77777777" w:rsidR="00FD5DF8" w:rsidRPr="00D66B27" w:rsidRDefault="00FD5DF8">
      <w:pPr>
        <w:spacing w:after="0" w:line="240" w:lineRule="auto"/>
        <w:jc w:val="both"/>
        <w:rPr>
          <w:rFonts w:ascii="Verdana" w:hAnsi="Verdana"/>
          <w:sz w:val="20"/>
          <w:szCs w:val="20"/>
        </w:rPr>
      </w:pPr>
    </w:p>
    <w:p w14:paraId="381D7C55" w14:textId="77777777" w:rsidR="00AB359F" w:rsidRPr="00D66B27" w:rsidRDefault="00AB359F">
      <w:pPr>
        <w:spacing w:after="0" w:line="240" w:lineRule="auto"/>
        <w:jc w:val="both"/>
        <w:rPr>
          <w:rFonts w:ascii="Verdana" w:hAnsi="Verdana"/>
          <w:sz w:val="20"/>
          <w:szCs w:val="20"/>
        </w:rPr>
      </w:pPr>
    </w:p>
    <w:p w14:paraId="5E37A87C" w14:textId="77777777" w:rsidR="005B536C" w:rsidRPr="00D66B27" w:rsidRDefault="005B536C">
      <w:pPr>
        <w:pStyle w:val="Ttulo1"/>
        <w:spacing w:before="0" w:after="0"/>
        <w:rPr>
          <w:caps w:val="0"/>
        </w:rPr>
      </w:pPr>
      <w:bookmarkStart w:id="6" w:name="_Toc528084359"/>
      <w:r w:rsidRPr="00D66B27">
        <w:t>IV</w:t>
      </w:r>
      <w:r w:rsidRPr="00D66B27">
        <w:br/>
      </w:r>
      <w:r w:rsidR="009C275E" w:rsidRPr="00D66B27">
        <w:t>RECONOCIMIENTO DE RESPONSABILIDAD INTERNACIONAL DEL ESTADO</w:t>
      </w:r>
      <w:bookmarkEnd w:id="6"/>
    </w:p>
    <w:p w14:paraId="10746CB6" w14:textId="77777777" w:rsidR="00CD5A3C" w:rsidRDefault="00CD5A3C" w:rsidP="005274DA">
      <w:pPr>
        <w:spacing w:after="0" w:line="240" w:lineRule="auto"/>
        <w:jc w:val="both"/>
        <w:rPr>
          <w:rFonts w:ascii="Verdana" w:hAnsi="Verdana"/>
          <w:sz w:val="20"/>
          <w:szCs w:val="20"/>
        </w:rPr>
      </w:pPr>
    </w:p>
    <w:p w14:paraId="3CF5E86F" w14:textId="77777777" w:rsidR="00FF3C8E" w:rsidRPr="00D66B27" w:rsidRDefault="00FF3C8E" w:rsidP="005274DA">
      <w:pPr>
        <w:spacing w:after="0" w:line="240" w:lineRule="auto"/>
        <w:jc w:val="both"/>
        <w:rPr>
          <w:rFonts w:ascii="Verdana" w:hAnsi="Verdana"/>
          <w:sz w:val="20"/>
          <w:szCs w:val="20"/>
        </w:rPr>
      </w:pPr>
    </w:p>
    <w:p w14:paraId="565AC778" w14:textId="5AD54E62" w:rsidR="005274DA" w:rsidRPr="00D66B27" w:rsidRDefault="005274DA" w:rsidP="005274DA">
      <w:pPr>
        <w:spacing w:after="0" w:line="240" w:lineRule="auto"/>
        <w:ind w:left="284"/>
        <w:jc w:val="both"/>
        <w:rPr>
          <w:rFonts w:ascii="Verdana" w:hAnsi="Verdana"/>
          <w:b/>
          <w:i/>
          <w:sz w:val="20"/>
          <w:szCs w:val="20"/>
        </w:rPr>
      </w:pPr>
      <w:r w:rsidRPr="00D66B27">
        <w:rPr>
          <w:rFonts w:ascii="Verdana" w:hAnsi="Verdana"/>
          <w:b/>
          <w:i/>
          <w:sz w:val="20"/>
          <w:szCs w:val="20"/>
        </w:rPr>
        <w:t>Reconocimiento de responsabilidad del Estado y observaciones de la Comisión y el representante</w:t>
      </w:r>
    </w:p>
    <w:p w14:paraId="3A988DC7" w14:textId="77777777" w:rsidR="005274DA" w:rsidRPr="00D66B27" w:rsidRDefault="005274DA" w:rsidP="005274DA">
      <w:pPr>
        <w:pStyle w:val="Prrafodelista"/>
        <w:spacing w:after="0" w:line="240" w:lineRule="auto"/>
        <w:ind w:left="0"/>
        <w:jc w:val="both"/>
        <w:rPr>
          <w:rFonts w:ascii="Verdana" w:hAnsi="Verdana"/>
          <w:sz w:val="20"/>
          <w:szCs w:val="20"/>
        </w:rPr>
      </w:pPr>
    </w:p>
    <w:p w14:paraId="52DB9AA5" w14:textId="7C09D715" w:rsidR="008F76F2" w:rsidRPr="00D66B27" w:rsidRDefault="008F76F2" w:rsidP="005274DA">
      <w:pPr>
        <w:pStyle w:val="Prrafodelista"/>
        <w:spacing w:after="0" w:line="240" w:lineRule="auto"/>
        <w:ind w:left="0"/>
        <w:jc w:val="both"/>
        <w:rPr>
          <w:rFonts w:ascii="Verdana" w:hAnsi="Verdana"/>
          <w:i/>
          <w:sz w:val="20"/>
          <w:szCs w:val="20"/>
        </w:rPr>
      </w:pPr>
      <w:r w:rsidRPr="00D66B27">
        <w:rPr>
          <w:rFonts w:ascii="Verdana" w:hAnsi="Verdana"/>
          <w:i/>
          <w:sz w:val="20"/>
          <w:szCs w:val="20"/>
        </w:rPr>
        <w:tab/>
        <w:t>i.</w:t>
      </w:r>
      <w:r w:rsidRPr="00D66B27">
        <w:rPr>
          <w:rFonts w:ascii="Verdana" w:hAnsi="Verdana"/>
          <w:i/>
          <w:sz w:val="20"/>
          <w:szCs w:val="20"/>
        </w:rPr>
        <w:tab/>
        <w:t>En cuanto a los hechos</w:t>
      </w:r>
    </w:p>
    <w:p w14:paraId="2E0F75DC" w14:textId="28144403" w:rsidR="008F76F2" w:rsidRPr="00D66B27" w:rsidRDefault="008F76F2" w:rsidP="005274DA">
      <w:pPr>
        <w:pStyle w:val="Prrafodelista"/>
        <w:spacing w:after="0" w:line="240" w:lineRule="auto"/>
        <w:ind w:left="0"/>
        <w:jc w:val="both"/>
        <w:rPr>
          <w:rFonts w:ascii="Verdana" w:hAnsi="Verdana"/>
          <w:sz w:val="20"/>
          <w:szCs w:val="20"/>
        </w:rPr>
      </w:pPr>
    </w:p>
    <w:p w14:paraId="0AAAAE55" w14:textId="202866CC" w:rsidR="005274DA" w:rsidRPr="00D66B27" w:rsidRDefault="005274DA" w:rsidP="005274DA">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 xml:space="preserve">El </w:t>
      </w:r>
      <w:r w:rsidRPr="00D66B27">
        <w:rPr>
          <w:rFonts w:ascii="Verdana" w:hAnsi="Verdana"/>
          <w:b/>
          <w:i/>
          <w:sz w:val="20"/>
          <w:szCs w:val="20"/>
        </w:rPr>
        <w:t>Estado</w:t>
      </w:r>
      <w:r w:rsidRPr="00D66B27">
        <w:rPr>
          <w:rFonts w:ascii="Verdana" w:hAnsi="Verdana"/>
          <w:sz w:val="20"/>
          <w:szCs w:val="20"/>
        </w:rPr>
        <w:t xml:space="preserve"> manifestó que “acepta los hechos que se han tenido por probados por la […] Comisión en el Capítulo IV de su Informe. </w:t>
      </w:r>
      <w:r w:rsidR="008854CD">
        <w:rPr>
          <w:rFonts w:ascii="Verdana" w:hAnsi="Verdana"/>
          <w:sz w:val="20"/>
          <w:szCs w:val="20"/>
        </w:rPr>
        <w:t xml:space="preserve">[…] </w:t>
      </w:r>
      <w:r w:rsidRPr="00D66B27">
        <w:rPr>
          <w:rFonts w:ascii="Verdana" w:hAnsi="Verdana"/>
          <w:sz w:val="20"/>
          <w:szCs w:val="20"/>
        </w:rPr>
        <w:t>Se hace presente que esta aceptación del marco fáctico del caso versa únicamente en torno a los procesos judiciales iniciados a fin de obtener una reparación civil por parte de las presuntas víctimas en este caso y, por tanto, queda fuera de esta declaración cualquier denuncia adicional referida a la investigación penal de los hechos ocurridos durante la dictadura militar”. Además, el Estado señaló que, “con el propósito de encontrar soluciones justas a los problemas particulares del presente caso, […] considera importante pronunciarse específicamente sobre la aceptación de los siguientes hechos: Las personas que fueron detenidas, secuestradas y/o desaparecidas y ejecutadas por agentes del Estado durante la dictadura militar en los años 1973 y 1974, que aparecen mencionadas en el Informe de Fondo de la CIDH, forman parte de la nómina de víctimas de violaciones a derechos humanos reconocidas por el Estado de Chile en el Informe de la Comisión Nacional de Verdad y Reconciliación (Comisión Rettig), del 8 de febrero de 1991.</w:t>
      </w:r>
      <w:r w:rsidR="008854CD">
        <w:rPr>
          <w:rFonts w:ascii="Verdana" w:hAnsi="Verdana"/>
          <w:sz w:val="20"/>
          <w:szCs w:val="20"/>
        </w:rPr>
        <w:t xml:space="preserve"> […]</w:t>
      </w:r>
      <w:r w:rsidRPr="00D66B27">
        <w:rPr>
          <w:rFonts w:ascii="Verdana" w:hAnsi="Verdana"/>
          <w:sz w:val="20"/>
          <w:szCs w:val="20"/>
        </w:rPr>
        <w:t xml:space="preserve"> Los familiares de las víctimas reconocidas por el Estado y mencionadas en el Informe […] no han recibido una reparación económica por la vía judicial. No obstante, la mayoría de ellos han recibido diferentes beneficios administrativos y otras bonificaciones amparados en cuerpos legales dictados como parte de la política de reparaciones llevada a cabo por el Estado una vez reestablecida la democracia”. </w:t>
      </w:r>
    </w:p>
    <w:p w14:paraId="35450723" w14:textId="77777777" w:rsidR="0037484F" w:rsidRPr="00D66B27" w:rsidRDefault="0037484F" w:rsidP="0037484F">
      <w:pPr>
        <w:pStyle w:val="Prrafodelista"/>
        <w:rPr>
          <w:rFonts w:ascii="Verdana" w:hAnsi="Verdana"/>
          <w:sz w:val="20"/>
          <w:szCs w:val="20"/>
        </w:rPr>
      </w:pPr>
    </w:p>
    <w:p w14:paraId="342FA02F" w14:textId="48FC554F" w:rsidR="0037484F" w:rsidRPr="00D66B27" w:rsidRDefault="0037484F" w:rsidP="0037484F">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 xml:space="preserve">La </w:t>
      </w:r>
      <w:r w:rsidRPr="00D66B27">
        <w:rPr>
          <w:rFonts w:ascii="Verdana" w:hAnsi="Verdana"/>
          <w:b/>
          <w:i/>
          <w:sz w:val="20"/>
          <w:szCs w:val="20"/>
        </w:rPr>
        <w:t>Comisión</w:t>
      </w:r>
      <w:r w:rsidRPr="00D66B27">
        <w:rPr>
          <w:rFonts w:ascii="Verdana" w:hAnsi="Verdana"/>
          <w:sz w:val="20"/>
          <w:szCs w:val="20"/>
        </w:rPr>
        <w:t xml:space="preserve"> consideró que el reconocimiento de responsabilidad efectuado por el Estado es total, en tanto incluye todo el marco fáctico establecido en el Informe de fondo. </w:t>
      </w:r>
    </w:p>
    <w:p w14:paraId="4D3C8329" w14:textId="77777777" w:rsidR="00145412" w:rsidRPr="00D66B27" w:rsidRDefault="00145412" w:rsidP="0037484F">
      <w:pPr>
        <w:pStyle w:val="Prrafodelista"/>
        <w:spacing w:after="0" w:line="240" w:lineRule="auto"/>
        <w:ind w:left="0"/>
        <w:jc w:val="both"/>
        <w:rPr>
          <w:rFonts w:ascii="Verdana" w:hAnsi="Verdana"/>
          <w:sz w:val="20"/>
          <w:szCs w:val="20"/>
        </w:rPr>
      </w:pPr>
    </w:p>
    <w:p w14:paraId="65A9DAAD" w14:textId="721C7DC2" w:rsidR="008F76F2" w:rsidRPr="00D66B27" w:rsidRDefault="008F76F2" w:rsidP="008F76F2">
      <w:pPr>
        <w:pStyle w:val="Prrafodelista"/>
        <w:spacing w:after="0" w:line="240" w:lineRule="auto"/>
        <w:ind w:left="708"/>
        <w:jc w:val="both"/>
        <w:rPr>
          <w:rFonts w:ascii="Verdana" w:hAnsi="Verdana"/>
          <w:i/>
          <w:sz w:val="20"/>
          <w:szCs w:val="20"/>
        </w:rPr>
      </w:pPr>
      <w:r w:rsidRPr="00D66B27">
        <w:rPr>
          <w:rFonts w:ascii="Verdana" w:hAnsi="Verdana"/>
          <w:i/>
          <w:sz w:val="20"/>
          <w:szCs w:val="20"/>
        </w:rPr>
        <w:t>ii.</w:t>
      </w:r>
      <w:r w:rsidRPr="00D66B27">
        <w:rPr>
          <w:rFonts w:ascii="Verdana" w:hAnsi="Verdana"/>
          <w:i/>
          <w:sz w:val="20"/>
          <w:szCs w:val="20"/>
        </w:rPr>
        <w:tab/>
        <w:t>En cuanto al fondo del caso</w:t>
      </w:r>
    </w:p>
    <w:p w14:paraId="5E5802DD" w14:textId="77777777" w:rsidR="008F76F2" w:rsidRPr="00D66B27" w:rsidRDefault="008F76F2" w:rsidP="0037484F">
      <w:pPr>
        <w:pStyle w:val="Prrafodelista"/>
        <w:spacing w:after="0" w:line="240" w:lineRule="auto"/>
        <w:ind w:left="0"/>
        <w:jc w:val="both"/>
        <w:rPr>
          <w:rFonts w:ascii="Verdana" w:hAnsi="Verdana"/>
          <w:sz w:val="20"/>
          <w:szCs w:val="20"/>
        </w:rPr>
      </w:pPr>
    </w:p>
    <w:p w14:paraId="76B5834E" w14:textId="3CD196C0" w:rsidR="0037484F" w:rsidRPr="00D66B27" w:rsidRDefault="0037484F" w:rsidP="00145412">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 xml:space="preserve">El </w:t>
      </w:r>
      <w:r w:rsidRPr="00D66B27">
        <w:rPr>
          <w:rFonts w:ascii="Verdana" w:hAnsi="Verdana"/>
          <w:b/>
          <w:i/>
          <w:sz w:val="20"/>
          <w:szCs w:val="20"/>
        </w:rPr>
        <w:t>Estado</w:t>
      </w:r>
      <w:r w:rsidRPr="00D66B27">
        <w:rPr>
          <w:rFonts w:ascii="Verdana" w:hAnsi="Verdana"/>
          <w:sz w:val="20"/>
          <w:szCs w:val="20"/>
        </w:rPr>
        <w:t xml:space="preserve"> manifestó que “Chile viene en reconocer su responsabilidad internacional total por la violación de los derechos a las garantías judicial y a la protección judicial, consagrados en los artículos 8.1 y 25.1 de la CADH, en conexión con la obligación general de respetar los derechos de la CADH y el deber de adoptar disposiciones de derecho interno, establecidas en sus artículos 1.1 y 2, respectivamente, en perjuicio de las víctimas que se indican en el Informe de </w:t>
      </w:r>
      <w:r w:rsidRPr="00D66B27">
        <w:rPr>
          <w:rFonts w:ascii="Verdana" w:hAnsi="Verdana"/>
          <w:sz w:val="20"/>
          <w:szCs w:val="20"/>
        </w:rPr>
        <w:lastRenderedPageBreak/>
        <w:t xml:space="preserve">Fondo”. </w:t>
      </w:r>
      <w:r w:rsidR="00145412" w:rsidRPr="00D66B27">
        <w:rPr>
          <w:rFonts w:ascii="Verdana" w:hAnsi="Verdana"/>
          <w:sz w:val="20"/>
          <w:szCs w:val="20"/>
        </w:rPr>
        <w:t>A</w:t>
      </w:r>
      <w:r w:rsidRPr="00D66B27">
        <w:rPr>
          <w:rFonts w:ascii="Verdana" w:hAnsi="Verdana"/>
          <w:sz w:val="20"/>
          <w:szCs w:val="20"/>
        </w:rPr>
        <w:t xml:space="preserve">l </w:t>
      </w:r>
      <w:r w:rsidR="00145412" w:rsidRPr="00D66B27">
        <w:rPr>
          <w:rFonts w:ascii="Verdana" w:hAnsi="Verdana"/>
          <w:sz w:val="20"/>
          <w:szCs w:val="20"/>
        </w:rPr>
        <w:t>expresar</w:t>
      </w:r>
      <w:r w:rsidRPr="00D66B27">
        <w:rPr>
          <w:rFonts w:ascii="Verdana" w:hAnsi="Verdana"/>
          <w:sz w:val="20"/>
          <w:szCs w:val="20"/>
        </w:rPr>
        <w:t xml:space="preserve"> que concuerda con la Comisión en cuanto al objeto del presente caso, el Estado hizo un recuento de la jurisprudencia de este Tribunal</w:t>
      </w:r>
      <w:r w:rsidR="00145412" w:rsidRPr="00D66B27">
        <w:rPr>
          <w:rFonts w:ascii="Verdana" w:hAnsi="Verdana"/>
          <w:sz w:val="20"/>
          <w:szCs w:val="20"/>
        </w:rPr>
        <w:t xml:space="preserve"> sobre</w:t>
      </w:r>
      <w:r w:rsidRPr="00D66B27">
        <w:rPr>
          <w:rFonts w:ascii="Verdana" w:hAnsi="Verdana"/>
          <w:sz w:val="20"/>
          <w:szCs w:val="20"/>
        </w:rPr>
        <w:t xml:space="preserve"> los derechos de acceso a la justicia, a la verdad y a la reparación; y la imprescriptibilidad de los delitos de lesa humanidad, entre otros. Al considerar que tales estándares “constituyen las variables de análisis para su declaratoria de responsabilidad internacional”, el Estado </w:t>
      </w:r>
      <w:r w:rsidR="00145412" w:rsidRPr="00D66B27">
        <w:rPr>
          <w:rFonts w:ascii="Verdana" w:hAnsi="Verdana"/>
          <w:sz w:val="20"/>
          <w:szCs w:val="20"/>
        </w:rPr>
        <w:t>manifestó</w:t>
      </w:r>
    </w:p>
    <w:p w14:paraId="2C7B4BBC" w14:textId="77777777" w:rsidR="0037484F" w:rsidRPr="00D66B27" w:rsidRDefault="0037484F" w:rsidP="0037484F">
      <w:pPr>
        <w:pStyle w:val="Textoindependiente"/>
        <w:rPr>
          <w:rFonts w:ascii="Verdana" w:hAnsi="Verdana"/>
          <w:sz w:val="20"/>
          <w:szCs w:val="20"/>
          <w:lang w:val="es-CR"/>
        </w:rPr>
      </w:pPr>
    </w:p>
    <w:p w14:paraId="111543A4" w14:textId="407B017D" w:rsidR="0037484F" w:rsidRPr="00D66B27" w:rsidRDefault="0037484F" w:rsidP="0037484F">
      <w:pPr>
        <w:pStyle w:val="Textoindependiente"/>
        <w:ind w:left="567"/>
        <w:rPr>
          <w:rFonts w:ascii="Verdana" w:hAnsi="Verdana"/>
          <w:sz w:val="18"/>
          <w:szCs w:val="20"/>
          <w:lang w:val="es-CR"/>
        </w:rPr>
      </w:pPr>
      <w:r w:rsidRPr="00D66B27">
        <w:rPr>
          <w:rFonts w:ascii="Verdana" w:hAnsi="Verdana"/>
          <w:sz w:val="18"/>
          <w:szCs w:val="20"/>
          <w:lang w:val="es-CR"/>
        </w:rPr>
        <w:t>“[…]</w:t>
      </w:r>
      <w:r w:rsidR="00484203" w:rsidRPr="00D66B27">
        <w:rPr>
          <w:rFonts w:ascii="Verdana" w:hAnsi="Verdana"/>
          <w:sz w:val="18"/>
          <w:szCs w:val="20"/>
          <w:lang w:val="es-CR"/>
        </w:rPr>
        <w:t xml:space="preserve"> </w:t>
      </w:r>
      <w:r w:rsidRPr="00D66B27">
        <w:rPr>
          <w:rFonts w:ascii="Verdana" w:hAnsi="Verdana"/>
          <w:sz w:val="18"/>
          <w:szCs w:val="20"/>
          <w:lang w:val="es-CR"/>
        </w:rPr>
        <w:t xml:space="preserve">su voluntad de aceptar las conclusiones y las consecuencias jurídicas que de ello se derivan contenidas en el Informe de Fondo adoptado por la CIDH. En particular, señala que faltó al derecho a las garantías judiciales por no determinar el derecho de las presuntas víctimas a obtener una reparación en el ámbito civil. También, faltó al derecho a la protección judicial al no garantizar un recurso efectivo, en particular, al no hacer lo necesario para remediar violaciones a derechos humanos, reconocidas como delitos de lesa humanidad por el propio Estado a través del mecanismo de las comisiones de verdad. Asimismo, la aplicación de la prescripción civil a las acciones judiciales interpuestas por las presuntas víctimas, imposibilitó el otorgamiento de una justa reparación y dificultó hacer uso adecuado del recurso que es idóneo para reparar violaciones a derechos humanos. A partir de lo anterior, se cuenta con elementos suficientes para tener por configurada la responsabilidad objetiva del Estado por incumplir con su deber de garantizar los derechos a las víctimas </w:t>
      </w:r>
      <w:r w:rsidR="0035516B" w:rsidRPr="00D66B27">
        <w:rPr>
          <w:rFonts w:ascii="Verdana" w:hAnsi="Verdana"/>
          <w:sz w:val="18"/>
          <w:szCs w:val="20"/>
          <w:lang w:val="es-CR"/>
        </w:rPr>
        <w:t>[…]</w:t>
      </w:r>
      <w:r w:rsidRPr="00D66B27">
        <w:rPr>
          <w:rFonts w:ascii="Verdana" w:hAnsi="Verdana"/>
          <w:sz w:val="18"/>
          <w:szCs w:val="20"/>
          <w:lang w:val="es-CR"/>
        </w:rPr>
        <w:t>, al no lograr restablecer la plenitud del derecho a obtener una reparación;</w:t>
      </w:r>
      <w:r w:rsidR="0035516B" w:rsidRPr="00D66B27">
        <w:rPr>
          <w:rFonts w:ascii="Verdana" w:hAnsi="Verdana"/>
          <w:sz w:val="18"/>
          <w:szCs w:val="20"/>
          <w:lang w:val="es-CR"/>
        </w:rPr>
        <w:t xml:space="preserve"> […]</w:t>
      </w:r>
      <w:r w:rsidRPr="00D66B27">
        <w:rPr>
          <w:rFonts w:ascii="Verdana" w:hAnsi="Verdana"/>
          <w:sz w:val="18"/>
          <w:szCs w:val="20"/>
          <w:lang w:val="es-CR"/>
        </w:rPr>
        <w:t xml:space="preserve"> reconoce que las medidas que fueron adoptadas en los procesos judiciales no fueron efectivas de acuerdo al derecho internacional de los derechos humanos, práctica judicial que ha sido corregida en los últimos años con el cambio de criterio jurisprudencia en la materia adoptado por los tribunales nacionales y que</w:t>
      </w:r>
      <w:r w:rsidR="008854CD">
        <w:rPr>
          <w:rFonts w:ascii="Verdana" w:hAnsi="Verdana"/>
          <w:sz w:val="18"/>
          <w:szCs w:val="20"/>
          <w:lang w:val="es-CR"/>
        </w:rPr>
        <w:t xml:space="preserve"> se mantiene en la actualidad”.</w:t>
      </w:r>
    </w:p>
    <w:p w14:paraId="77D0A3F8" w14:textId="77777777" w:rsidR="0037484F" w:rsidRPr="00D66B27" w:rsidRDefault="0037484F" w:rsidP="0037484F">
      <w:pPr>
        <w:pStyle w:val="Textoindependiente"/>
        <w:rPr>
          <w:rFonts w:ascii="Verdana" w:hAnsi="Verdana"/>
          <w:sz w:val="20"/>
          <w:szCs w:val="20"/>
          <w:lang w:val="es-CR"/>
        </w:rPr>
      </w:pPr>
    </w:p>
    <w:p w14:paraId="1A2F668B" w14:textId="1BFE3772" w:rsidR="0037484F" w:rsidRPr="00D66B27" w:rsidRDefault="0037484F" w:rsidP="0037484F">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El Estado “hace presente que la aceptación de hechos y el allanamiento de las pretensiones […] se realizan de acuerdo al principio de buena fe establecido en el derecho internacional, el cual además toma en cuenta la naturaleza y gravedad de las violaciones alegadas y las exigencias de interés de la justicia de acuerdo a las circun</w:t>
      </w:r>
      <w:r w:rsidR="008854CD">
        <w:rPr>
          <w:rFonts w:ascii="Verdana" w:hAnsi="Verdana"/>
          <w:sz w:val="20"/>
          <w:szCs w:val="20"/>
        </w:rPr>
        <w:t xml:space="preserve">stancias particulares del caso”. </w:t>
      </w:r>
      <w:r w:rsidRPr="00D66B27">
        <w:rPr>
          <w:rFonts w:ascii="Verdana" w:hAnsi="Verdana"/>
          <w:sz w:val="20"/>
          <w:szCs w:val="20"/>
        </w:rPr>
        <w:t xml:space="preserve">El Estado solicitó que “se declare por aceptada </w:t>
      </w:r>
      <w:r w:rsidR="0035516B" w:rsidRPr="00D66B27">
        <w:rPr>
          <w:rFonts w:ascii="Verdana" w:hAnsi="Verdana"/>
          <w:sz w:val="20"/>
          <w:szCs w:val="20"/>
        </w:rPr>
        <w:t>[su]</w:t>
      </w:r>
      <w:r w:rsidRPr="00D66B27">
        <w:rPr>
          <w:rFonts w:ascii="Verdana" w:hAnsi="Verdana"/>
          <w:sz w:val="20"/>
          <w:szCs w:val="20"/>
        </w:rPr>
        <w:t xml:space="preserve"> declaración”.</w:t>
      </w:r>
    </w:p>
    <w:p w14:paraId="277DA94E" w14:textId="77777777" w:rsidR="0037484F" w:rsidRPr="00D66B27" w:rsidRDefault="0037484F" w:rsidP="0037484F">
      <w:pPr>
        <w:pStyle w:val="Prrafodelista"/>
        <w:spacing w:after="0" w:line="240" w:lineRule="auto"/>
        <w:ind w:left="0"/>
        <w:jc w:val="both"/>
        <w:rPr>
          <w:rFonts w:ascii="Verdana" w:hAnsi="Verdana"/>
          <w:sz w:val="20"/>
          <w:szCs w:val="20"/>
        </w:rPr>
      </w:pPr>
    </w:p>
    <w:p w14:paraId="1AD4E1C4" w14:textId="381AAD22" w:rsidR="0037484F" w:rsidRPr="00D66B27" w:rsidRDefault="0037484F" w:rsidP="0037484F">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 xml:space="preserve">La </w:t>
      </w:r>
      <w:r w:rsidRPr="00D66B27">
        <w:rPr>
          <w:rFonts w:ascii="Verdana" w:hAnsi="Verdana"/>
          <w:b/>
          <w:i/>
          <w:sz w:val="20"/>
          <w:szCs w:val="20"/>
        </w:rPr>
        <w:t>Comisión</w:t>
      </w:r>
      <w:r w:rsidRPr="00D66B27">
        <w:rPr>
          <w:rFonts w:ascii="Verdana" w:hAnsi="Verdana"/>
          <w:sz w:val="20"/>
          <w:szCs w:val="20"/>
        </w:rPr>
        <w:t xml:space="preserve"> consideró que el reconocimiento de responsabilidad efectuado por el Estado es total, en tanto incluye las consecuencias jurídicas de los hechos, en los mismos términos establecidos en el Informe de fondo, por lo cual observó que ha cesado la controversia de fondo, lo</w:t>
      </w:r>
      <w:r w:rsidR="008854CD">
        <w:rPr>
          <w:rFonts w:ascii="Verdana" w:hAnsi="Verdana"/>
          <w:sz w:val="20"/>
          <w:szCs w:val="20"/>
        </w:rPr>
        <w:t xml:space="preserve"> cual valora muy positivamente.</w:t>
      </w:r>
    </w:p>
    <w:p w14:paraId="73E5DA2A" w14:textId="77777777" w:rsidR="0037484F" w:rsidRPr="00D66B27" w:rsidRDefault="0037484F" w:rsidP="0037484F">
      <w:pPr>
        <w:pStyle w:val="Prrafodelista"/>
        <w:spacing w:after="0" w:line="240" w:lineRule="auto"/>
        <w:ind w:left="0"/>
        <w:jc w:val="both"/>
        <w:rPr>
          <w:rFonts w:ascii="Verdana" w:hAnsi="Verdana"/>
          <w:sz w:val="20"/>
          <w:szCs w:val="20"/>
        </w:rPr>
      </w:pPr>
    </w:p>
    <w:p w14:paraId="53EF85C7" w14:textId="70503FB0" w:rsidR="0037484F" w:rsidRPr="00D66B27" w:rsidRDefault="0037484F" w:rsidP="0037484F">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 xml:space="preserve">El </w:t>
      </w:r>
      <w:r w:rsidRPr="00D66B27">
        <w:rPr>
          <w:rFonts w:ascii="Verdana" w:hAnsi="Verdana"/>
          <w:b/>
          <w:i/>
          <w:sz w:val="20"/>
          <w:szCs w:val="20"/>
        </w:rPr>
        <w:t>representante</w:t>
      </w:r>
      <w:r w:rsidRPr="00D66B27">
        <w:rPr>
          <w:rFonts w:ascii="Verdana" w:hAnsi="Verdana"/>
          <w:sz w:val="20"/>
          <w:szCs w:val="20"/>
        </w:rPr>
        <w:t xml:space="preserve"> celebró y valoró positivamente el reconocimiento, por destacar como un avance en materia de garantía y respeto de los derecho</w:t>
      </w:r>
      <w:r w:rsidR="008854CD">
        <w:rPr>
          <w:rFonts w:ascii="Verdana" w:hAnsi="Verdana"/>
          <w:sz w:val="20"/>
          <w:szCs w:val="20"/>
        </w:rPr>
        <w:t>s humanos por parte del Estado.</w:t>
      </w:r>
      <w:r w:rsidRPr="00D66B27">
        <w:rPr>
          <w:rFonts w:ascii="Verdana" w:hAnsi="Verdana"/>
          <w:sz w:val="20"/>
          <w:szCs w:val="20"/>
        </w:rPr>
        <w:t xml:space="preserve"> </w:t>
      </w:r>
    </w:p>
    <w:p w14:paraId="0574F4EB" w14:textId="77777777" w:rsidR="00145412" w:rsidRPr="00D66B27" w:rsidRDefault="00145412" w:rsidP="005274DA">
      <w:pPr>
        <w:pStyle w:val="Prrafodelista"/>
        <w:rPr>
          <w:rFonts w:ascii="Verdana" w:hAnsi="Verdana"/>
          <w:sz w:val="20"/>
          <w:szCs w:val="20"/>
        </w:rPr>
      </w:pPr>
    </w:p>
    <w:p w14:paraId="7910253C" w14:textId="373AB8F2" w:rsidR="005274DA" w:rsidRPr="00D66B27" w:rsidRDefault="008F76F2" w:rsidP="005274DA">
      <w:pPr>
        <w:pStyle w:val="Prrafodelista"/>
        <w:rPr>
          <w:rFonts w:ascii="Verdana" w:hAnsi="Verdana"/>
          <w:i/>
          <w:sz w:val="18"/>
          <w:szCs w:val="20"/>
        </w:rPr>
      </w:pPr>
      <w:r w:rsidRPr="00D66B27">
        <w:rPr>
          <w:rFonts w:ascii="Verdana" w:hAnsi="Verdana"/>
          <w:i/>
          <w:sz w:val="20"/>
          <w:szCs w:val="20"/>
        </w:rPr>
        <w:t>iii.</w:t>
      </w:r>
      <w:r w:rsidRPr="00D66B27">
        <w:rPr>
          <w:rFonts w:ascii="Verdana" w:hAnsi="Verdana"/>
          <w:i/>
          <w:sz w:val="20"/>
          <w:szCs w:val="20"/>
        </w:rPr>
        <w:tab/>
        <w:t>En cuanto a las reparaciones</w:t>
      </w:r>
    </w:p>
    <w:p w14:paraId="636340C5" w14:textId="77777777" w:rsidR="008F76F2" w:rsidRPr="00D66B27" w:rsidRDefault="008F76F2" w:rsidP="008F76F2">
      <w:pPr>
        <w:pStyle w:val="Prrafodelista"/>
        <w:spacing w:after="0" w:line="240" w:lineRule="auto"/>
        <w:ind w:left="0"/>
        <w:jc w:val="both"/>
        <w:rPr>
          <w:rFonts w:ascii="Verdana" w:hAnsi="Verdana"/>
          <w:sz w:val="20"/>
          <w:szCs w:val="20"/>
        </w:rPr>
      </w:pPr>
    </w:p>
    <w:p w14:paraId="71B8BD86" w14:textId="0EE766B2" w:rsidR="008F76F2" w:rsidRPr="00D66B27" w:rsidRDefault="008F76F2" w:rsidP="008F76F2">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 xml:space="preserve">El </w:t>
      </w:r>
      <w:r w:rsidRPr="00D66B27">
        <w:rPr>
          <w:rFonts w:ascii="Verdana" w:hAnsi="Verdana"/>
          <w:b/>
          <w:i/>
          <w:sz w:val="20"/>
          <w:szCs w:val="20"/>
        </w:rPr>
        <w:t>Estado</w:t>
      </w:r>
      <w:r w:rsidRPr="00D66B27">
        <w:rPr>
          <w:rFonts w:ascii="Verdana" w:hAnsi="Verdana"/>
          <w:sz w:val="20"/>
          <w:szCs w:val="20"/>
        </w:rPr>
        <w:t xml:space="preserve"> manifestó que, “al no existir controversia sobre el objeto principal de este litigio internacional, lo que procede es reestablecer los derechos que se han tenido por vulnerados y determinar el pago de la indemnización a la parte lesionada”. Así, “previo a la declaración de medidas de reparación que adopte [esta] Corte, es importante para el Estado formular los siguientes alcances: En primer lugar, las causas judiciales a que se ha hecho referencia a nivel interno han sido tramitadas completamente y las decisiones pronunciadas cuentan con el carácter de cosa juzgada, lo que hace imposible jurídicamente restituir los procesos judiciales para dictar nuevas sentencias. No obstante, el Estado comparte que las reclamaciones de reparación por violaciones flagrantes de los derechos humanos no se encuentran sujetas a prescripción; éste es un principio que tiene asidero en la costumbre internacional, anterior a los tratados internacionales de derechos humanos, por lo que el transcurso del tiempo no puede ser impedimento para que las víctimas y sus familiares obtengan una reparación integral por los daños causados. En segundo lugar, en cuanto a la naturaleza de las medidas de reparación a ser adoptadas por [la] Corte, tornando en cuenta su competencia amplia contenida en el artículo 63.1 de la CADH, el Estado es de la opinión que, dado que la presente causa se origina por la imposibilidad de que un tribunal interno conociera el fondo de una acción cuya naturaleza es indemnizatoria de perjuicios, la reparación adecuada tendiente a hacer desaparecer los efectos de </w:t>
      </w:r>
      <w:r w:rsidRPr="00D66B27">
        <w:rPr>
          <w:rFonts w:ascii="Verdana" w:hAnsi="Verdana"/>
          <w:sz w:val="20"/>
          <w:szCs w:val="20"/>
        </w:rPr>
        <w:lastRenderedPageBreak/>
        <w:t>la violación cometida correspondería principalmente en la determinación d</w:t>
      </w:r>
      <w:r w:rsidR="008854CD">
        <w:rPr>
          <w:rFonts w:ascii="Verdana" w:hAnsi="Verdana"/>
          <w:sz w:val="20"/>
          <w:szCs w:val="20"/>
        </w:rPr>
        <w:t>e una indemnización monetaria”.</w:t>
      </w:r>
    </w:p>
    <w:p w14:paraId="574BB677" w14:textId="77777777" w:rsidR="008F76F2" w:rsidRPr="00D66B27" w:rsidRDefault="008F76F2" w:rsidP="008F76F2">
      <w:pPr>
        <w:pStyle w:val="Prrafodelista"/>
        <w:spacing w:after="0" w:line="240" w:lineRule="auto"/>
        <w:ind w:left="0"/>
        <w:jc w:val="both"/>
        <w:rPr>
          <w:rFonts w:ascii="Verdana" w:hAnsi="Verdana"/>
          <w:sz w:val="20"/>
          <w:szCs w:val="20"/>
        </w:rPr>
      </w:pPr>
    </w:p>
    <w:p w14:paraId="0EA3C594" w14:textId="150BC686" w:rsidR="008F76F2" w:rsidRPr="00D66B27" w:rsidRDefault="008F76F2" w:rsidP="008F76F2">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Además de lo anterior, el Estado señaló que, a partir de la recuperación de la democracia en 1990, ha llevado a cabo un conjunto de iniciativas en materia de justicia transicional en diversos ámbitos (derecho a la verdad, la justicia, la memoria y la debida reparación a las víctimas de violaciones a los derechos humanos), con el convencimiento de que tales acciones constituyen una medida de no repetición para que nunca más en Chile el Estado vuelva a vulnerar los derechos humanos de manera sistemática, masiva e institucionalizada como ocurrió entre 1973-1990. El Estado hizo un recuento de los principales hitos que resumen su esfuerzo institucional en la materia desde 1990</w:t>
      </w:r>
      <w:r w:rsidRPr="00D66B27">
        <w:rPr>
          <w:rStyle w:val="Refdenotaalpie"/>
          <w:rFonts w:ascii="Verdana" w:hAnsi="Verdana"/>
          <w:sz w:val="20"/>
          <w:szCs w:val="20"/>
        </w:rPr>
        <w:footnoteReference w:id="14"/>
      </w:r>
      <w:r w:rsidRPr="00D66B27">
        <w:rPr>
          <w:rFonts w:ascii="Verdana" w:hAnsi="Verdana"/>
          <w:sz w:val="20"/>
          <w:szCs w:val="20"/>
        </w:rPr>
        <w:t>. En consecuencia, solicitó que se reconozca: que ha realizado avances sustanciales en esa materia; que en el último tiempo la jurisprudencia de los tribunales nacionales ha variado sustancialmente, por lo cual hoy día exist</w:t>
      </w:r>
      <w:r w:rsidR="00145412" w:rsidRPr="00D66B27">
        <w:rPr>
          <w:rFonts w:ascii="Verdana" w:hAnsi="Verdana"/>
          <w:sz w:val="20"/>
          <w:szCs w:val="20"/>
        </w:rPr>
        <w:t>e una acción judicial adecuada</w:t>
      </w:r>
      <w:r w:rsidRPr="00D66B27">
        <w:rPr>
          <w:rFonts w:ascii="Verdana" w:hAnsi="Verdana"/>
          <w:sz w:val="20"/>
          <w:szCs w:val="20"/>
        </w:rPr>
        <w:t xml:space="preserve">; y que adoptó medidas administrativas destinadas a adecuar las prácticas judiciales chilenas a los estándares internacionales referidos. Con base en lo anterior, el Estado solicitó que las reparaciones que en definitiva se otorguen sean establecidas únicamente con relación a los hechos respecto de los cuales reconoció responsabilidad y dentro de los estándares propios del </w:t>
      </w:r>
      <w:r w:rsidRPr="00D66B27">
        <w:rPr>
          <w:rFonts w:ascii="Verdana" w:hAnsi="Verdana"/>
          <w:sz w:val="20"/>
          <w:szCs w:val="20"/>
        </w:rPr>
        <w:lastRenderedPageBreak/>
        <w:t xml:space="preserve">derecho internacional de los derechos humanos. En sus alegatos finales, el Estado hizo una serie de precisiones </w:t>
      </w:r>
      <w:r w:rsidR="008854CD">
        <w:rPr>
          <w:rFonts w:ascii="Verdana" w:hAnsi="Verdana"/>
          <w:sz w:val="20"/>
          <w:szCs w:val="20"/>
        </w:rPr>
        <w:t>y modificó su posición inicial</w:t>
      </w:r>
      <w:r w:rsidRPr="00D66B27">
        <w:rPr>
          <w:rFonts w:ascii="Verdana" w:hAnsi="Verdana"/>
          <w:sz w:val="20"/>
          <w:szCs w:val="20"/>
        </w:rPr>
        <w:t xml:space="preserve"> (</w:t>
      </w:r>
      <w:r w:rsidRPr="00D66B27">
        <w:rPr>
          <w:rFonts w:ascii="Verdana" w:hAnsi="Verdana"/>
          <w:i/>
          <w:sz w:val="20"/>
          <w:szCs w:val="20"/>
        </w:rPr>
        <w:t xml:space="preserve">infra </w:t>
      </w:r>
      <w:r w:rsidRPr="00D66B27">
        <w:rPr>
          <w:rFonts w:ascii="Verdana" w:hAnsi="Verdana"/>
          <w:sz w:val="20"/>
          <w:szCs w:val="20"/>
        </w:rPr>
        <w:t xml:space="preserve">párrs. </w:t>
      </w:r>
      <w:r w:rsidR="00030215">
        <w:rPr>
          <w:rFonts w:ascii="Verdana" w:hAnsi="Verdana"/>
          <w:sz w:val="20"/>
          <w:szCs w:val="20"/>
        </w:rPr>
        <w:t>111 y 115</w:t>
      </w:r>
      <w:r w:rsidRPr="00D66B27">
        <w:rPr>
          <w:rFonts w:ascii="Verdana" w:hAnsi="Verdana"/>
          <w:sz w:val="20"/>
          <w:szCs w:val="20"/>
        </w:rPr>
        <w:t xml:space="preserve">). </w:t>
      </w:r>
    </w:p>
    <w:p w14:paraId="3BDF8A25" w14:textId="77777777" w:rsidR="008F76F2" w:rsidRPr="00D66B27" w:rsidRDefault="008F76F2" w:rsidP="008F76F2">
      <w:pPr>
        <w:pStyle w:val="Textoindependiente"/>
        <w:rPr>
          <w:rFonts w:ascii="Verdana" w:hAnsi="Verdana"/>
          <w:sz w:val="20"/>
          <w:szCs w:val="20"/>
          <w:lang w:val="es-CR"/>
        </w:rPr>
      </w:pPr>
    </w:p>
    <w:p w14:paraId="09C37CF2" w14:textId="74817793" w:rsidR="008F76F2" w:rsidRPr="00D66B27" w:rsidRDefault="008F76F2" w:rsidP="008F76F2">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 xml:space="preserve">Sin perjuicio de su valoración sobre el reconocimiento, la </w:t>
      </w:r>
      <w:r w:rsidRPr="00D66B27">
        <w:rPr>
          <w:rFonts w:ascii="Verdana" w:hAnsi="Verdana"/>
          <w:b/>
          <w:i/>
          <w:sz w:val="20"/>
          <w:szCs w:val="20"/>
        </w:rPr>
        <w:t>Comisión</w:t>
      </w:r>
      <w:r w:rsidRPr="00D66B27">
        <w:rPr>
          <w:rFonts w:ascii="Verdana" w:hAnsi="Verdana"/>
          <w:sz w:val="20"/>
          <w:szCs w:val="20"/>
        </w:rPr>
        <w:t xml:space="preserve"> consideró que se mantiene la controversia sobre el alcance de las reparaciones solicitadas y las planteadas por el Estado, particularmente en lo relativ</w:t>
      </w:r>
      <w:r w:rsidR="008854CD">
        <w:rPr>
          <w:rFonts w:ascii="Verdana" w:hAnsi="Verdana"/>
          <w:sz w:val="20"/>
          <w:szCs w:val="20"/>
        </w:rPr>
        <w:t>o al componente de restitución.</w:t>
      </w:r>
    </w:p>
    <w:p w14:paraId="2B9CF8AD" w14:textId="77777777" w:rsidR="008F76F2" w:rsidRPr="00D66B27" w:rsidRDefault="008F76F2" w:rsidP="008F76F2">
      <w:pPr>
        <w:pStyle w:val="Prrafodelista"/>
        <w:spacing w:after="0" w:line="240" w:lineRule="auto"/>
        <w:ind w:left="0"/>
        <w:jc w:val="both"/>
        <w:rPr>
          <w:rFonts w:ascii="Verdana" w:hAnsi="Verdana"/>
          <w:sz w:val="20"/>
          <w:szCs w:val="20"/>
        </w:rPr>
      </w:pPr>
    </w:p>
    <w:p w14:paraId="3FFCD77E" w14:textId="1BBA90A8" w:rsidR="008F76F2" w:rsidRPr="00D66B27" w:rsidRDefault="008F76F2" w:rsidP="008F76F2">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 xml:space="preserve">Por su parte, el </w:t>
      </w:r>
      <w:r w:rsidRPr="00D66B27">
        <w:rPr>
          <w:rFonts w:ascii="Verdana" w:hAnsi="Verdana"/>
          <w:b/>
          <w:i/>
          <w:sz w:val="20"/>
          <w:szCs w:val="20"/>
        </w:rPr>
        <w:t>representante</w:t>
      </w:r>
      <w:r w:rsidRPr="00D66B27">
        <w:rPr>
          <w:rFonts w:ascii="Verdana" w:hAnsi="Verdana"/>
          <w:sz w:val="20"/>
          <w:szCs w:val="20"/>
        </w:rPr>
        <w:t xml:space="preserve"> manifestó que, a la fecha, las víctimas no han podido obtener una reparación, por lo que urge que se haga justicia mediante una decisión jurisdiccional o un acuerdo que resuelva el asunto, sobre todo considerando que fueron los primeros peticionarios que abrieron el camino al resto de víctimas que presentaron demandas civiles contra el Estado, provocando un cambio jurisprudencial sustantivo que significó que hoy el Estado cumpla con su obligación de reparar a víctimas de esos crímenes. Señaló que, a pesar de lo anterior, el Consejo de Defensa del Estado, órgano que representa los intereses de éste en juicio en el fuero interno, al día de hoy continúa haciendo valer –en procesos judiciales por hechos que constituyen crímenes internacionales– la excepción de prescripción extintiva de las acciones civiles, desconociendo así lo expresado por el Estado en su reconocimiento</w:t>
      </w:r>
      <w:r w:rsidRPr="00D66B27">
        <w:rPr>
          <w:rStyle w:val="Refdenotaalpie"/>
          <w:rFonts w:ascii="Verdana" w:hAnsi="Verdana"/>
          <w:sz w:val="20"/>
          <w:szCs w:val="20"/>
        </w:rPr>
        <w:footnoteReference w:id="15"/>
      </w:r>
      <w:r w:rsidRPr="00D66B27">
        <w:rPr>
          <w:rFonts w:ascii="Verdana" w:hAnsi="Verdana"/>
          <w:sz w:val="20"/>
          <w:szCs w:val="20"/>
        </w:rPr>
        <w:t>. Manifestó que, “dado el reconocimiento de responsabilidad expresado por el Estado de Chile -el cual podría ser estimado como un hecho idóneo que permitiría concretar la solución del litigio-, en razón de lo dispuesto en los artículos 62 y 63 de su Reglamento, fluye [la] sugerencia [a la Corte para que formule] una proposición a las partes [para] alcanzar un acuerdo de solución amistosa”, en cuya hipótesis solicitó que se consideren varias pretensiones de reparación</w:t>
      </w:r>
      <w:r w:rsidRPr="00D66B27">
        <w:rPr>
          <w:rStyle w:val="Refdenotaalpie"/>
          <w:rFonts w:ascii="Verdana" w:hAnsi="Verdana"/>
          <w:sz w:val="20"/>
          <w:szCs w:val="20"/>
        </w:rPr>
        <w:footnoteReference w:id="16"/>
      </w:r>
      <w:r w:rsidRPr="00D66B27">
        <w:rPr>
          <w:rFonts w:ascii="Verdana" w:hAnsi="Verdana"/>
          <w:sz w:val="20"/>
          <w:szCs w:val="20"/>
        </w:rPr>
        <w:t xml:space="preserve">. Lo anterior </w:t>
      </w:r>
      <w:r w:rsidR="00D72164" w:rsidRPr="00D66B27">
        <w:rPr>
          <w:rFonts w:ascii="Verdana" w:hAnsi="Verdana"/>
          <w:sz w:val="20"/>
          <w:szCs w:val="20"/>
        </w:rPr>
        <w:t>fue reiterado en su escrito de</w:t>
      </w:r>
      <w:r w:rsidRPr="00D66B27">
        <w:rPr>
          <w:rFonts w:ascii="Verdana" w:hAnsi="Verdana"/>
          <w:sz w:val="20"/>
          <w:szCs w:val="20"/>
        </w:rPr>
        <w:t xml:space="preserve"> alegatos finales, en </w:t>
      </w:r>
      <w:r w:rsidR="00D72164" w:rsidRPr="00D66B27">
        <w:rPr>
          <w:rFonts w:ascii="Verdana" w:hAnsi="Verdana"/>
          <w:sz w:val="20"/>
          <w:szCs w:val="20"/>
        </w:rPr>
        <w:t>el cual</w:t>
      </w:r>
      <w:r w:rsidRPr="00D66B27">
        <w:rPr>
          <w:rFonts w:ascii="Verdana" w:hAnsi="Verdana"/>
          <w:sz w:val="20"/>
          <w:szCs w:val="20"/>
        </w:rPr>
        <w:t xml:space="preserve"> el representante también hizo </w:t>
      </w:r>
      <w:r w:rsidRPr="00D66B27">
        <w:rPr>
          <w:rFonts w:ascii="Verdana" w:eastAsia="Calibri" w:hAnsi="Verdana" w:cs="Verdana Bold"/>
          <w:bCs/>
          <w:sz w:val="20"/>
        </w:rPr>
        <w:t>solicitudes adicionales de reparaciones</w:t>
      </w:r>
      <w:r w:rsidRPr="00D66B27">
        <w:rPr>
          <w:rStyle w:val="Refdenotaalpie"/>
          <w:rFonts w:ascii="Verdana" w:eastAsia="Calibri" w:hAnsi="Verdana" w:cs="Verdana Bold"/>
          <w:bCs/>
          <w:sz w:val="20"/>
        </w:rPr>
        <w:footnoteReference w:id="17"/>
      </w:r>
      <w:r w:rsidR="008854CD">
        <w:rPr>
          <w:rFonts w:ascii="Verdana" w:eastAsia="Calibri" w:hAnsi="Verdana" w:cs="Verdana Bold"/>
          <w:bCs/>
          <w:sz w:val="20"/>
        </w:rPr>
        <w:t>.</w:t>
      </w:r>
    </w:p>
    <w:p w14:paraId="16076F8B" w14:textId="77777777" w:rsidR="005274DA" w:rsidRDefault="005274DA" w:rsidP="00CF39F3">
      <w:pPr>
        <w:pStyle w:val="Prrafodelista"/>
        <w:spacing w:after="0" w:line="240" w:lineRule="auto"/>
        <w:ind w:left="0"/>
        <w:jc w:val="both"/>
        <w:rPr>
          <w:rFonts w:ascii="Verdana" w:hAnsi="Verdana"/>
          <w:sz w:val="20"/>
          <w:szCs w:val="20"/>
        </w:rPr>
      </w:pPr>
    </w:p>
    <w:p w14:paraId="40E2C31D" w14:textId="77777777" w:rsidR="00FF3C8E" w:rsidRPr="00D66B27" w:rsidRDefault="00FF3C8E" w:rsidP="00CF39F3">
      <w:pPr>
        <w:pStyle w:val="Prrafodelista"/>
        <w:spacing w:after="0" w:line="240" w:lineRule="auto"/>
        <w:ind w:left="0"/>
        <w:jc w:val="both"/>
        <w:rPr>
          <w:rFonts w:ascii="Verdana" w:hAnsi="Verdana"/>
          <w:sz w:val="20"/>
          <w:szCs w:val="20"/>
        </w:rPr>
      </w:pPr>
    </w:p>
    <w:p w14:paraId="7D352B29" w14:textId="364F1AD2" w:rsidR="005274DA" w:rsidRPr="00D66B27" w:rsidRDefault="005274DA" w:rsidP="005274DA">
      <w:pPr>
        <w:pStyle w:val="Prrafodelista"/>
        <w:spacing w:after="0" w:line="240" w:lineRule="auto"/>
        <w:ind w:left="708"/>
        <w:jc w:val="both"/>
        <w:rPr>
          <w:rFonts w:ascii="Verdana" w:hAnsi="Verdana"/>
          <w:b/>
          <w:i/>
          <w:sz w:val="20"/>
          <w:szCs w:val="20"/>
        </w:rPr>
      </w:pPr>
      <w:r w:rsidRPr="00D66B27">
        <w:rPr>
          <w:rFonts w:ascii="Verdana" w:hAnsi="Verdana"/>
          <w:b/>
          <w:i/>
          <w:sz w:val="20"/>
          <w:szCs w:val="20"/>
        </w:rPr>
        <w:lastRenderedPageBreak/>
        <w:t>Consideraciones de la Corte</w:t>
      </w:r>
    </w:p>
    <w:p w14:paraId="5FA51207" w14:textId="77777777" w:rsidR="005274DA" w:rsidRPr="00D66B27" w:rsidRDefault="005274DA" w:rsidP="00CF39F3">
      <w:pPr>
        <w:pStyle w:val="Prrafodelista"/>
        <w:spacing w:after="0" w:line="240" w:lineRule="auto"/>
        <w:ind w:left="0"/>
        <w:jc w:val="both"/>
        <w:rPr>
          <w:rFonts w:ascii="Verdana" w:hAnsi="Verdana"/>
          <w:sz w:val="20"/>
          <w:szCs w:val="20"/>
        </w:rPr>
      </w:pPr>
    </w:p>
    <w:p w14:paraId="5F98F654" w14:textId="77777777" w:rsidR="00700032" w:rsidRPr="00D66B27" w:rsidRDefault="00700032" w:rsidP="001D6943">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De conformidad</w:t>
      </w:r>
      <w:r w:rsidRPr="00D66B27">
        <w:rPr>
          <w:rFonts w:ascii="Verdana" w:hAnsi="Verdana"/>
          <w:spacing w:val="-2"/>
          <w:sz w:val="20"/>
          <w:szCs w:val="20"/>
        </w:rPr>
        <w:t xml:space="preserve"> con los artículos 62 y 64 del Reglamento</w:t>
      </w:r>
      <w:r w:rsidRPr="00D66B27">
        <w:rPr>
          <w:rFonts w:ascii="Verdana" w:hAnsi="Verdana" w:cs="Times New Roman"/>
          <w:spacing w:val="-2"/>
          <w:sz w:val="20"/>
          <w:szCs w:val="20"/>
          <w:vertAlign w:val="superscript"/>
        </w:rPr>
        <w:footnoteReference w:id="18"/>
      </w:r>
      <w:r w:rsidRPr="00D66B27">
        <w:rPr>
          <w:rFonts w:ascii="Verdana" w:hAnsi="Verdana"/>
          <w:spacing w:val="-2"/>
          <w:sz w:val="20"/>
          <w:szCs w:val="20"/>
        </w:rPr>
        <w:t>, y en ejercicio de sus poderes de tutela judicial internacional de derechos humanos, cuestión de orden público internacional, incumbe a este Tribunal velar porque los actos de reconocimiento de responsabilidad resulten aceptables para los fines que busca cumplir el Sistema Interamericano. Esta tarea no se limita a constatar, registrar o tomar nota del reconocimiento efectuado, o sus condiciones formales, sino que los debe confrontar con la naturaleza y gravedad de las violaciones alegadas, las exigencias e interés de la justicia, las circunstancias particulares del caso concreto, así como la actitud y posición de las partes, de manera tal que pueda precisar, en cuanto sea posible y en el ejercicio de su competencia, la verdad judicial de lo acontecido</w:t>
      </w:r>
      <w:r w:rsidRPr="00D66B27">
        <w:rPr>
          <w:rFonts w:ascii="Verdana" w:hAnsi="Verdana" w:cs="Times New Roman"/>
          <w:spacing w:val="-2"/>
          <w:sz w:val="20"/>
          <w:szCs w:val="20"/>
          <w:vertAlign w:val="superscript"/>
        </w:rPr>
        <w:footnoteReference w:id="19"/>
      </w:r>
      <w:r w:rsidRPr="00D66B27">
        <w:rPr>
          <w:rFonts w:ascii="Verdana" w:hAnsi="Verdana"/>
          <w:spacing w:val="-2"/>
          <w:sz w:val="20"/>
          <w:szCs w:val="20"/>
        </w:rPr>
        <w:t xml:space="preserve">. </w:t>
      </w:r>
    </w:p>
    <w:p w14:paraId="276E5195" w14:textId="77777777" w:rsidR="00AB359F" w:rsidRPr="00D66B27" w:rsidRDefault="00AB359F" w:rsidP="00756418">
      <w:pPr>
        <w:pStyle w:val="Prrafodelista"/>
        <w:spacing w:line="240" w:lineRule="auto"/>
        <w:ind w:left="0"/>
        <w:jc w:val="both"/>
        <w:rPr>
          <w:rFonts w:ascii="Verdana" w:hAnsi="Verdana"/>
          <w:sz w:val="20"/>
          <w:szCs w:val="20"/>
        </w:rPr>
      </w:pPr>
    </w:p>
    <w:p w14:paraId="0C2E845F" w14:textId="722F7EBF" w:rsidR="00154BE5" w:rsidRPr="00D66B27" w:rsidRDefault="002F5C8C" w:rsidP="001D6943">
      <w:pPr>
        <w:pStyle w:val="Prrafodelista"/>
        <w:numPr>
          <w:ilvl w:val="0"/>
          <w:numId w:val="2"/>
        </w:numPr>
        <w:spacing w:after="0" w:line="240" w:lineRule="auto"/>
        <w:ind w:left="0" w:firstLine="0"/>
        <w:jc w:val="both"/>
        <w:rPr>
          <w:rFonts w:ascii="Verdana" w:hAnsi="Verdana"/>
          <w:sz w:val="20"/>
          <w:szCs w:val="20"/>
        </w:rPr>
      </w:pPr>
      <w:bookmarkStart w:id="7" w:name="_Toc498427236"/>
      <w:bookmarkStart w:id="8" w:name="_Toc516159787"/>
      <w:r w:rsidRPr="00D66B27">
        <w:rPr>
          <w:rFonts w:ascii="Verdana" w:hAnsi="Verdana"/>
          <w:sz w:val="20"/>
          <w:szCs w:val="20"/>
        </w:rPr>
        <w:t>En primer lugar,</w:t>
      </w:r>
      <w:r w:rsidR="00BE00B5" w:rsidRPr="00D66B27">
        <w:rPr>
          <w:rFonts w:ascii="Verdana" w:hAnsi="Verdana"/>
          <w:sz w:val="20"/>
          <w:szCs w:val="20"/>
        </w:rPr>
        <w:t xml:space="preserve"> en cuanto a los hechos,</w:t>
      </w:r>
      <w:r w:rsidRPr="00D66B27">
        <w:rPr>
          <w:rFonts w:ascii="Verdana" w:hAnsi="Verdana"/>
          <w:sz w:val="20"/>
          <w:szCs w:val="20"/>
        </w:rPr>
        <w:t xml:space="preserve"> l</w:t>
      </w:r>
      <w:r w:rsidR="008F6222" w:rsidRPr="00D66B27">
        <w:rPr>
          <w:rFonts w:ascii="Verdana" w:hAnsi="Verdana"/>
          <w:sz w:val="20"/>
          <w:szCs w:val="20"/>
        </w:rPr>
        <w:t>a Corte</w:t>
      </w:r>
      <w:r w:rsidR="00B1797B" w:rsidRPr="00D66B27">
        <w:rPr>
          <w:rFonts w:ascii="Verdana" w:hAnsi="Verdana"/>
          <w:sz w:val="20"/>
          <w:szCs w:val="20"/>
        </w:rPr>
        <w:t xml:space="preserve"> hace notar que</w:t>
      </w:r>
      <w:r w:rsidRPr="00D66B27">
        <w:rPr>
          <w:rFonts w:ascii="Verdana" w:hAnsi="Verdana"/>
          <w:sz w:val="20"/>
          <w:szCs w:val="20"/>
        </w:rPr>
        <w:t xml:space="preserve"> existe concordancia entre </w:t>
      </w:r>
      <w:r w:rsidR="00B1797B" w:rsidRPr="00D66B27">
        <w:rPr>
          <w:rFonts w:ascii="Verdana" w:hAnsi="Verdana"/>
          <w:sz w:val="20"/>
          <w:szCs w:val="20"/>
        </w:rPr>
        <w:t>el Estado (</w:t>
      </w:r>
      <w:r w:rsidR="00B1797B" w:rsidRPr="00D66B27">
        <w:rPr>
          <w:rFonts w:ascii="Verdana" w:hAnsi="Verdana"/>
          <w:i/>
          <w:sz w:val="20"/>
          <w:szCs w:val="20"/>
        </w:rPr>
        <w:t xml:space="preserve">supra </w:t>
      </w:r>
      <w:r w:rsidR="00B1797B" w:rsidRPr="00D66B27">
        <w:rPr>
          <w:rFonts w:ascii="Verdana" w:hAnsi="Verdana"/>
          <w:sz w:val="20"/>
          <w:szCs w:val="20"/>
        </w:rPr>
        <w:t>párr</w:t>
      </w:r>
      <w:r w:rsidR="001A0AAE">
        <w:rPr>
          <w:rFonts w:ascii="Verdana" w:hAnsi="Verdana"/>
          <w:sz w:val="20"/>
          <w:szCs w:val="20"/>
        </w:rPr>
        <w:t>s</w:t>
      </w:r>
      <w:r w:rsidR="00B1797B" w:rsidRPr="00D66B27">
        <w:rPr>
          <w:rFonts w:ascii="Verdana" w:hAnsi="Verdana"/>
          <w:sz w:val="20"/>
          <w:szCs w:val="20"/>
        </w:rPr>
        <w:t>. 15</w:t>
      </w:r>
      <w:r w:rsidR="001A0AAE">
        <w:rPr>
          <w:rFonts w:ascii="Verdana" w:hAnsi="Verdana"/>
          <w:sz w:val="20"/>
          <w:szCs w:val="20"/>
        </w:rPr>
        <w:t xml:space="preserve"> y 16</w:t>
      </w:r>
      <w:r w:rsidR="00B1797B" w:rsidRPr="00D66B27">
        <w:rPr>
          <w:rFonts w:ascii="Verdana" w:hAnsi="Verdana"/>
          <w:sz w:val="20"/>
          <w:szCs w:val="20"/>
        </w:rPr>
        <w:t xml:space="preserve">) y </w:t>
      </w:r>
      <w:r w:rsidRPr="00D66B27">
        <w:rPr>
          <w:rFonts w:ascii="Verdana" w:hAnsi="Verdana"/>
          <w:sz w:val="20"/>
          <w:szCs w:val="20"/>
        </w:rPr>
        <w:t>la Comisión</w:t>
      </w:r>
      <w:r w:rsidR="00B1797B" w:rsidRPr="00D66B27">
        <w:rPr>
          <w:rStyle w:val="Refdenotaalpie"/>
          <w:rFonts w:ascii="Verdana" w:hAnsi="Verdana"/>
          <w:sz w:val="20"/>
          <w:szCs w:val="20"/>
        </w:rPr>
        <w:footnoteReference w:id="20"/>
      </w:r>
      <w:r w:rsidRPr="00D66B27">
        <w:rPr>
          <w:rFonts w:ascii="Verdana" w:hAnsi="Verdana"/>
          <w:sz w:val="20"/>
          <w:szCs w:val="20"/>
        </w:rPr>
        <w:t xml:space="preserve"> en cuanto al marco fáctico y objeto del caso.</w:t>
      </w:r>
      <w:r w:rsidR="00702544" w:rsidRPr="00D66B27">
        <w:rPr>
          <w:rFonts w:ascii="Verdana" w:hAnsi="Verdana"/>
          <w:sz w:val="20"/>
          <w:szCs w:val="20"/>
        </w:rPr>
        <w:t xml:space="preserve"> </w:t>
      </w:r>
      <w:r w:rsidRPr="00D66B27">
        <w:rPr>
          <w:rFonts w:ascii="Verdana" w:hAnsi="Verdana"/>
          <w:sz w:val="20"/>
          <w:szCs w:val="20"/>
        </w:rPr>
        <w:t xml:space="preserve">En consecuencia, </w:t>
      </w:r>
      <w:r w:rsidR="00702544" w:rsidRPr="00D66B27">
        <w:rPr>
          <w:rFonts w:ascii="Verdana" w:hAnsi="Verdana"/>
          <w:sz w:val="20"/>
          <w:szCs w:val="20"/>
        </w:rPr>
        <w:t>en lo que respecta a los hechos del caso</w:t>
      </w:r>
      <w:r w:rsidR="00154BE5" w:rsidRPr="00D66B27">
        <w:rPr>
          <w:rFonts w:ascii="Verdana" w:hAnsi="Verdana"/>
          <w:sz w:val="20"/>
          <w:szCs w:val="20"/>
        </w:rPr>
        <w:t>, la Corte consider</w:t>
      </w:r>
      <w:r w:rsidR="00145412" w:rsidRPr="00D66B27">
        <w:rPr>
          <w:rFonts w:ascii="Verdana" w:hAnsi="Verdana"/>
          <w:sz w:val="20"/>
          <w:szCs w:val="20"/>
        </w:rPr>
        <w:t>a que ha cesado la controversia</w:t>
      </w:r>
      <w:r w:rsidR="00700032" w:rsidRPr="00D66B27">
        <w:rPr>
          <w:rFonts w:ascii="Verdana" w:hAnsi="Verdana"/>
          <w:sz w:val="20"/>
          <w:szCs w:val="20"/>
        </w:rPr>
        <w:t>,</w:t>
      </w:r>
      <w:r w:rsidR="00145412" w:rsidRPr="00D66B27">
        <w:rPr>
          <w:rFonts w:ascii="Verdana" w:hAnsi="Verdana"/>
          <w:sz w:val="20"/>
          <w:szCs w:val="20"/>
        </w:rPr>
        <w:t xml:space="preserve"> por lo cual</w:t>
      </w:r>
      <w:r w:rsidR="00700032" w:rsidRPr="00D66B27">
        <w:rPr>
          <w:rFonts w:ascii="Verdana" w:hAnsi="Verdana"/>
          <w:sz w:val="20"/>
          <w:szCs w:val="20"/>
        </w:rPr>
        <w:t xml:space="preserve"> no es necesario </w:t>
      </w:r>
      <w:r w:rsidR="00145412" w:rsidRPr="00D66B27">
        <w:rPr>
          <w:rFonts w:ascii="Verdana" w:hAnsi="Verdana"/>
          <w:sz w:val="20"/>
          <w:szCs w:val="20"/>
        </w:rPr>
        <w:t>realizar</w:t>
      </w:r>
      <w:r w:rsidR="00154BE5" w:rsidRPr="00D66B27">
        <w:rPr>
          <w:rFonts w:ascii="Verdana" w:hAnsi="Verdana"/>
          <w:sz w:val="20"/>
          <w:szCs w:val="20"/>
        </w:rPr>
        <w:t xml:space="preserve"> una determinación propia de </w:t>
      </w:r>
      <w:r w:rsidR="00145412" w:rsidRPr="00D66B27">
        <w:rPr>
          <w:rFonts w:ascii="Verdana" w:hAnsi="Verdana"/>
          <w:sz w:val="20"/>
          <w:szCs w:val="20"/>
        </w:rPr>
        <w:t>los mismos</w:t>
      </w:r>
      <w:r w:rsidR="00700032" w:rsidRPr="00D66B27">
        <w:rPr>
          <w:rFonts w:ascii="Verdana" w:hAnsi="Verdana"/>
          <w:sz w:val="20"/>
          <w:szCs w:val="20"/>
        </w:rPr>
        <w:t>.</w:t>
      </w:r>
    </w:p>
    <w:bookmarkEnd w:id="7"/>
    <w:bookmarkEnd w:id="8"/>
    <w:p w14:paraId="7600B900" w14:textId="77777777" w:rsidR="00E952D1" w:rsidRPr="00D66B27" w:rsidRDefault="00E952D1" w:rsidP="00E952D1">
      <w:pPr>
        <w:pStyle w:val="Prrafodelista"/>
        <w:spacing w:after="0" w:line="240" w:lineRule="auto"/>
        <w:ind w:left="0"/>
        <w:jc w:val="both"/>
        <w:rPr>
          <w:rFonts w:ascii="Verdana" w:hAnsi="Verdana"/>
          <w:sz w:val="20"/>
          <w:szCs w:val="20"/>
        </w:rPr>
      </w:pPr>
    </w:p>
    <w:p w14:paraId="14C63581" w14:textId="679334DC" w:rsidR="00E952D1" w:rsidRPr="00D66B27" w:rsidRDefault="005F0E5F" w:rsidP="001D6943">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 xml:space="preserve">En </w:t>
      </w:r>
      <w:r w:rsidR="0000029C" w:rsidRPr="00D66B27">
        <w:rPr>
          <w:rFonts w:ascii="Verdana" w:hAnsi="Verdana"/>
          <w:sz w:val="20"/>
          <w:szCs w:val="20"/>
        </w:rPr>
        <w:t xml:space="preserve">segundo lugar, en </w:t>
      </w:r>
      <w:r w:rsidRPr="00D66B27">
        <w:rPr>
          <w:rFonts w:ascii="Verdana" w:hAnsi="Verdana"/>
          <w:sz w:val="20"/>
          <w:szCs w:val="20"/>
        </w:rPr>
        <w:t xml:space="preserve">cuanto al fondo, </w:t>
      </w:r>
      <w:r w:rsidR="00ED5F96" w:rsidRPr="00D66B27">
        <w:rPr>
          <w:rFonts w:ascii="Verdana" w:hAnsi="Verdana"/>
          <w:sz w:val="20"/>
          <w:szCs w:val="20"/>
        </w:rPr>
        <w:t xml:space="preserve">el Estado reconoció su responsabilidad internacional </w:t>
      </w:r>
      <w:r w:rsidR="00B1797B" w:rsidRPr="00D66B27">
        <w:rPr>
          <w:rFonts w:ascii="Verdana" w:hAnsi="Verdana"/>
          <w:sz w:val="20"/>
          <w:szCs w:val="20"/>
        </w:rPr>
        <w:t>en los términos de</w:t>
      </w:r>
      <w:r w:rsidR="00ED5F96" w:rsidRPr="00D66B27">
        <w:rPr>
          <w:rFonts w:ascii="Verdana" w:hAnsi="Verdana"/>
          <w:sz w:val="20"/>
          <w:szCs w:val="20"/>
        </w:rPr>
        <w:t xml:space="preserve"> las conclusiones de</w:t>
      </w:r>
      <w:r w:rsidR="00B1797B" w:rsidRPr="00D66B27">
        <w:rPr>
          <w:rFonts w:ascii="Verdana" w:hAnsi="Verdana"/>
          <w:sz w:val="20"/>
          <w:szCs w:val="20"/>
        </w:rPr>
        <w:t xml:space="preserve">l Informe de </w:t>
      </w:r>
      <w:r w:rsidR="00ED5F96" w:rsidRPr="00D66B27">
        <w:rPr>
          <w:rFonts w:ascii="Verdana" w:hAnsi="Verdana"/>
          <w:sz w:val="20"/>
          <w:szCs w:val="20"/>
        </w:rPr>
        <w:t>la Comisión (</w:t>
      </w:r>
      <w:r w:rsidR="00ED5F96" w:rsidRPr="00D66B27">
        <w:rPr>
          <w:rFonts w:ascii="Verdana" w:hAnsi="Verdana"/>
          <w:i/>
          <w:sz w:val="20"/>
          <w:szCs w:val="20"/>
        </w:rPr>
        <w:t>supra</w:t>
      </w:r>
      <w:r w:rsidR="00ED5F96" w:rsidRPr="00D66B27">
        <w:rPr>
          <w:rFonts w:ascii="Verdana" w:hAnsi="Verdana"/>
          <w:sz w:val="20"/>
          <w:szCs w:val="20"/>
        </w:rPr>
        <w:t xml:space="preserve"> párr</w:t>
      </w:r>
      <w:r w:rsidR="001A0AAE">
        <w:rPr>
          <w:rFonts w:ascii="Verdana" w:hAnsi="Verdana"/>
          <w:sz w:val="20"/>
          <w:szCs w:val="20"/>
        </w:rPr>
        <w:t>s</w:t>
      </w:r>
      <w:r w:rsidR="00ED5F96" w:rsidRPr="00D66B27">
        <w:rPr>
          <w:rFonts w:ascii="Verdana" w:hAnsi="Verdana"/>
          <w:sz w:val="20"/>
          <w:szCs w:val="20"/>
        </w:rPr>
        <w:t>. 15</w:t>
      </w:r>
      <w:r w:rsidR="001A0AAE">
        <w:rPr>
          <w:rFonts w:ascii="Verdana" w:hAnsi="Verdana"/>
          <w:sz w:val="20"/>
          <w:szCs w:val="20"/>
        </w:rPr>
        <w:t xml:space="preserve"> y 16</w:t>
      </w:r>
      <w:r w:rsidR="00ED5F96" w:rsidRPr="00D66B27">
        <w:rPr>
          <w:rFonts w:ascii="Verdana" w:hAnsi="Verdana"/>
          <w:sz w:val="20"/>
          <w:szCs w:val="20"/>
        </w:rPr>
        <w:t xml:space="preserve">), lo cual fue positivamente valorado por </w:t>
      </w:r>
      <w:r w:rsidR="00B1797B" w:rsidRPr="00D66B27">
        <w:rPr>
          <w:rFonts w:ascii="Verdana" w:hAnsi="Verdana"/>
          <w:sz w:val="20"/>
          <w:szCs w:val="20"/>
        </w:rPr>
        <w:t>ésta</w:t>
      </w:r>
      <w:r w:rsidR="00ED5F96" w:rsidRPr="00D66B27">
        <w:rPr>
          <w:rFonts w:ascii="Verdana" w:hAnsi="Verdana"/>
          <w:sz w:val="20"/>
          <w:szCs w:val="20"/>
        </w:rPr>
        <w:t xml:space="preserve"> y </w:t>
      </w:r>
      <w:r w:rsidR="00B1797B" w:rsidRPr="00D66B27">
        <w:rPr>
          <w:rFonts w:ascii="Verdana" w:hAnsi="Verdana"/>
          <w:sz w:val="20"/>
          <w:szCs w:val="20"/>
        </w:rPr>
        <w:t>por el representante</w:t>
      </w:r>
      <w:r w:rsidR="00ED5F96" w:rsidRPr="00D66B27">
        <w:rPr>
          <w:rFonts w:ascii="Verdana" w:hAnsi="Verdana"/>
          <w:sz w:val="20"/>
          <w:szCs w:val="20"/>
        </w:rPr>
        <w:t xml:space="preserve">. Este Tribunal considera que </w:t>
      </w:r>
      <w:r w:rsidR="008854CD">
        <w:rPr>
          <w:rFonts w:ascii="Verdana" w:hAnsi="Verdana"/>
          <w:sz w:val="20"/>
          <w:szCs w:val="20"/>
        </w:rPr>
        <w:t>el</w:t>
      </w:r>
      <w:r w:rsidR="00ED5F96" w:rsidRPr="00D66B27">
        <w:rPr>
          <w:rFonts w:ascii="Verdana" w:hAnsi="Verdana"/>
          <w:sz w:val="20"/>
          <w:szCs w:val="20"/>
        </w:rPr>
        <w:t xml:space="preserve"> reconocimiento del Estado constituye un allanamiento a las pretensiones de derecho de la Comisión respecto </w:t>
      </w:r>
      <w:r w:rsidR="00ED5F96" w:rsidRPr="00D66B27" w:rsidDel="008B7D44">
        <w:rPr>
          <w:rFonts w:ascii="Verdana" w:hAnsi="Verdana"/>
          <w:sz w:val="20"/>
          <w:szCs w:val="20"/>
        </w:rPr>
        <w:t>a</w:t>
      </w:r>
      <w:r w:rsidR="00ED5F96" w:rsidRPr="00D66B27">
        <w:rPr>
          <w:rFonts w:ascii="Verdana" w:hAnsi="Verdana"/>
          <w:sz w:val="20"/>
          <w:szCs w:val="20"/>
        </w:rPr>
        <w:t xml:space="preserve"> la violación de los derechos a las garantías j</w:t>
      </w:r>
      <w:r w:rsidR="00B81C26" w:rsidRPr="00D66B27">
        <w:rPr>
          <w:rFonts w:ascii="Verdana" w:hAnsi="Verdana"/>
          <w:sz w:val="20"/>
          <w:szCs w:val="20"/>
        </w:rPr>
        <w:t>udiciales y protección judicial</w:t>
      </w:r>
      <w:r w:rsidR="00E043B4" w:rsidRPr="00D66B27">
        <w:rPr>
          <w:rFonts w:ascii="Verdana" w:hAnsi="Verdana"/>
          <w:sz w:val="20"/>
          <w:szCs w:val="20"/>
        </w:rPr>
        <w:t>, en perjuicio de las víctimas señaladas en el Informe.</w:t>
      </w:r>
      <w:r w:rsidR="00B81C26" w:rsidRPr="00D66B27">
        <w:rPr>
          <w:rFonts w:ascii="Verdana" w:hAnsi="Verdana"/>
          <w:sz w:val="20"/>
          <w:szCs w:val="20"/>
        </w:rPr>
        <w:t xml:space="preserve"> </w:t>
      </w:r>
      <w:r w:rsidR="00E952D1" w:rsidRPr="00D66B27">
        <w:rPr>
          <w:rFonts w:ascii="Verdana" w:hAnsi="Verdana"/>
          <w:sz w:val="20"/>
          <w:szCs w:val="20"/>
        </w:rPr>
        <w:t xml:space="preserve">La Corte </w:t>
      </w:r>
      <w:r w:rsidR="00B81C26" w:rsidRPr="00D66B27">
        <w:rPr>
          <w:rFonts w:ascii="Verdana" w:eastAsia="Calibri" w:hAnsi="Verdana" w:cs="Verdana"/>
          <w:snapToGrid w:val="0"/>
          <w:sz w:val="20"/>
          <w:szCs w:val="20"/>
          <w:lang w:eastAsia="es-ES"/>
        </w:rPr>
        <w:t xml:space="preserve">valora positivamente </w:t>
      </w:r>
      <w:r w:rsidR="00E952D1" w:rsidRPr="00D66B27">
        <w:rPr>
          <w:rFonts w:ascii="Verdana" w:hAnsi="Verdana"/>
          <w:sz w:val="20"/>
          <w:szCs w:val="20"/>
        </w:rPr>
        <w:t xml:space="preserve">el reconocimiento de responsabilidad internacional </w:t>
      </w:r>
      <w:r w:rsidR="00B81C26" w:rsidRPr="00D66B27">
        <w:rPr>
          <w:rFonts w:ascii="Verdana" w:hAnsi="Verdana"/>
          <w:sz w:val="20"/>
          <w:szCs w:val="20"/>
        </w:rPr>
        <w:t xml:space="preserve">efectuado por el Estado, el cual </w:t>
      </w:r>
      <w:r w:rsidR="00E952D1" w:rsidRPr="00D66B27">
        <w:rPr>
          <w:rFonts w:ascii="Verdana" w:hAnsi="Verdana"/>
          <w:sz w:val="20"/>
          <w:szCs w:val="20"/>
        </w:rPr>
        <w:t xml:space="preserve">constituye una </w:t>
      </w:r>
      <w:r w:rsidR="008854CD">
        <w:rPr>
          <w:rFonts w:ascii="Verdana" w:hAnsi="Verdana"/>
          <w:sz w:val="20"/>
          <w:szCs w:val="20"/>
        </w:rPr>
        <w:t xml:space="preserve">valiosa </w:t>
      </w:r>
      <w:r w:rsidR="00E952D1" w:rsidRPr="00D66B27">
        <w:rPr>
          <w:rFonts w:ascii="Verdana" w:hAnsi="Verdana"/>
          <w:sz w:val="20"/>
          <w:szCs w:val="20"/>
        </w:rPr>
        <w:t xml:space="preserve">contribución al desarrollo de este proceso y a la vigencia de los principios que inspiran la Convención, así como </w:t>
      </w:r>
      <w:r w:rsidR="0000029C" w:rsidRPr="00D66B27">
        <w:rPr>
          <w:rFonts w:ascii="Verdana" w:hAnsi="Verdana"/>
          <w:sz w:val="20"/>
          <w:szCs w:val="20"/>
        </w:rPr>
        <w:t xml:space="preserve">parcialmente </w:t>
      </w:r>
      <w:r w:rsidR="00E952D1" w:rsidRPr="00D66B27">
        <w:rPr>
          <w:rFonts w:ascii="Verdana" w:hAnsi="Verdana"/>
          <w:sz w:val="20"/>
          <w:szCs w:val="20"/>
        </w:rPr>
        <w:t>a las necesidades de reparación de las víctimas</w:t>
      </w:r>
      <w:r w:rsidR="00E952D1" w:rsidRPr="00D66B27">
        <w:rPr>
          <w:rFonts w:ascii="Verdana" w:hAnsi="Verdana" w:cs="Times New Roman"/>
          <w:spacing w:val="-2"/>
          <w:sz w:val="20"/>
          <w:szCs w:val="20"/>
          <w:vertAlign w:val="superscript"/>
        </w:rPr>
        <w:footnoteReference w:id="21"/>
      </w:r>
      <w:r w:rsidR="00B81C26" w:rsidRPr="00D66B27">
        <w:rPr>
          <w:rFonts w:ascii="Verdana" w:hAnsi="Verdana"/>
          <w:sz w:val="20"/>
          <w:szCs w:val="20"/>
        </w:rPr>
        <w:t>. Por ello, e</w:t>
      </w:r>
      <w:r w:rsidR="00927156" w:rsidRPr="00D66B27">
        <w:rPr>
          <w:rFonts w:ascii="Verdana" w:eastAsia="Calibri" w:hAnsi="Verdana" w:cs="Verdana"/>
          <w:snapToGrid w:val="0"/>
          <w:sz w:val="20"/>
          <w:szCs w:val="20"/>
          <w:lang w:eastAsia="es-ES"/>
        </w:rPr>
        <w:t>l Tribunal considera, como en otros casos</w:t>
      </w:r>
      <w:r w:rsidR="00927156" w:rsidRPr="00D66B27">
        <w:rPr>
          <w:rStyle w:val="Refdenotaalpie"/>
          <w:rFonts w:ascii="Verdana" w:eastAsia="Calibri" w:hAnsi="Verdana" w:cs="Verdana"/>
          <w:snapToGrid w:val="0"/>
          <w:sz w:val="20"/>
          <w:szCs w:val="20"/>
          <w:lang w:eastAsia="es-ES"/>
        </w:rPr>
        <w:footnoteReference w:id="22"/>
      </w:r>
      <w:r w:rsidR="00927156" w:rsidRPr="00D66B27">
        <w:rPr>
          <w:rFonts w:ascii="Verdana" w:eastAsia="Calibri" w:hAnsi="Verdana" w:cs="Verdana"/>
          <w:snapToGrid w:val="0"/>
          <w:sz w:val="20"/>
          <w:szCs w:val="20"/>
          <w:lang w:eastAsia="es-ES"/>
        </w:rPr>
        <w:t xml:space="preserve">, que </w:t>
      </w:r>
      <w:r w:rsidR="00B81C26" w:rsidRPr="00D66B27">
        <w:rPr>
          <w:rFonts w:ascii="Verdana" w:eastAsia="Calibri" w:hAnsi="Verdana" w:cs="Verdana"/>
          <w:snapToGrid w:val="0"/>
          <w:sz w:val="20"/>
          <w:szCs w:val="20"/>
          <w:lang w:eastAsia="es-ES"/>
        </w:rPr>
        <w:t>tal acto</w:t>
      </w:r>
      <w:r w:rsidR="007563EA" w:rsidRPr="00D66B27">
        <w:rPr>
          <w:rFonts w:ascii="Verdana" w:eastAsia="Calibri" w:hAnsi="Verdana" w:cs="Verdana"/>
          <w:snapToGrid w:val="0"/>
          <w:sz w:val="20"/>
          <w:szCs w:val="20"/>
          <w:lang w:eastAsia="es-ES"/>
        </w:rPr>
        <w:t xml:space="preserve"> </w:t>
      </w:r>
      <w:r w:rsidR="00927156" w:rsidRPr="00D66B27">
        <w:rPr>
          <w:rFonts w:ascii="Verdana" w:eastAsia="Calibri" w:hAnsi="Verdana" w:cs="Verdana"/>
          <w:snapToGrid w:val="0"/>
          <w:sz w:val="20"/>
          <w:szCs w:val="20"/>
          <w:lang w:eastAsia="es-ES"/>
        </w:rPr>
        <w:t>produce plenos efecto</w:t>
      </w:r>
      <w:r w:rsidR="00B81C26" w:rsidRPr="00D66B27">
        <w:rPr>
          <w:rFonts w:ascii="Verdana" w:eastAsia="Calibri" w:hAnsi="Verdana" w:cs="Verdana"/>
          <w:snapToGrid w:val="0"/>
          <w:sz w:val="20"/>
          <w:szCs w:val="20"/>
          <w:lang w:eastAsia="es-ES"/>
        </w:rPr>
        <w:t xml:space="preserve">s jurídicos y </w:t>
      </w:r>
      <w:r w:rsidR="00B17592" w:rsidRPr="00D66B27">
        <w:rPr>
          <w:rFonts w:ascii="Verdana" w:eastAsia="Calibri" w:hAnsi="Verdana" w:cs="Verdana"/>
          <w:snapToGrid w:val="0"/>
          <w:sz w:val="20"/>
          <w:szCs w:val="20"/>
          <w:lang w:eastAsia="es-ES"/>
        </w:rPr>
        <w:t>que ha cesado la controversia respecto del fondo</w:t>
      </w:r>
      <w:r w:rsidR="007563EA" w:rsidRPr="00D66B27">
        <w:rPr>
          <w:rFonts w:ascii="Verdana" w:eastAsia="Calibri" w:hAnsi="Verdana" w:cs="Verdana"/>
          <w:snapToGrid w:val="0"/>
          <w:sz w:val="20"/>
          <w:szCs w:val="20"/>
          <w:lang w:eastAsia="es-ES"/>
        </w:rPr>
        <w:t xml:space="preserve"> del caso</w:t>
      </w:r>
      <w:r w:rsidR="00B17592" w:rsidRPr="00D66B27">
        <w:rPr>
          <w:rFonts w:ascii="Verdana" w:eastAsia="Calibri" w:hAnsi="Verdana" w:cs="Verdana"/>
          <w:snapToGrid w:val="0"/>
          <w:sz w:val="20"/>
          <w:szCs w:val="20"/>
          <w:lang w:eastAsia="es-ES"/>
        </w:rPr>
        <w:t>.</w:t>
      </w:r>
      <w:r w:rsidR="0000029C" w:rsidRPr="00D66B27">
        <w:rPr>
          <w:rFonts w:ascii="Verdana" w:eastAsia="Calibri" w:hAnsi="Verdana" w:cs="Verdana"/>
          <w:snapToGrid w:val="0"/>
          <w:sz w:val="20"/>
          <w:szCs w:val="20"/>
          <w:lang w:eastAsia="es-ES"/>
        </w:rPr>
        <w:t xml:space="preserve"> </w:t>
      </w:r>
    </w:p>
    <w:p w14:paraId="6EEE2DE3" w14:textId="77777777" w:rsidR="0037484F" w:rsidRPr="00D66B27" w:rsidRDefault="0037484F" w:rsidP="0037484F">
      <w:pPr>
        <w:pStyle w:val="Prrafodelista"/>
        <w:spacing w:after="0" w:line="240" w:lineRule="auto"/>
        <w:ind w:left="0"/>
        <w:jc w:val="both"/>
        <w:rPr>
          <w:rFonts w:ascii="Verdana" w:hAnsi="Verdana"/>
          <w:sz w:val="20"/>
          <w:szCs w:val="20"/>
        </w:rPr>
      </w:pPr>
    </w:p>
    <w:p w14:paraId="65EBE87A" w14:textId="77777777" w:rsidR="00BE00B5" w:rsidRPr="00D66B27" w:rsidRDefault="0000029C" w:rsidP="001D6943">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rPr>
        <w:t xml:space="preserve">En tercer lugar, en lo que respecta a las reparaciones, </w:t>
      </w:r>
      <w:r w:rsidR="00F13FEB" w:rsidRPr="00D66B27">
        <w:rPr>
          <w:rFonts w:ascii="Verdana" w:hAnsi="Verdana"/>
          <w:sz w:val="20"/>
        </w:rPr>
        <w:t>l</w:t>
      </w:r>
      <w:r w:rsidR="00E13800" w:rsidRPr="00D66B27">
        <w:rPr>
          <w:rFonts w:ascii="Verdana" w:hAnsi="Verdana"/>
          <w:sz w:val="20"/>
        </w:rPr>
        <w:t>a Corte hace notar que</w:t>
      </w:r>
      <w:r w:rsidR="00792908" w:rsidRPr="00D66B27">
        <w:rPr>
          <w:rFonts w:ascii="Verdana" w:hAnsi="Verdana"/>
          <w:color w:val="000000" w:themeColor="text1"/>
          <w:sz w:val="20"/>
        </w:rPr>
        <w:t xml:space="preserve"> en este caso el representante de las presuntas víctimas no presentó </w:t>
      </w:r>
      <w:r w:rsidR="00BB1730" w:rsidRPr="00D66B27">
        <w:rPr>
          <w:rFonts w:ascii="Verdana" w:hAnsi="Verdana"/>
          <w:color w:val="000000" w:themeColor="text1"/>
          <w:sz w:val="20"/>
        </w:rPr>
        <w:t>su</w:t>
      </w:r>
      <w:r w:rsidR="00792908" w:rsidRPr="00D66B27">
        <w:rPr>
          <w:rFonts w:ascii="Verdana" w:hAnsi="Verdana"/>
          <w:color w:val="000000" w:themeColor="text1"/>
          <w:sz w:val="20"/>
        </w:rPr>
        <w:t xml:space="preserve"> escrito de solicitudes, argumentos y pruebas dentro del plazo reglamentario establecido al efecto, por lo cual</w:t>
      </w:r>
      <w:r w:rsidR="008A3969" w:rsidRPr="00D66B27">
        <w:rPr>
          <w:rFonts w:ascii="Verdana" w:hAnsi="Verdana"/>
          <w:color w:val="000000" w:themeColor="text1"/>
          <w:sz w:val="20"/>
        </w:rPr>
        <w:t xml:space="preserve"> </w:t>
      </w:r>
      <w:r w:rsidR="00792908" w:rsidRPr="00D66B27">
        <w:rPr>
          <w:rFonts w:ascii="Verdana" w:hAnsi="Verdana"/>
          <w:color w:val="000000" w:themeColor="text1"/>
          <w:sz w:val="20"/>
        </w:rPr>
        <w:t>fue declarado inadmisible (</w:t>
      </w:r>
      <w:r w:rsidR="00792908" w:rsidRPr="00D66B27">
        <w:rPr>
          <w:rFonts w:ascii="Verdana" w:hAnsi="Verdana"/>
          <w:i/>
          <w:color w:val="000000" w:themeColor="text1"/>
          <w:sz w:val="20"/>
        </w:rPr>
        <w:t>supra</w:t>
      </w:r>
      <w:r w:rsidR="00792908" w:rsidRPr="00D66B27">
        <w:rPr>
          <w:rFonts w:ascii="Verdana" w:hAnsi="Verdana"/>
          <w:color w:val="000000" w:themeColor="text1"/>
          <w:sz w:val="20"/>
        </w:rPr>
        <w:t xml:space="preserve"> párr. 6).</w:t>
      </w:r>
      <w:r w:rsidR="00E13800" w:rsidRPr="00D66B27">
        <w:rPr>
          <w:rFonts w:ascii="Verdana" w:hAnsi="Verdana"/>
          <w:sz w:val="20"/>
        </w:rPr>
        <w:t xml:space="preserve"> </w:t>
      </w:r>
    </w:p>
    <w:p w14:paraId="093EB38C" w14:textId="77777777" w:rsidR="00BE00B5" w:rsidRPr="00D66B27" w:rsidRDefault="00BE00B5" w:rsidP="00BE00B5">
      <w:pPr>
        <w:pStyle w:val="Prrafodelista"/>
        <w:rPr>
          <w:rFonts w:ascii="Verdana" w:hAnsi="Verdana"/>
          <w:sz w:val="20"/>
        </w:rPr>
      </w:pPr>
    </w:p>
    <w:p w14:paraId="4BA9F664" w14:textId="36416F19" w:rsidR="00C8465C" w:rsidRPr="00D66B27" w:rsidRDefault="00792908" w:rsidP="001D6943">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rPr>
        <w:t>E</w:t>
      </w:r>
      <w:r w:rsidR="00E13800" w:rsidRPr="00D66B27">
        <w:rPr>
          <w:rFonts w:ascii="Verdana" w:hAnsi="Verdana"/>
          <w:color w:val="000000" w:themeColor="text1"/>
          <w:sz w:val="20"/>
        </w:rPr>
        <w:t>n términos generales, la inactividad</w:t>
      </w:r>
      <w:r w:rsidR="00E13800" w:rsidRPr="00D66B27">
        <w:rPr>
          <w:rFonts w:ascii="Verdana" w:hAnsi="Verdana"/>
          <w:sz w:val="20"/>
        </w:rPr>
        <w:t xml:space="preserve"> procesal tiene como consecuencia la preclusión de la oportunidad procesal para hacer valer, en el período previsto para ello, los derechos </w:t>
      </w:r>
      <w:r w:rsidR="00E13800" w:rsidRPr="00D66B27">
        <w:rPr>
          <w:rFonts w:ascii="Verdana" w:hAnsi="Verdana"/>
          <w:sz w:val="20"/>
        </w:rPr>
        <w:lastRenderedPageBreak/>
        <w:t xml:space="preserve">correspondientes, lo que, eventualmente, puede acarrear </w:t>
      </w:r>
      <w:r w:rsidR="0031123A" w:rsidRPr="00D66B27">
        <w:rPr>
          <w:rFonts w:ascii="Verdana" w:hAnsi="Verdana"/>
          <w:sz w:val="20"/>
        </w:rPr>
        <w:t xml:space="preserve">un perjuicio </w:t>
      </w:r>
      <w:r w:rsidR="00E13800" w:rsidRPr="00D66B27">
        <w:rPr>
          <w:rFonts w:ascii="Verdana" w:hAnsi="Verdana"/>
          <w:sz w:val="20"/>
        </w:rPr>
        <w:t xml:space="preserve">a la parte pertinente, al decidir voluntariamente no ejercer su derecho de defensa en forma completa ni llevar a cabo las actuaciones procesales convenientes para su interés, de conformidad con la máxima </w:t>
      </w:r>
      <w:r w:rsidR="00E13800" w:rsidRPr="00D66B27">
        <w:rPr>
          <w:rFonts w:ascii="Verdana" w:hAnsi="Verdana"/>
          <w:i/>
          <w:sz w:val="20"/>
        </w:rPr>
        <w:t>audi alteram partem</w:t>
      </w:r>
      <w:r w:rsidR="00E13800" w:rsidRPr="00D66B27">
        <w:rPr>
          <w:rStyle w:val="Refdenotaalpie"/>
          <w:rFonts w:ascii="Verdana" w:hAnsi="Verdana"/>
          <w:sz w:val="20"/>
        </w:rPr>
        <w:footnoteReference w:id="23"/>
      </w:r>
      <w:r w:rsidR="00E13800" w:rsidRPr="00D66B27">
        <w:rPr>
          <w:rFonts w:ascii="Verdana" w:hAnsi="Verdana"/>
          <w:i/>
          <w:sz w:val="20"/>
        </w:rPr>
        <w:t>.</w:t>
      </w:r>
      <w:r w:rsidR="00E13800" w:rsidRPr="00D66B27">
        <w:rPr>
          <w:rFonts w:ascii="Verdana" w:hAnsi="Verdana"/>
          <w:color w:val="000000" w:themeColor="text1"/>
          <w:sz w:val="20"/>
        </w:rPr>
        <w:t xml:space="preserve"> </w:t>
      </w:r>
      <w:r w:rsidR="00E13800" w:rsidRPr="00D66B27">
        <w:rPr>
          <w:rFonts w:ascii="Verdana" w:hAnsi="Verdana"/>
          <w:sz w:val="20"/>
        </w:rPr>
        <w:t>No obstante ello</w:t>
      </w:r>
      <w:r w:rsidR="00AA5CCF" w:rsidRPr="00D66B27">
        <w:rPr>
          <w:rFonts w:ascii="Verdana" w:hAnsi="Verdana"/>
          <w:sz w:val="20"/>
        </w:rPr>
        <w:t>,</w:t>
      </w:r>
      <w:r w:rsidR="00E13800" w:rsidRPr="00D66B27">
        <w:rPr>
          <w:rFonts w:ascii="Verdana" w:hAnsi="Verdana"/>
          <w:sz w:val="20"/>
        </w:rPr>
        <w:t xml:space="preserve"> y de acuerdo a lo dispuesto en</w:t>
      </w:r>
      <w:r w:rsidR="00E13800" w:rsidRPr="00D66B27">
        <w:rPr>
          <w:rFonts w:ascii="Verdana" w:hAnsi="Verdana"/>
          <w:color w:val="0070C0"/>
          <w:sz w:val="20"/>
        </w:rPr>
        <w:t xml:space="preserve"> </w:t>
      </w:r>
      <w:r w:rsidR="00E13800" w:rsidRPr="00D66B27">
        <w:rPr>
          <w:rFonts w:ascii="Verdana" w:hAnsi="Verdana"/>
          <w:color w:val="000000" w:themeColor="text1"/>
          <w:sz w:val="20"/>
        </w:rPr>
        <w:t>el Reglamento</w:t>
      </w:r>
      <w:r w:rsidR="00E13800" w:rsidRPr="00D66B27">
        <w:rPr>
          <w:rStyle w:val="Refdenotaalpie"/>
          <w:rFonts w:ascii="Verdana" w:hAnsi="Verdana"/>
          <w:color w:val="000000" w:themeColor="text1"/>
          <w:sz w:val="20"/>
        </w:rPr>
        <w:footnoteReference w:id="24"/>
      </w:r>
      <w:r w:rsidR="00E13800" w:rsidRPr="00D66B27">
        <w:rPr>
          <w:rFonts w:ascii="Verdana" w:hAnsi="Verdana"/>
          <w:color w:val="000000" w:themeColor="text1"/>
          <w:sz w:val="20"/>
        </w:rPr>
        <w:t xml:space="preserve"> y la jurisprudenc</w:t>
      </w:r>
      <w:r w:rsidR="008A3969" w:rsidRPr="00D66B27">
        <w:rPr>
          <w:rFonts w:ascii="Verdana" w:hAnsi="Verdana"/>
          <w:color w:val="000000" w:themeColor="text1"/>
          <w:sz w:val="20"/>
        </w:rPr>
        <w:t>ia, se ha permitido a la parte que se apersona tardíamente en el proceso que participe</w:t>
      </w:r>
      <w:r w:rsidR="00E13800" w:rsidRPr="00D66B27">
        <w:rPr>
          <w:rFonts w:ascii="Verdana" w:hAnsi="Verdana"/>
          <w:color w:val="000000" w:themeColor="text1"/>
          <w:sz w:val="20"/>
        </w:rPr>
        <w:t xml:space="preserve"> en las actuaciones procesales posteriores, tomando en cuenta las etapas que hubiesen caducado de acuerdo al momento procesal</w:t>
      </w:r>
      <w:r w:rsidRPr="00D66B27">
        <w:rPr>
          <w:rStyle w:val="Refdenotaalpie"/>
          <w:rFonts w:ascii="Verdana" w:hAnsi="Verdana"/>
          <w:color w:val="000000" w:themeColor="text1"/>
          <w:sz w:val="20"/>
        </w:rPr>
        <w:footnoteReference w:id="25"/>
      </w:r>
      <w:r w:rsidR="0093192A" w:rsidRPr="00D66B27">
        <w:rPr>
          <w:rFonts w:ascii="Verdana" w:hAnsi="Verdana"/>
          <w:color w:val="000000" w:themeColor="text1"/>
          <w:sz w:val="20"/>
        </w:rPr>
        <w:t xml:space="preserve">. En relación con lo anterior, </w:t>
      </w:r>
      <w:r w:rsidR="0093192A" w:rsidRPr="00D66B27">
        <w:rPr>
          <w:rFonts w:ascii="Verdana" w:hAnsi="Verdana"/>
          <w:sz w:val="20"/>
        </w:rPr>
        <w:t xml:space="preserve">ya ha sido establecido </w:t>
      </w:r>
      <w:r w:rsidRPr="00D66B27">
        <w:rPr>
          <w:rFonts w:ascii="Verdana" w:hAnsi="Verdana"/>
          <w:sz w:val="20"/>
        </w:rPr>
        <w:t xml:space="preserve">que los alegatos finales </w:t>
      </w:r>
      <w:r w:rsidR="005D683C" w:rsidRPr="00D66B27">
        <w:rPr>
          <w:rFonts w:ascii="Verdana" w:hAnsi="Verdana"/>
          <w:sz w:val="20"/>
        </w:rPr>
        <w:t>sirven</w:t>
      </w:r>
      <w:r w:rsidRPr="00D66B27">
        <w:rPr>
          <w:rFonts w:ascii="Verdana" w:hAnsi="Verdana"/>
          <w:sz w:val="20"/>
        </w:rPr>
        <w:t xml:space="preserve"> esencialmente para sistematizar los argumentos de hecho y de derecho presentados oportunamente</w:t>
      </w:r>
      <w:r w:rsidR="0093192A" w:rsidRPr="00D66B27">
        <w:rPr>
          <w:rFonts w:ascii="Verdana" w:hAnsi="Verdana"/>
          <w:sz w:val="20"/>
        </w:rPr>
        <w:t>, por lo que</w:t>
      </w:r>
      <w:r w:rsidRPr="00D66B27">
        <w:rPr>
          <w:rFonts w:ascii="Verdana" w:hAnsi="Verdana"/>
          <w:sz w:val="20"/>
        </w:rPr>
        <w:t xml:space="preserve"> </w:t>
      </w:r>
      <w:r w:rsidR="00B91865" w:rsidRPr="00D66B27">
        <w:rPr>
          <w:rFonts w:ascii="Verdana" w:hAnsi="Verdana"/>
          <w:color w:val="000000" w:themeColor="text1"/>
          <w:sz w:val="20"/>
        </w:rPr>
        <w:t xml:space="preserve">no pueden sustituir propiamente la falta de presentación del escrito inicial, </w:t>
      </w:r>
      <w:r w:rsidR="0093192A" w:rsidRPr="00D66B27">
        <w:rPr>
          <w:rFonts w:ascii="Verdana" w:hAnsi="Verdana"/>
          <w:color w:val="000000" w:themeColor="text1"/>
          <w:sz w:val="20"/>
        </w:rPr>
        <w:t>ni</w:t>
      </w:r>
      <w:r w:rsidR="00AA5CCF" w:rsidRPr="00D66B27">
        <w:rPr>
          <w:rFonts w:ascii="Verdana" w:hAnsi="Verdana"/>
          <w:color w:val="000000" w:themeColor="text1"/>
          <w:sz w:val="20"/>
        </w:rPr>
        <w:t xml:space="preserve"> son una etapa para presentar hechos, prueba o solicitudes</w:t>
      </w:r>
      <w:r w:rsidR="0093192A" w:rsidRPr="00D66B27">
        <w:rPr>
          <w:rFonts w:ascii="Verdana" w:hAnsi="Verdana"/>
          <w:color w:val="000000" w:themeColor="text1"/>
          <w:sz w:val="20"/>
        </w:rPr>
        <w:t xml:space="preserve"> adicionales</w:t>
      </w:r>
      <w:r w:rsidR="0031123A" w:rsidRPr="00D66B27">
        <w:rPr>
          <w:rFonts w:ascii="Verdana" w:hAnsi="Verdana"/>
          <w:color w:val="000000" w:themeColor="text1"/>
          <w:sz w:val="20"/>
        </w:rPr>
        <w:t>,</w:t>
      </w:r>
      <w:r w:rsidR="00AA5CCF" w:rsidRPr="00D66B27">
        <w:rPr>
          <w:rFonts w:ascii="Verdana" w:hAnsi="Verdana"/>
          <w:color w:val="000000" w:themeColor="text1"/>
          <w:sz w:val="20"/>
        </w:rPr>
        <w:t xml:space="preserve"> </w:t>
      </w:r>
      <w:r w:rsidR="00B91865" w:rsidRPr="00D66B27">
        <w:rPr>
          <w:rFonts w:ascii="Verdana" w:hAnsi="Verdana"/>
          <w:color w:val="000000" w:themeColor="text1"/>
          <w:sz w:val="20"/>
        </w:rPr>
        <w:t>pues</w:t>
      </w:r>
      <w:r w:rsidR="00AA5CCF" w:rsidRPr="00D66B27">
        <w:rPr>
          <w:rFonts w:ascii="Verdana" w:hAnsi="Verdana"/>
          <w:color w:val="000000" w:themeColor="text1"/>
          <w:sz w:val="20"/>
        </w:rPr>
        <w:t xml:space="preserve"> no podrían ser respondidos por las otras partes</w:t>
      </w:r>
      <w:r w:rsidR="00AA5CCF" w:rsidRPr="00D66B27">
        <w:rPr>
          <w:rStyle w:val="Refdenotaalpie"/>
          <w:rFonts w:ascii="Verdana" w:hAnsi="Verdana"/>
          <w:sz w:val="20"/>
        </w:rPr>
        <w:footnoteReference w:id="26"/>
      </w:r>
      <w:r w:rsidR="00AA5CCF" w:rsidRPr="00D66B27">
        <w:rPr>
          <w:rFonts w:ascii="Verdana" w:hAnsi="Verdana"/>
          <w:color w:val="000000" w:themeColor="text1"/>
          <w:sz w:val="20"/>
        </w:rPr>
        <w:t>.</w:t>
      </w:r>
    </w:p>
    <w:p w14:paraId="525E26AE" w14:textId="77777777" w:rsidR="00C8465C" w:rsidRPr="00D66B27" w:rsidRDefault="00C8465C" w:rsidP="00C8465C">
      <w:pPr>
        <w:pStyle w:val="Prrafodelista"/>
        <w:rPr>
          <w:rFonts w:ascii="Verdana" w:hAnsi="Verdana"/>
          <w:color w:val="000000" w:themeColor="text1"/>
          <w:sz w:val="20"/>
        </w:rPr>
      </w:pPr>
    </w:p>
    <w:p w14:paraId="00FEBE93" w14:textId="755D1CB6" w:rsidR="00F13FEB" w:rsidRPr="00D66B27" w:rsidRDefault="00CF3831" w:rsidP="001D6943">
      <w:pPr>
        <w:pStyle w:val="Prrafodelista"/>
        <w:numPr>
          <w:ilvl w:val="0"/>
          <w:numId w:val="2"/>
        </w:numPr>
        <w:spacing w:after="0" w:line="240" w:lineRule="auto"/>
        <w:ind w:left="0" w:firstLine="0"/>
        <w:jc w:val="both"/>
        <w:rPr>
          <w:rFonts w:ascii="Verdana" w:eastAsia="Calibri" w:hAnsi="Verdana" w:cs="Verdana Bold"/>
          <w:bCs/>
          <w:sz w:val="20"/>
        </w:rPr>
      </w:pPr>
      <w:r w:rsidRPr="00D66B27">
        <w:rPr>
          <w:rFonts w:ascii="Verdana" w:hAnsi="Verdana"/>
          <w:color w:val="000000" w:themeColor="text1"/>
          <w:sz w:val="20"/>
        </w:rPr>
        <w:t xml:space="preserve">En consecuencia, </w:t>
      </w:r>
      <w:r w:rsidR="003E2575" w:rsidRPr="00D66B27">
        <w:rPr>
          <w:rFonts w:ascii="Verdana" w:hAnsi="Verdana"/>
          <w:sz w:val="20"/>
        </w:rPr>
        <w:t xml:space="preserve">en aplicación del artículo 29.2 del Reglamento y </w:t>
      </w:r>
      <w:r w:rsidR="003E2575" w:rsidRPr="00D66B27">
        <w:rPr>
          <w:rFonts w:ascii="Verdana" w:eastAsia="Calibri" w:hAnsi="Verdana" w:cs="Verdana Bold"/>
          <w:bCs/>
          <w:sz w:val="20"/>
        </w:rPr>
        <w:t xml:space="preserve">en virtud de los principios de contradicción y preclusión procesal, </w:t>
      </w:r>
      <w:r w:rsidR="005D683C" w:rsidRPr="00D66B27">
        <w:rPr>
          <w:rFonts w:ascii="Verdana" w:eastAsia="Calibri" w:hAnsi="Verdana" w:cs="Verdana Bold"/>
          <w:bCs/>
          <w:sz w:val="20"/>
        </w:rPr>
        <w:t>la Corte no tomará en cuenta</w:t>
      </w:r>
      <w:r w:rsidR="005D683C" w:rsidRPr="00D66B27">
        <w:rPr>
          <w:rFonts w:ascii="Verdana" w:hAnsi="Verdana"/>
          <w:sz w:val="20"/>
        </w:rPr>
        <w:t xml:space="preserve"> </w:t>
      </w:r>
      <w:r w:rsidR="003E2575" w:rsidRPr="00D66B27">
        <w:rPr>
          <w:rFonts w:ascii="Verdana" w:hAnsi="Verdana"/>
          <w:color w:val="000000" w:themeColor="text1"/>
          <w:sz w:val="20"/>
        </w:rPr>
        <w:t xml:space="preserve">las solicitudes de reparaciones presentadas por el representante en sus escritos de observaciones sobre el reconocimiento </w:t>
      </w:r>
      <w:r w:rsidR="003E2575" w:rsidRPr="00D66B27">
        <w:rPr>
          <w:rFonts w:ascii="Verdana" w:eastAsia="Calibri" w:hAnsi="Verdana" w:cs="Verdana Bold"/>
          <w:bCs/>
          <w:sz w:val="20"/>
        </w:rPr>
        <w:t xml:space="preserve">y de alegatos finales, </w:t>
      </w:r>
      <w:r w:rsidR="005D683C" w:rsidRPr="00D66B27">
        <w:rPr>
          <w:rFonts w:ascii="Verdana" w:hAnsi="Verdana"/>
          <w:sz w:val="20"/>
        </w:rPr>
        <w:t>por no haber sido presentadas en el momento procesal oportuno</w:t>
      </w:r>
      <w:r w:rsidR="00F13FEB" w:rsidRPr="00D66B27">
        <w:rPr>
          <w:rFonts w:ascii="Verdana" w:eastAsia="Calibri" w:hAnsi="Verdana" w:cs="Verdana Bold"/>
          <w:bCs/>
          <w:sz w:val="20"/>
        </w:rPr>
        <w:t>, salvo si tienen relación con lo planteado por la Comisión</w:t>
      </w:r>
      <w:r w:rsidR="002A545B" w:rsidRPr="00D66B27">
        <w:rPr>
          <w:rStyle w:val="Refdenotaalpie"/>
          <w:rFonts w:ascii="Verdana" w:eastAsia="Calibri" w:hAnsi="Verdana" w:cs="Verdana Bold"/>
          <w:bCs/>
          <w:sz w:val="20"/>
        </w:rPr>
        <w:footnoteReference w:id="27"/>
      </w:r>
      <w:r w:rsidR="00F13FEB" w:rsidRPr="00D66B27">
        <w:rPr>
          <w:rFonts w:ascii="Verdana" w:eastAsia="Calibri" w:hAnsi="Verdana" w:cs="Verdana Bold"/>
          <w:bCs/>
          <w:sz w:val="20"/>
        </w:rPr>
        <w:t xml:space="preserve">. </w:t>
      </w:r>
    </w:p>
    <w:p w14:paraId="47E1CD51" w14:textId="77777777" w:rsidR="005D683C" w:rsidRPr="00D66B27" w:rsidRDefault="005D683C" w:rsidP="005D683C">
      <w:pPr>
        <w:pStyle w:val="Prrafodelista"/>
        <w:spacing w:after="0" w:line="240" w:lineRule="auto"/>
        <w:ind w:left="0"/>
        <w:jc w:val="both"/>
        <w:rPr>
          <w:rFonts w:ascii="Verdana" w:eastAsia="Calibri" w:hAnsi="Verdana" w:cs="Verdana Bold"/>
          <w:bCs/>
          <w:sz w:val="20"/>
        </w:rPr>
      </w:pPr>
    </w:p>
    <w:p w14:paraId="3C8E73F2" w14:textId="41AFE915" w:rsidR="00290EBF" w:rsidRPr="00D66B27" w:rsidRDefault="0000029C" w:rsidP="001D6943">
      <w:pPr>
        <w:pStyle w:val="Prrafodelista"/>
        <w:numPr>
          <w:ilvl w:val="0"/>
          <w:numId w:val="2"/>
        </w:numPr>
        <w:spacing w:after="0" w:line="240" w:lineRule="auto"/>
        <w:ind w:left="0" w:firstLine="0"/>
        <w:jc w:val="both"/>
        <w:rPr>
          <w:rFonts w:ascii="Verdana" w:hAnsi="Verdana"/>
          <w:sz w:val="20"/>
          <w:szCs w:val="20"/>
        </w:rPr>
      </w:pPr>
      <w:r w:rsidRPr="00D66B27">
        <w:rPr>
          <w:rFonts w:ascii="Verdana" w:eastAsia="Calibri" w:hAnsi="Verdana" w:cs="Verdana Bold"/>
          <w:bCs/>
          <w:sz w:val="20"/>
        </w:rPr>
        <w:t>Por otro lado</w:t>
      </w:r>
      <w:r w:rsidR="00AA5CCF" w:rsidRPr="00D66B27">
        <w:rPr>
          <w:rFonts w:ascii="Verdana" w:eastAsia="Calibri" w:hAnsi="Verdana" w:cs="Verdana Bold"/>
          <w:bCs/>
          <w:sz w:val="20"/>
        </w:rPr>
        <w:t>, en</w:t>
      </w:r>
      <w:r w:rsidR="00792908" w:rsidRPr="00D66B27">
        <w:rPr>
          <w:rFonts w:ascii="Verdana" w:eastAsia="Calibri" w:hAnsi="Verdana" w:cs="Verdana Bold"/>
          <w:bCs/>
          <w:sz w:val="20"/>
        </w:rPr>
        <w:t xml:space="preserve"> cuanto a la </w:t>
      </w:r>
      <w:r w:rsidR="00891A58" w:rsidRPr="00D66B27">
        <w:rPr>
          <w:rFonts w:ascii="Verdana" w:eastAsia="Calibri" w:hAnsi="Verdana" w:cs="Verdana Bold"/>
          <w:bCs/>
          <w:sz w:val="20"/>
        </w:rPr>
        <w:t>“sugerencia” del representante</w:t>
      </w:r>
      <w:r w:rsidR="009B5CBD" w:rsidRPr="00D66B27">
        <w:rPr>
          <w:rFonts w:ascii="Verdana" w:eastAsia="Calibri" w:hAnsi="Verdana" w:cs="Verdana Bold"/>
          <w:bCs/>
          <w:sz w:val="20"/>
        </w:rPr>
        <w:t>,</w:t>
      </w:r>
      <w:r w:rsidR="00891A58" w:rsidRPr="00D66B27">
        <w:rPr>
          <w:rFonts w:ascii="Verdana" w:eastAsia="Calibri" w:hAnsi="Verdana" w:cs="Verdana Bold"/>
          <w:bCs/>
          <w:sz w:val="20"/>
        </w:rPr>
        <w:t xml:space="preserve"> </w:t>
      </w:r>
      <w:r w:rsidR="009B5CBD" w:rsidRPr="00D66B27">
        <w:rPr>
          <w:rFonts w:ascii="Verdana" w:hAnsi="Verdana"/>
          <w:sz w:val="20"/>
          <w:szCs w:val="20"/>
        </w:rPr>
        <w:t xml:space="preserve">reiterada en sus alegatos finales, </w:t>
      </w:r>
      <w:r w:rsidR="00891A58" w:rsidRPr="00D66B27">
        <w:rPr>
          <w:rFonts w:ascii="Verdana" w:eastAsia="Calibri" w:hAnsi="Verdana" w:cs="Verdana Bold"/>
          <w:bCs/>
          <w:sz w:val="20"/>
        </w:rPr>
        <w:t>para que este Tribunal</w:t>
      </w:r>
      <w:r w:rsidR="00891A58" w:rsidRPr="00D66B27">
        <w:rPr>
          <w:rFonts w:ascii="Verdana" w:hAnsi="Verdana"/>
          <w:sz w:val="20"/>
          <w:szCs w:val="20"/>
        </w:rPr>
        <w:t xml:space="preserve"> </w:t>
      </w:r>
      <w:r w:rsidR="009B5CBD" w:rsidRPr="00D66B27">
        <w:rPr>
          <w:rFonts w:ascii="Verdana" w:hAnsi="Verdana"/>
          <w:sz w:val="20"/>
          <w:szCs w:val="20"/>
        </w:rPr>
        <w:t>propusiere</w:t>
      </w:r>
      <w:r w:rsidR="00891A58" w:rsidRPr="00D66B27">
        <w:rPr>
          <w:rFonts w:ascii="Verdana" w:hAnsi="Verdana"/>
          <w:sz w:val="20"/>
          <w:szCs w:val="20"/>
        </w:rPr>
        <w:t xml:space="preserve"> a las partes un acuerdo de solución amistosa, </w:t>
      </w:r>
      <w:r w:rsidR="00290EBF" w:rsidRPr="00D66B27">
        <w:rPr>
          <w:rFonts w:ascii="Verdana" w:hAnsi="Verdana"/>
          <w:sz w:val="20"/>
          <w:szCs w:val="20"/>
        </w:rPr>
        <w:t xml:space="preserve">se recuerda que, </w:t>
      </w:r>
      <w:r w:rsidR="00A01A74" w:rsidRPr="00D66B27">
        <w:rPr>
          <w:rFonts w:ascii="Verdana" w:hAnsi="Verdana"/>
          <w:sz w:val="20"/>
          <w:szCs w:val="20"/>
        </w:rPr>
        <w:t xml:space="preserve">de </w:t>
      </w:r>
      <w:r w:rsidR="00290EBF" w:rsidRPr="00D66B27">
        <w:rPr>
          <w:rFonts w:ascii="Verdana" w:eastAsia="Calibri" w:hAnsi="Verdana" w:cs="Verdana Bold"/>
          <w:bCs/>
          <w:sz w:val="20"/>
          <w:szCs w:val="20"/>
        </w:rPr>
        <w:t xml:space="preserve">conformidad con el </w:t>
      </w:r>
      <w:r w:rsidR="00290EBF" w:rsidRPr="00D66B27">
        <w:rPr>
          <w:rFonts w:ascii="Verdana" w:hAnsi="Verdana"/>
          <w:sz w:val="20"/>
          <w:szCs w:val="20"/>
        </w:rPr>
        <w:t xml:space="preserve">artículo 63 </w:t>
      </w:r>
      <w:r w:rsidR="00290EBF" w:rsidRPr="00D66B27">
        <w:rPr>
          <w:rFonts w:ascii="Verdana" w:eastAsia="Calibri" w:hAnsi="Verdana" w:cs="Verdana Bold"/>
          <w:bCs/>
          <w:sz w:val="20"/>
          <w:szCs w:val="20"/>
        </w:rPr>
        <w:t>del Reglamento</w:t>
      </w:r>
      <w:r w:rsidR="002E6AB1" w:rsidRPr="00D66B27">
        <w:rPr>
          <w:rStyle w:val="Refdenotaalpie"/>
          <w:rFonts w:ascii="Verdana" w:hAnsi="Verdana"/>
          <w:sz w:val="20"/>
          <w:szCs w:val="20"/>
        </w:rPr>
        <w:footnoteReference w:id="28"/>
      </w:r>
      <w:r w:rsidR="00290EBF" w:rsidRPr="00D66B27">
        <w:rPr>
          <w:rFonts w:ascii="Verdana" w:eastAsia="Calibri" w:hAnsi="Verdana" w:cs="Verdana Bold"/>
          <w:bCs/>
          <w:sz w:val="20"/>
          <w:szCs w:val="20"/>
        </w:rPr>
        <w:t xml:space="preserve">, </w:t>
      </w:r>
      <w:r w:rsidR="00290EBF" w:rsidRPr="00D66B27">
        <w:rPr>
          <w:rFonts w:ascii="Verdana" w:hAnsi="Verdana"/>
          <w:sz w:val="20"/>
          <w:szCs w:val="20"/>
        </w:rPr>
        <w:t>es posible que durante el trámite de un caso ante este Tribunal las partes lleguen a acuerdos de solución amistosa, en cuyo caso deberán comunicarlo así a efectos de</w:t>
      </w:r>
      <w:r w:rsidR="009200B7" w:rsidRPr="00D66B27">
        <w:rPr>
          <w:rFonts w:ascii="Verdana" w:hAnsi="Verdana"/>
          <w:sz w:val="20"/>
          <w:szCs w:val="20"/>
        </w:rPr>
        <w:t xml:space="preserve"> que </w:t>
      </w:r>
      <w:r w:rsidR="009B5CBD" w:rsidRPr="00D66B27">
        <w:rPr>
          <w:rFonts w:ascii="Verdana" w:hAnsi="Verdana"/>
          <w:sz w:val="20"/>
          <w:szCs w:val="20"/>
        </w:rPr>
        <w:t>éste</w:t>
      </w:r>
      <w:r w:rsidR="009200B7" w:rsidRPr="00D66B27">
        <w:rPr>
          <w:rFonts w:ascii="Verdana" w:hAnsi="Verdana"/>
          <w:sz w:val="20"/>
          <w:szCs w:val="20"/>
        </w:rPr>
        <w:t xml:space="preserve"> pueda</w:t>
      </w:r>
      <w:r w:rsidR="00290EBF" w:rsidRPr="00D66B27">
        <w:rPr>
          <w:rFonts w:ascii="Verdana" w:hAnsi="Verdana"/>
          <w:sz w:val="20"/>
          <w:szCs w:val="20"/>
        </w:rPr>
        <w:t xml:space="preserve"> evaluar </w:t>
      </w:r>
      <w:r w:rsidR="009200B7" w:rsidRPr="00D66B27">
        <w:rPr>
          <w:rFonts w:ascii="Verdana" w:hAnsi="Verdana"/>
          <w:sz w:val="20"/>
          <w:szCs w:val="20"/>
        </w:rPr>
        <w:t>su</w:t>
      </w:r>
      <w:r w:rsidR="00290EBF" w:rsidRPr="00D66B27">
        <w:rPr>
          <w:rFonts w:ascii="Verdana" w:hAnsi="Verdana"/>
          <w:sz w:val="20"/>
          <w:szCs w:val="20"/>
        </w:rPr>
        <w:t xml:space="preserve"> procedencia </w:t>
      </w:r>
      <w:r w:rsidR="00290EBF" w:rsidRPr="00D66B27">
        <w:rPr>
          <w:rFonts w:ascii="Verdana" w:eastAsia="Calibri" w:hAnsi="Verdana" w:cs="Verdana Bold"/>
          <w:bCs/>
          <w:sz w:val="20"/>
          <w:szCs w:val="20"/>
        </w:rPr>
        <w:t>y efectos jurídicos</w:t>
      </w:r>
      <w:r w:rsidR="00290EBF" w:rsidRPr="00D66B27">
        <w:rPr>
          <w:rStyle w:val="Refdenotaalpie"/>
          <w:rFonts w:ascii="Verdana" w:hAnsi="Verdana"/>
          <w:sz w:val="20"/>
          <w:szCs w:val="20"/>
        </w:rPr>
        <w:footnoteReference w:id="29"/>
      </w:r>
      <w:r w:rsidR="009200B7" w:rsidRPr="00D66B27">
        <w:rPr>
          <w:rFonts w:ascii="Verdana" w:hAnsi="Verdana"/>
          <w:sz w:val="20"/>
          <w:szCs w:val="20"/>
        </w:rPr>
        <w:t xml:space="preserve">. Sin embargo, al momento de dictar la presente Sentencia, las partes no han comunicado </w:t>
      </w:r>
      <w:r w:rsidR="00AA5CCF" w:rsidRPr="00D66B27">
        <w:rPr>
          <w:rFonts w:ascii="Verdana" w:hAnsi="Verdana"/>
          <w:sz w:val="20"/>
          <w:szCs w:val="20"/>
        </w:rPr>
        <w:t xml:space="preserve">acuerdo </w:t>
      </w:r>
      <w:r w:rsidR="003E2575" w:rsidRPr="00D66B27">
        <w:rPr>
          <w:rFonts w:ascii="Verdana" w:hAnsi="Verdana"/>
          <w:sz w:val="20"/>
          <w:szCs w:val="20"/>
        </w:rPr>
        <w:t xml:space="preserve">alguno </w:t>
      </w:r>
      <w:r w:rsidR="00AA5CCF" w:rsidRPr="00D66B27">
        <w:rPr>
          <w:rFonts w:ascii="Verdana" w:hAnsi="Verdana"/>
          <w:sz w:val="20"/>
          <w:szCs w:val="20"/>
        </w:rPr>
        <w:t>en ese sentido.</w:t>
      </w:r>
    </w:p>
    <w:p w14:paraId="4002CFD9" w14:textId="77777777" w:rsidR="00290EBF" w:rsidRPr="00D66B27" w:rsidRDefault="00290EBF" w:rsidP="00B373BA">
      <w:pPr>
        <w:pStyle w:val="Prrafodelista"/>
        <w:spacing w:after="0" w:line="240" w:lineRule="auto"/>
        <w:ind w:left="0"/>
        <w:jc w:val="both"/>
        <w:rPr>
          <w:rFonts w:ascii="Verdana" w:hAnsi="Verdana"/>
          <w:sz w:val="20"/>
          <w:szCs w:val="20"/>
        </w:rPr>
      </w:pPr>
    </w:p>
    <w:p w14:paraId="46EC95DE" w14:textId="38F80B28" w:rsidR="00B373BA" w:rsidRPr="00D66B27" w:rsidRDefault="0000029C" w:rsidP="001D6943">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 xml:space="preserve">Por último, </w:t>
      </w:r>
      <w:r w:rsidR="00EB73CC" w:rsidRPr="00D66B27">
        <w:rPr>
          <w:rFonts w:ascii="Verdana" w:hAnsi="Verdana"/>
          <w:sz w:val="20"/>
          <w:szCs w:val="20"/>
        </w:rPr>
        <w:t xml:space="preserve">es claro que, en consecuencia con su allanamiento, el Estado ha reconocido su obligación de reparar a las </w:t>
      </w:r>
      <w:r w:rsidR="008A3969" w:rsidRPr="00D66B27">
        <w:rPr>
          <w:rFonts w:ascii="Verdana" w:hAnsi="Verdana"/>
          <w:sz w:val="20"/>
          <w:szCs w:val="20"/>
        </w:rPr>
        <w:t>víctimas del presente caso</w:t>
      </w:r>
      <w:r w:rsidR="00C219DF" w:rsidRPr="00D66B27">
        <w:rPr>
          <w:rFonts w:ascii="Verdana" w:hAnsi="Verdana"/>
          <w:sz w:val="20"/>
          <w:szCs w:val="20"/>
        </w:rPr>
        <w:t>. No obstante</w:t>
      </w:r>
      <w:r w:rsidR="00EB73CC" w:rsidRPr="00D66B27">
        <w:rPr>
          <w:rFonts w:ascii="Verdana" w:hAnsi="Verdana"/>
          <w:sz w:val="20"/>
          <w:szCs w:val="20"/>
        </w:rPr>
        <w:t xml:space="preserve">, la Corte </w:t>
      </w:r>
      <w:r w:rsidR="00C54B32" w:rsidRPr="00D66B27">
        <w:rPr>
          <w:rFonts w:ascii="Verdana" w:hAnsi="Verdana"/>
          <w:sz w:val="20"/>
          <w:szCs w:val="20"/>
        </w:rPr>
        <w:t>constata</w:t>
      </w:r>
      <w:r w:rsidR="00EB73CC" w:rsidRPr="00D66B27">
        <w:rPr>
          <w:rFonts w:ascii="Verdana" w:hAnsi="Verdana"/>
          <w:sz w:val="20"/>
          <w:szCs w:val="20"/>
        </w:rPr>
        <w:t xml:space="preserve"> que se mantiene la controversia acerca de las </w:t>
      </w:r>
      <w:r w:rsidR="00021713" w:rsidRPr="00D66B27">
        <w:rPr>
          <w:rFonts w:ascii="Verdana" w:hAnsi="Verdana"/>
          <w:sz w:val="20"/>
          <w:szCs w:val="20"/>
        </w:rPr>
        <w:t>medidas de reparación</w:t>
      </w:r>
      <w:r w:rsidR="00EB73CC" w:rsidRPr="00D66B27">
        <w:rPr>
          <w:rFonts w:ascii="Verdana" w:hAnsi="Verdana"/>
          <w:sz w:val="20"/>
          <w:szCs w:val="20"/>
        </w:rPr>
        <w:t xml:space="preserve"> adecuadas para tales efectos</w:t>
      </w:r>
      <w:r w:rsidR="006C3381" w:rsidRPr="00D66B27">
        <w:rPr>
          <w:rFonts w:ascii="Verdana" w:hAnsi="Verdana"/>
          <w:sz w:val="20"/>
          <w:szCs w:val="20"/>
        </w:rPr>
        <w:t>, por lo cual se hace</w:t>
      </w:r>
      <w:r w:rsidR="00C219DF" w:rsidRPr="00D66B27">
        <w:rPr>
          <w:rFonts w:ascii="Verdana" w:hAnsi="Verdana"/>
          <w:sz w:val="20"/>
          <w:szCs w:val="20"/>
        </w:rPr>
        <w:t xml:space="preserve"> necesario abrir un capítulo </w:t>
      </w:r>
      <w:r w:rsidR="006C3381" w:rsidRPr="00D66B27">
        <w:rPr>
          <w:rFonts w:ascii="Verdana" w:hAnsi="Verdana"/>
          <w:sz w:val="20"/>
          <w:szCs w:val="20"/>
        </w:rPr>
        <w:t>al respecto</w:t>
      </w:r>
      <w:r w:rsidR="009D4CC9" w:rsidRPr="00D66B27">
        <w:rPr>
          <w:rFonts w:ascii="Verdana" w:hAnsi="Verdana"/>
          <w:sz w:val="20"/>
          <w:szCs w:val="20"/>
        </w:rPr>
        <w:t>.</w:t>
      </w:r>
    </w:p>
    <w:p w14:paraId="7D3E3DE9" w14:textId="77777777" w:rsidR="00B754E6" w:rsidRPr="00D66B27" w:rsidRDefault="00B754E6" w:rsidP="0000029C">
      <w:pPr>
        <w:pStyle w:val="Prrafodelista"/>
        <w:spacing w:after="0" w:line="240" w:lineRule="auto"/>
        <w:ind w:left="0"/>
        <w:jc w:val="both"/>
        <w:rPr>
          <w:rFonts w:ascii="Verdana" w:hAnsi="Verdana"/>
          <w:sz w:val="20"/>
          <w:szCs w:val="20"/>
        </w:rPr>
      </w:pPr>
    </w:p>
    <w:p w14:paraId="0EA289F0" w14:textId="155FC1E7" w:rsidR="0000029C" w:rsidRPr="00D66B27" w:rsidRDefault="0000029C" w:rsidP="0000029C">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En aras de asegurar una mejor comprensión de la responsabilidad internacional estatal en el presente caso,</w:t>
      </w:r>
      <w:r w:rsidR="00FA7563" w:rsidRPr="00D66B27">
        <w:rPr>
          <w:rFonts w:ascii="Verdana" w:hAnsi="Verdana"/>
          <w:sz w:val="20"/>
          <w:szCs w:val="20"/>
        </w:rPr>
        <w:t xml:space="preserve"> en los siguientes capítulos</w:t>
      </w:r>
      <w:r w:rsidRPr="00D66B27">
        <w:rPr>
          <w:rFonts w:ascii="Verdana" w:hAnsi="Verdana"/>
          <w:sz w:val="20"/>
          <w:szCs w:val="20"/>
        </w:rPr>
        <w:t xml:space="preserve"> la Corte estima pertinente</w:t>
      </w:r>
      <w:r w:rsidR="00FA7563" w:rsidRPr="00D66B27">
        <w:rPr>
          <w:rFonts w:ascii="Verdana" w:hAnsi="Verdana"/>
          <w:sz w:val="20"/>
          <w:szCs w:val="20"/>
        </w:rPr>
        <w:t>:</w:t>
      </w:r>
      <w:r w:rsidRPr="00D66B27">
        <w:rPr>
          <w:rFonts w:ascii="Verdana" w:hAnsi="Verdana"/>
          <w:sz w:val="20"/>
          <w:szCs w:val="20"/>
        </w:rPr>
        <w:t xml:space="preserve"> </w:t>
      </w:r>
      <w:r w:rsidR="00FA7563" w:rsidRPr="00D66B27">
        <w:rPr>
          <w:rFonts w:ascii="Verdana" w:hAnsi="Verdana"/>
          <w:sz w:val="20"/>
          <w:szCs w:val="20"/>
        </w:rPr>
        <w:t>retomar los hechos contenidos en el Informe</w:t>
      </w:r>
      <w:r w:rsidR="008854CD">
        <w:rPr>
          <w:rFonts w:ascii="Verdana" w:hAnsi="Verdana"/>
          <w:sz w:val="20"/>
          <w:szCs w:val="20"/>
        </w:rPr>
        <w:t xml:space="preserve"> de Fondo</w:t>
      </w:r>
      <w:r w:rsidR="00FA7563" w:rsidRPr="00D66B27">
        <w:rPr>
          <w:rFonts w:ascii="Verdana" w:hAnsi="Verdana"/>
          <w:sz w:val="20"/>
          <w:szCs w:val="20"/>
        </w:rPr>
        <w:t xml:space="preserve">, aceptados en su totalidad por el Estado; </w:t>
      </w:r>
      <w:r w:rsidRPr="00D66B27">
        <w:rPr>
          <w:rFonts w:ascii="Verdana" w:hAnsi="Verdana"/>
          <w:sz w:val="20"/>
          <w:szCs w:val="20"/>
        </w:rPr>
        <w:t>realizar algunas precisiones sobre las violaciones a los derechos humanos reconocidas por el Estado</w:t>
      </w:r>
      <w:r w:rsidR="00FA7563" w:rsidRPr="00D66B27">
        <w:rPr>
          <w:rFonts w:ascii="Verdana" w:hAnsi="Verdana"/>
          <w:sz w:val="20"/>
          <w:szCs w:val="20"/>
        </w:rPr>
        <w:t>; y,</w:t>
      </w:r>
      <w:r w:rsidRPr="00D66B27">
        <w:rPr>
          <w:rFonts w:ascii="Verdana" w:hAnsi="Verdana"/>
          <w:sz w:val="20"/>
          <w:szCs w:val="20"/>
        </w:rPr>
        <w:t xml:space="preserve"> luego</w:t>
      </w:r>
      <w:r w:rsidR="00FA7563" w:rsidRPr="00D66B27">
        <w:rPr>
          <w:rFonts w:ascii="Verdana" w:hAnsi="Verdana"/>
          <w:sz w:val="20"/>
          <w:szCs w:val="20"/>
        </w:rPr>
        <w:t>,</w:t>
      </w:r>
      <w:r w:rsidRPr="00D66B27">
        <w:rPr>
          <w:rFonts w:ascii="Verdana" w:hAnsi="Verdana"/>
          <w:sz w:val="20"/>
          <w:szCs w:val="20"/>
        </w:rPr>
        <w:t xml:space="preserve"> resolver la controversia subsistente en torno a las reparaciones.</w:t>
      </w:r>
    </w:p>
    <w:p w14:paraId="588A87BE" w14:textId="77777777" w:rsidR="00567DD8" w:rsidRDefault="00567DD8" w:rsidP="005274DA">
      <w:pPr>
        <w:spacing w:after="0" w:line="240" w:lineRule="auto"/>
        <w:jc w:val="both"/>
        <w:rPr>
          <w:rFonts w:ascii="Verdana" w:hAnsi="Verdana"/>
          <w:sz w:val="20"/>
          <w:szCs w:val="20"/>
        </w:rPr>
      </w:pPr>
    </w:p>
    <w:p w14:paraId="350252AA" w14:textId="77777777" w:rsidR="00B51160" w:rsidRPr="00D66B27" w:rsidRDefault="00B51160" w:rsidP="005274DA">
      <w:pPr>
        <w:spacing w:after="0" w:line="240" w:lineRule="auto"/>
        <w:jc w:val="both"/>
        <w:rPr>
          <w:rFonts w:ascii="Verdana" w:hAnsi="Verdana"/>
          <w:sz w:val="20"/>
          <w:szCs w:val="20"/>
        </w:rPr>
      </w:pPr>
    </w:p>
    <w:p w14:paraId="6A443D48" w14:textId="63196AE6" w:rsidR="005274DA" w:rsidRPr="00D66B27" w:rsidRDefault="005274DA" w:rsidP="005274DA">
      <w:pPr>
        <w:pStyle w:val="Ttulo1"/>
        <w:spacing w:before="0" w:after="0"/>
        <w:rPr>
          <w:caps w:val="0"/>
        </w:rPr>
      </w:pPr>
      <w:bookmarkStart w:id="9" w:name="_Toc528084360"/>
      <w:r w:rsidRPr="00D66B27">
        <w:t>V</w:t>
      </w:r>
      <w:r w:rsidRPr="00D66B27">
        <w:br/>
        <w:t>HECHOS</w:t>
      </w:r>
      <w:bookmarkEnd w:id="9"/>
    </w:p>
    <w:p w14:paraId="56EFE75E" w14:textId="77777777" w:rsidR="005274DA" w:rsidRPr="00D66B27" w:rsidRDefault="005274DA" w:rsidP="005274DA">
      <w:pPr>
        <w:spacing w:after="0" w:line="240" w:lineRule="auto"/>
        <w:jc w:val="both"/>
        <w:rPr>
          <w:rFonts w:ascii="Verdana" w:hAnsi="Verdana"/>
          <w:sz w:val="20"/>
          <w:szCs w:val="20"/>
        </w:rPr>
      </w:pPr>
    </w:p>
    <w:p w14:paraId="2D53FEDF" w14:textId="77777777" w:rsidR="007414FE" w:rsidRPr="00D66B27" w:rsidRDefault="007414FE" w:rsidP="007414FE">
      <w:pPr>
        <w:pStyle w:val="Prrafodelista"/>
        <w:spacing w:after="0" w:line="240" w:lineRule="auto"/>
        <w:ind w:left="0" w:firstLine="708"/>
        <w:jc w:val="both"/>
        <w:rPr>
          <w:rFonts w:ascii="Verdana" w:hAnsi="Verdana"/>
          <w:b/>
          <w:i/>
          <w:sz w:val="20"/>
          <w:szCs w:val="20"/>
        </w:rPr>
      </w:pPr>
      <w:bookmarkStart w:id="10" w:name="_Toc413397471"/>
      <w:r w:rsidRPr="00D66B27">
        <w:rPr>
          <w:rFonts w:ascii="Verdana" w:hAnsi="Verdana"/>
          <w:b/>
          <w:i/>
          <w:sz w:val="20"/>
          <w:szCs w:val="20"/>
        </w:rPr>
        <w:t>A.1</w:t>
      </w:r>
      <w:r w:rsidRPr="00D66B27">
        <w:rPr>
          <w:rFonts w:ascii="Verdana" w:hAnsi="Verdana"/>
          <w:b/>
          <w:i/>
          <w:sz w:val="20"/>
          <w:szCs w:val="20"/>
        </w:rPr>
        <w:tab/>
        <w:t>Régimen de reparaciones del Estado chileno</w:t>
      </w:r>
      <w:bookmarkEnd w:id="10"/>
    </w:p>
    <w:p w14:paraId="0A65737A" w14:textId="77777777" w:rsidR="007414FE" w:rsidRPr="00D66B27" w:rsidRDefault="007414FE" w:rsidP="007414FE">
      <w:pPr>
        <w:pStyle w:val="Prrafodelista"/>
        <w:spacing w:after="0" w:line="240" w:lineRule="auto"/>
        <w:ind w:left="0"/>
        <w:jc w:val="both"/>
        <w:rPr>
          <w:rFonts w:ascii="Verdana" w:hAnsi="Verdana"/>
          <w:sz w:val="20"/>
          <w:szCs w:val="20"/>
        </w:rPr>
      </w:pPr>
    </w:p>
    <w:p w14:paraId="710BC737" w14:textId="77777777"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cs="Garamond"/>
          <w:sz w:val="20"/>
          <w:szCs w:val="20"/>
        </w:rPr>
      </w:pPr>
      <w:r w:rsidRPr="00D66B27">
        <w:rPr>
          <w:rFonts w:ascii="Verdana" w:eastAsia="Times New Roman" w:hAnsi="Verdana" w:cs="Garamond"/>
          <w:sz w:val="20"/>
          <w:szCs w:val="20"/>
        </w:rPr>
        <w:t xml:space="preserve">Luego de </w:t>
      </w:r>
      <w:r w:rsidRPr="00D66B27">
        <w:rPr>
          <w:rFonts w:ascii="Verdana" w:hAnsi="Verdana"/>
          <w:sz w:val="20"/>
          <w:szCs w:val="20"/>
        </w:rPr>
        <w:t>finalizada</w:t>
      </w:r>
      <w:r w:rsidRPr="00D66B27">
        <w:rPr>
          <w:rFonts w:ascii="Verdana" w:eastAsia="Times New Roman" w:hAnsi="Verdana" w:cs="Garamond"/>
          <w:sz w:val="20"/>
          <w:szCs w:val="20"/>
        </w:rPr>
        <w:t xml:space="preserve"> la dictadura militar, el 25 de abril de 1990 el entonces Presidente Patricio Aylwin Azocar dictó el </w:t>
      </w:r>
      <w:r w:rsidRPr="00D66B27">
        <w:rPr>
          <w:rFonts w:ascii="Verdana" w:hAnsi="Verdana"/>
          <w:sz w:val="20"/>
          <w:szCs w:val="20"/>
        </w:rPr>
        <w:t>Decreto</w:t>
      </w:r>
      <w:r w:rsidRPr="00D66B27">
        <w:rPr>
          <w:rFonts w:ascii="Verdana" w:eastAsia="Times New Roman" w:hAnsi="Verdana" w:cs="Garamond"/>
          <w:sz w:val="20"/>
          <w:szCs w:val="20"/>
        </w:rPr>
        <w:t xml:space="preserve"> Supremo (D.S.) No. 355 que creó la Comisión Rettig con base en que “la conciencia moral de la Nación requiere el esclarecimiento de la verdad sobre las graves violaciones a los derechos humanos cometidas en el país entre el 11 de septiembre de 1973 y el 11 de marzo de 1990”. Las finalidades de dicha Comisión eran: “a) Establecer un cuadro lo más completo posible sobre los graves hechos referidos, sus antecedentes y circunstancias; b) Reunir antecedentes que permitan individualizar a sus víctimas y establecer su suerte o paradero; c) Recomendar medidas de reparación y reivindicación que crea de justicia; y d) Recomendar las medidas legales y administrativas que a su juicio deben adoptarse para impedir o prevenir la comisión de los hechos a que este artículo se refiere”</w:t>
      </w:r>
      <w:r w:rsidRPr="00D66B27">
        <w:rPr>
          <w:rFonts w:ascii="Verdana" w:eastAsia="Times New Roman" w:hAnsi="Verdana"/>
          <w:sz w:val="20"/>
          <w:szCs w:val="20"/>
          <w:vertAlign w:val="superscript"/>
        </w:rPr>
        <w:footnoteReference w:id="30"/>
      </w:r>
      <w:r w:rsidRPr="00D66B27">
        <w:rPr>
          <w:rFonts w:ascii="Verdana" w:eastAsia="Times New Roman" w:hAnsi="Verdana" w:cs="Garamond"/>
          <w:sz w:val="20"/>
          <w:szCs w:val="20"/>
        </w:rPr>
        <w:t>.</w:t>
      </w:r>
    </w:p>
    <w:p w14:paraId="6BE67626"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034F82AC" w14:textId="3A707D1D"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cs="Garamond"/>
          <w:sz w:val="20"/>
          <w:szCs w:val="20"/>
        </w:rPr>
      </w:pPr>
      <w:r w:rsidRPr="00D66B27">
        <w:rPr>
          <w:rFonts w:ascii="Verdana" w:eastAsia="Times New Roman" w:hAnsi="Verdana" w:cs="Garamond"/>
          <w:sz w:val="20"/>
          <w:szCs w:val="20"/>
        </w:rPr>
        <w:t>En el D.S. No. 355 se entendió por grave violaciones “las situaciones de detenidos desaparecidos, ejecutados y torturados con resultado de muerte, en que aparezca comprometida la responsabilidad moral del Estado por actos de sus agentes o de personas a su servicio, como asimismo los secuestros y los atentados contra la vida de personas cometidos por particulares bajo pretextos políticos”.</w:t>
      </w:r>
    </w:p>
    <w:p w14:paraId="1C54C57F"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7B2957C7" w14:textId="7B373C43"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cs="Garamond"/>
          <w:sz w:val="20"/>
          <w:szCs w:val="20"/>
        </w:rPr>
      </w:pPr>
      <w:r w:rsidRPr="00D66B27">
        <w:rPr>
          <w:rFonts w:ascii="Verdana" w:eastAsia="Times New Roman" w:hAnsi="Verdana" w:cs="Garamond"/>
          <w:sz w:val="20"/>
          <w:szCs w:val="20"/>
        </w:rPr>
        <w:t>Concluida su misión, la Comisión Rettig emitió su informe aprobado por unanimidad; el cual fue entregado al Presidente Aylwin el 8 de febrero de 1991; quien a su vez lo dio a conocer el 4 de marzo de 1991 y ofreció perdón a las víctimas de tales violac</w:t>
      </w:r>
      <w:r w:rsidR="008854CD">
        <w:rPr>
          <w:rFonts w:ascii="Verdana" w:eastAsia="Times New Roman" w:hAnsi="Verdana" w:cs="Garamond"/>
          <w:sz w:val="20"/>
          <w:szCs w:val="20"/>
        </w:rPr>
        <w:t xml:space="preserve">iones. </w:t>
      </w:r>
      <w:r w:rsidRPr="00D66B27">
        <w:rPr>
          <w:rFonts w:ascii="Verdana" w:eastAsia="Times New Roman" w:hAnsi="Verdana" w:cs="Garamond"/>
          <w:sz w:val="20"/>
          <w:szCs w:val="20"/>
        </w:rPr>
        <w:t>Al respecto, el Presidente expresó</w:t>
      </w:r>
      <w:r w:rsidR="0074414B" w:rsidRPr="00D66B27">
        <w:rPr>
          <w:rFonts w:ascii="Verdana" w:eastAsia="Times New Roman" w:hAnsi="Verdana" w:cs="Garamond"/>
          <w:sz w:val="20"/>
          <w:szCs w:val="20"/>
        </w:rPr>
        <w:t>:</w:t>
      </w:r>
    </w:p>
    <w:p w14:paraId="7C195870" w14:textId="77777777" w:rsidR="007414FE" w:rsidRPr="00D66B27" w:rsidRDefault="007414FE" w:rsidP="00D2166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ight="720"/>
        <w:jc w:val="both"/>
        <w:rPr>
          <w:rFonts w:ascii="Verdana" w:hAnsi="Verdana"/>
          <w:color w:val="auto"/>
          <w:sz w:val="20"/>
          <w:szCs w:val="20"/>
          <w:lang w:val="es-CR"/>
        </w:rPr>
      </w:pPr>
    </w:p>
    <w:p w14:paraId="7362B74C" w14:textId="77777777" w:rsidR="007414FE" w:rsidRPr="00D66B27" w:rsidRDefault="007414FE" w:rsidP="0074414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708"/>
        <w:jc w:val="both"/>
        <w:rPr>
          <w:rFonts w:ascii="Verdana" w:hAnsi="Verdana"/>
          <w:color w:val="auto"/>
          <w:sz w:val="18"/>
          <w:szCs w:val="20"/>
          <w:lang w:val="es-CR"/>
        </w:rPr>
      </w:pPr>
      <w:r w:rsidRPr="00D66B27">
        <w:rPr>
          <w:rFonts w:ascii="Verdana" w:hAnsi="Verdana"/>
          <w:color w:val="auto"/>
          <w:sz w:val="18"/>
          <w:szCs w:val="20"/>
          <w:lang w:val="es-CR"/>
        </w:rPr>
        <w:t>Como Presidente de República, me atrevo a asumir la representación de la nación entera para, en su nombre, pedir perdón a los familiares de las víctimas [...] [reivindicando] pública y solemnemente la dignidad personal de las víctimas, en cuanto hayan sido denigradas por acusaciones de delitos que nunca les fueron probados y de los cuales nunca tuvieron oportunidad ni medios adecuados para defenderse</w:t>
      </w:r>
      <w:r w:rsidRPr="00D66B27">
        <w:rPr>
          <w:rFonts w:ascii="Verdana" w:eastAsia="Times New Roman" w:hAnsi="Verdana"/>
          <w:color w:val="auto"/>
          <w:sz w:val="18"/>
          <w:szCs w:val="20"/>
          <w:bdr w:val="none" w:sz="0" w:space="0" w:color="auto"/>
          <w:vertAlign w:val="superscript"/>
          <w:lang w:val="es-CR"/>
        </w:rPr>
        <w:footnoteReference w:id="31"/>
      </w:r>
      <w:r w:rsidRPr="00D66B27">
        <w:rPr>
          <w:rFonts w:ascii="Verdana" w:hAnsi="Verdana"/>
          <w:color w:val="auto"/>
          <w:sz w:val="18"/>
          <w:szCs w:val="20"/>
          <w:lang w:val="es-CR"/>
        </w:rPr>
        <w:t>.</w:t>
      </w:r>
    </w:p>
    <w:p w14:paraId="2D1ECD21" w14:textId="77777777" w:rsidR="007414FE" w:rsidRPr="00D66B27" w:rsidRDefault="007414FE" w:rsidP="00D2166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ight="720"/>
        <w:jc w:val="both"/>
        <w:rPr>
          <w:rFonts w:ascii="Verdana" w:eastAsia="Times New Roman" w:hAnsi="Verdana"/>
          <w:color w:val="auto"/>
          <w:sz w:val="20"/>
          <w:szCs w:val="20"/>
          <w:bdr w:val="none" w:sz="0" w:space="0" w:color="auto"/>
          <w:lang w:val="es-CR"/>
        </w:rPr>
      </w:pPr>
    </w:p>
    <w:p w14:paraId="11B041D5" w14:textId="1045F737"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cs="Garamond"/>
          <w:sz w:val="20"/>
          <w:szCs w:val="20"/>
        </w:rPr>
      </w:pPr>
      <w:r w:rsidRPr="00D66B27">
        <w:rPr>
          <w:rFonts w:ascii="Verdana" w:eastAsia="Times New Roman" w:hAnsi="Verdana" w:cs="Garamond"/>
          <w:sz w:val="20"/>
          <w:szCs w:val="20"/>
        </w:rPr>
        <w:t>La Comisión Rettig propuso sugerencias de reivindicación y reparación simbólica; de carácter legal y administrativo; y relativas al bienestar social</w:t>
      </w:r>
      <w:r w:rsidRPr="00D66B27">
        <w:rPr>
          <w:rFonts w:ascii="Verdana" w:eastAsia="Times New Roman" w:hAnsi="Verdana" w:cs="Garamond"/>
          <w:sz w:val="20"/>
          <w:szCs w:val="20"/>
          <w:vertAlign w:val="superscript"/>
        </w:rPr>
        <w:footnoteReference w:id="32"/>
      </w:r>
      <w:r w:rsidRPr="00D66B27">
        <w:rPr>
          <w:rFonts w:ascii="Verdana" w:eastAsia="Times New Roman" w:hAnsi="Verdana" w:cs="Garamond"/>
          <w:sz w:val="20"/>
          <w:szCs w:val="20"/>
        </w:rPr>
        <w:t>. El 8 de febrero de 1992, mediante la Ley No. 19.123, se creó la</w:t>
      </w:r>
      <w:r w:rsidR="00FE2511">
        <w:rPr>
          <w:rFonts w:ascii="Verdana" w:eastAsia="Times New Roman" w:hAnsi="Verdana" w:cs="Garamond"/>
          <w:sz w:val="20"/>
          <w:szCs w:val="20"/>
        </w:rPr>
        <w:t xml:space="preserve"> </w:t>
      </w:r>
      <w:r w:rsidR="00052650">
        <w:rPr>
          <w:rFonts w:ascii="Verdana" w:eastAsia="Times New Roman" w:hAnsi="Verdana" w:cs="Garamond"/>
          <w:sz w:val="20"/>
          <w:szCs w:val="20"/>
        </w:rPr>
        <w:t>Corporación Nacional de Reparación y Reconciliación (</w:t>
      </w:r>
      <w:r w:rsidRPr="00D66B27">
        <w:rPr>
          <w:rFonts w:ascii="Verdana" w:eastAsia="Times New Roman" w:hAnsi="Verdana" w:cs="Garamond"/>
          <w:sz w:val="20"/>
          <w:szCs w:val="20"/>
        </w:rPr>
        <w:t>CNRR</w:t>
      </w:r>
      <w:r w:rsidR="00052650">
        <w:rPr>
          <w:rFonts w:ascii="Verdana" w:eastAsia="Times New Roman" w:hAnsi="Verdana" w:cs="Garamond"/>
          <w:sz w:val="20"/>
          <w:szCs w:val="20"/>
        </w:rPr>
        <w:t>)</w:t>
      </w:r>
      <w:r w:rsidR="00715AC8">
        <w:rPr>
          <w:rFonts w:ascii="Verdana" w:eastAsia="Times New Roman" w:hAnsi="Verdana" w:cs="Garamond"/>
          <w:sz w:val="20"/>
          <w:szCs w:val="20"/>
        </w:rPr>
        <w:t xml:space="preserve">, </w:t>
      </w:r>
      <w:r w:rsidRPr="00D66B27">
        <w:rPr>
          <w:rFonts w:ascii="Verdana" w:eastAsia="Times New Roman" w:hAnsi="Verdana" w:cs="Garamond"/>
          <w:sz w:val="20"/>
          <w:szCs w:val="20"/>
        </w:rPr>
        <w:t>cuyo objet</w:t>
      </w:r>
      <w:r w:rsidR="00715AC8">
        <w:rPr>
          <w:rFonts w:ascii="Verdana" w:eastAsia="Times New Roman" w:hAnsi="Verdana" w:cs="Garamond"/>
          <w:sz w:val="20"/>
          <w:szCs w:val="20"/>
        </w:rPr>
        <w:t>iv</w:t>
      </w:r>
      <w:r w:rsidRPr="00D66B27">
        <w:rPr>
          <w:rFonts w:ascii="Verdana" w:eastAsia="Times New Roman" w:hAnsi="Verdana" w:cs="Garamond"/>
          <w:sz w:val="20"/>
          <w:szCs w:val="20"/>
        </w:rPr>
        <w:t>o era “la coordinación, ejecución y promoción de las acciones necesarias para el cumplimiento de las recomendaciones contenidas en el Informe de la Comisión Nacional de Verdad y Reconciliació</w:t>
      </w:r>
      <w:r w:rsidR="00715AC8">
        <w:rPr>
          <w:rFonts w:ascii="Verdana" w:eastAsia="Times New Roman" w:hAnsi="Verdana" w:cs="Garamond"/>
          <w:sz w:val="20"/>
          <w:szCs w:val="20"/>
        </w:rPr>
        <w:t>n”. Asimismo, esta ley estableció</w:t>
      </w:r>
      <w:r w:rsidRPr="00D66B27">
        <w:rPr>
          <w:rFonts w:ascii="Verdana" w:eastAsia="Times New Roman" w:hAnsi="Verdana" w:cs="Garamond"/>
          <w:sz w:val="20"/>
          <w:szCs w:val="20"/>
        </w:rPr>
        <w:t xml:space="preserve"> que correspondía a la CNRR, entre otras funciones, promover la reparación del daño moral de las víctimas y otorgar asistencia social y legal que requieran los familiares de éstas para acceder a los beneficios contemplados en la ley</w:t>
      </w:r>
      <w:r w:rsidRPr="00D66B27">
        <w:rPr>
          <w:rFonts w:ascii="Verdana" w:eastAsia="Times New Roman" w:hAnsi="Verdana" w:cs="Garamond"/>
          <w:sz w:val="20"/>
          <w:szCs w:val="20"/>
          <w:vertAlign w:val="superscript"/>
        </w:rPr>
        <w:footnoteReference w:id="33"/>
      </w:r>
      <w:r w:rsidRPr="00D66B27">
        <w:rPr>
          <w:rFonts w:ascii="Verdana" w:eastAsia="Times New Roman" w:hAnsi="Verdana" w:cs="Garamond"/>
          <w:sz w:val="20"/>
          <w:szCs w:val="20"/>
        </w:rPr>
        <w:t xml:space="preserve">. </w:t>
      </w:r>
    </w:p>
    <w:p w14:paraId="31DA4FDD"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1F368FB4" w14:textId="77777777"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cs="Garamond"/>
          <w:sz w:val="20"/>
          <w:szCs w:val="20"/>
        </w:rPr>
      </w:pPr>
      <w:r w:rsidRPr="00D66B27">
        <w:rPr>
          <w:rFonts w:ascii="Verdana" w:eastAsia="Times New Roman" w:hAnsi="Verdana" w:cs="Garamond"/>
          <w:sz w:val="20"/>
          <w:szCs w:val="20"/>
        </w:rPr>
        <w:t>A tal efecto, se estableció una pensión mensual en beneficio de los familiares de las víctimas de violaciones a los derechos humanos o de la violencia política, se les otorgó el derecho a recibir gratuitamente ciertos beneficios médicos y beneficios educacionales, y se eximió a los hijos de las víctimas de realizar el servicio militar obligatorio, si así lo solicitaren</w:t>
      </w:r>
      <w:r w:rsidRPr="00D66B27">
        <w:rPr>
          <w:rFonts w:ascii="Verdana" w:eastAsia="Times New Roman" w:hAnsi="Verdana" w:cs="Garamond"/>
          <w:sz w:val="20"/>
          <w:szCs w:val="20"/>
          <w:vertAlign w:val="superscript"/>
        </w:rPr>
        <w:footnoteReference w:id="34"/>
      </w:r>
      <w:r w:rsidRPr="00D66B27">
        <w:rPr>
          <w:rFonts w:ascii="Verdana" w:eastAsia="Times New Roman" w:hAnsi="Verdana" w:cs="Garamond"/>
          <w:sz w:val="20"/>
          <w:szCs w:val="20"/>
        </w:rPr>
        <w:t xml:space="preserve">. Según el </w:t>
      </w:r>
      <w:r w:rsidRPr="00D66B27">
        <w:rPr>
          <w:rFonts w:ascii="Verdana" w:eastAsia="Times New Roman" w:hAnsi="Verdana" w:cs="Garamond"/>
          <w:sz w:val="20"/>
          <w:szCs w:val="20"/>
        </w:rPr>
        <w:lastRenderedPageBreak/>
        <w:t>artículo 24 de la ley, la pensión de reparación será compatible con cualquiera otra de cualquier carácter de que goce o pudiere corresponder al respectivo beneficiario.</w:t>
      </w:r>
    </w:p>
    <w:p w14:paraId="0B33ABA2"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584C2504" w14:textId="594702B1"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Por otro lado, el 11 de noviembre de 2003 el Gobierno creó la Comisión Valech, mediante D.S. No. 1.040, cuyo fin era determinar</w:t>
      </w:r>
      <w:r w:rsidRPr="00D66B27">
        <w:rPr>
          <w:rFonts w:ascii="Verdana" w:eastAsia="Times New Roman" w:hAnsi="Verdana"/>
          <w:sz w:val="20"/>
          <w:szCs w:val="20"/>
        </w:rPr>
        <w:t xml:space="preserve"> quiénes fueron las personas que sufrieron privación de libertad y tortura, por razones políticas, en el período de la dictadura militar y proponer medidas de reparación, austeras y simbólicas para las víctimas</w:t>
      </w:r>
      <w:r w:rsidRPr="00D66B27">
        <w:rPr>
          <w:rFonts w:ascii="Verdana" w:eastAsia="Times New Roman" w:hAnsi="Verdana"/>
          <w:sz w:val="20"/>
          <w:szCs w:val="20"/>
          <w:vertAlign w:val="superscript"/>
        </w:rPr>
        <w:footnoteReference w:id="35"/>
      </w:r>
      <w:r w:rsidRPr="00D66B27">
        <w:rPr>
          <w:rFonts w:ascii="Verdana" w:eastAsia="Times New Roman" w:hAnsi="Verdana"/>
          <w:sz w:val="20"/>
          <w:szCs w:val="20"/>
        </w:rPr>
        <w:t>. La Comisión Valech emitió un informe final, publicado el 29 de noviembre de 2004.</w:t>
      </w:r>
    </w:p>
    <w:p w14:paraId="7C34E902"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14DBFAC6" w14:textId="77777777"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El 29</w:t>
      </w:r>
      <w:r w:rsidRPr="00D66B27">
        <w:rPr>
          <w:rFonts w:ascii="Verdana" w:eastAsia="Times New Roman" w:hAnsi="Verdana"/>
          <w:sz w:val="20"/>
          <w:szCs w:val="20"/>
        </w:rPr>
        <w:t xml:space="preserve"> de octubre de 2004 se promulgó la Ley No. 19.980, que modificó la Ley No. 19.123, ampliando y estableciendo nuevos beneficios a favor de los familiares de las víctimas, entre los que destacan: el incremento del 50 por ciento del monto de la pensión de reparación mensual, la concesión de un bono de reparación</w:t>
      </w:r>
      <w:r w:rsidRPr="00D66B27">
        <w:rPr>
          <w:rStyle w:val="Refdenotaalpie"/>
          <w:rFonts w:ascii="Verdana" w:eastAsia="Times New Roman" w:hAnsi="Verdana"/>
          <w:sz w:val="20"/>
          <w:szCs w:val="20"/>
        </w:rPr>
        <w:footnoteReference w:id="36"/>
      </w:r>
      <w:r w:rsidRPr="00D66B27">
        <w:rPr>
          <w:rFonts w:ascii="Verdana" w:eastAsia="Times New Roman" w:hAnsi="Verdana"/>
          <w:sz w:val="20"/>
          <w:szCs w:val="20"/>
        </w:rPr>
        <w:t>, la concesión al Presidente de la República de la facultad para otorgar un máximo de 200 pensiones de gracia y la ampliación de los beneficios en salud</w:t>
      </w:r>
      <w:r w:rsidRPr="00D66B27">
        <w:rPr>
          <w:rFonts w:ascii="Verdana" w:eastAsia="Times New Roman" w:hAnsi="Verdana"/>
          <w:sz w:val="20"/>
          <w:szCs w:val="20"/>
          <w:vertAlign w:val="superscript"/>
        </w:rPr>
        <w:footnoteReference w:id="37"/>
      </w:r>
      <w:r w:rsidRPr="00D66B27">
        <w:rPr>
          <w:rFonts w:ascii="Verdana" w:eastAsia="Times New Roman" w:hAnsi="Verdana"/>
          <w:sz w:val="20"/>
          <w:szCs w:val="20"/>
        </w:rPr>
        <w:t xml:space="preserve">. </w:t>
      </w:r>
    </w:p>
    <w:p w14:paraId="563039F2"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132BE5B7" w14:textId="3D82BCD3"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Ade</w:t>
      </w:r>
      <w:r w:rsidRPr="00D66B27">
        <w:rPr>
          <w:rFonts w:ascii="Verdana" w:eastAsia="Times New Roman" w:hAnsi="Verdana"/>
          <w:sz w:val="20"/>
          <w:szCs w:val="20"/>
        </w:rPr>
        <w:t>más de las citadas medidas de reparación el Estado creó e implementó: i) el Programa de Apoyo a los Presos Políticos que al 11 de marzo de 1990 se encontraban privados de la libertad; ii) el PRAIS; iii) el Programa de Derechos Humanos del Ministerio del Interior; iv) mejoras tecnológicas al Servicio Médico Legal; v) la Oficina Nacional del Retorno; vi) el Programa para Exonerados Políticos; vii) la restitución o indemnización por bienes confiscados y adquiridos por el Estado; viii) la Mesa de Diálogo sobre Derechos Humanos, y ix) la iniciativa presidencial “No hay mañana sin ayer” del Presidente Ricardo Lagos.</w:t>
      </w:r>
    </w:p>
    <w:p w14:paraId="16184712" w14:textId="77777777" w:rsidR="007414FE" w:rsidRDefault="007414FE" w:rsidP="007414FE">
      <w:pPr>
        <w:pStyle w:val="Prrafodelista"/>
        <w:spacing w:after="0" w:line="240" w:lineRule="auto"/>
        <w:ind w:left="0"/>
        <w:jc w:val="both"/>
        <w:rPr>
          <w:rFonts w:ascii="Verdana" w:eastAsia="Times New Roman" w:hAnsi="Verdana"/>
          <w:b/>
          <w:sz w:val="20"/>
          <w:szCs w:val="20"/>
        </w:rPr>
      </w:pPr>
    </w:p>
    <w:p w14:paraId="345AD4FB" w14:textId="77777777" w:rsidR="00B26AA3" w:rsidRPr="00D66B27" w:rsidRDefault="00B26AA3" w:rsidP="007414FE">
      <w:pPr>
        <w:pStyle w:val="Prrafodelista"/>
        <w:spacing w:after="0" w:line="240" w:lineRule="auto"/>
        <w:ind w:left="0"/>
        <w:jc w:val="both"/>
        <w:rPr>
          <w:rFonts w:ascii="Verdana" w:eastAsia="Times New Roman" w:hAnsi="Verdana"/>
          <w:b/>
          <w:sz w:val="20"/>
          <w:szCs w:val="20"/>
        </w:rPr>
      </w:pPr>
    </w:p>
    <w:p w14:paraId="3C6B29BF" w14:textId="77777777" w:rsidR="007414FE" w:rsidRPr="00D66B27" w:rsidRDefault="007414FE" w:rsidP="007414FE">
      <w:pPr>
        <w:pStyle w:val="Prrafodelista"/>
        <w:spacing w:after="0" w:line="240" w:lineRule="auto"/>
        <w:ind w:left="0" w:firstLine="708"/>
        <w:jc w:val="both"/>
        <w:rPr>
          <w:rFonts w:ascii="Verdana" w:eastAsia="Times New Roman" w:hAnsi="Verdana"/>
          <w:b/>
          <w:i/>
          <w:sz w:val="20"/>
          <w:szCs w:val="20"/>
        </w:rPr>
      </w:pPr>
      <w:bookmarkStart w:id="11" w:name="_Toc413397472"/>
      <w:r w:rsidRPr="00D66B27">
        <w:rPr>
          <w:rFonts w:ascii="Verdana" w:eastAsia="Times New Roman" w:hAnsi="Verdana"/>
          <w:b/>
          <w:i/>
          <w:sz w:val="20"/>
          <w:szCs w:val="20"/>
        </w:rPr>
        <w:t>A.2</w:t>
      </w:r>
      <w:r w:rsidRPr="00D66B27">
        <w:rPr>
          <w:rFonts w:ascii="Verdana" w:eastAsia="Times New Roman" w:hAnsi="Verdana"/>
          <w:b/>
          <w:i/>
          <w:sz w:val="20"/>
          <w:szCs w:val="20"/>
        </w:rPr>
        <w:tab/>
        <w:t>Normativa del Código Civil relevante</w:t>
      </w:r>
      <w:bookmarkEnd w:id="11"/>
    </w:p>
    <w:p w14:paraId="762D64AB" w14:textId="77777777" w:rsidR="007414FE" w:rsidRPr="00D66B27" w:rsidRDefault="007414FE" w:rsidP="007414FE">
      <w:pPr>
        <w:pStyle w:val="Prrafodelista"/>
        <w:spacing w:after="0" w:line="240" w:lineRule="auto"/>
        <w:ind w:left="0"/>
        <w:jc w:val="both"/>
        <w:rPr>
          <w:rFonts w:ascii="Verdana" w:eastAsia="Times New Roman" w:hAnsi="Verdana" w:cs="Garamond"/>
          <w:sz w:val="20"/>
          <w:szCs w:val="20"/>
        </w:rPr>
      </w:pPr>
    </w:p>
    <w:p w14:paraId="467BDD9F" w14:textId="77777777"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El Código</w:t>
      </w:r>
      <w:r w:rsidRPr="00D66B27">
        <w:rPr>
          <w:rFonts w:ascii="Verdana" w:eastAsia="Times New Roman" w:hAnsi="Verdana"/>
          <w:sz w:val="20"/>
          <w:szCs w:val="20"/>
        </w:rPr>
        <w:t xml:space="preserve"> Civil de Chile, en su Libro Cuarto “De las Obligaciones en General y de los Contratos”, Título XXXV “De los Delitos y Cuasi Delitos”, establece en su artículo 2332 que “[l]as acciones que concede este título por daño o dolo, prescriben en cuatro años contados desde la perpetración del acto”</w:t>
      </w:r>
      <w:r w:rsidRPr="00D66B27">
        <w:rPr>
          <w:rStyle w:val="Refdenotaalpie"/>
          <w:rFonts w:ascii="Verdana" w:eastAsia="Times New Roman" w:hAnsi="Verdana"/>
          <w:sz w:val="20"/>
          <w:szCs w:val="20"/>
        </w:rPr>
        <w:footnoteReference w:id="38"/>
      </w:r>
      <w:r w:rsidRPr="00D66B27">
        <w:rPr>
          <w:rFonts w:ascii="Verdana" w:eastAsia="Times New Roman" w:hAnsi="Verdana"/>
          <w:sz w:val="20"/>
          <w:szCs w:val="20"/>
        </w:rPr>
        <w:t>.</w:t>
      </w:r>
    </w:p>
    <w:p w14:paraId="18F1ED03"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141E542D" w14:textId="77777777"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cs="Garamond"/>
          <w:sz w:val="20"/>
          <w:szCs w:val="20"/>
        </w:rPr>
      </w:pPr>
      <w:r w:rsidRPr="00D66B27">
        <w:rPr>
          <w:rFonts w:ascii="Verdana" w:eastAsia="Times New Roman" w:hAnsi="Verdana" w:cs="Garamond"/>
          <w:sz w:val="20"/>
          <w:szCs w:val="20"/>
        </w:rPr>
        <w:t>Asimismo, en su Título XLII “De la Prescripción”, el artículo 2514 establece que “[l]a prescripción que extingue las acciones y derechos ajenos exige solamente cierto lapso de tiempo, durante el cual no se hayan ejercido dichas acciones. Se cuenta este tiempo desde que la obligación se haya hecho exigible”.</w:t>
      </w:r>
    </w:p>
    <w:p w14:paraId="6A8FEBC8"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2E5542A8" w14:textId="77777777"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cs="Garamond"/>
          <w:sz w:val="20"/>
          <w:szCs w:val="20"/>
        </w:rPr>
      </w:pPr>
      <w:r w:rsidRPr="00D66B27">
        <w:rPr>
          <w:rFonts w:ascii="Verdana" w:eastAsia="Times New Roman" w:hAnsi="Verdana" w:cs="Garamond"/>
          <w:sz w:val="20"/>
          <w:szCs w:val="20"/>
        </w:rPr>
        <w:t>En su artículo 2515 complementa que “[e]ste tiempo es en general de tres años para las acciones ejecutivas y de cinco para las ordinarias. La acción ejecutiva se convierte en ordinaria por el lapso de tres años, y convertida en ordinaria durará solamente otros dos”.</w:t>
      </w:r>
    </w:p>
    <w:p w14:paraId="1BA961A0" w14:textId="77777777" w:rsidR="00B26AA3" w:rsidRDefault="00B26AA3" w:rsidP="007414FE">
      <w:pPr>
        <w:pStyle w:val="Prrafodelista"/>
        <w:spacing w:after="0" w:line="240" w:lineRule="auto"/>
        <w:ind w:left="0"/>
        <w:jc w:val="both"/>
        <w:rPr>
          <w:rFonts w:ascii="Verdana" w:eastAsia="Times New Roman" w:hAnsi="Verdana" w:cs="Garamond"/>
          <w:sz w:val="20"/>
          <w:szCs w:val="20"/>
        </w:rPr>
      </w:pPr>
    </w:p>
    <w:p w14:paraId="566412BD" w14:textId="77777777" w:rsidR="00FF3C8E" w:rsidRPr="00D66B27" w:rsidRDefault="00FF3C8E" w:rsidP="007414FE">
      <w:pPr>
        <w:pStyle w:val="Prrafodelista"/>
        <w:spacing w:after="0" w:line="240" w:lineRule="auto"/>
        <w:ind w:left="0"/>
        <w:jc w:val="both"/>
        <w:rPr>
          <w:rFonts w:ascii="Verdana" w:eastAsia="Times New Roman" w:hAnsi="Verdana" w:cs="Garamond"/>
          <w:sz w:val="20"/>
          <w:szCs w:val="20"/>
        </w:rPr>
      </w:pPr>
    </w:p>
    <w:p w14:paraId="2A00E58D" w14:textId="77777777" w:rsidR="007414FE" w:rsidRPr="00D66B27" w:rsidRDefault="007414FE" w:rsidP="007414FE">
      <w:pPr>
        <w:pStyle w:val="Prrafodelista"/>
        <w:spacing w:after="0" w:line="240" w:lineRule="auto"/>
        <w:ind w:left="1413" w:hanging="705"/>
        <w:jc w:val="both"/>
        <w:rPr>
          <w:rFonts w:ascii="Verdana" w:eastAsia="Times New Roman" w:hAnsi="Verdana" w:cs="Garamond"/>
          <w:b/>
          <w:i/>
          <w:sz w:val="20"/>
          <w:szCs w:val="20"/>
        </w:rPr>
      </w:pPr>
      <w:bookmarkStart w:id="12" w:name="_Toc413397473"/>
      <w:r w:rsidRPr="00D66B27">
        <w:rPr>
          <w:rFonts w:ascii="Verdana" w:eastAsia="Times New Roman" w:hAnsi="Verdana" w:cs="Garamond"/>
          <w:b/>
          <w:i/>
          <w:sz w:val="20"/>
          <w:szCs w:val="20"/>
        </w:rPr>
        <w:t>A.3</w:t>
      </w:r>
      <w:r w:rsidRPr="00D66B27">
        <w:rPr>
          <w:rFonts w:ascii="Verdana" w:eastAsia="Times New Roman" w:hAnsi="Verdana" w:cs="Garamond"/>
          <w:b/>
          <w:i/>
          <w:sz w:val="20"/>
          <w:szCs w:val="20"/>
        </w:rPr>
        <w:tab/>
        <w:t>Situación de María Laura Órdenes Guerra e hijos y su causa contra el Fisco de Chile</w:t>
      </w:r>
      <w:bookmarkEnd w:id="12"/>
    </w:p>
    <w:p w14:paraId="7F732983" w14:textId="77777777" w:rsidR="007414FE" w:rsidRPr="00D66B27" w:rsidRDefault="007414FE" w:rsidP="007414FE">
      <w:pPr>
        <w:pStyle w:val="Prrafodelista"/>
        <w:spacing w:after="0" w:line="240" w:lineRule="auto"/>
        <w:ind w:left="0"/>
        <w:jc w:val="both"/>
        <w:rPr>
          <w:rFonts w:ascii="Verdana" w:eastAsia="Times New Roman" w:hAnsi="Verdana" w:cs="Garamond"/>
          <w:sz w:val="20"/>
          <w:szCs w:val="20"/>
        </w:rPr>
      </w:pPr>
    </w:p>
    <w:p w14:paraId="000C77E3" w14:textId="77777777"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Según el inform</w:t>
      </w:r>
      <w:r w:rsidRPr="00D66B27">
        <w:rPr>
          <w:rFonts w:ascii="Verdana" w:eastAsia="Times New Roman" w:hAnsi="Verdana"/>
          <w:sz w:val="20"/>
          <w:szCs w:val="20"/>
        </w:rPr>
        <w:t xml:space="preserve">e de la Comisión Rettig, el 17 de septiembre de 1973 el señor Augusto Alcayaga, militante del partido radical, presidente del Sindicato de Trabajadores de la Empresa </w:t>
      </w:r>
      <w:r w:rsidRPr="00D66B27">
        <w:rPr>
          <w:rFonts w:ascii="Verdana" w:eastAsia="Times New Roman" w:hAnsi="Verdana"/>
          <w:sz w:val="20"/>
          <w:szCs w:val="20"/>
        </w:rPr>
        <w:lastRenderedPageBreak/>
        <w:t>Elecmetal, fue detenido al interior de la empresa por un contingente de carabineros y militares, fue ejecutado por agentes del Estado el 18 de septiembre del mismo año y su cuerpo fue encontrado en la vía pública con heridas de bala. En febrero de 1991, la Comisión Rettig consideró que estos hechos constituyen una violación de los derechos fundamentales al margen de todo proceso y justificación</w:t>
      </w:r>
      <w:r w:rsidRPr="00D66B27">
        <w:rPr>
          <w:rFonts w:ascii="Verdana" w:eastAsia="Calibri" w:hAnsi="Verdana"/>
          <w:sz w:val="20"/>
          <w:szCs w:val="20"/>
          <w:vertAlign w:val="superscript"/>
        </w:rPr>
        <w:footnoteReference w:id="39"/>
      </w:r>
      <w:r w:rsidRPr="00D66B27">
        <w:rPr>
          <w:rFonts w:ascii="Verdana" w:eastAsia="Times New Roman" w:hAnsi="Verdana"/>
          <w:sz w:val="20"/>
          <w:szCs w:val="20"/>
        </w:rPr>
        <w:t>.</w:t>
      </w:r>
    </w:p>
    <w:p w14:paraId="795FE527"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6EE6F104" w14:textId="66ADE1BF"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En los términos de</w:t>
      </w:r>
      <w:r w:rsidRPr="00D66B27">
        <w:rPr>
          <w:rFonts w:ascii="Verdana" w:eastAsia="Times New Roman" w:hAnsi="Verdana"/>
          <w:sz w:val="20"/>
          <w:szCs w:val="20"/>
        </w:rPr>
        <w:t xml:space="preserve"> la Ley 19.123 de 1992, la señora María Laura Órdenes Guerra recibió una pensión mensual de 360.674,00 Pesos chilenos, que rige desde el 1˚ de julio de 1991. Cada uno de sus cinco hijos tuvieron derecho a percibir el 15% del monto total de la pensión, hasta los 25 años de edad.</w:t>
      </w:r>
    </w:p>
    <w:p w14:paraId="2CB92B01" w14:textId="77777777" w:rsidR="007414FE" w:rsidRPr="00D66B27" w:rsidRDefault="007414FE" w:rsidP="007414FE">
      <w:pPr>
        <w:pStyle w:val="Prrafodelista"/>
        <w:spacing w:after="0" w:line="240" w:lineRule="auto"/>
        <w:ind w:left="0"/>
        <w:jc w:val="both"/>
        <w:rPr>
          <w:rFonts w:ascii="Verdana" w:eastAsia="Times New Roman" w:hAnsi="Verdana" w:cs="Garamond"/>
          <w:sz w:val="20"/>
          <w:szCs w:val="20"/>
        </w:rPr>
      </w:pPr>
    </w:p>
    <w:p w14:paraId="4606D288" w14:textId="77777777"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En 1997 la señora Órdenes presentó una demanda civil de indemnización de perjuicios ante el Octavo Juzgado Civil, por el</w:t>
      </w:r>
      <w:r w:rsidRPr="00D66B27">
        <w:rPr>
          <w:rFonts w:ascii="Verdana" w:eastAsia="Times New Roman" w:hAnsi="Verdana"/>
          <w:sz w:val="20"/>
          <w:szCs w:val="20"/>
        </w:rPr>
        <w:t xml:space="preserve"> daño moral ocasionado por agentes estatales por el secuestro y asesinato de su esposo Augusto Alcayaga, así como por la denegación de justicia y falta de información sobre dichos hechos; dándose inicio al proceso “Órdenes María con Fisco de Chile”.</w:t>
      </w:r>
    </w:p>
    <w:p w14:paraId="0EC79176"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19241E7B" w14:textId="0390D958"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El 28</w:t>
      </w:r>
      <w:r w:rsidRPr="00D66B27">
        <w:rPr>
          <w:rFonts w:ascii="Verdana" w:eastAsia="Times New Roman" w:hAnsi="Verdana"/>
          <w:sz w:val="20"/>
          <w:szCs w:val="20"/>
        </w:rPr>
        <w:t xml:space="preserve"> de enero de 1999 el 8º Juzgado Civil, aunque declaró probado que la ejecución extrajudicial de Augusto Alcayaga fue cometida por agentes estatales, declaró la prescripción de la acción al haber sido interpuesta después del término de cinco años previsto en el artículo 2.515 del Código Civil, contando el término desde el día de la muerte de la víctima en 1973, e incompatibilidad con la Ley 19.123</w:t>
      </w:r>
      <w:r w:rsidRPr="00D66B27">
        <w:rPr>
          <w:rFonts w:ascii="Verdana" w:eastAsia="Times New Roman" w:hAnsi="Verdana"/>
          <w:sz w:val="20"/>
          <w:szCs w:val="20"/>
          <w:vertAlign w:val="superscript"/>
        </w:rPr>
        <w:footnoteReference w:id="40"/>
      </w:r>
      <w:r w:rsidRPr="00D66B27">
        <w:rPr>
          <w:rFonts w:ascii="Verdana" w:eastAsia="Times New Roman" w:hAnsi="Verdana"/>
          <w:sz w:val="20"/>
          <w:szCs w:val="20"/>
        </w:rPr>
        <w:t>. La demandante presentó recurso de apelación contra dicha sentencia, el cual fue denegado el 24 de octubre de 2002 por la 4º Sala de la Corte de Apelaciones de Santiago (en adelante “CAS”), confirmando la sentencia de primera instancia. Contra dicha decisión, la demandante interpuso un recurso de casación en el fondo, el cual fue declarado desierto por la Corte Suprema de Justicia (en adelante “CSJ”) el 7 de enero de 2003, por lo que el expediente fue devuelto al tribunal de origen, el cual dictó resolución de “cúmplase”, el 17 de marzo de 2003.</w:t>
      </w:r>
    </w:p>
    <w:p w14:paraId="19B21A85"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60B01EE1" w14:textId="100FDFFE"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sz w:val="20"/>
          <w:szCs w:val="20"/>
        </w:rPr>
        <w:t>En noviembre de 2005, y en los términos de la Ley 19.980 de 2004, a los hijos de Augusto Alcayaga, que por edad no les correspondía pensión, se les otorgó un bono de reparación por única vez de $10.000.000,00 de Pesos chilenos; y a los hijos que por edad recibieron pensiones de reparación, se les otorgó la diferencia entre lo que habían recibido por pensión y el monto de la bonificación única.</w:t>
      </w:r>
    </w:p>
    <w:p w14:paraId="5F9D9147" w14:textId="77777777" w:rsidR="007414FE" w:rsidRDefault="007414FE" w:rsidP="007414FE">
      <w:pPr>
        <w:pStyle w:val="Prrafodelista"/>
        <w:spacing w:after="0" w:line="240" w:lineRule="auto"/>
        <w:ind w:left="0"/>
        <w:jc w:val="both"/>
        <w:rPr>
          <w:rFonts w:ascii="Verdana" w:eastAsia="Times New Roman" w:hAnsi="Verdana" w:cs="Garamond"/>
          <w:sz w:val="20"/>
          <w:szCs w:val="20"/>
        </w:rPr>
      </w:pPr>
    </w:p>
    <w:p w14:paraId="4C12F2B1" w14:textId="77777777" w:rsidR="00B26AA3" w:rsidRPr="00D66B27" w:rsidRDefault="00B26AA3" w:rsidP="007414FE">
      <w:pPr>
        <w:pStyle w:val="Prrafodelista"/>
        <w:spacing w:after="0" w:line="240" w:lineRule="auto"/>
        <w:ind w:left="0"/>
        <w:jc w:val="both"/>
        <w:rPr>
          <w:rFonts w:ascii="Verdana" w:eastAsia="Times New Roman" w:hAnsi="Verdana" w:cs="Garamond"/>
          <w:sz w:val="20"/>
          <w:szCs w:val="20"/>
        </w:rPr>
      </w:pPr>
    </w:p>
    <w:p w14:paraId="3ADB2E14" w14:textId="77777777" w:rsidR="007414FE" w:rsidRPr="00D66B27" w:rsidRDefault="007414FE" w:rsidP="007414FE">
      <w:pPr>
        <w:pStyle w:val="Prrafodelista"/>
        <w:spacing w:after="0" w:line="240" w:lineRule="auto"/>
        <w:ind w:left="1413" w:hanging="705"/>
        <w:jc w:val="both"/>
        <w:rPr>
          <w:rFonts w:ascii="Verdana" w:eastAsia="Times New Roman" w:hAnsi="Verdana" w:cs="Garamond"/>
          <w:b/>
          <w:i/>
          <w:sz w:val="20"/>
          <w:szCs w:val="20"/>
        </w:rPr>
      </w:pPr>
      <w:bookmarkStart w:id="13" w:name="_Toc413397474"/>
      <w:r w:rsidRPr="00D66B27">
        <w:rPr>
          <w:rFonts w:ascii="Verdana" w:eastAsia="Times New Roman" w:hAnsi="Verdana" w:cs="Garamond"/>
          <w:b/>
          <w:i/>
          <w:sz w:val="20"/>
          <w:szCs w:val="20"/>
        </w:rPr>
        <w:t>A.4</w:t>
      </w:r>
      <w:r w:rsidRPr="00D66B27">
        <w:rPr>
          <w:rFonts w:ascii="Verdana" w:eastAsia="Times New Roman" w:hAnsi="Verdana" w:cs="Garamond"/>
          <w:b/>
          <w:i/>
          <w:sz w:val="20"/>
          <w:szCs w:val="20"/>
        </w:rPr>
        <w:tab/>
        <w:t>Situación del grupo familiar de Lucía Morales Compagnon y su causa contra el Fisco de Chile</w:t>
      </w:r>
      <w:bookmarkEnd w:id="13"/>
    </w:p>
    <w:p w14:paraId="05839494" w14:textId="77777777" w:rsidR="007414FE" w:rsidRPr="00D66B27" w:rsidRDefault="007414FE" w:rsidP="007414FE">
      <w:pPr>
        <w:pStyle w:val="Prrafodelista"/>
        <w:spacing w:after="0" w:line="240" w:lineRule="auto"/>
        <w:ind w:left="0"/>
        <w:jc w:val="both"/>
        <w:rPr>
          <w:rFonts w:ascii="Verdana" w:eastAsia="Times New Roman" w:hAnsi="Verdana" w:cs="Garamond"/>
          <w:sz w:val="20"/>
          <w:szCs w:val="20"/>
        </w:rPr>
      </w:pPr>
    </w:p>
    <w:p w14:paraId="23E7A70B" w14:textId="528EEB40"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Según el</w:t>
      </w:r>
      <w:r w:rsidRPr="00D66B27">
        <w:rPr>
          <w:rFonts w:ascii="Verdana" w:eastAsia="Times New Roman" w:hAnsi="Verdana"/>
          <w:sz w:val="20"/>
          <w:szCs w:val="20"/>
        </w:rPr>
        <w:t xml:space="preserve"> informe de la Comisión Rettig, el 17 de septiembre de 1973 el señor Jorge Osorio, militante socialista y profesor universitario, fue detenido por funcionarios de Investigaciones en las dependencias de Manesa y conducido a la Cárcel de “La Serena”. </w:t>
      </w:r>
    </w:p>
    <w:p w14:paraId="09000A18" w14:textId="77777777" w:rsidR="007414FE" w:rsidRPr="00D66B27" w:rsidRDefault="007414FE" w:rsidP="00D2166C">
      <w:pPr>
        <w:pStyle w:val="Prrafodelista"/>
        <w:spacing w:after="0" w:line="240" w:lineRule="auto"/>
        <w:ind w:left="0"/>
        <w:jc w:val="both"/>
        <w:rPr>
          <w:rFonts w:ascii="Verdana" w:eastAsia="Times New Roman" w:hAnsi="Verdana"/>
          <w:sz w:val="20"/>
          <w:szCs w:val="20"/>
        </w:rPr>
      </w:pPr>
    </w:p>
    <w:p w14:paraId="618FFDED" w14:textId="196DE16F"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sz w:val="20"/>
          <w:szCs w:val="20"/>
        </w:rPr>
        <w:t xml:space="preserve">A dicha cárcel también fue trasladado el señor Hipólito Cortés, obrero, funcionario municipal, dirigente del Sindicato de la Construcción y militante del Partido Comunista, quien fue detenido en su lugar de trabajo por Carabineros de Ovalle. Hipólito Cortés fue drogado y golpeado durante su detención. </w:t>
      </w:r>
    </w:p>
    <w:p w14:paraId="6C0D6AAD" w14:textId="77777777" w:rsidR="007414FE" w:rsidRPr="00D66B27" w:rsidRDefault="007414FE" w:rsidP="00D2166C">
      <w:pPr>
        <w:pStyle w:val="Prrafodelista"/>
        <w:ind w:left="0"/>
        <w:rPr>
          <w:rFonts w:ascii="Verdana" w:eastAsia="Times New Roman" w:hAnsi="Verdana" w:cs="Garamond"/>
          <w:sz w:val="20"/>
          <w:szCs w:val="20"/>
        </w:rPr>
      </w:pPr>
    </w:p>
    <w:p w14:paraId="59C2592B" w14:textId="77777777"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El 16</w:t>
      </w:r>
      <w:r w:rsidRPr="00D66B27">
        <w:rPr>
          <w:rFonts w:ascii="Verdana" w:eastAsia="Times New Roman" w:hAnsi="Verdana"/>
          <w:sz w:val="20"/>
          <w:szCs w:val="20"/>
        </w:rPr>
        <w:t xml:space="preserve"> de octubre de 1973 Jorge Osorio e Hipólito Cortés fueron ejecutados junto con otras 13 personas en el Regimiento Militar Arica, “conforme a lo dispuesto por los Tribunales Militares en tiempo de Guerra”. Estas ejecuciones fueron realizadas por agentes del Estado al margen de </w:t>
      </w:r>
      <w:r w:rsidRPr="00D66B27">
        <w:rPr>
          <w:rFonts w:ascii="Verdana" w:eastAsia="Times New Roman" w:hAnsi="Verdana"/>
          <w:sz w:val="20"/>
          <w:szCs w:val="20"/>
        </w:rPr>
        <w:lastRenderedPageBreak/>
        <w:t>todo proceso legal y los cuerpos fueron sepultados en una fosa común en el cementerio de la Serena</w:t>
      </w:r>
      <w:r w:rsidRPr="00D66B27">
        <w:rPr>
          <w:rFonts w:ascii="Verdana" w:eastAsia="Calibri" w:hAnsi="Verdana" w:cs="Arial"/>
          <w:sz w:val="20"/>
          <w:szCs w:val="20"/>
          <w:vertAlign w:val="superscript"/>
        </w:rPr>
        <w:footnoteReference w:id="41"/>
      </w:r>
      <w:r w:rsidRPr="00D66B27">
        <w:rPr>
          <w:rFonts w:ascii="Verdana" w:eastAsia="Times New Roman" w:hAnsi="Verdana"/>
          <w:sz w:val="20"/>
          <w:szCs w:val="20"/>
        </w:rPr>
        <w:t xml:space="preserve">. </w:t>
      </w:r>
    </w:p>
    <w:p w14:paraId="0FE3BD3C"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2EDF6EE1" w14:textId="77777777"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En los términos de</w:t>
      </w:r>
      <w:r w:rsidRPr="00D66B27">
        <w:rPr>
          <w:rFonts w:ascii="Verdana" w:eastAsia="Times New Roman" w:hAnsi="Verdana"/>
          <w:sz w:val="20"/>
          <w:szCs w:val="20"/>
        </w:rPr>
        <w:t xml:space="preserve"> la Ley 19.123 de 1992, la señora Lucia Morales </w:t>
      </w:r>
      <w:r w:rsidRPr="00D66B27">
        <w:rPr>
          <w:rFonts w:ascii="Verdana" w:eastAsia="Times New Roman" w:hAnsi="Verdana" w:cs="Garamond"/>
          <w:sz w:val="20"/>
          <w:szCs w:val="20"/>
        </w:rPr>
        <w:t>Compagnon</w:t>
      </w:r>
      <w:r w:rsidRPr="00D66B27">
        <w:rPr>
          <w:rFonts w:ascii="Verdana" w:eastAsia="Times New Roman" w:hAnsi="Verdana"/>
          <w:sz w:val="20"/>
          <w:szCs w:val="20"/>
        </w:rPr>
        <w:t>, esposa de Jorge Osorio, recibe una pensión mensual</w:t>
      </w:r>
      <w:r w:rsidRPr="00D66B27">
        <w:rPr>
          <w:rFonts w:ascii="Verdana" w:eastAsia="Times New Roman" w:hAnsi="Verdana"/>
          <w:sz w:val="20"/>
          <w:szCs w:val="20"/>
          <w:vertAlign w:val="superscript"/>
        </w:rPr>
        <w:footnoteReference w:id="42"/>
      </w:r>
      <w:r w:rsidRPr="00D66B27">
        <w:rPr>
          <w:rFonts w:ascii="Verdana" w:eastAsia="Times New Roman" w:hAnsi="Verdana"/>
          <w:sz w:val="20"/>
          <w:szCs w:val="20"/>
        </w:rPr>
        <w:t>, que rige desde julio de 1991.</w:t>
      </w:r>
    </w:p>
    <w:p w14:paraId="4CAD7D89"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36B5DBC5" w14:textId="77777777"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En 19</w:t>
      </w:r>
      <w:r w:rsidRPr="00D66B27">
        <w:rPr>
          <w:rFonts w:ascii="Verdana" w:eastAsia="Times New Roman" w:hAnsi="Verdana"/>
          <w:sz w:val="20"/>
          <w:szCs w:val="20"/>
        </w:rPr>
        <w:t xml:space="preserve">97 la esposa y los hijos de Jorge Osorio presentaron una acción civil de indemnización de perjuicios ante el 8º Juzgado Civil, dándose inicio al proceso “Morales Lucía con Fisco de Chile” (Rol 4720-97), por la detención y ejecución de aquél en 1973. </w:t>
      </w:r>
    </w:p>
    <w:p w14:paraId="79BCD6BA"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5C868652" w14:textId="77777777"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En 1998</w:t>
      </w:r>
      <w:r w:rsidRPr="00D66B27">
        <w:rPr>
          <w:rFonts w:ascii="Verdana" w:eastAsia="Times New Roman" w:hAnsi="Verdana"/>
          <w:sz w:val="20"/>
          <w:szCs w:val="20"/>
        </w:rPr>
        <w:t xml:space="preserve"> se exhumaron e identificaron los restos del señor Osorio, los cuales permitieron establecer también que había sido torturado antes de ser ejecutado extrajudicialmente</w:t>
      </w:r>
      <w:r w:rsidRPr="00D66B27">
        <w:rPr>
          <w:rFonts w:ascii="Verdana" w:eastAsia="Calibri" w:hAnsi="Verdana"/>
          <w:sz w:val="20"/>
          <w:szCs w:val="20"/>
          <w:vertAlign w:val="superscript"/>
        </w:rPr>
        <w:footnoteReference w:id="43"/>
      </w:r>
      <w:r w:rsidRPr="00D66B27">
        <w:rPr>
          <w:rFonts w:ascii="Verdana" w:eastAsia="Times New Roman" w:hAnsi="Verdana"/>
          <w:sz w:val="20"/>
          <w:szCs w:val="20"/>
        </w:rPr>
        <w:t>. Esta víctima no se encuentra en la nómina de personas reconocidas como víctimas en el informe de la Comisión Valech</w:t>
      </w:r>
      <w:r w:rsidRPr="00D66B27">
        <w:rPr>
          <w:rStyle w:val="Refdenotaalpie"/>
          <w:rFonts w:ascii="Verdana" w:eastAsia="Times New Roman" w:hAnsi="Verdana"/>
          <w:sz w:val="20"/>
          <w:szCs w:val="20"/>
        </w:rPr>
        <w:footnoteReference w:id="44"/>
      </w:r>
      <w:r w:rsidRPr="00D66B27">
        <w:rPr>
          <w:rFonts w:ascii="Verdana" w:eastAsia="Times New Roman" w:hAnsi="Verdana"/>
          <w:sz w:val="20"/>
          <w:szCs w:val="20"/>
        </w:rPr>
        <w:t>.</w:t>
      </w:r>
    </w:p>
    <w:p w14:paraId="2FDBCF3B"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1EA9E34D" w14:textId="3000A397"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El 27</w:t>
      </w:r>
      <w:r w:rsidRPr="00D66B27">
        <w:rPr>
          <w:rFonts w:ascii="Verdana" w:eastAsia="Times New Roman" w:hAnsi="Verdana"/>
          <w:sz w:val="20"/>
          <w:szCs w:val="20"/>
        </w:rPr>
        <w:t xml:space="preserve"> de enero de 1999 el 8º Juzgado Civil negó la reparación solicitada por considerar que, conforme a las normas de derecho civil, la acción indemnizatoria estaba prescrita y que existía incompatibilidad con la Ley 19.123. Los demandantes apelaron dicho fallo ante la CAS, la cual confirmó el fallo de primera instancia el 10 de diciembre de 2002. El 18 de diciembre de 2002 los demandantes interpusieron recurso de casación ante la CSJ, la cual lo declaró desierto el 25 de marzo de 2003, al no haberse cumplido con el pago de unas fotocopias, por lo que el expediente volvió al tribunal de origen.</w:t>
      </w:r>
    </w:p>
    <w:p w14:paraId="7681C4C8"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6B671541" w14:textId="77777777"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En los términos de</w:t>
      </w:r>
      <w:r w:rsidRPr="00D66B27">
        <w:rPr>
          <w:rFonts w:ascii="Verdana" w:eastAsia="Times New Roman" w:hAnsi="Verdana"/>
          <w:sz w:val="20"/>
          <w:szCs w:val="20"/>
        </w:rPr>
        <w:t xml:space="preserve"> la Ley 19.980 de 2004, los cuatro hijos de Jorge Osorio recibieron bonos de reparación, a saber: Carolina Andrea Osorio Morales (7.700.317,00 de Pesos chilenos), Jorge Roberto Osorio Morales (6.163.383,00 de Pesos chilenos), Lucía Odette Osorio Morales (10.000.000,00 de Pesos chilenos) y María Teresa Osorio Morales (10.000.000,00 de Pesos chilenos)</w:t>
      </w:r>
      <w:r w:rsidRPr="00D66B27">
        <w:rPr>
          <w:rFonts w:ascii="Verdana" w:eastAsia="Times New Roman" w:hAnsi="Verdana"/>
          <w:sz w:val="20"/>
          <w:szCs w:val="20"/>
          <w:vertAlign w:val="superscript"/>
        </w:rPr>
        <w:footnoteReference w:id="45"/>
      </w:r>
      <w:r w:rsidRPr="00D66B27">
        <w:rPr>
          <w:rFonts w:ascii="Verdana" w:eastAsia="Times New Roman" w:hAnsi="Verdana"/>
          <w:sz w:val="20"/>
          <w:szCs w:val="20"/>
        </w:rPr>
        <w:t>.</w:t>
      </w:r>
    </w:p>
    <w:p w14:paraId="0CE619AF" w14:textId="77777777" w:rsidR="00B26AA3" w:rsidRDefault="00B26AA3" w:rsidP="007414FE">
      <w:pPr>
        <w:pStyle w:val="Prrafodelista"/>
        <w:spacing w:after="0" w:line="240" w:lineRule="auto"/>
        <w:ind w:left="0"/>
        <w:jc w:val="both"/>
        <w:rPr>
          <w:rFonts w:ascii="Verdana" w:eastAsia="Times New Roman" w:hAnsi="Verdana" w:cs="Garamond"/>
          <w:sz w:val="20"/>
          <w:szCs w:val="20"/>
        </w:rPr>
      </w:pPr>
    </w:p>
    <w:p w14:paraId="0DF559A7" w14:textId="77777777" w:rsidR="00B26AA3" w:rsidRPr="00D66B27" w:rsidRDefault="00B26AA3" w:rsidP="007414FE">
      <w:pPr>
        <w:pStyle w:val="Prrafodelista"/>
        <w:spacing w:after="0" w:line="240" w:lineRule="auto"/>
        <w:ind w:left="0"/>
        <w:jc w:val="both"/>
        <w:rPr>
          <w:rFonts w:ascii="Verdana" w:eastAsia="Times New Roman" w:hAnsi="Verdana" w:cs="Garamond"/>
          <w:sz w:val="20"/>
          <w:szCs w:val="20"/>
        </w:rPr>
      </w:pPr>
    </w:p>
    <w:p w14:paraId="6974E61F" w14:textId="77777777" w:rsidR="007414FE" w:rsidRPr="00D66B27" w:rsidRDefault="007414FE" w:rsidP="007414FE">
      <w:pPr>
        <w:pStyle w:val="Prrafodelista"/>
        <w:spacing w:after="0" w:line="240" w:lineRule="auto"/>
        <w:ind w:left="1413" w:hanging="705"/>
        <w:jc w:val="both"/>
        <w:rPr>
          <w:rFonts w:ascii="Verdana" w:eastAsia="Times New Roman" w:hAnsi="Verdana" w:cs="Garamond"/>
          <w:b/>
          <w:i/>
          <w:sz w:val="20"/>
          <w:szCs w:val="20"/>
        </w:rPr>
      </w:pPr>
      <w:r w:rsidRPr="00D66B27">
        <w:rPr>
          <w:rFonts w:ascii="Verdana" w:eastAsia="Times New Roman" w:hAnsi="Verdana" w:cs="Garamond"/>
          <w:b/>
          <w:i/>
          <w:sz w:val="20"/>
          <w:szCs w:val="20"/>
        </w:rPr>
        <w:t>A.5</w:t>
      </w:r>
      <w:r w:rsidRPr="00D66B27">
        <w:rPr>
          <w:rFonts w:ascii="Verdana" w:eastAsia="Times New Roman" w:hAnsi="Verdana" w:cs="Garamond"/>
          <w:b/>
          <w:i/>
          <w:sz w:val="20"/>
          <w:szCs w:val="20"/>
        </w:rPr>
        <w:tab/>
        <w:t>Situación del grupo familiar de Patricia Cortés y su causa contra el Fisco de Chile</w:t>
      </w:r>
    </w:p>
    <w:p w14:paraId="44AD2BF9" w14:textId="77777777" w:rsidR="007414FE" w:rsidRPr="00D66B27" w:rsidRDefault="007414FE" w:rsidP="007414FE">
      <w:pPr>
        <w:pStyle w:val="Prrafodelista"/>
        <w:spacing w:after="0" w:line="240" w:lineRule="auto"/>
        <w:ind w:left="0"/>
        <w:jc w:val="both"/>
        <w:rPr>
          <w:rFonts w:ascii="Verdana" w:eastAsia="Times New Roman" w:hAnsi="Verdana" w:cs="Garamond"/>
          <w:sz w:val="20"/>
          <w:szCs w:val="20"/>
        </w:rPr>
      </w:pPr>
    </w:p>
    <w:p w14:paraId="427CBAD6" w14:textId="3CB696FB"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 xml:space="preserve">En relación con los hechos cometidos contra los señores </w:t>
      </w:r>
      <w:r w:rsidRPr="00D66B27">
        <w:rPr>
          <w:rFonts w:ascii="Verdana" w:eastAsia="Times New Roman" w:hAnsi="Verdana"/>
          <w:sz w:val="20"/>
          <w:szCs w:val="20"/>
        </w:rPr>
        <w:t>Hipólito Cortés</w:t>
      </w:r>
      <w:r w:rsidRPr="00D66B27">
        <w:rPr>
          <w:rFonts w:ascii="Verdana" w:eastAsia="Times New Roman" w:hAnsi="Verdana" w:cs="Garamond"/>
          <w:sz w:val="20"/>
          <w:szCs w:val="20"/>
        </w:rPr>
        <w:t xml:space="preserve"> y </w:t>
      </w:r>
      <w:r w:rsidRPr="00D66B27">
        <w:rPr>
          <w:rFonts w:ascii="Verdana" w:eastAsia="Times New Roman" w:hAnsi="Verdana"/>
          <w:sz w:val="20"/>
          <w:szCs w:val="20"/>
        </w:rPr>
        <w:t>Jorge Osorio (</w:t>
      </w:r>
      <w:r w:rsidRPr="00D66B27">
        <w:rPr>
          <w:rFonts w:ascii="Verdana" w:eastAsia="Times New Roman" w:hAnsi="Verdana"/>
          <w:i/>
          <w:sz w:val="20"/>
          <w:szCs w:val="20"/>
        </w:rPr>
        <w:t xml:space="preserve">supra </w:t>
      </w:r>
      <w:r w:rsidRPr="00D66B27">
        <w:rPr>
          <w:rFonts w:ascii="Verdana" w:eastAsia="Times New Roman" w:hAnsi="Verdana"/>
          <w:sz w:val="20"/>
          <w:szCs w:val="20"/>
        </w:rPr>
        <w:t xml:space="preserve">párrs. </w:t>
      </w:r>
      <w:r w:rsidR="001A0AAE">
        <w:rPr>
          <w:rFonts w:ascii="Verdana" w:eastAsia="Times New Roman" w:hAnsi="Verdana"/>
          <w:sz w:val="20"/>
          <w:szCs w:val="20"/>
        </w:rPr>
        <w:t>48 a 50</w:t>
      </w:r>
      <w:r w:rsidRPr="00D66B27">
        <w:rPr>
          <w:rFonts w:ascii="Verdana" w:eastAsia="Times New Roman" w:hAnsi="Verdana"/>
          <w:sz w:val="20"/>
          <w:szCs w:val="20"/>
        </w:rPr>
        <w:t>), y e</w:t>
      </w:r>
      <w:r w:rsidRPr="00D66B27">
        <w:rPr>
          <w:rFonts w:ascii="Verdana" w:eastAsia="Times New Roman" w:hAnsi="Verdana" w:cs="Garamond"/>
          <w:sz w:val="20"/>
          <w:szCs w:val="20"/>
        </w:rPr>
        <w:t>n los términos de</w:t>
      </w:r>
      <w:r w:rsidRPr="00D66B27">
        <w:rPr>
          <w:rFonts w:ascii="Verdana" w:eastAsia="Times New Roman" w:hAnsi="Verdana"/>
          <w:sz w:val="20"/>
          <w:szCs w:val="20"/>
        </w:rPr>
        <w:t xml:space="preserve"> la Ley 19.123 de 1992, la señora Alina María Barraza Codoceo, esposa de Hipólito Cortés, recibe una pensión mensual</w:t>
      </w:r>
      <w:r w:rsidRPr="00D66B27">
        <w:rPr>
          <w:rFonts w:ascii="Verdana" w:hAnsi="Verdana"/>
          <w:sz w:val="20"/>
          <w:szCs w:val="20"/>
          <w:vertAlign w:val="superscript"/>
        </w:rPr>
        <w:footnoteReference w:id="46"/>
      </w:r>
      <w:r w:rsidRPr="00D66B27">
        <w:rPr>
          <w:rFonts w:ascii="Verdana" w:eastAsia="Times New Roman" w:hAnsi="Verdana"/>
          <w:sz w:val="20"/>
          <w:szCs w:val="20"/>
        </w:rPr>
        <w:t>, que rige desde julio de 1991.</w:t>
      </w:r>
    </w:p>
    <w:p w14:paraId="4618733E"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3309E0A6" w14:textId="77777777"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En 1998</w:t>
      </w:r>
      <w:r w:rsidRPr="00D66B27">
        <w:rPr>
          <w:rFonts w:ascii="Verdana" w:eastAsia="Times New Roman" w:hAnsi="Verdana"/>
          <w:sz w:val="20"/>
          <w:szCs w:val="20"/>
        </w:rPr>
        <w:t xml:space="preserve"> se exhumaron e identificaron los restos de Hipólito Cortés, los cuales permitieron establecer también que había sido torturado antes de ser ejecutado extrajudicialmente</w:t>
      </w:r>
      <w:r w:rsidRPr="00D66B27">
        <w:rPr>
          <w:rFonts w:ascii="Verdana" w:eastAsia="Calibri" w:hAnsi="Verdana"/>
          <w:sz w:val="20"/>
          <w:szCs w:val="20"/>
          <w:vertAlign w:val="superscript"/>
        </w:rPr>
        <w:footnoteReference w:id="47"/>
      </w:r>
      <w:r w:rsidRPr="00D66B27">
        <w:rPr>
          <w:rFonts w:ascii="Verdana" w:eastAsia="Times New Roman" w:hAnsi="Verdana"/>
          <w:sz w:val="20"/>
          <w:szCs w:val="20"/>
        </w:rPr>
        <w:t xml:space="preserve">. Esta </w:t>
      </w:r>
      <w:r w:rsidRPr="00D66B27">
        <w:rPr>
          <w:rFonts w:ascii="Verdana" w:eastAsia="Times New Roman" w:hAnsi="Verdana"/>
          <w:sz w:val="20"/>
          <w:szCs w:val="20"/>
        </w:rPr>
        <w:lastRenderedPageBreak/>
        <w:t>víctima no se encuentra en la nómina de personas reconocidas como víctimas en el informe de la Comisión Valech</w:t>
      </w:r>
      <w:r w:rsidRPr="00D66B27">
        <w:rPr>
          <w:rStyle w:val="Refdenotaalpie"/>
          <w:rFonts w:ascii="Verdana" w:eastAsia="Times New Roman" w:hAnsi="Verdana"/>
          <w:sz w:val="20"/>
          <w:szCs w:val="20"/>
        </w:rPr>
        <w:footnoteReference w:id="48"/>
      </w:r>
      <w:r w:rsidRPr="00D66B27">
        <w:rPr>
          <w:rFonts w:ascii="Verdana" w:eastAsia="Times New Roman" w:hAnsi="Verdana"/>
          <w:sz w:val="20"/>
          <w:szCs w:val="20"/>
        </w:rPr>
        <w:t>.</w:t>
      </w:r>
    </w:p>
    <w:p w14:paraId="1CFC12F4"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0D6FDB88" w14:textId="4EB8851E"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En 1999 la esposa y los hijos de Hipólito Cortés interpusieron una demanda</w:t>
      </w:r>
      <w:r w:rsidRPr="00D66B27">
        <w:rPr>
          <w:rFonts w:ascii="Verdana" w:eastAsia="Times New Roman" w:hAnsi="Verdana"/>
          <w:sz w:val="20"/>
          <w:szCs w:val="20"/>
        </w:rPr>
        <w:t xml:space="preserve"> civil de reparación de perjuicios por su muerte </w:t>
      </w:r>
      <w:r w:rsidRPr="00D66B27">
        <w:rPr>
          <w:rFonts w:ascii="Verdana" w:eastAsia="Times New Roman" w:hAnsi="Verdana" w:cs="Garamond"/>
          <w:sz w:val="20"/>
          <w:szCs w:val="20"/>
        </w:rPr>
        <w:t xml:space="preserve">ante el 2º Juzgado Civil de la Serena </w:t>
      </w:r>
      <w:r w:rsidR="008854CD">
        <w:rPr>
          <w:rFonts w:ascii="Verdana" w:eastAsia="Times New Roman" w:hAnsi="Verdana"/>
          <w:sz w:val="20"/>
          <w:szCs w:val="20"/>
        </w:rPr>
        <w:t>(R</w:t>
      </w:r>
      <w:r w:rsidRPr="00D66B27">
        <w:rPr>
          <w:rFonts w:ascii="Verdana" w:eastAsia="Times New Roman" w:hAnsi="Verdana"/>
          <w:sz w:val="20"/>
          <w:szCs w:val="20"/>
        </w:rPr>
        <w:t>ol 1122-99). El 9 de marzo de 2001 el juzgado encontró probada la ejecución extrajudicial alegada y consideró que las pensiones y los bonos de reparación otorgados mediante la Ley 19.123 no excluían la indemnización de los perjuicios morales</w:t>
      </w:r>
      <w:r w:rsidRPr="00D66B27">
        <w:rPr>
          <w:rFonts w:ascii="Verdana" w:eastAsia="Times New Roman" w:hAnsi="Verdana"/>
          <w:sz w:val="20"/>
          <w:szCs w:val="20"/>
          <w:vertAlign w:val="superscript"/>
        </w:rPr>
        <w:footnoteReference w:id="49"/>
      </w:r>
      <w:r w:rsidRPr="00D66B27">
        <w:rPr>
          <w:rFonts w:ascii="Verdana" w:eastAsia="Times New Roman" w:hAnsi="Verdana"/>
          <w:sz w:val="20"/>
          <w:szCs w:val="20"/>
        </w:rPr>
        <w:t xml:space="preserve">. </w:t>
      </w:r>
      <w:r w:rsidRPr="00D66B27">
        <w:rPr>
          <w:rFonts w:ascii="Verdana" w:eastAsia="Times New Roman" w:hAnsi="Verdana" w:cs="Garamond"/>
          <w:sz w:val="20"/>
          <w:szCs w:val="20"/>
        </w:rPr>
        <w:t>En consecuencia, el juzgado decidió conceder las pretensiones de la demanda y ordenar la</w:t>
      </w:r>
      <w:r w:rsidRPr="00D66B27">
        <w:rPr>
          <w:rFonts w:ascii="Verdana" w:eastAsia="Times New Roman" w:hAnsi="Verdana"/>
          <w:sz w:val="20"/>
          <w:szCs w:val="20"/>
        </w:rPr>
        <w:t xml:space="preserve"> indemnización por daño moral por 15 millones de Pesos chilenos </w:t>
      </w:r>
      <w:r w:rsidR="00D66B27">
        <w:rPr>
          <w:rFonts w:ascii="Verdana" w:eastAsia="Times New Roman" w:hAnsi="Verdana"/>
          <w:sz w:val="20"/>
          <w:szCs w:val="20"/>
        </w:rPr>
        <w:t>a favor de</w:t>
      </w:r>
      <w:r w:rsidRPr="00D66B27">
        <w:rPr>
          <w:rFonts w:ascii="Verdana" w:eastAsia="Times New Roman" w:hAnsi="Verdana"/>
          <w:sz w:val="20"/>
          <w:szCs w:val="20"/>
        </w:rPr>
        <w:t xml:space="preserve"> la cónyuge y </w:t>
      </w:r>
      <w:r w:rsidR="00D66B27">
        <w:rPr>
          <w:rFonts w:ascii="Verdana" w:eastAsia="Times New Roman" w:hAnsi="Verdana"/>
          <w:sz w:val="20"/>
          <w:szCs w:val="20"/>
        </w:rPr>
        <w:t xml:space="preserve">de </w:t>
      </w:r>
      <w:r w:rsidRPr="00D66B27">
        <w:rPr>
          <w:rFonts w:ascii="Verdana" w:eastAsia="Times New Roman" w:hAnsi="Verdana"/>
          <w:sz w:val="20"/>
          <w:szCs w:val="20"/>
        </w:rPr>
        <w:t xml:space="preserve">cada uno de sus hijos. Asimismo, ordenó descontar de esta suma las cantidades otorgadas por bonos de compensación y pensiones. </w:t>
      </w:r>
    </w:p>
    <w:p w14:paraId="1745AF6C"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676792DB" w14:textId="4442E42E" w:rsidR="007414FE" w:rsidRPr="00D66B27" w:rsidRDefault="007414FE" w:rsidP="00D2166C">
      <w:pPr>
        <w:pStyle w:val="Prrafodelista"/>
        <w:numPr>
          <w:ilvl w:val="0"/>
          <w:numId w:val="2"/>
        </w:numPr>
        <w:spacing w:after="0" w:line="240" w:lineRule="auto"/>
        <w:ind w:left="0" w:firstLine="0"/>
        <w:jc w:val="both"/>
        <w:rPr>
          <w:rFonts w:ascii="Verdana" w:eastAsia="Calibri" w:hAnsi="Verdana"/>
          <w:sz w:val="20"/>
          <w:szCs w:val="20"/>
        </w:rPr>
      </w:pPr>
      <w:r w:rsidRPr="00D66B27">
        <w:rPr>
          <w:rFonts w:ascii="Verdana" w:eastAsia="Times New Roman" w:hAnsi="Verdana" w:cs="Garamond"/>
          <w:sz w:val="20"/>
          <w:szCs w:val="20"/>
        </w:rPr>
        <w:t>El 9 de</w:t>
      </w:r>
      <w:r w:rsidRPr="00D66B27">
        <w:rPr>
          <w:rFonts w:ascii="Verdana" w:eastAsia="Times New Roman" w:hAnsi="Verdana"/>
          <w:sz w:val="20"/>
          <w:szCs w:val="20"/>
        </w:rPr>
        <w:t xml:space="preserve"> abril de 2002 la Corte de Apelaciones de la Serena, al decidir un recurso de apelación interpuesto por el Fisco de Chile, decidió revocar la sentencia de primera instancia, por considerar que el plazo de prescripción de cinco años se encontraba vencido dado que los hechos ocurrieron en 1973, acogiendo los argumentos del Fisco sobre la prescripción de la acción y la incompatibilidad de la indemnización demanda por aplicación de la ley 19.123.  </w:t>
      </w:r>
    </w:p>
    <w:p w14:paraId="0B79C67C"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59C03E3D" w14:textId="562790B2"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El</w:t>
      </w:r>
      <w:r w:rsidRPr="00D66B27">
        <w:rPr>
          <w:rFonts w:ascii="Verdana" w:eastAsia="Times New Roman" w:hAnsi="Verdana"/>
          <w:sz w:val="20"/>
          <w:szCs w:val="20"/>
        </w:rPr>
        <w:t xml:space="preserve"> 7 de mayo de 2003 la CSJ rechazó el recurso de casación interpuesto por la demandante y la solicitud de anulación de la sentencia, al considerar que la acción se interpuso después del vencimiento del plazo de prescripción de cuatro años previsto en el art. 2.332 del Código Civil. Ante la solicitud de anulación, la CSJ consideró que la sentencia no incurría en error alguno, pues los artículos 130 y 131 del Convenio de Ginebra relativo al tratamiento de los prisioneros de guerra, aducidos por los familiares de la víctima como sustento normativo que consagra la imprescriptibilidad de los crímenes de guerra, no son normas que expresen la imprescriptibilidad para acciones de naturaleza patrimonial o pecuniaria. La CSJ consideró que, de este modo, no existía impedimento en el ordenamiento jurídico chileno para que operase la prescripción de las acciones conducentes a hacer efectiva la responsabilidad del Fisco de reparar daños sobre una responsabilidad distinta a la penal</w:t>
      </w:r>
      <w:r w:rsidRPr="00D66B27">
        <w:rPr>
          <w:rFonts w:ascii="Verdana" w:eastAsia="Calibri" w:hAnsi="Verdana"/>
          <w:sz w:val="20"/>
          <w:szCs w:val="20"/>
        </w:rPr>
        <w:t xml:space="preserve">. </w:t>
      </w:r>
      <w:r w:rsidRPr="00D66B27">
        <w:rPr>
          <w:rFonts w:ascii="Verdana" w:eastAsia="Times New Roman" w:hAnsi="Verdana" w:cs="Garamond"/>
          <w:sz w:val="20"/>
          <w:szCs w:val="20"/>
        </w:rPr>
        <w:t>La CSJ</w:t>
      </w:r>
      <w:r w:rsidRPr="00D66B27">
        <w:rPr>
          <w:rFonts w:ascii="Verdana" w:eastAsia="Times New Roman" w:hAnsi="Verdana"/>
          <w:sz w:val="20"/>
          <w:szCs w:val="20"/>
        </w:rPr>
        <w:t xml:space="preserve"> consideró que la idea de aplicar las reglas de prescripción extintiva de la acción indemnizatoria que contiene el Código Civil, a las acciones en que se persigue la responsabilidad extracontractual del Estado, “no repugna a la naturaleza especial que ella posee, si se considera que ellas inciden en el ámbito patrimonial de esa responsabilidad” y que en ausencia de normas positivas que las hagan imprescriptibles, corresponde estarse a las reglas del Derecho Común, que se refieren específicamente a la materia, entre la que se encuentran el artículo 2.332 del Código Civil, que versa directamente sobre ella.</w:t>
      </w:r>
    </w:p>
    <w:p w14:paraId="604EE4D2"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4DAD411A" w14:textId="77777777"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En los términos de</w:t>
      </w:r>
      <w:r w:rsidRPr="00D66B27">
        <w:rPr>
          <w:rFonts w:ascii="Verdana" w:eastAsia="Times New Roman" w:hAnsi="Verdana"/>
          <w:sz w:val="20"/>
          <w:szCs w:val="20"/>
        </w:rPr>
        <w:t xml:space="preserve"> la Ley 19.980 de 2004, los siete hijos de Hipólito Cortés recibieron bonos de reparación, a saber: Marcia Alejandra Cortés Barraza (10.000.000,00 Pesos chilenos) Nora Isabel Cortés Barraza (8.230.371,00 pesos chilenos), Hernán Alejandro Cortés Barraza (9.207.049,00 Pesos chilenos), Eduardo Patricio Cortés Barraza (10.000.000,00 Pesos chilenos), Miriam del Rosario Cortés Barraza (10.000.000,00 Pesos chilenos), Patricio Cortés Barraza (10.000.000,00 Pesos chilenos) y Jorge Cortés Barraza (10.000.000,00 Pesos chilenos)</w:t>
      </w:r>
      <w:r w:rsidRPr="00D66B27">
        <w:rPr>
          <w:rFonts w:ascii="Verdana" w:eastAsia="Times New Roman" w:hAnsi="Verdana"/>
          <w:sz w:val="20"/>
          <w:szCs w:val="20"/>
          <w:vertAlign w:val="superscript"/>
        </w:rPr>
        <w:footnoteReference w:id="50"/>
      </w:r>
      <w:r w:rsidRPr="00D66B27">
        <w:rPr>
          <w:rFonts w:ascii="Verdana" w:eastAsia="Times New Roman" w:hAnsi="Verdana"/>
          <w:sz w:val="20"/>
          <w:szCs w:val="20"/>
        </w:rPr>
        <w:t>.</w:t>
      </w:r>
    </w:p>
    <w:p w14:paraId="0AA7631B" w14:textId="77777777" w:rsidR="007414FE" w:rsidRDefault="007414FE" w:rsidP="007414FE">
      <w:pPr>
        <w:pStyle w:val="Prrafodelista"/>
        <w:spacing w:after="0" w:line="240" w:lineRule="auto"/>
        <w:ind w:left="0"/>
        <w:jc w:val="both"/>
        <w:rPr>
          <w:rFonts w:ascii="Verdana" w:eastAsia="Times New Roman" w:hAnsi="Verdana" w:cs="Garamond"/>
          <w:sz w:val="20"/>
          <w:szCs w:val="20"/>
        </w:rPr>
      </w:pPr>
    </w:p>
    <w:p w14:paraId="12F3F683" w14:textId="77777777" w:rsidR="00B26AA3" w:rsidRDefault="00B26AA3" w:rsidP="007414FE">
      <w:pPr>
        <w:pStyle w:val="Prrafodelista"/>
        <w:spacing w:after="0" w:line="240" w:lineRule="auto"/>
        <w:ind w:left="0"/>
        <w:jc w:val="both"/>
        <w:rPr>
          <w:rFonts w:ascii="Verdana" w:eastAsia="Times New Roman" w:hAnsi="Verdana" w:cs="Garamond"/>
          <w:sz w:val="20"/>
          <w:szCs w:val="20"/>
        </w:rPr>
      </w:pPr>
    </w:p>
    <w:p w14:paraId="07F9351F" w14:textId="77777777" w:rsidR="00715AC8" w:rsidRPr="00D66B27" w:rsidRDefault="00715AC8" w:rsidP="007414FE">
      <w:pPr>
        <w:pStyle w:val="Prrafodelista"/>
        <w:spacing w:after="0" w:line="240" w:lineRule="auto"/>
        <w:ind w:left="0"/>
        <w:jc w:val="both"/>
        <w:rPr>
          <w:rFonts w:ascii="Verdana" w:eastAsia="Times New Roman" w:hAnsi="Verdana" w:cs="Garamond"/>
          <w:sz w:val="20"/>
          <w:szCs w:val="20"/>
        </w:rPr>
      </w:pPr>
    </w:p>
    <w:p w14:paraId="5291C26C" w14:textId="5620E889" w:rsidR="007414FE" w:rsidRPr="00D66B27" w:rsidRDefault="007414FE" w:rsidP="007414FE">
      <w:pPr>
        <w:pStyle w:val="Prrafodelista"/>
        <w:spacing w:after="0" w:line="240" w:lineRule="auto"/>
        <w:ind w:left="1413" w:hanging="705"/>
        <w:jc w:val="both"/>
        <w:rPr>
          <w:rFonts w:ascii="Verdana" w:eastAsia="Times New Roman" w:hAnsi="Verdana" w:cs="Garamond"/>
          <w:sz w:val="20"/>
          <w:szCs w:val="20"/>
        </w:rPr>
      </w:pPr>
      <w:bookmarkStart w:id="14" w:name="_Toc413397475"/>
      <w:r w:rsidRPr="00D66B27">
        <w:rPr>
          <w:rFonts w:ascii="Verdana" w:eastAsia="Times New Roman" w:hAnsi="Verdana" w:cs="Garamond"/>
          <w:b/>
          <w:i/>
          <w:sz w:val="20"/>
          <w:szCs w:val="20"/>
        </w:rPr>
        <w:lastRenderedPageBreak/>
        <w:t>A.6</w:t>
      </w:r>
      <w:r w:rsidRPr="00D66B27">
        <w:rPr>
          <w:rFonts w:ascii="Verdana" w:eastAsia="Times New Roman" w:hAnsi="Verdana" w:cs="Garamond"/>
          <w:b/>
          <w:i/>
          <w:sz w:val="20"/>
          <w:szCs w:val="20"/>
        </w:rPr>
        <w:tab/>
        <w:t>Situación de Pamela Adriana Vivanco</w:t>
      </w:r>
      <w:r w:rsidR="00C9421F">
        <w:rPr>
          <w:rFonts w:ascii="Verdana" w:eastAsia="Times New Roman" w:hAnsi="Verdana" w:cs="Garamond"/>
          <w:b/>
          <w:i/>
          <w:sz w:val="20"/>
          <w:szCs w:val="20"/>
        </w:rPr>
        <w:t xml:space="preserve"> Medina</w:t>
      </w:r>
      <w:r w:rsidRPr="00D66B27">
        <w:rPr>
          <w:rFonts w:ascii="Verdana" w:eastAsia="Times New Roman" w:hAnsi="Verdana" w:cs="Garamond"/>
          <w:b/>
          <w:i/>
          <w:sz w:val="20"/>
          <w:szCs w:val="20"/>
        </w:rPr>
        <w:t xml:space="preserve"> y su causa contra el Fisco de Chile</w:t>
      </w:r>
      <w:bookmarkEnd w:id="14"/>
    </w:p>
    <w:p w14:paraId="3CDC8B3E" w14:textId="77777777" w:rsidR="007414FE" w:rsidRPr="00D66B27" w:rsidRDefault="007414FE" w:rsidP="007414FE">
      <w:pPr>
        <w:pStyle w:val="Prrafodelista"/>
        <w:spacing w:after="0" w:line="240" w:lineRule="auto"/>
        <w:ind w:left="0"/>
        <w:jc w:val="both"/>
        <w:rPr>
          <w:rFonts w:ascii="Verdana" w:eastAsia="Times New Roman" w:hAnsi="Verdana" w:cs="Garamond"/>
          <w:sz w:val="20"/>
          <w:szCs w:val="20"/>
        </w:rPr>
      </w:pPr>
    </w:p>
    <w:p w14:paraId="73D6937A" w14:textId="593F840B"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Según el informe</w:t>
      </w:r>
      <w:r w:rsidRPr="00D66B27">
        <w:rPr>
          <w:rFonts w:ascii="Verdana" w:eastAsia="Times New Roman" w:hAnsi="Verdana"/>
          <w:sz w:val="20"/>
          <w:szCs w:val="20"/>
        </w:rPr>
        <w:t xml:space="preserve"> de la Comisión Rettig, el 28 de septiembre de 1973 el señor Ramón Vivanco, militante del partido comunista y trabajador de la maestranza San Bernardo de Ferrocarriles, fue detenido junto a diez personas más en un operativo realizado por militares en ese lugar. Los detenidos fueron ejecutados el 6 de octubre de 1973 por miembros del Ejército en el centro de detención de Cerro Chena y sus cuerpos fueron enviados al Instituto de Medicina Legal. La Comisión Rettig se formó convicción de que la muerte de la víctima constituyó violación de derechos humanos y que fue ejecutado al margen de todo proceso por agentes estatales</w:t>
      </w:r>
      <w:r w:rsidRPr="00D66B27">
        <w:rPr>
          <w:rFonts w:ascii="Verdana" w:eastAsia="Times New Roman" w:hAnsi="Verdana"/>
          <w:sz w:val="20"/>
          <w:szCs w:val="20"/>
          <w:vertAlign w:val="superscript"/>
        </w:rPr>
        <w:footnoteReference w:id="51"/>
      </w:r>
      <w:r w:rsidRPr="00D66B27">
        <w:rPr>
          <w:rFonts w:ascii="Verdana" w:eastAsia="Times New Roman" w:hAnsi="Verdana"/>
          <w:sz w:val="20"/>
          <w:szCs w:val="20"/>
        </w:rPr>
        <w:t>.</w:t>
      </w:r>
    </w:p>
    <w:p w14:paraId="09E493E1"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2109C93A" w14:textId="2F75E523"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En los términos de</w:t>
      </w:r>
      <w:r w:rsidRPr="00D66B27">
        <w:rPr>
          <w:rFonts w:ascii="Verdana" w:eastAsia="Times New Roman" w:hAnsi="Verdana"/>
          <w:sz w:val="20"/>
          <w:szCs w:val="20"/>
        </w:rPr>
        <w:t xml:space="preserve"> la Ley 19.123 de 1992, la hija del señor Vivanco, señora Pamela Adriana Vivanco</w:t>
      </w:r>
      <w:r w:rsidR="004E5842">
        <w:rPr>
          <w:rFonts w:ascii="Verdana" w:eastAsia="Times New Roman" w:hAnsi="Verdana"/>
          <w:sz w:val="20"/>
          <w:szCs w:val="20"/>
        </w:rPr>
        <w:t xml:space="preserve"> Medina</w:t>
      </w:r>
      <w:r w:rsidRPr="00D66B27">
        <w:rPr>
          <w:rFonts w:ascii="Verdana" w:eastAsia="Times New Roman" w:hAnsi="Verdana"/>
          <w:sz w:val="20"/>
          <w:szCs w:val="20"/>
        </w:rPr>
        <w:t xml:space="preserve">, recibió una bonificación compensatoria y su pensión rigió desde el 1˚ de julio de 1991 hasta el 31 de diciembre de 1993, fecha límite por edad. </w:t>
      </w:r>
    </w:p>
    <w:p w14:paraId="0F79692D"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3FC4922E" w14:textId="092434F6"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El 30 de agosto de 2000 la señora Vivanco interpuso demanda civil de indemnización de perjuicios contra el Fisco de Chile</w:t>
      </w:r>
      <w:r w:rsidRPr="00D66B27">
        <w:rPr>
          <w:rFonts w:ascii="Verdana" w:eastAsia="Times New Roman" w:hAnsi="Verdana"/>
          <w:sz w:val="20"/>
          <w:szCs w:val="20"/>
        </w:rPr>
        <w:t>, ante el 16º Juzgado Civil, por el daño moral causado por la muerte de su padre. El 4 de octubre de 2002 el juzgado negó las pretensiones de la demanda en aplicación del término de prescripción de cinco años de la acción ordinaria previsto en los artículos 2.514 y 2.515 del Código Civil.  El juez consideró que la acción fue interpuesta más de cinco años después de que la acción se hizo exigible, el 4 de marzo de 1991; fecha en la que se publicó el Informe de la Comisión Rettig.  El 22 de enero de 2003 la señora Vivanco interpuso recurso de apelación contra dicha sentencia ante la CAS, la cual declaró desierto el recurso el 6 de mayo de 2003, porque la apelante no compareció.</w:t>
      </w:r>
    </w:p>
    <w:p w14:paraId="7328B657" w14:textId="77777777" w:rsidR="007414FE" w:rsidRPr="00D66B27" w:rsidRDefault="007414FE" w:rsidP="00D2166C">
      <w:pPr>
        <w:pStyle w:val="Prrafodelista"/>
        <w:spacing w:after="0" w:line="240" w:lineRule="auto"/>
        <w:ind w:left="0"/>
        <w:jc w:val="both"/>
        <w:rPr>
          <w:rFonts w:ascii="Verdana" w:eastAsia="Times New Roman" w:hAnsi="Verdana" w:cs="Garamond"/>
          <w:sz w:val="20"/>
          <w:szCs w:val="20"/>
        </w:rPr>
      </w:pPr>
    </w:p>
    <w:p w14:paraId="7BE81A51" w14:textId="4C0FA382" w:rsidR="007414FE" w:rsidRPr="00D66B27" w:rsidRDefault="007414FE" w:rsidP="00D2166C">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Mediante</w:t>
      </w:r>
      <w:r w:rsidRPr="00D66B27">
        <w:rPr>
          <w:rFonts w:ascii="Verdana" w:eastAsia="Times New Roman" w:hAnsi="Verdana"/>
          <w:sz w:val="20"/>
          <w:szCs w:val="20"/>
        </w:rPr>
        <w:t xml:space="preserve"> la Ley 19.980 de 2004, la hija de la víctima percibió un bono de reparación consistente en la diferencia de lo recibido por concepto de pensión y el monto de este bono que tenía el valor de 10.000.000,00 Pesos chilenos.</w:t>
      </w:r>
    </w:p>
    <w:p w14:paraId="1246993A" w14:textId="77777777" w:rsidR="007414FE" w:rsidRDefault="007414FE" w:rsidP="007414FE">
      <w:pPr>
        <w:pStyle w:val="Prrafodelista"/>
        <w:spacing w:after="0" w:line="240" w:lineRule="auto"/>
        <w:ind w:left="0"/>
        <w:jc w:val="both"/>
        <w:rPr>
          <w:rFonts w:ascii="Verdana" w:eastAsia="Times New Roman" w:hAnsi="Verdana" w:cs="Garamond"/>
          <w:sz w:val="20"/>
          <w:szCs w:val="20"/>
        </w:rPr>
      </w:pPr>
    </w:p>
    <w:p w14:paraId="3444A847" w14:textId="77777777" w:rsidR="00B26AA3" w:rsidRPr="00D66B27" w:rsidRDefault="00B26AA3" w:rsidP="007414FE">
      <w:pPr>
        <w:pStyle w:val="Prrafodelista"/>
        <w:spacing w:after="0" w:line="240" w:lineRule="auto"/>
        <w:ind w:left="0"/>
        <w:jc w:val="both"/>
        <w:rPr>
          <w:rFonts w:ascii="Verdana" w:eastAsia="Times New Roman" w:hAnsi="Verdana" w:cs="Garamond"/>
          <w:sz w:val="20"/>
          <w:szCs w:val="20"/>
        </w:rPr>
      </w:pPr>
    </w:p>
    <w:p w14:paraId="39710D07" w14:textId="77777777" w:rsidR="007414FE" w:rsidRPr="00D66B27" w:rsidRDefault="007414FE" w:rsidP="007414FE">
      <w:pPr>
        <w:pStyle w:val="Prrafodelista"/>
        <w:spacing w:after="0" w:line="240" w:lineRule="auto"/>
        <w:ind w:left="1413" w:hanging="705"/>
        <w:jc w:val="both"/>
        <w:rPr>
          <w:rFonts w:ascii="Verdana" w:eastAsia="Times New Roman" w:hAnsi="Verdana" w:cs="Garamond"/>
          <w:sz w:val="20"/>
          <w:szCs w:val="20"/>
        </w:rPr>
      </w:pPr>
      <w:bookmarkStart w:id="15" w:name="_Toc413397476"/>
      <w:r w:rsidRPr="00D66B27">
        <w:rPr>
          <w:rFonts w:ascii="Verdana" w:eastAsia="Times New Roman" w:hAnsi="Verdana" w:cs="Garamond"/>
          <w:b/>
          <w:i/>
          <w:sz w:val="20"/>
          <w:szCs w:val="20"/>
        </w:rPr>
        <w:t>A.7</w:t>
      </w:r>
      <w:r w:rsidRPr="00D66B27">
        <w:rPr>
          <w:rFonts w:ascii="Verdana" w:eastAsia="Times New Roman" w:hAnsi="Verdana" w:cs="Garamond"/>
          <w:b/>
          <w:i/>
          <w:sz w:val="20"/>
          <w:szCs w:val="20"/>
        </w:rPr>
        <w:tab/>
        <w:t>Situación del grupo familiar de Carlos Melo y su causa contra el Fisco de Chile</w:t>
      </w:r>
      <w:bookmarkEnd w:id="15"/>
    </w:p>
    <w:p w14:paraId="410D9FE8" w14:textId="77777777" w:rsidR="007414FE" w:rsidRPr="00D66B27" w:rsidRDefault="007414FE" w:rsidP="007414FE">
      <w:pPr>
        <w:pStyle w:val="Prrafodelista"/>
        <w:spacing w:after="0" w:line="240" w:lineRule="auto"/>
        <w:ind w:left="0"/>
        <w:jc w:val="both"/>
        <w:rPr>
          <w:rFonts w:ascii="Verdana" w:eastAsia="Times New Roman" w:hAnsi="Verdana" w:cs="Garamond"/>
          <w:sz w:val="20"/>
          <w:szCs w:val="20"/>
        </w:rPr>
      </w:pPr>
    </w:p>
    <w:p w14:paraId="42BC635E" w14:textId="77777777" w:rsidR="007414FE" w:rsidRPr="00D66B27" w:rsidRDefault="007414FE" w:rsidP="00975EE0">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 xml:space="preserve">Según </w:t>
      </w:r>
      <w:r w:rsidRPr="00D66B27">
        <w:rPr>
          <w:rFonts w:ascii="Verdana" w:eastAsia="Times New Roman" w:hAnsi="Verdana"/>
          <w:sz w:val="20"/>
          <w:szCs w:val="20"/>
        </w:rPr>
        <w:t>el</w:t>
      </w:r>
      <w:r w:rsidRPr="00D66B27">
        <w:rPr>
          <w:rFonts w:ascii="Verdana" w:eastAsia="Times New Roman" w:hAnsi="Verdana" w:cs="Garamond"/>
          <w:sz w:val="20"/>
          <w:szCs w:val="20"/>
        </w:rPr>
        <w:t xml:space="preserve"> Informe </w:t>
      </w:r>
      <w:r w:rsidRPr="00D66B27">
        <w:rPr>
          <w:rFonts w:ascii="Verdana" w:eastAsia="Times New Roman" w:hAnsi="Verdana"/>
          <w:sz w:val="20"/>
          <w:szCs w:val="20"/>
        </w:rPr>
        <w:t xml:space="preserve">de la Comisión Rettig, el 29 de septiembre de 1973 el señor Mario Ramiro Melo Prádenas, oficial del Ejército en retiro, secretario privado e integrante del Dispositivo de Seguridad del Presidente Salvador Allende y militante socialista, fue detenido por una patrulla de la Fuerza Aérea Chilena (FACH) y trasladado al Ministerio de Defensa. Fue visto por última vez en el recinto militar de Peldehue. </w:t>
      </w:r>
      <w:r w:rsidRPr="00D66B27">
        <w:rPr>
          <w:rFonts w:ascii="Verdana" w:eastAsia="Times New Roman" w:hAnsi="Verdana" w:cs="Garamond"/>
          <w:sz w:val="20"/>
          <w:szCs w:val="20"/>
        </w:rPr>
        <w:t>La</w:t>
      </w:r>
      <w:r w:rsidRPr="00D66B27">
        <w:rPr>
          <w:rFonts w:ascii="Verdana" w:eastAsia="Times New Roman" w:hAnsi="Verdana"/>
          <w:sz w:val="20"/>
          <w:szCs w:val="20"/>
        </w:rPr>
        <w:t xml:space="preserve"> Comisión Rettig se formó “la convicción que el afectado se encuentra desaparecido por responsabilidad de agentes del Estado, con violación de sus derechos humanos, […]el que desde esa época no haya noticia alguna sobre su paradero y suerte, no existiendo constancia de su defunción ni de actuaciones que den cuenta de su existencia”</w:t>
      </w:r>
      <w:r w:rsidRPr="00D66B27">
        <w:rPr>
          <w:rFonts w:ascii="Verdana" w:eastAsia="Times New Roman" w:hAnsi="Verdana"/>
          <w:sz w:val="20"/>
          <w:szCs w:val="20"/>
          <w:vertAlign w:val="superscript"/>
        </w:rPr>
        <w:footnoteReference w:id="52"/>
      </w:r>
      <w:r w:rsidRPr="00D66B27">
        <w:rPr>
          <w:rFonts w:ascii="Verdana" w:eastAsia="Times New Roman" w:hAnsi="Verdana"/>
          <w:sz w:val="20"/>
          <w:szCs w:val="20"/>
        </w:rPr>
        <w:t>.</w:t>
      </w:r>
    </w:p>
    <w:p w14:paraId="503CF00E" w14:textId="77777777" w:rsidR="007414FE" w:rsidRPr="00D66B27" w:rsidRDefault="007414FE" w:rsidP="007414FE">
      <w:pPr>
        <w:pStyle w:val="Prrafodelista"/>
        <w:spacing w:after="0" w:line="240" w:lineRule="auto"/>
        <w:ind w:left="0"/>
        <w:jc w:val="both"/>
        <w:rPr>
          <w:rFonts w:ascii="Verdana" w:eastAsia="Times New Roman" w:hAnsi="Verdana" w:cs="Garamond"/>
          <w:sz w:val="20"/>
          <w:szCs w:val="20"/>
        </w:rPr>
      </w:pPr>
    </w:p>
    <w:p w14:paraId="4CD219EF" w14:textId="6C9993B8" w:rsidR="007414FE" w:rsidRPr="00D66B27" w:rsidRDefault="007414FE" w:rsidP="00975EE0">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En los términos de</w:t>
      </w:r>
      <w:r w:rsidRPr="00D66B27">
        <w:rPr>
          <w:rFonts w:ascii="Verdana" w:eastAsia="Times New Roman" w:hAnsi="Verdana"/>
          <w:sz w:val="20"/>
          <w:szCs w:val="20"/>
        </w:rPr>
        <w:t xml:space="preserve"> la Ley 19.123 de 1992, la señora María Ilia Prádenas Pérez recibió una bonificación compensatoria, ascendiente al 40% de la pensión mensual cuando hay más de un beneficiario (504.943,00 Pesos chilenos). Su pensión rigió desde el 1˚ de julio de 1991, hasta su muerte el 29 mayo de 2006.  </w:t>
      </w:r>
    </w:p>
    <w:p w14:paraId="3339BF4A" w14:textId="77777777" w:rsidR="007414FE" w:rsidRPr="00D66B27" w:rsidRDefault="007414FE" w:rsidP="00975EE0">
      <w:pPr>
        <w:pStyle w:val="Prrafodelista"/>
        <w:spacing w:after="0" w:line="240" w:lineRule="auto"/>
        <w:ind w:left="0"/>
        <w:jc w:val="both"/>
        <w:rPr>
          <w:rFonts w:ascii="Verdana" w:eastAsia="Times New Roman" w:hAnsi="Verdana" w:cs="Garamond"/>
          <w:sz w:val="20"/>
          <w:szCs w:val="20"/>
        </w:rPr>
      </w:pPr>
    </w:p>
    <w:p w14:paraId="496C4F13" w14:textId="3BA01F49" w:rsidR="007414FE" w:rsidRPr="00D66B27" w:rsidRDefault="007414FE" w:rsidP="00975EE0">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El 17</w:t>
      </w:r>
      <w:r w:rsidRPr="00D66B27">
        <w:rPr>
          <w:rFonts w:ascii="Verdana" w:eastAsia="Times New Roman" w:hAnsi="Verdana"/>
          <w:sz w:val="20"/>
          <w:szCs w:val="20"/>
        </w:rPr>
        <w:t xml:space="preserve"> de agosto </w:t>
      </w:r>
      <w:r w:rsidR="00D66B27">
        <w:rPr>
          <w:rFonts w:ascii="Verdana" w:eastAsia="Times New Roman" w:hAnsi="Verdana"/>
          <w:sz w:val="20"/>
          <w:szCs w:val="20"/>
        </w:rPr>
        <w:t>de 2001 el señor Carlos Melo Prá</w:t>
      </w:r>
      <w:r w:rsidRPr="00D66B27">
        <w:rPr>
          <w:rFonts w:ascii="Verdana" w:eastAsia="Times New Roman" w:hAnsi="Verdana"/>
          <w:sz w:val="20"/>
          <w:szCs w:val="20"/>
        </w:rPr>
        <w:t>denas, el señor Mario Melo Acuña y la seño</w:t>
      </w:r>
      <w:r w:rsidR="00D66B27">
        <w:rPr>
          <w:rFonts w:ascii="Verdana" w:eastAsia="Times New Roman" w:hAnsi="Verdana"/>
          <w:sz w:val="20"/>
          <w:szCs w:val="20"/>
        </w:rPr>
        <w:t>ra María Ilia Prá</w:t>
      </w:r>
      <w:r w:rsidRPr="00D66B27">
        <w:rPr>
          <w:rFonts w:ascii="Verdana" w:eastAsia="Times New Roman" w:hAnsi="Verdana"/>
          <w:sz w:val="20"/>
          <w:szCs w:val="20"/>
        </w:rPr>
        <w:t xml:space="preserve">denas Pérez, hermano y padres del señor Mario Ramiro Melo Prádenas, interpusieron una acción civil por indemnización de perjuicios ante el 8º Juzgado Civil por daños morales.  El 27 de septiembre de 2002 el juzgado denegó la acción por considerar que no se probaron los hechos alegados y que la acción estaba prescrita. Asimismo, consideró que ya se </w:t>
      </w:r>
      <w:r w:rsidRPr="00D66B27">
        <w:rPr>
          <w:rFonts w:ascii="Verdana" w:eastAsia="Times New Roman" w:hAnsi="Verdana"/>
          <w:sz w:val="20"/>
          <w:szCs w:val="20"/>
        </w:rPr>
        <w:lastRenderedPageBreak/>
        <w:t>había indemnizado a los demandantes mediante la Ley 19.123. Esta sentencia fue apelada ante la CAS, la cual declaró desierta la apelación el 12 de junio de 2003.</w:t>
      </w:r>
    </w:p>
    <w:p w14:paraId="5B2279E5" w14:textId="77777777" w:rsidR="007414FE" w:rsidRPr="00D66B27" w:rsidRDefault="007414FE" w:rsidP="00975EE0">
      <w:pPr>
        <w:pStyle w:val="Prrafodelista"/>
        <w:spacing w:after="0" w:line="240" w:lineRule="auto"/>
        <w:ind w:left="0"/>
        <w:jc w:val="both"/>
        <w:rPr>
          <w:rFonts w:ascii="Verdana" w:eastAsia="Times New Roman" w:hAnsi="Verdana" w:cs="Garamond"/>
          <w:sz w:val="20"/>
          <w:szCs w:val="20"/>
        </w:rPr>
      </w:pPr>
    </w:p>
    <w:p w14:paraId="54AB38E8" w14:textId="19BA16C2" w:rsidR="007414FE" w:rsidRPr="00D66B27" w:rsidRDefault="007414FE" w:rsidP="00975EE0">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El</w:t>
      </w:r>
      <w:r w:rsidRPr="00D66B27">
        <w:rPr>
          <w:rFonts w:ascii="Verdana" w:eastAsia="Times New Roman" w:hAnsi="Verdana"/>
          <w:sz w:val="20"/>
          <w:szCs w:val="20"/>
        </w:rPr>
        <w:t xml:space="preserve"> señor Mario Melo Acuña (padre) recibe una pensión mensual de reparación, que rige desde el 1˚ de agosto de 2006, con monto de beneficiario único de $360.674,00 Pesos chilenos. No consta si el señor Carlos Melo Prádenas (hermano) recibe reparaciones.</w:t>
      </w:r>
    </w:p>
    <w:p w14:paraId="47B2F9A4" w14:textId="77777777" w:rsidR="007414FE" w:rsidRDefault="007414FE" w:rsidP="007414FE">
      <w:pPr>
        <w:pStyle w:val="Prrafodelista"/>
        <w:spacing w:after="0" w:line="240" w:lineRule="auto"/>
        <w:ind w:left="0"/>
        <w:jc w:val="both"/>
        <w:rPr>
          <w:rFonts w:ascii="Verdana" w:eastAsia="Times New Roman" w:hAnsi="Verdana" w:cs="Garamond"/>
          <w:sz w:val="20"/>
          <w:szCs w:val="20"/>
        </w:rPr>
      </w:pPr>
    </w:p>
    <w:p w14:paraId="48F87778" w14:textId="77777777" w:rsidR="00B26AA3" w:rsidRPr="00D66B27" w:rsidRDefault="00B26AA3" w:rsidP="007414FE">
      <w:pPr>
        <w:pStyle w:val="Prrafodelista"/>
        <w:spacing w:after="0" w:line="240" w:lineRule="auto"/>
        <w:ind w:left="0"/>
        <w:jc w:val="both"/>
        <w:rPr>
          <w:rFonts w:ascii="Verdana" w:eastAsia="Times New Roman" w:hAnsi="Verdana" w:cs="Garamond"/>
          <w:sz w:val="20"/>
          <w:szCs w:val="20"/>
        </w:rPr>
      </w:pPr>
    </w:p>
    <w:p w14:paraId="381FEEDB" w14:textId="5EBE1F21" w:rsidR="007414FE" w:rsidRPr="00D66B27" w:rsidRDefault="007414FE" w:rsidP="007414FE">
      <w:pPr>
        <w:pStyle w:val="Prrafodelista"/>
        <w:spacing w:after="0" w:line="240" w:lineRule="auto"/>
        <w:ind w:left="1413" w:hanging="705"/>
        <w:jc w:val="both"/>
        <w:rPr>
          <w:rFonts w:ascii="Verdana" w:eastAsia="Times New Roman" w:hAnsi="Verdana" w:cs="Garamond"/>
          <w:sz w:val="20"/>
          <w:szCs w:val="20"/>
        </w:rPr>
      </w:pPr>
      <w:bookmarkStart w:id="16" w:name="_Toc413397477"/>
      <w:r w:rsidRPr="00D66B27">
        <w:rPr>
          <w:rFonts w:ascii="Verdana" w:eastAsia="Times New Roman" w:hAnsi="Verdana" w:cs="Garamond"/>
          <w:b/>
          <w:i/>
          <w:sz w:val="20"/>
          <w:szCs w:val="20"/>
        </w:rPr>
        <w:t>A.8</w:t>
      </w:r>
      <w:r w:rsidRPr="00D66B27">
        <w:rPr>
          <w:rFonts w:ascii="Verdana" w:eastAsia="Times New Roman" w:hAnsi="Verdana" w:cs="Garamond"/>
          <w:b/>
          <w:i/>
          <w:sz w:val="20"/>
          <w:szCs w:val="20"/>
        </w:rPr>
        <w:tab/>
        <w:t>Situación de Katia Ximena Espejo</w:t>
      </w:r>
      <w:r w:rsidR="00BE3FC7">
        <w:rPr>
          <w:rFonts w:ascii="Verdana" w:eastAsia="Times New Roman" w:hAnsi="Verdana" w:cs="Garamond"/>
          <w:b/>
          <w:i/>
          <w:sz w:val="20"/>
          <w:szCs w:val="20"/>
        </w:rPr>
        <w:t xml:space="preserve"> Gómez</w:t>
      </w:r>
      <w:r w:rsidRPr="00D66B27">
        <w:rPr>
          <w:rFonts w:ascii="Verdana" w:eastAsia="Times New Roman" w:hAnsi="Verdana" w:cs="Garamond"/>
          <w:b/>
          <w:i/>
          <w:sz w:val="20"/>
          <w:szCs w:val="20"/>
        </w:rPr>
        <w:t xml:space="preserve"> y su madre y su causa contra el Fisco de Chile</w:t>
      </w:r>
      <w:bookmarkEnd w:id="16"/>
      <w:r w:rsidRPr="00D66B27">
        <w:rPr>
          <w:rFonts w:ascii="Verdana" w:eastAsia="Times New Roman" w:hAnsi="Verdana" w:cs="Garamond"/>
          <w:b/>
          <w:i/>
          <w:sz w:val="20"/>
          <w:szCs w:val="20"/>
        </w:rPr>
        <w:t xml:space="preserve"> </w:t>
      </w:r>
    </w:p>
    <w:p w14:paraId="3C1B1F13" w14:textId="77777777" w:rsidR="007414FE" w:rsidRPr="00D66B27" w:rsidRDefault="007414FE" w:rsidP="007414FE">
      <w:pPr>
        <w:pStyle w:val="Prrafodelista"/>
        <w:spacing w:after="0" w:line="240" w:lineRule="auto"/>
        <w:ind w:left="0"/>
        <w:jc w:val="both"/>
        <w:rPr>
          <w:rFonts w:ascii="Verdana" w:eastAsia="Times New Roman" w:hAnsi="Verdana" w:cs="Garamond"/>
          <w:sz w:val="20"/>
          <w:szCs w:val="20"/>
        </w:rPr>
      </w:pPr>
    </w:p>
    <w:p w14:paraId="7783FBBC" w14:textId="77777777" w:rsidR="007414FE" w:rsidRPr="00D66B27" w:rsidRDefault="007414FE" w:rsidP="00975EE0">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Según</w:t>
      </w:r>
      <w:r w:rsidRPr="00D66B27">
        <w:rPr>
          <w:rFonts w:ascii="Verdana" w:eastAsia="Times New Roman" w:hAnsi="Verdana"/>
          <w:sz w:val="20"/>
          <w:szCs w:val="20"/>
        </w:rPr>
        <w:t xml:space="preserve"> el Informe de la Comisión Rettig, el 15 de agosto de 1974 Rodolfo Espejo fue detenido en su domicilio en Santiago. Tenía 18 años de edad, era estudiante secundario y militante del Partido Socialista. Su detención fue realizada por agentes de la DINA. Ante los requerimientos judiciales de información las autoridades negaron que él se encontrara detenido. Se ha podido establecer por medio de testimonios que permaneció en una localidad en Londres No. 38 y Cuatro Alamos. La Comisión Rettig está convencida de que su desaparición fue obra de agentes del Estado, quienes violaron sus derechos humanos</w:t>
      </w:r>
      <w:r w:rsidRPr="00D66B27">
        <w:rPr>
          <w:rFonts w:ascii="Verdana" w:eastAsia="Times New Roman" w:hAnsi="Verdana"/>
          <w:sz w:val="20"/>
          <w:szCs w:val="20"/>
          <w:vertAlign w:val="superscript"/>
        </w:rPr>
        <w:footnoteReference w:id="53"/>
      </w:r>
      <w:r w:rsidRPr="00D66B27">
        <w:rPr>
          <w:rFonts w:ascii="Verdana" w:eastAsia="Times New Roman" w:hAnsi="Verdana"/>
          <w:sz w:val="20"/>
          <w:szCs w:val="20"/>
        </w:rPr>
        <w:t>.</w:t>
      </w:r>
    </w:p>
    <w:p w14:paraId="1D5D415A" w14:textId="77777777" w:rsidR="007414FE" w:rsidRPr="00D66B27" w:rsidRDefault="007414FE" w:rsidP="00975EE0">
      <w:pPr>
        <w:pStyle w:val="Prrafodelista"/>
        <w:spacing w:after="0" w:line="240" w:lineRule="auto"/>
        <w:ind w:left="0"/>
        <w:jc w:val="both"/>
        <w:rPr>
          <w:rFonts w:ascii="Verdana" w:eastAsia="Times New Roman" w:hAnsi="Verdana" w:cs="Garamond"/>
          <w:sz w:val="20"/>
          <w:szCs w:val="20"/>
        </w:rPr>
      </w:pPr>
    </w:p>
    <w:p w14:paraId="1DA0DC75" w14:textId="5864F6BF" w:rsidR="007414FE" w:rsidRPr="00D66B27" w:rsidRDefault="007414FE" w:rsidP="00975EE0">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En los términos de la</w:t>
      </w:r>
      <w:r w:rsidRPr="00D66B27">
        <w:rPr>
          <w:rFonts w:ascii="Verdana" w:eastAsia="Times New Roman" w:hAnsi="Verdana"/>
          <w:sz w:val="20"/>
          <w:szCs w:val="20"/>
        </w:rPr>
        <w:t xml:space="preserve"> Ley 19.123 de 1992, la madre de Rodolfo Espejo, señora Elena Alejandrina </w:t>
      </w:r>
      <w:r w:rsidR="00B26AA3">
        <w:rPr>
          <w:rFonts w:ascii="Verdana" w:eastAsia="Times New Roman" w:hAnsi="Verdana"/>
          <w:sz w:val="20"/>
          <w:szCs w:val="20"/>
        </w:rPr>
        <w:t xml:space="preserve">Gómez </w:t>
      </w:r>
      <w:r w:rsidRPr="008854CD">
        <w:rPr>
          <w:rFonts w:ascii="Verdana" w:eastAsia="Times New Roman" w:hAnsi="Verdana"/>
          <w:sz w:val="20"/>
          <w:szCs w:val="20"/>
        </w:rPr>
        <w:t>Vargas</w:t>
      </w:r>
      <w:r w:rsidRPr="00D66B27">
        <w:rPr>
          <w:rFonts w:ascii="Verdana" w:eastAsia="Times New Roman" w:hAnsi="Verdana"/>
          <w:sz w:val="20"/>
          <w:szCs w:val="20"/>
        </w:rPr>
        <w:t>, recibe una pensión mensual por la suma de $360.674,00 Pesos chilenos, que rige desde el 1˚ de julio de 1991. Asimismo, ella percibió bonificación compensatoria</w:t>
      </w:r>
      <w:r w:rsidR="00802DE2" w:rsidRPr="00D66B27">
        <w:rPr>
          <w:rFonts w:ascii="Verdana" w:eastAsia="Times New Roman" w:hAnsi="Verdana"/>
          <w:sz w:val="20"/>
          <w:szCs w:val="20"/>
        </w:rPr>
        <w:t>. No consta si la hermana del señor Espejo</w:t>
      </w:r>
      <w:r w:rsidRPr="00D66B27">
        <w:rPr>
          <w:rFonts w:ascii="Verdana" w:eastAsia="Times New Roman" w:hAnsi="Verdana"/>
          <w:sz w:val="20"/>
          <w:szCs w:val="20"/>
        </w:rPr>
        <w:t xml:space="preserve"> recibe reparaciones.</w:t>
      </w:r>
    </w:p>
    <w:p w14:paraId="3F364846" w14:textId="77777777" w:rsidR="007414FE" w:rsidRPr="00D66B27" w:rsidRDefault="007414FE" w:rsidP="00975EE0">
      <w:pPr>
        <w:pStyle w:val="Prrafodelista"/>
        <w:spacing w:after="0" w:line="240" w:lineRule="auto"/>
        <w:ind w:left="0"/>
        <w:jc w:val="both"/>
        <w:rPr>
          <w:rFonts w:ascii="Verdana" w:eastAsia="Times New Roman" w:hAnsi="Verdana" w:cs="Garamond"/>
          <w:sz w:val="20"/>
          <w:szCs w:val="20"/>
        </w:rPr>
      </w:pPr>
    </w:p>
    <w:p w14:paraId="207F821E" w14:textId="76B7E3A2" w:rsidR="007414FE" w:rsidRPr="00D66B27" w:rsidRDefault="007414FE" w:rsidP="00975EE0">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El</w:t>
      </w:r>
      <w:r w:rsidRPr="00D66B27">
        <w:rPr>
          <w:rFonts w:ascii="Verdana" w:eastAsia="Times New Roman" w:hAnsi="Verdana"/>
          <w:sz w:val="20"/>
          <w:szCs w:val="20"/>
        </w:rPr>
        <w:t xml:space="preserve"> 19 de julio de 2000 la señora Katia Ximena Espejo</w:t>
      </w:r>
      <w:r w:rsidR="00BE3FC7">
        <w:rPr>
          <w:rFonts w:ascii="Verdana" w:eastAsia="Times New Roman" w:hAnsi="Verdana"/>
          <w:sz w:val="20"/>
          <w:szCs w:val="20"/>
        </w:rPr>
        <w:t xml:space="preserve"> Gómez</w:t>
      </w:r>
      <w:r w:rsidRPr="00D66B27">
        <w:rPr>
          <w:rFonts w:ascii="Verdana" w:eastAsia="Times New Roman" w:hAnsi="Verdana"/>
          <w:sz w:val="20"/>
          <w:szCs w:val="20"/>
        </w:rPr>
        <w:t>, junto con su madre, interpusieron una demanda civil de indemnización de perjuicios ante el 17º Juzgado Civil</w:t>
      </w:r>
      <w:r w:rsidR="0020252F" w:rsidRPr="00D66B27">
        <w:rPr>
          <w:rFonts w:ascii="Verdana" w:eastAsia="Times New Roman" w:hAnsi="Verdana"/>
          <w:sz w:val="20"/>
          <w:szCs w:val="20"/>
        </w:rPr>
        <w:t xml:space="preserve"> (</w:t>
      </w:r>
      <w:r w:rsidR="0020252F" w:rsidRPr="00D66B27">
        <w:rPr>
          <w:rFonts w:ascii="Verdana" w:hAnsi="Verdana"/>
          <w:sz w:val="20"/>
          <w:szCs w:val="20"/>
        </w:rPr>
        <w:t>Rol 2918-200</w:t>
      </w:r>
      <w:r w:rsidR="0020252F" w:rsidRPr="00D66B27">
        <w:rPr>
          <w:rFonts w:ascii="Verdana" w:eastAsia="Times New Roman" w:hAnsi="Verdana"/>
          <w:sz w:val="20"/>
          <w:szCs w:val="20"/>
        </w:rPr>
        <w:t>)</w:t>
      </w:r>
      <w:r w:rsidRPr="00D66B27">
        <w:rPr>
          <w:rFonts w:ascii="Verdana" w:eastAsia="Times New Roman" w:hAnsi="Verdana"/>
          <w:sz w:val="20"/>
          <w:szCs w:val="20"/>
        </w:rPr>
        <w:t xml:space="preserve">. El 19 de junio de 2002 el 17º Juzgado Civil, aunque declaró probada la detención y desaparición de Rodolfo Espejo por agentes estatales, denegó las pretensiones de la demanda por considerar que la acción se encontraba prescrita. Al respecto, el juez señaló que los hechos ocurrieron el 15 de agosto de 1974, por lo que había transcurrido en exceso el plazo de cuatro años previsto en el artículo 2.332 del Código Civil. Las demandantes interpusieron recurso de apelación, el cual fue declarado desierto el 12 de junio de 2003 por la CAS. </w:t>
      </w:r>
    </w:p>
    <w:p w14:paraId="56AF86D3" w14:textId="77777777" w:rsidR="007414FE" w:rsidRDefault="007414FE" w:rsidP="007414FE">
      <w:pPr>
        <w:pStyle w:val="Prrafodelista"/>
        <w:spacing w:after="0" w:line="240" w:lineRule="auto"/>
        <w:ind w:left="0"/>
        <w:jc w:val="both"/>
        <w:rPr>
          <w:rFonts w:ascii="Verdana" w:eastAsia="Times New Roman" w:hAnsi="Verdana" w:cs="Garamond"/>
          <w:sz w:val="20"/>
          <w:szCs w:val="20"/>
        </w:rPr>
      </w:pPr>
    </w:p>
    <w:p w14:paraId="7F0C21F6" w14:textId="77777777" w:rsidR="00B26AA3" w:rsidRPr="00D66B27" w:rsidRDefault="00B26AA3" w:rsidP="007414FE">
      <w:pPr>
        <w:pStyle w:val="Prrafodelista"/>
        <w:spacing w:after="0" w:line="240" w:lineRule="auto"/>
        <w:ind w:left="0"/>
        <w:jc w:val="both"/>
        <w:rPr>
          <w:rFonts w:ascii="Verdana" w:eastAsia="Times New Roman" w:hAnsi="Verdana" w:cs="Garamond"/>
          <w:sz w:val="20"/>
          <w:szCs w:val="20"/>
        </w:rPr>
      </w:pPr>
    </w:p>
    <w:p w14:paraId="26D422E6" w14:textId="49E8A312" w:rsidR="007414FE" w:rsidRPr="00D66B27" w:rsidRDefault="007414FE" w:rsidP="007414FE">
      <w:pPr>
        <w:pStyle w:val="Prrafodelista"/>
        <w:spacing w:after="0" w:line="240" w:lineRule="auto"/>
        <w:ind w:left="1413" w:hanging="705"/>
        <w:jc w:val="both"/>
        <w:rPr>
          <w:rFonts w:ascii="Verdana" w:eastAsia="Times New Roman" w:hAnsi="Verdana" w:cs="Garamond"/>
          <w:b/>
          <w:i/>
          <w:sz w:val="20"/>
          <w:szCs w:val="20"/>
        </w:rPr>
      </w:pPr>
      <w:bookmarkStart w:id="17" w:name="_Toc413397478"/>
      <w:r w:rsidRPr="00D66B27">
        <w:rPr>
          <w:rFonts w:ascii="Verdana" w:eastAsia="Times New Roman" w:hAnsi="Verdana" w:cs="Garamond"/>
          <w:b/>
          <w:i/>
          <w:sz w:val="20"/>
          <w:szCs w:val="20"/>
        </w:rPr>
        <w:t>A.9</w:t>
      </w:r>
      <w:r w:rsidRPr="00D66B27">
        <w:rPr>
          <w:rFonts w:ascii="Verdana" w:eastAsia="Times New Roman" w:hAnsi="Verdana" w:cs="Garamond"/>
          <w:b/>
          <w:i/>
          <w:sz w:val="20"/>
          <w:szCs w:val="20"/>
        </w:rPr>
        <w:tab/>
        <w:t>Situación del grupo familiar de Magdalena</w:t>
      </w:r>
      <w:r w:rsidR="00BE3FC7">
        <w:rPr>
          <w:rFonts w:ascii="Verdana" w:eastAsia="Times New Roman" w:hAnsi="Verdana" w:cs="Garamond"/>
          <w:b/>
          <w:i/>
          <w:sz w:val="20"/>
          <w:szCs w:val="20"/>
        </w:rPr>
        <w:t xml:space="preserve"> Mercedes</w:t>
      </w:r>
      <w:r w:rsidRPr="00D66B27">
        <w:rPr>
          <w:rFonts w:ascii="Verdana" w:eastAsia="Times New Roman" w:hAnsi="Verdana" w:cs="Garamond"/>
          <w:b/>
          <w:i/>
          <w:sz w:val="20"/>
          <w:szCs w:val="20"/>
        </w:rPr>
        <w:t xml:space="preserve"> Navarrete</w:t>
      </w:r>
      <w:r w:rsidR="00BE3FC7">
        <w:rPr>
          <w:rFonts w:ascii="Verdana" w:eastAsia="Times New Roman" w:hAnsi="Verdana" w:cs="Garamond"/>
          <w:b/>
          <w:i/>
          <w:sz w:val="20"/>
          <w:szCs w:val="20"/>
        </w:rPr>
        <w:t xml:space="preserve"> Faraldo</w:t>
      </w:r>
      <w:r w:rsidRPr="00D66B27">
        <w:rPr>
          <w:rFonts w:ascii="Verdana" w:eastAsia="Times New Roman" w:hAnsi="Verdana" w:cs="Garamond"/>
          <w:b/>
          <w:i/>
          <w:sz w:val="20"/>
          <w:szCs w:val="20"/>
        </w:rPr>
        <w:t xml:space="preserve"> y su causa contra el Fisco de Chile</w:t>
      </w:r>
      <w:bookmarkEnd w:id="17"/>
    </w:p>
    <w:p w14:paraId="334B87A7" w14:textId="77777777" w:rsidR="007414FE" w:rsidRPr="00D66B27" w:rsidRDefault="007414FE" w:rsidP="007414FE">
      <w:pPr>
        <w:pStyle w:val="Prrafodelista"/>
        <w:spacing w:after="0" w:line="240" w:lineRule="auto"/>
        <w:ind w:left="0"/>
        <w:jc w:val="both"/>
        <w:rPr>
          <w:rFonts w:ascii="Verdana" w:eastAsia="Times New Roman" w:hAnsi="Verdana" w:cs="Garamond"/>
          <w:sz w:val="20"/>
          <w:szCs w:val="20"/>
        </w:rPr>
      </w:pPr>
    </w:p>
    <w:p w14:paraId="739FF10D" w14:textId="77777777" w:rsidR="007414FE" w:rsidRPr="00D66B27" w:rsidRDefault="007414FE" w:rsidP="00975EE0">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Según</w:t>
      </w:r>
      <w:r w:rsidRPr="00D66B27">
        <w:rPr>
          <w:rFonts w:ascii="Verdana" w:eastAsia="Times New Roman" w:hAnsi="Verdana"/>
          <w:sz w:val="20"/>
          <w:szCs w:val="20"/>
        </w:rPr>
        <w:t xml:space="preserve"> el Informe de la Comisión Rettig, el 16 de noviembre de 1974 el señor Sergio Reyes Navarrete, militante del Movimiento de Izquierda Revolucionaria (MIR), fue detenido en su domicilio por agentes de la DINA. El detenido se encuentra desaparecido desde entonces, sin que haya antecedentes ciertos sobre su permanencia en recintos de detención. La Comisión Rettig llegó a la convicción de que la víctima desapareció por acción de agentes del Estado, en violación de sus derechos humanos</w:t>
      </w:r>
      <w:r w:rsidRPr="00D66B27">
        <w:rPr>
          <w:rFonts w:ascii="Verdana" w:eastAsia="Times New Roman" w:hAnsi="Verdana"/>
          <w:sz w:val="20"/>
          <w:szCs w:val="20"/>
          <w:vertAlign w:val="superscript"/>
        </w:rPr>
        <w:footnoteReference w:id="54"/>
      </w:r>
      <w:r w:rsidRPr="00D66B27">
        <w:rPr>
          <w:rFonts w:ascii="Verdana" w:eastAsia="Times New Roman" w:hAnsi="Verdana"/>
          <w:sz w:val="20"/>
          <w:szCs w:val="20"/>
        </w:rPr>
        <w:t>.</w:t>
      </w:r>
    </w:p>
    <w:p w14:paraId="59EF6254" w14:textId="77777777" w:rsidR="007414FE" w:rsidRPr="00D66B27" w:rsidRDefault="007414FE" w:rsidP="00975EE0">
      <w:pPr>
        <w:pStyle w:val="Prrafodelista"/>
        <w:spacing w:after="0" w:line="240" w:lineRule="auto"/>
        <w:ind w:left="0"/>
        <w:jc w:val="both"/>
        <w:rPr>
          <w:rFonts w:ascii="Verdana" w:eastAsia="Times New Roman" w:hAnsi="Verdana" w:cs="Garamond"/>
          <w:sz w:val="20"/>
          <w:szCs w:val="20"/>
        </w:rPr>
      </w:pPr>
    </w:p>
    <w:p w14:paraId="4F9C0BDA" w14:textId="10C1E373" w:rsidR="007414FE" w:rsidRPr="00D66B27" w:rsidRDefault="007414FE" w:rsidP="00975EE0">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t>En los términos de</w:t>
      </w:r>
      <w:r w:rsidRPr="00D66B27">
        <w:rPr>
          <w:rFonts w:ascii="Verdana" w:eastAsia="Times New Roman" w:hAnsi="Verdana"/>
          <w:sz w:val="20"/>
          <w:szCs w:val="20"/>
        </w:rPr>
        <w:t xml:space="preserve"> la Ley 19.123 de 1992, la señora Magdalena</w:t>
      </w:r>
      <w:r w:rsidR="00BE3FC7">
        <w:rPr>
          <w:rFonts w:ascii="Verdana" w:eastAsia="Times New Roman" w:hAnsi="Verdana"/>
          <w:sz w:val="20"/>
          <w:szCs w:val="20"/>
        </w:rPr>
        <w:t xml:space="preserve"> Mercedes</w:t>
      </w:r>
      <w:r w:rsidRPr="00D66B27">
        <w:rPr>
          <w:rFonts w:ascii="Verdana" w:eastAsia="Times New Roman" w:hAnsi="Verdana"/>
          <w:sz w:val="20"/>
          <w:szCs w:val="20"/>
        </w:rPr>
        <w:t xml:space="preserve"> Navarrete</w:t>
      </w:r>
      <w:r w:rsidR="00BE3FC7">
        <w:rPr>
          <w:rFonts w:ascii="Verdana" w:eastAsia="Times New Roman" w:hAnsi="Verdana"/>
          <w:sz w:val="20"/>
          <w:szCs w:val="20"/>
        </w:rPr>
        <w:t xml:space="preserve"> Faraldo</w:t>
      </w:r>
      <w:r w:rsidRPr="00D66B27">
        <w:rPr>
          <w:rFonts w:ascii="Verdana" w:eastAsia="Times New Roman" w:hAnsi="Verdana"/>
          <w:sz w:val="20"/>
          <w:szCs w:val="20"/>
        </w:rPr>
        <w:t>, madre del señor Reyes, percibió bonificación compensatoria y su pensión rige desde el 1 de julio de 1991 y corresponde a 360.674 Pesos chilenos mensuales. Asimismo, la señora María Elisa Zepeda Rojas, esposa de aquél, percibió bonificación compensatoria y su pensión rige desde el 1˚ de julio de 1991 y corresponde al 40% de 504.945 Pesos chilenos. Su hijo percibió bono compensatorio y pensión. No consta si Alberto, Patricio Hernán y Víctor Eduardo Reyes Navarrete, hermanos del señor Reyes, reciben reparaciones.</w:t>
      </w:r>
    </w:p>
    <w:p w14:paraId="307F9425" w14:textId="77777777" w:rsidR="007414FE" w:rsidRPr="00D66B27" w:rsidRDefault="007414FE" w:rsidP="00975EE0">
      <w:pPr>
        <w:pStyle w:val="Prrafodelista"/>
        <w:spacing w:after="0" w:line="240" w:lineRule="auto"/>
        <w:ind w:left="0"/>
        <w:jc w:val="both"/>
        <w:rPr>
          <w:rFonts w:ascii="Verdana" w:eastAsia="Times New Roman" w:hAnsi="Verdana" w:cs="Garamond"/>
          <w:sz w:val="20"/>
          <w:szCs w:val="20"/>
        </w:rPr>
      </w:pPr>
    </w:p>
    <w:p w14:paraId="29632323" w14:textId="0CE4D1C4" w:rsidR="007414FE" w:rsidRPr="00D66B27" w:rsidRDefault="007414FE" w:rsidP="00975EE0">
      <w:pPr>
        <w:pStyle w:val="Prrafodelista"/>
        <w:numPr>
          <w:ilvl w:val="0"/>
          <w:numId w:val="2"/>
        </w:numPr>
        <w:spacing w:after="0" w:line="240" w:lineRule="auto"/>
        <w:ind w:left="0" w:firstLine="0"/>
        <w:jc w:val="both"/>
        <w:rPr>
          <w:rFonts w:ascii="Verdana" w:eastAsia="Times New Roman" w:hAnsi="Verdana"/>
          <w:sz w:val="20"/>
          <w:szCs w:val="20"/>
        </w:rPr>
      </w:pPr>
      <w:r w:rsidRPr="00D66B27">
        <w:rPr>
          <w:rFonts w:ascii="Verdana" w:eastAsia="Times New Roman" w:hAnsi="Verdana" w:cs="Garamond"/>
          <w:sz w:val="20"/>
          <w:szCs w:val="20"/>
        </w:rPr>
        <w:lastRenderedPageBreak/>
        <w:t>El 28</w:t>
      </w:r>
      <w:r w:rsidRPr="00D66B27">
        <w:rPr>
          <w:rFonts w:ascii="Verdana" w:eastAsia="Times New Roman" w:hAnsi="Verdana"/>
          <w:sz w:val="20"/>
          <w:szCs w:val="20"/>
        </w:rPr>
        <w:t xml:space="preserve"> de julio de 2000 la madre y hermanos del señor Reyes, presentaron una demanda civil de indemnización de perjuicios por el daño moral causado por su detención y desaparición</w:t>
      </w:r>
      <w:r w:rsidR="0020252F" w:rsidRPr="00D66B27">
        <w:rPr>
          <w:rFonts w:ascii="Verdana" w:eastAsia="Times New Roman" w:hAnsi="Verdana"/>
          <w:sz w:val="20"/>
          <w:szCs w:val="20"/>
        </w:rPr>
        <w:t xml:space="preserve"> (</w:t>
      </w:r>
      <w:r w:rsidR="0020252F" w:rsidRPr="00D66B27">
        <w:rPr>
          <w:rFonts w:ascii="Verdana" w:hAnsi="Verdana"/>
          <w:sz w:val="20"/>
          <w:szCs w:val="16"/>
        </w:rPr>
        <w:t>Rol C-3118-2000</w:t>
      </w:r>
      <w:r w:rsidR="0020252F" w:rsidRPr="00D66B27">
        <w:rPr>
          <w:rFonts w:ascii="Verdana" w:eastAsia="Times New Roman" w:hAnsi="Verdana"/>
          <w:sz w:val="20"/>
          <w:szCs w:val="20"/>
        </w:rPr>
        <w:t>)</w:t>
      </w:r>
      <w:r w:rsidRPr="00D66B27">
        <w:rPr>
          <w:rFonts w:ascii="Verdana" w:eastAsia="Times New Roman" w:hAnsi="Verdana"/>
          <w:sz w:val="20"/>
          <w:szCs w:val="20"/>
        </w:rPr>
        <w:t>. El 19 de junio de 2002 el 17º Juzgado Civil, aunque declaró probada su detención y desaparición por agentes estatales, estableció que el término para contar la fecha de prescripción corría desde 1974 y consideró que se había sobrepasado el plazo de cuatro años previsto en el artículo 2.332 del Código Civil. Los demandantes interpusieron recurso de apelación, el cual fue declarado desierto por la CAS y el 26 de junio de 2003 se dictó orden de “cúmplase”.</w:t>
      </w:r>
    </w:p>
    <w:p w14:paraId="6C5DA003" w14:textId="77777777" w:rsidR="005274DA" w:rsidRPr="00D66B27" w:rsidRDefault="005274DA">
      <w:pPr>
        <w:pStyle w:val="Prrafodelista"/>
        <w:spacing w:after="0" w:line="240" w:lineRule="auto"/>
        <w:ind w:left="0"/>
        <w:jc w:val="both"/>
        <w:rPr>
          <w:rFonts w:ascii="Verdana" w:hAnsi="Verdana"/>
          <w:sz w:val="20"/>
          <w:szCs w:val="20"/>
        </w:rPr>
      </w:pPr>
    </w:p>
    <w:p w14:paraId="3C036ED1" w14:textId="77777777" w:rsidR="005274DA" w:rsidRPr="00D66B27" w:rsidRDefault="005274DA" w:rsidP="005274DA">
      <w:pPr>
        <w:spacing w:after="0" w:line="240" w:lineRule="auto"/>
        <w:jc w:val="both"/>
        <w:rPr>
          <w:rFonts w:ascii="Verdana" w:hAnsi="Verdana"/>
          <w:sz w:val="20"/>
          <w:szCs w:val="20"/>
        </w:rPr>
      </w:pPr>
    </w:p>
    <w:p w14:paraId="06B4EAC2" w14:textId="77777777" w:rsidR="00E02FB8" w:rsidRPr="00D66B27" w:rsidRDefault="005274DA" w:rsidP="00E02FB8">
      <w:pPr>
        <w:pStyle w:val="Ttulo1"/>
        <w:spacing w:before="0" w:after="0"/>
        <w:rPr>
          <w:caps w:val="0"/>
        </w:rPr>
      </w:pPr>
      <w:bookmarkStart w:id="18" w:name="_Toc528084361"/>
      <w:r w:rsidRPr="00D66B27">
        <w:t>Vi</w:t>
      </w:r>
      <w:r w:rsidRPr="00D66B27">
        <w:br/>
        <w:t>fondo</w:t>
      </w:r>
      <w:bookmarkStart w:id="19" w:name="_Toc519276840"/>
      <w:bookmarkEnd w:id="18"/>
      <w:r w:rsidR="00E02FB8" w:rsidRPr="00D66B27">
        <w:rPr>
          <w:caps w:val="0"/>
        </w:rPr>
        <w:br/>
      </w:r>
    </w:p>
    <w:p w14:paraId="34FF1CDD" w14:textId="6A75A6CD" w:rsidR="00E02FB8" w:rsidRPr="00D66B27" w:rsidRDefault="00E02FB8" w:rsidP="00E02FB8">
      <w:pPr>
        <w:pStyle w:val="Ttulo1"/>
        <w:spacing w:before="0" w:after="0"/>
        <w:rPr>
          <w:caps w:val="0"/>
        </w:rPr>
      </w:pPr>
      <w:bookmarkStart w:id="20" w:name="_Toc528084362"/>
      <w:r w:rsidRPr="00D66B27">
        <w:rPr>
          <w:rStyle w:val="Ttulo1Car"/>
          <w:b/>
        </w:rPr>
        <w:t>DERECHOS A LAS GARANTÍAS JUDICIALES</w:t>
      </w:r>
      <w:r w:rsidRPr="00D66B27">
        <w:rPr>
          <w:rStyle w:val="Refdenotaalpie"/>
          <w:b w:val="0"/>
          <w:bCs w:val="0"/>
          <w:caps w:val="0"/>
          <w:snapToGrid/>
        </w:rPr>
        <w:footnoteReference w:id="55"/>
      </w:r>
      <w:r w:rsidRPr="00D66B27">
        <w:rPr>
          <w:rStyle w:val="Ttulo1Car"/>
          <w:b/>
        </w:rPr>
        <w:t xml:space="preserve"> Y A LA PROTECCIÓN JUDICIAL</w:t>
      </w:r>
      <w:r w:rsidRPr="00D66B27">
        <w:rPr>
          <w:rStyle w:val="Refdenotaalpie"/>
          <w:b w:val="0"/>
          <w:bCs w:val="0"/>
          <w:caps w:val="0"/>
          <w:snapToGrid/>
        </w:rPr>
        <w:footnoteReference w:id="56"/>
      </w:r>
      <w:r w:rsidRPr="00D66B27">
        <w:rPr>
          <w:rStyle w:val="Ttulo1Car"/>
          <w:b/>
        </w:rPr>
        <w:br/>
        <w:t xml:space="preserve"> (ARTÍCULOS 1.1, 2, 8.1 y 25 DE LA CONVENCIÓN AMERICANA)</w:t>
      </w:r>
      <w:bookmarkEnd w:id="19"/>
      <w:bookmarkEnd w:id="20"/>
      <w:r w:rsidRPr="00D66B27">
        <w:rPr>
          <w:rStyle w:val="Ttulo1Car"/>
          <w:b/>
        </w:rPr>
        <w:t xml:space="preserve"> </w:t>
      </w:r>
    </w:p>
    <w:p w14:paraId="03A23330" w14:textId="77777777" w:rsidR="00E02FB8" w:rsidRPr="00D66B27" w:rsidRDefault="00E02FB8" w:rsidP="005274DA">
      <w:pPr>
        <w:spacing w:after="0" w:line="240" w:lineRule="auto"/>
        <w:jc w:val="both"/>
        <w:rPr>
          <w:rFonts w:ascii="Verdana" w:hAnsi="Verdana"/>
          <w:sz w:val="20"/>
          <w:szCs w:val="20"/>
        </w:rPr>
      </w:pPr>
    </w:p>
    <w:p w14:paraId="277FB613" w14:textId="1CA3166E" w:rsidR="005274DA" w:rsidRPr="00D66B27" w:rsidRDefault="00D5582B" w:rsidP="00364C6E">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 xml:space="preserve">En reiterada jurisprudencia, este Tribunal se ha referido al amplio contenido y alcances del derecho de acceso a la justicia, en el marco de los derechos a las garantías judiciales y protección judicial, reconocidos en los artículos 8.1 y 25.1 de la Convención, en relación con los artículos 1.1 y 2 de la misma. </w:t>
      </w:r>
    </w:p>
    <w:p w14:paraId="6678A26B" w14:textId="7BA7627B" w:rsidR="00D5582B" w:rsidRPr="00D66B27" w:rsidRDefault="00D5582B" w:rsidP="00364C6E">
      <w:pPr>
        <w:pStyle w:val="Prrafodelista"/>
        <w:spacing w:after="0" w:line="240" w:lineRule="auto"/>
        <w:ind w:left="0"/>
        <w:jc w:val="both"/>
        <w:rPr>
          <w:rFonts w:ascii="Verdana" w:hAnsi="Verdana"/>
          <w:sz w:val="20"/>
          <w:szCs w:val="20"/>
        </w:rPr>
      </w:pPr>
    </w:p>
    <w:p w14:paraId="64B507A6" w14:textId="3632E6AC" w:rsidR="00D5582B" w:rsidRPr="00D66B27" w:rsidRDefault="00D5582B" w:rsidP="00364C6E">
      <w:pPr>
        <w:pStyle w:val="Prrafodelista"/>
        <w:numPr>
          <w:ilvl w:val="0"/>
          <w:numId w:val="2"/>
        </w:numPr>
        <w:spacing w:after="0" w:line="240" w:lineRule="auto"/>
        <w:ind w:left="0" w:firstLine="0"/>
        <w:jc w:val="both"/>
        <w:rPr>
          <w:rFonts w:ascii="Cambria" w:eastAsia="Calibri" w:hAnsi="Cambria" w:cs="Verdana"/>
          <w:sz w:val="20"/>
          <w:szCs w:val="20"/>
          <w:lang w:eastAsia="es-MX"/>
        </w:rPr>
      </w:pPr>
      <w:r w:rsidRPr="00D66B27">
        <w:rPr>
          <w:rFonts w:ascii="Verdana" w:hAnsi="Verdana"/>
          <w:sz w:val="20"/>
          <w:szCs w:val="20"/>
        </w:rPr>
        <w:t xml:space="preserve">En particular, en casos de graves violaciones de derechos humanos y de manifiesta obstrucción de justicia, este Tribunal ha considerado </w:t>
      </w:r>
      <w:r w:rsidRPr="00D66B27">
        <w:rPr>
          <w:rFonts w:ascii="Verdana" w:eastAsia="Calibri" w:hAnsi="Verdana" w:cs="Verdana"/>
          <w:sz w:val="20"/>
          <w:szCs w:val="20"/>
          <w:lang w:eastAsia="es-MX"/>
        </w:rPr>
        <w:t xml:space="preserve">que “en ciertas circunstancias el Derecho </w:t>
      </w:r>
      <w:r w:rsidRPr="00D66B27">
        <w:rPr>
          <w:rFonts w:ascii="Verdana" w:hAnsi="Verdana"/>
          <w:sz w:val="20"/>
          <w:szCs w:val="20"/>
        </w:rPr>
        <w:t>Internacional</w:t>
      </w:r>
      <w:r w:rsidRPr="00D66B27">
        <w:rPr>
          <w:rFonts w:ascii="Verdana" w:eastAsia="Calibri" w:hAnsi="Verdana" w:cs="Verdana"/>
          <w:sz w:val="20"/>
          <w:szCs w:val="20"/>
          <w:lang w:eastAsia="es-MX"/>
        </w:rPr>
        <w:t xml:space="preserve"> considera inadmisible e inaplicable la prescripción[</w:t>
      </w:r>
      <w:r w:rsidR="004175FF" w:rsidRPr="00D66B27">
        <w:rPr>
          <w:rFonts w:ascii="Verdana" w:eastAsia="Calibri" w:hAnsi="Verdana" w:cs="Verdana"/>
          <w:sz w:val="20"/>
          <w:szCs w:val="20"/>
          <w:lang w:eastAsia="es-MX"/>
        </w:rPr>
        <w:t xml:space="preserve"> penal</w:t>
      </w:r>
      <w:r w:rsidRPr="00D66B27">
        <w:rPr>
          <w:rFonts w:ascii="Verdana" w:eastAsia="Calibri" w:hAnsi="Verdana" w:cs="Verdana"/>
          <w:sz w:val="20"/>
          <w:szCs w:val="20"/>
          <w:lang w:eastAsia="es-MX"/>
        </w:rPr>
        <w:t>,] así como las disposiciones de amnistía y el establecimiento de excluyentes de responsabilidad, a fin de mantener vigente en el tiempo el poder punitivo del Estado sobre conductas cuya gravedad hace necesaria su represión para evitar que vuelvan a ser cometidas”</w:t>
      </w:r>
      <w:r w:rsidRPr="00D66B27">
        <w:rPr>
          <w:rStyle w:val="Refdenotaalpie"/>
          <w:rFonts w:ascii="Verdana" w:eastAsia="Calibri" w:hAnsi="Verdana" w:cs="Verdana"/>
          <w:sz w:val="20"/>
          <w:szCs w:val="20"/>
          <w:lang w:eastAsia="es-MX"/>
        </w:rPr>
        <w:footnoteReference w:id="57"/>
      </w:r>
      <w:r w:rsidRPr="00D66B27">
        <w:rPr>
          <w:rFonts w:ascii="Verdana" w:eastAsia="Calibri" w:hAnsi="Verdana" w:cs="Verdana"/>
          <w:sz w:val="20"/>
          <w:szCs w:val="20"/>
          <w:lang w:eastAsia="es-MX"/>
        </w:rPr>
        <w:t xml:space="preserve">. </w:t>
      </w:r>
      <w:r w:rsidR="004175FF" w:rsidRPr="00D66B27">
        <w:rPr>
          <w:rFonts w:ascii="Verdana" w:eastAsia="Calibri" w:hAnsi="Verdana" w:cs="Verdana"/>
          <w:sz w:val="20"/>
          <w:szCs w:val="20"/>
          <w:lang w:eastAsia="es-MX"/>
        </w:rPr>
        <w:t xml:space="preserve">Tales institutos jurídicos o disposiciones </w:t>
      </w:r>
      <w:r w:rsidRPr="00D66B27">
        <w:rPr>
          <w:rFonts w:ascii="Verdana" w:eastAsia="Calibri" w:hAnsi="Verdana" w:cs="Verdana"/>
          <w:bCs/>
          <w:sz w:val="20"/>
          <w:szCs w:val="20"/>
          <w:lang w:eastAsia="es-MX"/>
        </w:rPr>
        <w:t xml:space="preserve">son inadmisibles </w:t>
      </w:r>
      <w:r w:rsidR="004175FF" w:rsidRPr="00D66B27">
        <w:rPr>
          <w:rFonts w:ascii="Verdana" w:eastAsia="Calibri" w:hAnsi="Verdana" w:cs="Verdana"/>
          <w:bCs/>
          <w:sz w:val="20"/>
          <w:szCs w:val="20"/>
          <w:lang w:eastAsia="es-MX"/>
        </w:rPr>
        <w:t>cuando “</w:t>
      </w:r>
      <w:r w:rsidRPr="00D66B27">
        <w:rPr>
          <w:rFonts w:ascii="Verdana" w:eastAsia="Calibri" w:hAnsi="Verdana" w:cs="Verdana"/>
          <w:bCs/>
          <w:sz w:val="20"/>
          <w:szCs w:val="20"/>
          <w:lang w:eastAsia="es-MX"/>
        </w:rPr>
        <w:t>pretendan impedir la investigación y sanción de los responsables de las violaciones graves de los derechos humanos tales como la tortura, las ejecuciones sumarias, extralegales o arbitrarias y las desapariciones forzadas, todas ellas prohibidas por contravenir derechos inderogables reconocidos por el Derecho Internacional de los Derechos Humanos’”</w:t>
      </w:r>
      <w:r w:rsidRPr="00D66B27">
        <w:rPr>
          <w:rStyle w:val="Refdenotaalpie"/>
          <w:rFonts w:ascii="Verdana" w:eastAsia="Calibri" w:hAnsi="Verdana" w:cs="Verdana"/>
          <w:bCs/>
          <w:sz w:val="20"/>
          <w:szCs w:val="20"/>
          <w:lang w:eastAsia="es-MX"/>
        </w:rPr>
        <w:footnoteReference w:id="58"/>
      </w:r>
      <w:r w:rsidRPr="00D66B27">
        <w:rPr>
          <w:rFonts w:ascii="Verdana" w:eastAsia="Calibri" w:hAnsi="Verdana" w:cs="Verdana"/>
          <w:bCs/>
          <w:sz w:val="20"/>
          <w:szCs w:val="20"/>
          <w:lang w:eastAsia="es-MX"/>
        </w:rPr>
        <w:t>.</w:t>
      </w:r>
      <w:r w:rsidRPr="00D66B27">
        <w:rPr>
          <w:rFonts w:ascii="Cambria" w:eastAsia="Calibri" w:hAnsi="Cambria" w:cs="Verdana"/>
          <w:bCs/>
          <w:sz w:val="20"/>
          <w:szCs w:val="20"/>
          <w:lang w:eastAsia="es-MX"/>
        </w:rPr>
        <w:t xml:space="preserve"> </w:t>
      </w:r>
    </w:p>
    <w:p w14:paraId="1895ACFA" w14:textId="77777777" w:rsidR="00D5582B" w:rsidRPr="00D66B27" w:rsidRDefault="00D5582B" w:rsidP="00364C6E">
      <w:pPr>
        <w:pStyle w:val="Prrafodelista"/>
        <w:spacing w:after="0" w:line="240" w:lineRule="auto"/>
        <w:ind w:left="0"/>
        <w:jc w:val="both"/>
        <w:rPr>
          <w:rFonts w:ascii="Verdana" w:hAnsi="Verdana"/>
          <w:sz w:val="20"/>
          <w:szCs w:val="20"/>
        </w:rPr>
      </w:pPr>
    </w:p>
    <w:p w14:paraId="33617203" w14:textId="77777777" w:rsidR="006729C5" w:rsidRPr="00D66B27" w:rsidRDefault="006729C5" w:rsidP="00364C6E">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En relación con lo anterior, este Tribunal es consciente de los desarrollos que existen en el Derecho Internacional en materia de aplicabilidad del instituto jurídico de la prescripción a acciones judiciales para obtener reparaciones frente a graves violaciones de derechos humanos.</w:t>
      </w:r>
    </w:p>
    <w:p w14:paraId="0D8E6C02" w14:textId="77777777" w:rsidR="006729C5" w:rsidRPr="00D66B27" w:rsidRDefault="006729C5" w:rsidP="00364C6E">
      <w:pPr>
        <w:pStyle w:val="Prrafodelista"/>
        <w:ind w:left="0"/>
        <w:rPr>
          <w:rFonts w:ascii="Verdana" w:hAnsi="Verdana"/>
          <w:sz w:val="20"/>
          <w:szCs w:val="20"/>
        </w:rPr>
      </w:pPr>
    </w:p>
    <w:p w14:paraId="7C86335F" w14:textId="325803CD" w:rsidR="006729C5" w:rsidRPr="00D66B27" w:rsidRDefault="006729C5" w:rsidP="00364C6E">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 xml:space="preserve">Así, desde 1989 el Grupo de Trabajo de Naciones Unidas sobre las Desapariciones Forzadas o Involuntarias señaló, en sus Observaciones Generales respecto del artículo 19 de la </w:t>
      </w:r>
      <w:r w:rsidRPr="00D66B27">
        <w:rPr>
          <w:rFonts w:ascii="Verdana" w:hAnsi="Verdana"/>
          <w:sz w:val="20"/>
          <w:szCs w:val="20"/>
        </w:rPr>
        <w:lastRenderedPageBreak/>
        <w:t>Declaración sobre la Protección de Todas las Personas contra las Desapariciones Forzadas, que las “acciones civiles de indemnización no […] estarán sujetas a la prescripción”</w:t>
      </w:r>
      <w:r w:rsidRPr="00D66B27">
        <w:rPr>
          <w:rStyle w:val="Refdenotaalpie"/>
          <w:rFonts w:ascii="Verdana" w:hAnsi="Verdana"/>
          <w:sz w:val="20"/>
          <w:szCs w:val="20"/>
        </w:rPr>
        <w:footnoteReference w:id="59"/>
      </w:r>
      <w:r w:rsidRPr="00D66B27">
        <w:rPr>
          <w:rFonts w:ascii="Verdana" w:hAnsi="Verdana"/>
          <w:sz w:val="20"/>
          <w:szCs w:val="20"/>
        </w:rPr>
        <w:t xml:space="preserve">. </w:t>
      </w:r>
    </w:p>
    <w:p w14:paraId="2646A7C6" w14:textId="77777777" w:rsidR="006729C5" w:rsidRPr="00D66B27" w:rsidRDefault="006729C5" w:rsidP="00364C6E">
      <w:pPr>
        <w:pStyle w:val="Prrafodelista"/>
        <w:spacing w:after="0" w:line="240" w:lineRule="auto"/>
        <w:ind w:left="0"/>
        <w:jc w:val="both"/>
        <w:rPr>
          <w:rFonts w:ascii="Verdana" w:eastAsia="Calibri" w:hAnsi="Verdana" w:cs="Verdana"/>
          <w:bCs/>
          <w:sz w:val="20"/>
          <w:szCs w:val="20"/>
          <w:lang w:eastAsia="es-MX"/>
        </w:rPr>
      </w:pPr>
    </w:p>
    <w:p w14:paraId="7904FD4E" w14:textId="77777777" w:rsidR="006729C5" w:rsidRPr="00D66B27" w:rsidRDefault="006729C5" w:rsidP="00364C6E">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 xml:space="preserve">El entonces Relator sobre el Derecho a la Restitución, Indemnización y Rehabilitación por Graves Violaciones a los Derechos Humanos, Theo Van Boven, en 1993 señaló que </w:t>
      </w:r>
    </w:p>
    <w:p w14:paraId="36856604" w14:textId="77777777" w:rsidR="006729C5" w:rsidRPr="00D66B27" w:rsidRDefault="006729C5" w:rsidP="00364C6E">
      <w:pPr>
        <w:pStyle w:val="Prrafodelista"/>
        <w:ind w:left="0"/>
        <w:rPr>
          <w:rFonts w:ascii="Verdana" w:eastAsia="Calibri" w:hAnsi="Verdana" w:cs="Verdana"/>
          <w:bCs/>
          <w:sz w:val="20"/>
          <w:szCs w:val="20"/>
          <w:lang w:eastAsia="es-MX"/>
        </w:rPr>
      </w:pPr>
    </w:p>
    <w:p w14:paraId="759693CE" w14:textId="440B0AF7" w:rsidR="006729C5" w:rsidRPr="00D66B27" w:rsidRDefault="006729C5" w:rsidP="00364C6E">
      <w:pPr>
        <w:pStyle w:val="Prrafodelista"/>
        <w:spacing w:after="0" w:line="240" w:lineRule="auto"/>
        <w:ind w:left="426"/>
        <w:jc w:val="both"/>
        <w:rPr>
          <w:rFonts w:ascii="Verdana" w:eastAsia="Calibri" w:hAnsi="Verdana" w:cs="Verdana"/>
          <w:bCs/>
          <w:sz w:val="16"/>
          <w:szCs w:val="20"/>
          <w:lang w:eastAsia="es-MX"/>
        </w:rPr>
      </w:pPr>
      <w:r w:rsidRPr="00D66B27">
        <w:rPr>
          <w:rFonts w:ascii="Verdana" w:eastAsia="Calibri" w:hAnsi="Verdana" w:cs="Verdana"/>
          <w:bCs/>
          <w:sz w:val="16"/>
          <w:szCs w:val="20"/>
          <w:lang w:eastAsia="es-MX"/>
        </w:rPr>
        <w:t>“[…] la aplicación de prescripciones priva con frecuencia a las víctimas de violaciones flagrantes de los derechos humanos de las reparaciones a que tienen derecho. Debe prevalecer el principio de que no estarán sujetas a prescripción las reclamaciones de reparación por violaciones flagrantes de los derechos humanos. En este sentido, hay que tener en cuenta que las consecuencias de las violaciones flagrantes […] son el resultado de los crímenes más odiosos que, según opiniones jurídicas muy acreditadas, no deben estar sujetos a prescripción. Además, está suficientemente probado que, para la mayoría de las víctimas de violaciones flagrantes de los derechos humanos, el paso del tiempo no ha borrado las huellas, sino todo lo contrario, pues ha provocado un aumento del estrés postraumático que ha requerido todo tipo de ayuda y asistencia material, médica, psicológica y social durante mucho tiempo”</w:t>
      </w:r>
      <w:r w:rsidRPr="00D66B27">
        <w:rPr>
          <w:rStyle w:val="Refdenotaalpie"/>
          <w:rFonts w:ascii="Verdana" w:eastAsia="Calibri" w:hAnsi="Verdana" w:cs="Verdana"/>
          <w:bCs/>
          <w:sz w:val="16"/>
          <w:szCs w:val="20"/>
          <w:lang w:eastAsia="es-MX"/>
        </w:rPr>
        <w:footnoteReference w:id="60"/>
      </w:r>
      <w:r w:rsidRPr="00D66B27">
        <w:rPr>
          <w:rFonts w:ascii="Verdana" w:eastAsia="Calibri" w:hAnsi="Verdana" w:cs="Verdana"/>
          <w:bCs/>
          <w:sz w:val="16"/>
          <w:szCs w:val="20"/>
          <w:lang w:eastAsia="es-MX"/>
        </w:rPr>
        <w:t>.</w:t>
      </w:r>
    </w:p>
    <w:p w14:paraId="7F21DE14" w14:textId="77777777" w:rsidR="006729C5" w:rsidRPr="00D66B27" w:rsidRDefault="006729C5" w:rsidP="00364C6E">
      <w:pPr>
        <w:pStyle w:val="Prrafodelista"/>
        <w:spacing w:after="0" w:line="240" w:lineRule="auto"/>
        <w:ind w:left="0"/>
        <w:jc w:val="both"/>
        <w:rPr>
          <w:rFonts w:ascii="Verdana" w:eastAsia="Calibri" w:hAnsi="Verdana" w:cs="Verdana"/>
          <w:bCs/>
          <w:sz w:val="20"/>
          <w:szCs w:val="20"/>
          <w:lang w:eastAsia="es-MX"/>
        </w:rPr>
      </w:pPr>
    </w:p>
    <w:p w14:paraId="617E83A0" w14:textId="77777777" w:rsidR="006729C5" w:rsidRPr="00D66B27" w:rsidRDefault="006729C5" w:rsidP="00364C6E">
      <w:pPr>
        <w:pStyle w:val="Prrafodelista"/>
        <w:numPr>
          <w:ilvl w:val="0"/>
          <w:numId w:val="2"/>
        </w:numPr>
        <w:spacing w:after="0" w:line="240" w:lineRule="auto"/>
        <w:ind w:left="0" w:firstLine="0"/>
        <w:jc w:val="both"/>
        <w:rPr>
          <w:rFonts w:ascii="Verdana" w:eastAsia="Calibri" w:hAnsi="Verdana" w:cs="Verdana"/>
          <w:bCs/>
          <w:sz w:val="20"/>
          <w:szCs w:val="20"/>
          <w:lang w:eastAsia="es-MX"/>
        </w:rPr>
      </w:pPr>
      <w:r w:rsidRPr="00D66B27">
        <w:rPr>
          <w:rFonts w:ascii="Verdana" w:eastAsia="Calibri" w:hAnsi="Verdana" w:cs="Verdana"/>
          <w:bCs/>
          <w:sz w:val="20"/>
          <w:szCs w:val="20"/>
          <w:lang w:eastAsia="es-MX"/>
        </w:rPr>
        <w:t xml:space="preserve">El Conjunto Actualizado de Principios para la Protección y la Promoción de los Derechos Humanos mediante la Lucha contra la Impunidad, adoptados en 2005 por la Comisión de Derechos Humanos de la Organización de las Naciones Unidas, incluyó lo siguiente: </w:t>
      </w:r>
    </w:p>
    <w:p w14:paraId="106C81B6" w14:textId="77777777" w:rsidR="006729C5" w:rsidRPr="00D66B27" w:rsidRDefault="006729C5" w:rsidP="00364C6E">
      <w:pPr>
        <w:pStyle w:val="Prrafodelista"/>
        <w:spacing w:after="0" w:line="240" w:lineRule="auto"/>
        <w:ind w:left="0"/>
        <w:jc w:val="both"/>
        <w:rPr>
          <w:rFonts w:ascii="Verdana" w:eastAsia="Calibri" w:hAnsi="Verdana" w:cs="Verdana"/>
          <w:bCs/>
          <w:sz w:val="20"/>
          <w:szCs w:val="20"/>
          <w:lang w:eastAsia="es-MX"/>
        </w:rPr>
      </w:pPr>
    </w:p>
    <w:p w14:paraId="7ACB537C" w14:textId="77777777" w:rsidR="006729C5" w:rsidRPr="00D66B27" w:rsidRDefault="006729C5" w:rsidP="00364C6E">
      <w:pPr>
        <w:pStyle w:val="Prrafodelista"/>
        <w:spacing w:after="0" w:line="240" w:lineRule="auto"/>
        <w:ind w:left="426"/>
        <w:jc w:val="both"/>
        <w:rPr>
          <w:rFonts w:ascii="Verdana" w:eastAsia="Calibri" w:hAnsi="Verdana" w:cs="Verdana"/>
          <w:bCs/>
          <w:sz w:val="16"/>
          <w:szCs w:val="20"/>
          <w:lang w:eastAsia="es-MX"/>
        </w:rPr>
      </w:pPr>
      <w:r w:rsidRPr="00D66B27">
        <w:rPr>
          <w:rFonts w:ascii="Verdana" w:eastAsia="Calibri" w:hAnsi="Verdana" w:cs="Verdana"/>
          <w:bCs/>
          <w:sz w:val="16"/>
          <w:szCs w:val="20"/>
          <w:lang w:eastAsia="es-MX"/>
        </w:rPr>
        <w:t xml:space="preserve">Principio 23. Restricciones a la prescripción. La prescripción de una infracción penal, tanto en lo que respecta a las diligencias como a las penas, no podrá correr durante el período en que no existan recursos eficaces contra esa infracción. La prescripción no se aplicará a los delitos graves conforme el derecho internacional que sean por naturaleza imprescriptibles. Cuando se aplica, la prescripción no podrá invocarse en las acciones civiles o administrativas entabladas por las víctimas para obtener reparación. […] </w:t>
      </w:r>
    </w:p>
    <w:p w14:paraId="5E975784" w14:textId="77777777" w:rsidR="006729C5" w:rsidRPr="00D66B27" w:rsidRDefault="006729C5" w:rsidP="00364C6E">
      <w:pPr>
        <w:pStyle w:val="Prrafodelista"/>
        <w:spacing w:after="0" w:line="240" w:lineRule="auto"/>
        <w:ind w:left="426"/>
        <w:jc w:val="both"/>
        <w:rPr>
          <w:rFonts w:ascii="Verdana" w:eastAsia="Calibri" w:hAnsi="Verdana" w:cs="Verdana"/>
          <w:bCs/>
          <w:sz w:val="16"/>
          <w:szCs w:val="20"/>
          <w:lang w:eastAsia="es-MX"/>
        </w:rPr>
      </w:pPr>
    </w:p>
    <w:p w14:paraId="4B75AED9" w14:textId="1251C967" w:rsidR="006729C5" w:rsidRPr="00D66B27" w:rsidRDefault="006729C5" w:rsidP="00364C6E">
      <w:pPr>
        <w:pStyle w:val="Prrafodelista"/>
        <w:spacing w:after="0" w:line="240" w:lineRule="auto"/>
        <w:ind w:left="426"/>
        <w:jc w:val="both"/>
        <w:rPr>
          <w:rFonts w:ascii="Verdana" w:eastAsia="Calibri" w:hAnsi="Verdana" w:cs="Verdana"/>
          <w:bCs/>
          <w:sz w:val="16"/>
          <w:szCs w:val="20"/>
          <w:lang w:eastAsia="es-MX"/>
        </w:rPr>
      </w:pPr>
      <w:r w:rsidRPr="00D66B27">
        <w:rPr>
          <w:rFonts w:ascii="Verdana" w:eastAsia="Calibri" w:hAnsi="Verdana" w:cs="Verdana"/>
          <w:bCs/>
          <w:sz w:val="16"/>
          <w:szCs w:val="20"/>
          <w:lang w:eastAsia="es-MX"/>
        </w:rPr>
        <w:t>Principio 32. Procedimientos de reparación. Tanto por la vía penal como por la civil, administrativa o disciplinaria, toda víctima debe tener la posibilidad de ejercer un recurso accesible, rápido y eficaz, que incluirá las restricciones que a la prescripción impone el principio 23.</w:t>
      </w:r>
      <w:r w:rsidRPr="00D66B27">
        <w:rPr>
          <w:rStyle w:val="Refdenotaalpie"/>
          <w:rFonts w:ascii="Verdana" w:eastAsia="Calibri" w:hAnsi="Verdana" w:cs="Verdana"/>
          <w:bCs/>
          <w:sz w:val="16"/>
          <w:szCs w:val="20"/>
          <w:lang w:eastAsia="es-MX"/>
        </w:rPr>
        <w:footnoteReference w:id="61"/>
      </w:r>
    </w:p>
    <w:p w14:paraId="1534F366" w14:textId="77777777" w:rsidR="006729C5" w:rsidRPr="00D66B27" w:rsidRDefault="006729C5" w:rsidP="00364C6E">
      <w:pPr>
        <w:pStyle w:val="Prrafodelista"/>
        <w:spacing w:after="0" w:line="240" w:lineRule="auto"/>
        <w:ind w:left="0"/>
        <w:jc w:val="both"/>
        <w:rPr>
          <w:rFonts w:ascii="Verdana" w:eastAsia="Calibri" w:hAnsi="Verdana" w:cs="Verdana"/>
          <w:bCs/>
          <w:sz w:val="20"/>
          <w:szCs w:val="20"/>
          <w:lang w:eastAsia="es-MX"/>
        </w:rPr>
      </w:pPr>
    </w:p>
    <w:p w14:paraId="6D3238F8" w14:textId="100AC9DE" w:rsidR="00D5582B" w:rsidRPr="00D66B27" w:rsidRDefault="00D5582B" w:rsidP="00364C6E">
      <w:pPr>
        <w:pStyle w:val="Prrafodelista"/>
        <w:numPr>
          <w:ilvl w:val="0"/>
          <w:numId w:val="2"/>
        </w:numPr>
        <w:spacing w:after="0" w:line="240" w:lineRule="auto"/>
        <w:ind w:left="0" w:firstLine="0"/>
        <w:jc w:val="both"/>
        <w:rPr>
          <w:rFonts w:ascii="Verdana" w:eastAsia="Calibri" w:hAnsi="Verdana" w:cs="Verdana"/>
          <w:bCs/>
          <w:sz w:val="20"/>
          <w:szCs w:val="20"/>
          <w:lang w:eastAsia="es-MX"/>
        </w:rPr>
      </w:pPr>
      <w:r w:rsidRPr="00D66B27">
        <w:rPr>
          <w:rFonts w:ascii="Verdana" w:eastAsia="Calibri" w:hAnsi="Verdana" w:cs="Verdana"/>
          <w:bCs/>
          <w:sz w:val="20"/>
          <w:szCs w:val="20"/>
          <w:lang w:eastAsia="es-MX"/>
        </w:rPr>
        <w:t xml:space="preserve">En 2006 la Asamblea General de Naciones Unidas aprobó los Principios y Directrices Básicos sobre el Derecho de las Víctimas de Violaciones Manifiestas de las Normas Internacionales de Derechos Humanos y de Violaciones Graves del Derecho Internacional Humanitario a Interponer Recursos y Obtener Reparaciones. Los principios 6 y 7 de dicho instrumento indican: </w:t>
      </w:r>
    </w:p>
    <w:p w14:paraId="3AC061DB" w14:textId="77777777" w:rsidR="00D5582B" w:rsidRPr="00D66B27" w:rsidRDefault="00D5582B" w:rsidP="00364C6E">
      <w:pPr>
        <w:pStyle w:val="Prrafodelista"/>
        <w:spacing w:after="0" w:line="240" w:lineRule="auto"/>
        <w:ind w:left="0"/>
        <w:jc w:val="both"/>
        <w:rPr>
          <w:rFonts w:ascii="Verdana" w:eastAsia="Calibri" w:hAnsi="Verdana" w:cs="Verdana"/>
          <w:bCs/>
          <w:sz w:val="20"/>
          <w:szCs w:val="20"/>
          <w:lang w:eastAsia="es-MX"/>
        </w:rPr>
      </w:pPr>
    </w:p>
    <w:p w14:paraId="0176DE5D" w14:textId="77777777" w:rsidR="00D5582B" w:rsidRPr="00D66B27" w:rsidRDefault="00D5582B" w:rsidP="00364C6E">
      <w:pPr>
        <w:pStyle w:val="Prrafodelista"/>
        <w:spacing w:after="0" w:line="240" w:lineRule="auto"/>
        <w:ind w:left="426"/>
        <w:jc w:val="both"/>
        <w:rPr>
          <w:rFonts w:ascii="Verdana" w:eastAsia="Calibri" w:hAnsi="Verdana" w:cs="Verdana"/>
          <w:bCs/>
          <w:sz w:val="16"/>
          <w:szCs w:val="20"/>
          <w:lang w:eastAsia="es-MX"/>
        </w:rPr>
      </w:pPr>
      <w:r w:rsidRPr="00D66B27">
        <w:rPr>
          <w:rFonts w:ascii="Verdana" w:eastAsia="Calibri" w:hAnsi="Verdana" w:cs="Verdana"/>
          <w:bCs/>
          <w:sz w:val="16"/>
          <w:szCs w:val="20"/>
          <w:lang w:eastAsia="es-MX"/>
        </w:rPr>
        <w:t xml:space="preserve">6. Cuando así se disponga en un tratado aplicable o forme parte de otras obligaciones jurídicas internacionales, no prescribirán las violaciones manifiestas de las normas internacionales de derechos humanos ni las violaciones graves del derecho internacional humanitario que constituyan crímenes en virtud del derecho internacional. </w:t>
      </w:r>
    </w:p>
    <w:p w14:paraId="483D340E" w14:textId="77777777" w:rsidR="00D5582B" w:rsidRPr="00D66B27" w:rsidRDefault="00D5582B" w:rsidP="00364C6E">
      <w:pPr>
        <w:pStyle w:val="Prrafodelista"/>
        <w:spacing w:after="0" w:line="240" w:lineRule="auto"/>
        <w:ind w:left="426"/>
        <w:jc w:val="both"/>
        <w:rPr>
          <w:rFonts w:ascii="Verdana" w:eastAsia="Calibri" w:hAnsi="Verdana" w:cs="Verdana"/>
          <w:bCs/>
          <w:sz w:val="16"/>
          <w:szCs w:val="20"/>
          <w:lang w:eastAsia="es-MX"/>
        </w:rPr>
      </w:pPr>
    </w:p>
    <w:p w14:paraId="6F02E59C" w14:textId="77777777" w:rsidR="00D5582B" w:rsidRPr="00D66B27" w:rsidRDefault="00D5582B" w:rsidP="00364C6E">
      <w:pPr>
        <w:pStyle w:val="Prrafodelista"/>
        <w:spacing w:after="0" w:line="240" w:lineRule="auto"/>
        <w:ind w:left="426"/>
        <w:jc w:val="both"/>
        <w:rPr>
          <w:rFonts w:ascii="Verdana" w:eastAsia="Calibri" w:hAnsi="Verdana" w:cs="Verdana"/>
          <w:bCs/>
          <w:sz w:val="16"/>
          <w:szCs w:val="20"/>
          <w:lang w:eastAsia="es-MX"/>
        </w:rPr>
      </w:pPr>
      <w:r w:rsidRPr="00D66B27">
        <w:rPr>
          <w:rFonts w:ascii="Verdana" w:eastAsia="Calibri" w:hAnsi="Verdana" w:cs="Verdana"/>
          <w:bCs/>
          <w:sz w:val="16"/>
          <w:szCs w:val="20"/>
          <w:lang w:eastAsia="es-MX"/>
        </w:rPr>
        <w:t xml:space="preserve">7. Las disposiciones </w:t>
      </w:r>
      <w:r w:rsidRPr="00D66B27">
        <w:rPr>
          <w:rFonts w:ascii="Verdana" w:eastAsia="Calibri" w:hAnsi="Verdana" w:cs="Verdana"/>
          <w:bCs/>
          <w:sz w:val="16"/>
          <w:szCs w:val="18"/>
          <w:lang w:eastAsia="es-MX"/>
        </w:rPr>
        <w:t>nacionales sobre la prescripción de otros tipos de violaciones que no constituyan crímenes en virtud del derecho internacional, incluida la prescripción de las acciones civiles y otros procedimientos, no deberían ser excesivamente restrictivas</w:t>
      </w:r>
      <w:r w:rsidRPr="00D66B27">
        <w:rPr>
          <w:rStyle w:val="Refdenotaalpie"/>
          <w:rFonts w:ascii="Verdana" w:hAnsi="Verdana"/>
          <w:sz w:val="16"/>
          <w:szCs w:val="18"/>
          <w:lang w:eastAsia="es-MX"/>
        </w:rPr>
        <w:footnoteReference w:id="62"/>
      </w:r>
      <w:r w:rsidRPr="00D66B27">
        <w:rPr>
          <w:rFonts w:ascii="Verdana" w:eastAsia="Calibri" w:hAnsi="Verdana" w:cs="Verdana"/>
          <w:bCs/>
          <w:sz w:val="16"/>
          <w:szCs w:val="18"/>
          <w:lang w:eastAsia="es-MX"/>
        </w:rPr>
        <w:t>.</w:t>
      </w:r>
      <w:r w:rsidRPr="00D66B27">
        <w:rPr>
          <w:rFonts w:ascii="Verdana" w:eastAsia="Calibri" w:hAnsi="Verdana" w:cs="Verdana"/>
          <w:bCs/>
          <w:sz w:val="16"/>
          <w:szCs w:val="20"/>
          <w:lang w:eastAsia="es-MX"/>
        </w:rPr>
        <w:t xml:space="preserve"> </w:t>
      </w:r>
    </w:p>
    <w:p w14:paraId="5D2F85E2" w14:textId="77777777" w:rsidR="00D5582B" w:rsidRPr="00D66B27" w:rsidRDefault="00D5582B" w:rsidP="00364C6E">
      <w:pPr>
        <w:pStyle w:val="Prrafodelista"/>
        <w:spacing w:after="0" w:line="240" w:lineRule="auto"/>
        <w:ind w:left="0"/>
        <w:jc w:val="both"/>
        <w:rPr>
          <w:rFonts w:ascii="Verdana" w:eastAsia="Calibri" w:hAnsi="Verdana" w:cs="Verdana"/>
          <w:bCs/>
          <w:sz w:val="20"/>
          <w:szCs w:val="20"/>
          <w:lang w:eastAsia="es-MX"/>
        </w:rPr>
      </w:pPr>
    </w:p>
    <w:p w14:paraId="6C465E6C" w14:textId="7A04B2E2" w:rsidR="00D5582B" w:rsidRPr="00D66B27" w:rsidRDefault="004609D2" w:rsidP="00364C6E">
      <w:pPr>
        <w:pStyle w:val="Prrafodelista"/>
        <w:numPr>
          <w:ilvl w:val="0"/>
          <w:numId w:val="2"/>
        </w:numPr>
        <w:spacing w:after="0" w:line="240" w:lineRule="auto"/>
        <w:ind w:left="0" w:firstLine="0"/>
        <w:jc w:val="both"/>
        <w:rPr>
          <w:rFonts w:ascii="Cambria" w:eastAsia="Times New Roman" w:hAnsi="Cambria"/>
          <w:sz w:val="20"/>
          <w:szCs w:val="20"/>
        </w:rPr>
      </w:pPr>
      <w:r w:rsidRPr="00D66B27">
        <w:rPr>
          <w:rFonts w:ascii="Verdana" w:eastAsia="Calibri" w:hAnsi="Verdana" w:cs="Verdana"/>
          <w:bCs/>
          <w:sz w:val="20"/>
          <w:szCs w:val="20"/>
          <w:lang w:eastAsia="es-MX"/>
        </w:rPr>
        <w:t>Asimismo, tal como indicó l</w:t>
      </w:r>
      <w:r w:rsidR="00D5582B" w:rsidRPr="00D66B27">
        <w:rPr>
          <w:rFonts w:ascii="Verdana" w:eastAsia="Calibri" w:hAnsi="Verdana" w:cs="Verdana"/>
          <w:bCs/>
          <w:sz w:val="20"/>
          <w:szCs w:val="20"/>
          <w:lang w:eastAsia="es-MX"/>
        </w:rPr>
        <w:t>a Comisión</w:t>
      </w:r>
      <w:r w:rsidRPr="00D66B27">
        <w:rPr>
          <w:rFonts w:ascii="Verdana" w:eastAsia="Calibri" w:hAnsi="Verdana" w:cs="Verdana"/>
          <w:bCs/>
          <w:sz w:val="20"/>
          <w:szCs w:val="20"/>
          <w:lang w:eastAsia="es-MX"/>
        </w:rPr>
        <w:t xml:space="preserve">, existen </w:t>
      </w:r>
      <w:r w:rsidR="00D5582B" w:rsidRPr="00D66B27">
        <w:rPr>
          <w:rFonts w:ascii="Verdana" w:eastAsia="Calibri" w:hAnsi="Verdana" w:cs="Verdana"/>
          <w:bCs/>
          <w:sz w:val="20"/>
          <w:szCs w:val="20"/>
          <w:lang w:eastAsia="es-MX"/>
        </w:rPr>
        <w:t>algunos desarrollos en la materia en el derecho comparado</w:t>
      </w:r>
      <w:r w:rsidRPr="00D66B27">
        <w:rPr>
          <w:rFonts w:ascii="Verdana" w:eastAsia="Calibri" w:hAnsi="Verdana" w:cs="Verdana"/>
          <w:bCs/>
          <w:sz w:val="20"/>
          <w:szCs w:val="20"/>
          <w:lang w:eastAsia="es-MX"/>
        </w:rPr>
        <w:t xml:space="preserve"> en ciertos países</w:t>
      </w:r>
      <w:r w:rsidR="00D5582B" w:rsidRPr="00D66B27">
        <w:rPr>
          <w:rFonts w:ascii="Verdana" w:eastAsia="Calibri" w:hAnsi="Verdana" w:cs="Verdana"/>
          <w:bCs/>
          <w:sz w:val="20"/>
          <w:szCs w:val="20"/>
          <w:lang w:eastAsia="es-MX"/>
        </w:rPr>
        <w:t>.</w:t>
      </w:r>
      <w:r w:rsidRPr="00D66B27">
        <w:rPr>
          <w:rFonts w:ascii="Verdana" w:eastAsia="Calibri" w:hAnsi="Verdana" w:cs="Verdana"/>
          <w:bCs/>
          <w:sz w:val="20"/>
          <w:szCs w:val="20"/>
          <w:lang w:eastAsia="es-MX"/>
        </w:rPr>
        <w:t xml:space="preserve"> Por ejemplo</w:t>
      </w:r>
      <w:r w:rsidR="00D5582B" w:rsidRPr="00D66B27">
        <w:rPr>
          <w:rFonts w:ascii="Verdana" w:eastAsia="Calibri" w:hAnsi="Verdana" w:cs="Verdana"/>
          <w:bCs/>
          <w:sz w:val="20"/>
          <w:szCs w:val="20"/>
          <w:lang w:eastAsia="es-MX"/>
        </w:rPr>
        <w:t xml:space="preserve">, el Consejo de Estado </w:t>
      </w:r>
      <w:r w:rsidRPr="00D66B27">
        <w:rPr>
          <w:rFonts w:ascii="Verdana" w:eastAsia="Calibri" w:hAnsi="Verdana" w:cs="Verdana"/>
          <w:bCs/>
          <w:sz w:val="20"/>
          <w:szCs w:val="20"/>
          <w:lang w:eastAsia="es-MX"/>
        </w:rPr>
        <w:t xml:space="preserve">de Colombia ha emitido múltiples sentencias en que ha inaplicado el plazo de dos años de caducidad de acciones </w:t>
      </w:r>
      <w:r w:rsidR="00D5582B" w:rsidRPr="00D66B27">
        <w:rPr>
          <w:rFonts w:ascii="Verdana" w:eastAsia="Calibri" w:hAnsi="Verdana" w:cs="Verdana"/>
          <w:bCs/>
          <w:sz w:val="20"/>
          <w:szCs w:val="20"/>
          <w:lang w:eastAsia="es-MX"/>
        </w:rPr>
        <w:t xml:space="preserve">reparación directa contra el Estado, cuando se trata de daños ocasionados por la comisión </w:t>
      </w:r>
      <w:r w:rsidRPr="00D66B27">
        <w:rPr>
          <w:rFonts w:ascii="Verdana" w:eastAsia="Calibri" w:hAnsi="Verdana" w:cs="Verdana"/>
          <w:bCs/>
          <w:sz w:val="20"/>
          <w:szCs w:val="20"/>
          <w:lang w:eastAsia="es-MX"/>
        </w:rPr>
        <w:t xml:space="preserve">de un crimen de lesa humanidad, ponderando </w:t>
      </w:r>
      <w:r w:rsidR="00D5582B" w:rsidRPr="00D66B27">
        <w:rPr>
          <w:rFonts w:ascii="Verdana" w:eastAsia="Calibri" w:hAnsi="Verdana" w:cs="Verdana"/>
          <w:bCs/>
          <w:sz w:val="20"/>
          <w:szCs w:val="20"/>
          <w:lang w:eastAsia="es-MX"/>
        </w:rPr>
        <w:t xml:space="preserve">entre la seguridad jurídica </w:t>
      </w:r>
      <w:r w:rsidRPr="00D66B27">
        <w:rPr>
          <w:rFonts w:ascii="Verdana" w:eastAsia="Calibri" w:hAnsi="Verdana" w:cs="Verdana"/>
          <w:bCs/>
          <w:sz w:val="20"/>
          <w:szCs w:val="20"/>
          <w:lang w:eastAsia="es-MX"/>
        </w:rPr>
        <w:t>–</w:t>
      </w:r>
      <w:r w:rsidR="00D5582B" w:rsidRPr="00D66B27">
        <w:rPr>
          <w:rFonts w:ascii="Verdana" w:eastAsia="Calibri" w:hAnsi="Verdana" w:cs="Verdana"/>
          <w:bCs/>
          <w:sz w:val="20"/>
          <w:szCs w:val="20"/>
          <w:lang w:eastAsia="es-MX"/>
        </w:rPr>
        <w:t xml:space="preserve">que buscan proteger los </w:t>
      </w:r>
      <w:r w:rsidR="00D5582B" w:rsidRPr="00D66B27">
        <w:rPr>
          <w:rFonts w:ascii="Verdana" w:eastAsia="Calibri" w:hAnsi="Verdana" w:cs="Verdana"/>
          <w:bCs/>
          <w:sz w:val="20"/>
          <w:szCs w:val="20"/>
          <w:lang w:eastAsia="es-MX"/>
        </w:rPr>
        <w:lastRenderedPageBreak/>
        <w:t>términos de caducidad</w:t>
      </w:r>
      <w:r w:rsidRPr="00D66B27">
        <w:rPr>
          <w:rFonts w:ascii="Verdana" w:eastAsia="Calibri" w:hAnsi="Verdana" w:cs="Verdana"/>
          <w:bCs/>
          <w:sz w:val="20"/>
          <w:szCs w:val="20"/>
          <w:lang w:eastAsia="es-MX"/>
        </w:rPr>
        <w:t xml:space="preserve">– </w:t>
      </w:r>
      <w:r w:rsidR="00D5582B" w:rsidRPr="00D66B27">
        <w:rPr>
          <w:rFonts w:ascii="Verdana" w:eastAsia="Calibri" w:hAnsi="Verdana" w:cs="Verdana"/>
          <w:bCs/>
          <w:sz w:val="20"/>
          <w:szCs w:val="20"/>
          <w:lang w:eastAsia="es-MX"/>
        </w:rPr>
        <w:t>y el imperativo de brindar reparación del daño ocasionado en este tipo de delitos</w:t>
      </w:r>
      <w:r w:rsidR="00D5582B" w:rsidRPr="00D66B27">
        <w:rPr>
          <w:rStyle w:val="Refdenotaalpie"/>
          <w:rFonts w:ascii="Verdana" w:eastAsia="Times New Roman" w:hAnsi="Verdana"/>
          <w:sz w:val="20"/>
          <w:szCs w:val="20"/>
        </w:rPr>
        <w:footnoteReference w:id="63"/>
      </w:r>
      <w:r w:rsidRPr="00D66B27">
        <w:rPr>
          <w:rFonts w:ascii="Verdana" w:eastAsia="Times New Roman" w:hAnsi="Verdana"/>
          <w:sz w:val="20"/>
          <w:szCs w:val="20"/>
        </w:rPr>
        <w:t>:</w:t>
      </w:r>
    </w:p>
    <w:p w14:paraId="4F404D9E" w14:textId="77777777" w:rsidR="00D5582B" w:rsidRPr="00D66B27" w:rsidRDefault="00D5582B" w:rsidP="00D5582B">
      <w:pPr>
        <w:pStyle w:val="MediumGrid1-Accent21"/>
        <w:autoSpaceDE w:val="0"/>
        <w:autoSpaceDN w:val="0"/>
        <w:adjustRightInd w:val="0"/>
        <w:ind w:left="0"/>
        <w:jc w:val="both"/>
        <w:rPr>
          <w:rFonts w:eastAsia="Times New Roman"/>
          <w:color w:val="auto"/>
          <w:sz w:val="20"/>
          <w:szCs w:val="20"/>
          <w:bdr w:val="none" w:sz="0" w:space="0" w:color="auto"/>
          <w:lang w:val="es-CR"/>
        </w:rPr>
      </w:pPr>
    </w:p>
    <w:p w14:paraId="70EE8960" w14:textId="60610782" w:rsidR="00D5582B" w:rsidRPr="00D66B27" w:rsidRDefault="00D5582B" w:rsidP="00364C6E">
      <w:pPr>
        <w:autoSpaceDE w:val="0"/>
        <w:autoSpaceDN w:val="0"/>
        <w:adjustRightInd w:val="0"/>
        <w:spacing w:after="0" w:line="240" w:lineRule="auto"/>
        <w:ind w:left="426"/>
        <w:jc w:val="both"/>
        <w:rPr>
          <w:rFonts w:ascii="Verdana" w:hAnsi="Verdana" w:cs="Arial"/>
          <w:sz w:val="16"/>
          <w:szCs w:val="20"/>
        </w:rPr>
      </w:pPr>
      <w:r w:rsidRPr="00D66B27">
        <w:rPr>
          <w:rFonts w:ascii="Verdana" w:hAnsi="Verdana" w:cs="Arial"/>
          <w:sz w:val="16"/>
          <w:szCs w:val="20"/>
        </w:rPr>
        <w:t>Desde este punto de vista, la caducidad se institucionaliza como un concepto temporal, perentorio y preclusivo de orden, estabilidad, interés general y seguridad jurídica para los asociados y la</w:t>
      </w:r>
      <w:r w:rsidR="004609D2" w:rsidRPr="00D66B27">
        <w:rPr>
          <w:rFonts w:ascii="Verdana" w:hAnsi="Verdana" w:cs="Arial"/>
          <w:sz w:val="16"/>
          <w:szCs w:val="20"/>
        </w:rPr>
        <w:t xml:space="preserve"> </w:t>
      </w:r>
      <w:r w:rsidRPr="00D66B27">
        <w:rPr>
          <w:rFonts w:ascii="Verdana" w:hAnsi="Verdana" w:cs="Arial"/>
          <w:sz w:val="16"/>
          <w:szCs w:val="20"/>
        </w:rPr>
        <w:t xml:space="preserve">administración desde la perspectiva procesal, generando certidumbre y materializando el ejercicio razonable y proporcional que toda </w:t>
      </w:r>
      <w:r w:rsidRPr="00D66B27">
        <w:rPr>
          <w:rFonts w:ascii="Verdana" w:hAnsi="Verdana" w:cs="Arial"/>
          <w:sz w:val="16"/>
          <w:szCs w:val="20"/>
          <w:lang w:eastAsia="es-CO"/>
        </w:rPr>
        <w:t>persona</w:t>
      </w:r>
      <w:r w:rsidRPr="00D66B27">
        <w:rPr>
          <w:rFonts w:ascii="Verdana" w:hAnsi="Verdana" w:cs="Arial"/>
          <w:sz w:val="16"/>
          <w:szCs w:val="20"/>
        </w:rPr>
        <w:t xml:space="preserve"> tiene para hacer valer sus derechos ante las autoridades judiciales.</w:t>
      </w:r>
    </w:p>
    <w:p w14:paraId="0A19260F" w14:textId="77777777" w:rsidR="00D5582B" w:rsidRPr="00D66B27" w:rsidRDefault="00D5582B" w:rsidP="00364C6E">
      <w:pPr>
        <w:spacing w:after="0" w:line="240" w:lineRule="auto"/>
        <w:ind w:left="426"/>
        <w:jc w:val="both"/>
        <w:rPr>
          <w:rFonts w:ascii="Verdana" w:hAnsi="Verdana" w:cs="Arial"/>
          <w:sz w:val="16"/>
          <w:szCs w:val="20"/>
        </w:rPr>
      </w:pPr>
    </w:p>
    <w:p w14:paraId="7FAA9D87" w14:textId="4A74C564" w:rsidR="00D5582B" w:rsidRPr="00D66B27" w:rsidRDefault="004609D2" w:rsidP="00364C6E">
      <w:pPr>
        <w:autoSpaceDE w:val="0"/>
        <w:autoSpaceDN w:val="0"/>
        <w:adjustRightInd w:val="0"/>
        <w:spacing w:after="0" w:line="240" w:lineRule="auto"/>
        <w:ind w:left="426"/>
        <w:jc w:val="both"/>
        <w:rPr>
          <w:rFonts w:ascii="Verdana" w:hAnsi="Verdana" w:cs="Arial"/>
          <w:sz w:val="16"/>
          <w:szCs w:val="20"/>
        </w:rPr>
      </w:pPr>
      <w:r w:rsidRPr="00D66B27">
        <w:rPr>
          <w:rFonts w:ascii="Verdana" w:hAnsi="Verdana" w:cs="Arial"/>
          <w:sz w:val="16"/>
          <w:szCs w:val="20"/>
        </w:rPr>
        <w:t xml:space="preserve">[…] </w:t>
      </w:r>
      <w:r w:rsidR="00D5582B" w:rsidRPr="00D66B27">
        <w:rPr>
          <w:rFonts w:ascii="Verdana" w:hAnsi="Verdana" w:cs="Arial"/>
          <w:sz w:val="16"/>
          <w:szCs w:val="20"/>
        </w:rPr>
        <w:t xml:space="preserve">Todo lo anterior sin perjuicio de las excepciones que ha elaborado la jurisprudencia de esta Corporación cuando ha advertido que los hechos que sustentan el medio de control de reparación directa admiten su encuadramiento como un acto de lesa humanidad </w:t>
      </w:r>
      <w:r w:rsidRPr="00D66B27">
        <w:rPr>
          <w:rFonts w:ascii="Verdana" w:hAnsi="Verdana" w:cs="Arial"/>
          <w:sz w:val="16"/>
          <w:szCs w:val="20"/>
        </w:rPr>
        <w:t>[…]</w:t>
      </w:r>
    </w:p>
    <w:p w14:paraId="4F6A2E85" w14:textId="77777777" w:rsidR="00D5582B" w:rsidRPr="00D66B27" w:rsidRDefault="00D5582B" w:rsidP="00364C6E">
      <w:pPr>
        <w:spacing w:after="0" w:line="240" w:lineRule="auto"/>
        <w:ind w:left="426"/>
        <w:jc w:val="both"/>
        <w:rPr>
          <w:rFonts w:ascii="Verdana" w:hAnsi="Verdana" w:cs="Arial"/>
          <w:sz w:val="16"/>
          <w:szCs w:val="20"/>
        </w:rPr>
      </w:pPr>
    </w:p>
    <w:p w14:paraId="37877311" w14:textId="66E70845" w:rsidR="00D5582B" w:rsidRPr="00D66B27" w:rsidRDefault="00D5582B" w:rsidP="00364C6E">
      <w:pPr>
        <w:spacing w:after="0" w:line="240" w:lineRule="auto"/>
        <w:ind w:left="426"/>
        <w:jc w:val="both"/>
        <w:rPr>
          <w:rFonts w:ascii="Verdana" w:hAnsi="Verdana" w:cs="Arial"/>
          <w:iCs/>
          <w:sz w:val="16"/>
          <w:szCs w:val="20"/>
          <w:shd w:val="clear" w:color="auto" w:fill="FFFFFF"/>
        </w:rPr>
      </w:pPr>
      <w:r w:rsidRPr="00D66B27">
        <w:rPr>
          <w:rFonts w:ascii="Verdana" w:hAnsi="Verdana" w:cs="Arial"/>
          <w:iCs/>
          <w:sz w:val="16"/>
          <w:szCs w:val="20"/>
          <w:shd w:val="clear" w:color="auto" w:fill="FFFFFF"/>
        </w:rPr>
        <w:t xml:space="preserve">Así, se tiene que los de lesa humanidad se comprenden como “aquellos actos ominosos que niegan la existencia y vigencia </w:t>
      </w:r>
      <w:r w:rsidRPr="00D66B27">
        <w:rPr>
          <w:rFonts w:ascii="Verdana" w:hAnsi="Verdana" w:cs="Arial"/>
          <w:sz w:val="16"/>
          <w:szCs w:val="20"/>
        </w:rPr>
        <w:t xml:space="preserve">imperativa de los Derechos Humanos en la sociedad al atentar contra la dignidad humana por medio de acciones que llevan a la degradación de la condición de las personas, generando así no sólo una afectación a quienes físicamente han padecido tales actos sino que agrediendo a la conciencia de toda la humanidad” </w:t>
      </w:r>
      <w:r w:rsidR="004609D2" w:rsidRPr="00D66B27">
        <w:rPr>
          <w:rFonts w:ascii="Verdana" w:hAnsi="Verdana" w:cs="Arial"/>
          <w:sz w:val="16"/>
          <w:szCs w:val="20"/>
        </w:rPr>
        <w:t>[…]</w:t>
      </w:r>
    </w:p>
    <w:p w14:paraId="62562957" w14:textId="77777777" w:rsidR="00D5582B" w:rsidRPr="00D66B27" w:rsidRDefault="00D5582B" w:rsidP="00364C6E">
      <w:pPr>
        <w:spacing w:after="0" w:line="240" w:lineRule="auto"/>
        <w:ind w:left="426"/>
        <w:jc w:val="both"/>
        <w:rPr>
          <w:rFonts w:ascii="Verdana" w:hAnsi="Verdana" w:cs="Arial"/>
          <w:iCs/>
          <w:sz w:val="16"/>
          <w:szCs w:val="20"/>
          <w:shd w:val="clear" w:color="auto" w:fill="FFFFFF"/>
        </w:rPr>
      </w:pPr>
    </w:p>
    <w:p w14:paraId="3DB7E2BE" w14:textId="77777777" w:rsidR="00D5582B" w:rsidRPr="00D66B27" w:rsidRDefault="00D5582B" w:rsidP="00364C6E">
      <w:pPr>
        <w:tabs>
          <w:tab w:val="left" w:pos="-1843"/>
          <w:tab w:val="left" w:pos="-1560"/>
          <w:tab w:val="left" w:pos="284"/>
        </w:tabs>
        <w:spacing w:after="0" w:line="240" w:lineRule="auto"/>
        <w:ind w:left="426"/>
        <w:jc w:val="both"/>
        <w:rPr>
          <w:rFonts w:ascii="Verdana" w:hAnsi="Verdana" w:cs="Arial"/>
          <w:sz w:val="16"/>
          <w:szCs w:val="20"/>
        </w:rPr>
      </w:pPr>
      <w:r w:rsidRPr="00D66B27">
        <w:rPr>
          <w:rFonts w:ascii="Verdana" w:hAnsi="Verdana" w:cs="Arial"/>
          <w:sz w:val="16"/>
          <w:szCs w:val="20"/>
        </w:rPr>
        <w:t xml:space="preserve">Ahora bien, la importancia del concepto de lesa humanidad para el ámbito de la responsabilidad del Estado consiste en predicar la no aplicación del término de caducidad en aquellos casos en donde se configuren tales elementos, pues, siendo consecuente con la gravedad y magnitud que tienen tales actos denigrantes de la dignidad humana, es que hay lugar a reconocer que el paso del tiempo no genera consecuencias desfavorables para quienes (de manera directa) fueron víctimas de tales conductas y pretenden la declaratoria de responsabilidad extracontractual del Estado por los daños antijurídicos irrogados en su contra; pues resulta claro que allí no solo se discuten intereses meramente particulares o subjetivos sino también generales que implican a toda la comunidad y la humanidad, considerada como un todo. </w:t>
      </w:r>
    </w:p>
    <w:p w14:paraId="528271E2" w14:textId="77777777" w:rsidR="00D5582B" w:rsidRPr="00D66B27" w:rsidRDefault="00D5582B" w:rsidP="00364C6E">
      <w:pPr>
        <w:spacing w:after="0" w:line="240" w:lineRule="auto"/>
        <w:ind w:left="426"/>
        <w:jc w:val="both"/>
        <w:rPr>
          <w:rFonts w:ascii="Verdana" w:hAnsi="Verdana" w:cs="Arial"/>
          <w:sz w:val="16"/>
          <w:szCs w:val="20"/>
        </w:rPr>
      </w:pPr>
    </w:p>
    <w:p w14:paraId="7157C34A" w14:textId="77777777" w:rsidR="00D5582B" w:rsidRPr="00D66B27" w:rsidRDefault="00D5582B" w:rsidP="00364C6E">
      <w:pPr>
        <w:spacing w:after="0" w:line="240" w:lineRule="auto"/>
        <w:ind w:left="426"/>
        <w:jc w:val="both"/>
        <w:rPr>
          <w:rFonts w:ascii="Verdana" w:hAnsi="Verdana" w:cs="Arial"/>
          <w:sz w:val="16"/>
          <w:szCs w:val="20"/>
        </w:rPr>
      </w:pPr>
      <w:r w:rsidRPr="00D66B27">
        <w:rPr>
          <w:rFonts w:ascii="Verdana" w:hAnsi="Verdana" w:cs="Arial"/>
          <w:sz w:val="16"/>
          <w:szCs w:val="20"/>
        </w:rPr>
        <w:t>En consecuencia, entiende el Despacho que en aquellos casos donde se encuentre configurado los elementos del acto de lesa humanidad o que generen posibilidad que así sea tratado, habrá lugar a inaplicar el término de caducidad del medio de control de reparación directa, conforme a lo expuesto</w:t>
      </w:r>
      <w:r w:rsidRPr="00D66B27">
        <w:rPr>
          <w:rStyle w:val="Refdenotaalpie"/>
          <w:rFonts w:ascii="Verdana" w:hAnsi="Verdana" w:cs="Arial"/>
          <w:sz w:val="16"/>
          <w:szCs w:val="20"/>
        </w:rPr>
        <w:footnoteReference w:id="64"/>
      </w:r>
      <w:r w:rsidRPr="00D66B27">
        <w:rPr>
          <w:rFonts w:ascii="Verdana" w:hAnsi="Verdana" w:cs="Arial"/>
          <w:sz w:val="16"/>
          <w:szCs w:val="20"/>
        </w:rPr>
        <w:t>.</w:t>
      </w:r>
    </w:p>
    <w:p w14:paraId="4EEBE611" w14:textId="77777777" w:rsidR="00D5582B" w:rsidRPr="00D66B27" w:rsidRDefault="00D5582B" w:rsidP="00D5582B">
      <w:pPr>
        <w:pStyle w:val="MediumGrid1-Accent21"/>
        <w:autoSpaceDE w:val="0"/>
        <w:autoSpaceDN w:val="0"/>
        <w:adjustRightInd w:val="0"/>
        <w:ind w:left="0"/>
        <w:jc w:val="both"/>
        <w:rPr>
          <w:rFonts w:eastAsia="Times New Roman"/>
          <w:color w:val="auto"/>
          <w:sz w:val="20"/>
          <w:szCs w:val="20"/>
          <w:bdr w:val="none" w:sz="0" w:space="0" w:color="auto"/>
          <w:lang w:val="es-CR"/>
        </w:rPr>
      </w:pPr>
    </w:p>
    <w:p w14:paraId="16068C56" w14:textId="0728FBB8" w:rsidR="00D5582B" w:rsidRPr="00D66B27" w:rsidRDefault="004609D2" w:rsidP="00364C6E">
      <w:pPr>
        <w:pStyle w:val="Prrafodelista"/>
        <w:numPr>
          <w:ilvl w:val="0"/>
          <w:numId w:val="2"/>
        </w:numPr>
        <w:spacing w:after="0" w:line="240" w:lineRule="auto"/>
        <w:ind w:left="0" w:firstLine="0"/>
        <w:jc w:val="both"/>
        <w:rPr>
          <w:rFonts w:ascii="Verdana" w:eastAsia="Cambria" w:hAnsi="Verdana" w:cs="Arial"/>
          <w:sz w:val="20"/>
          <w:szCs w:val="20"/>
        </w:rPr>
      </w:pPr>
      <w:r w:rsidRPr="00D66B27">
        <w:rPr>
          <w:rFonts w:ascii="Verdana" w:eastAsia="Calibri" w:hAnsi="Verdana" w:cs="Verdana"/>
          <w:bCs/>
          <w:sz w:val="20"/>
          <w:szCs w:val="20"/>
          <w:lang w:eastAsia="es-MX"/>
        </w:rPr>
        <w:t xml:space="preserve">En </w:t>
      </w:r>
      <w:r w:rsidR="00D5582B" w:rsidRPr="00D66B27">
        <w:rPr>
          <w:rFonts w:ascii="Verdana" w:eastAsia="Calibri" w:hAnsi="Verdana" w:cs="Verdana"/>
          <w:bCs/>
          <w:sz w:val="20"/>
          <w:szCs w:val="20"/>
          <w:lang w:eastAsia="es-MX"/>
        </w:rPr>
        <w:t>Argentina, el artículo 2561 del Código Civil y Comercial fue modificado para que la norma relativa a prescripción y “plazos especiales” estableciera que “las acciones civiles derivadas de delitos de lesa humanidad</w:t>
      </w:r>
      <w:r w:rsidR="00D5582B" w:rsidRPr="00D66B27">
        <w:rPr>
          <w:rFonts w:ascii="Verdana" w:hAnsi="Verdana" w:cs="Arial"/>
          <w:sz w:val="20"/>
          <w:szCs w:val="20"/>
        </w:rPr>
        <w:t xml:space="preserve"> son imprescriptibles”</w:t>
      </w:r>
      <w:r w:rsidR="00D5582B" w:rsidRPr="00D66B27">
        <w:rPr>
          <w:rStyle w:val="Refdenotaalpie"/>
          <w:rFonts w:ascii="Verdana" w:hAnsi="Verdana" w:cs="Arial"/>
          <w:sz w:val="20"/>
          <w:szCs w:val="20"/>
        </w:rPr>
        <w:footnoteReference w:id="65"/>
      </w:r>
      <w:r w:rsidR="00D5582B" w:rsidRPr="00D66B27">
        <w:rPr>
          <w:rFonts w:ascii="Verdana" w:hAnsi="Verdana" w:cs="Arial"/>
          <w:sz w:val="20"/>
          <w:szCs w:val="20"/>
        </w:rPr>
        <w:t xml:space="preserve">. </w:t>
      </w:r>
    </w:p>
    <w:p w14:paraId="14428441" w14:textId="77777777" w:rsidR="00D5582B" w:rsidRPr="00D66B27" w:rsidRDefault="00D5582B" w:rsidP="00364C6E">
      <w:pPr>
        <w:pStyle w:val="Prrafodelista"/>
        <w:spacing w:after="0" w:line="240" w:lineRule="auto"/>
        <w:ind w:left="0"/>
        <w:jc w:val="both"/>
        <w:rPr>
          <w:rFonts w:ascii="Verdana" w:eastAsia="Calibri" w:hAnsi="Verdana" w:cs="Verdana"/>
          <w:bCs/>
          <w:sz w:val="20"/>
          <w:szCs w:val="20"/>
          <w:lang w:eastAsia="es-MX"/>
        </w:rPr>
      </w:pPr>
    </w:p>
    <w:p w14:paraId="2AB66638" w14:textId="7B90CEE2" w:rsidR="00CE0328" w:rsidRPr="00D66B27" w:rsidRDefault="00D5582B" w:rsidP="00364C6E">
      <w:pPr>
        <w:pStyle w:val="Prrafodelista"/>
        <w:numPr>
          <w:ilvl w:val="0"/>
          <w:numId w:val="2"/>
        </w:numPr>
        <w:spacing w:after="0" w:line="240" w:lineRule="auto"/>
        <w:ind w:left="0" w:firstLine="0"/>
        <w:jc w:val="both"/>
        <w:rPr>
          <w:rFonts w:ascii="Verdana" w:hAnsi="Verdana"/>
          <w:sz w:val="20"/>
          <w:szCs w:val="20"/>
        </w:rPr>
      </w:pPr>
      <w:r w:rsidRPr="00D66B27">
        <w:rPr>
          <w:rFonts w:ascii="Verdana" w:eastAsia="Calibri" w:hAnsi="Verdana" w:cs="Verdana"/>
          <w:bCs/>
          <w:sz w:val="20"/>
          <w:szCs w:val="20"/>
          <w:lang w:eastAsia="es-MX"/>
        </w:rPr>
        <w:t xml:space="preserve">Asimismo, </w:t>
      </w:r>
      <w:r w:rsidR="004609D2" w:rsidRPr="00D66B27">
        <w:rPr>
          <w:rFonts w:ascii="Verdana" w:eastAsia="Calibri" w:hAnsi="Verdana" w:cs="Verdana"/>
          <w:bCs/>
          <w:sz w:val="20"/>
          <w:szCs w:val="20"/>
          <w:lang w:eastAsia="es-MX"/>
        </w:rPr>
        <w:t xml:space="preserve">tal como lo hicieron notar la Comisión y el </w:t>
      </w:r>
      <w:r w:rsidRPr="00D66B27">
        <w:rPr>
          <w:rFonts w:ascii="Verdana" w:eastAsia="Calibri" w:hAnsi="Verdana" w:cs="Verdana"/>
          <w:bCs/>
          <w:sz w:val="20"/>
          <w:szCs w:val="20"/>
          <w:lang w:eastAsia="es-MX"/>
        </w:rPr>
        <w:t xml:space="preserve">propio </w:t>
      </w:r>
      <w:r w:rsidR="004609D2" w:rsidRPr="00D66B27">
        <w:rPr>
          <w:rFonts w:ascii="Verdana" w:eastAsia="Calibri" w:hAnsi="Verdana" w:cs="Verdana"/>
          <w:bCs/>
          <w:sz w:val="20"/>
          <w:szCs w:val="20"/>
          <w:lang w:eastAsia="es-MX"/>
        </w:rPr>
        <w:t xml:space="preserve">Estado, </w:t>
      </w:r>
      <w:r w:rsidR="00CE0328" w:rsidRPr="00D66B27">
        <w:rPr>
          <w:rFonts w:ascii="Verdana" w:hAnsi="Verdana"/>
          <w:sz w:val="20"/>
          <w:szCs w:val="20"/>
        </w:rPr>
        <w:t xml:space="preserve">la jurisprudencia de los últimos años de la Corte Suprema de Justicia chilena ha variado sustancialmente, declarando en numerosos casos concretos la imprescriptibilidad de la acción civil indemnizatoria por daños derivados de delitos de lesa humanidad, integrando para ello argumentos de Derecho Internacional de los Derechos Humanos. </w:t>
      </w:r>
      <w:r w:rsidR="00990DA1" w:rsidRPr="00D66B27">
        <w:rPr>
          <w:rFonts w:ascii="Verdana" w:hAnsi="Verdana"/>
          <w:sz w:val="20"/>
          <w:szCs w:val="20"/>
        </w:rPr>
        <w:t>Así,</w:t>
      </w:r>
      <w:r w:rsidR="004234BC">
        <w:rPr>
          <w:rFonts w:ascii="Verdana" w:hAnsi="Verdana"/>
          <w:sz w:val="20"/>
          <w:szCs w:val="20"/>
        </w:rPr>
        <w:t xml:space="preserve"> por ejemplo,</w:t>
      </w:r>
      <w:r w:rsidR="00CE0328" w:rsidRPr="00D66B27">
        <w:rPr>
          <w:rFonts w:ascii="Verdana" w:hAnsi="Verdana"/>
          <w:sz w:val="20"/>
          <w:szCs w:val="20"/>
        </w:rPr>
        <w:t xml:space="preserve"> en el fallo 23.583-2014 de 20 de mayo de 2015,</w:t>
      </w:r>
      <w:r w:rsidR="004234BC">
        <w:rPr>
          <w:rFonts w:ascii="Verdana" w:hAnsi="Verdana"/>
          <w:sz w:val="20"/>
          <w:szCs w:val="20"/>
        </w:rPr>
        <w:t xml:space="preserve"> la Corte Suprema</w:t>
      </w:r>
      <w:r w:rsidR="00CE0328" w:rsidRPr="00D66B27">
        <w:rPr>
          <w:rFonts w:ascii="Verdana" w:hAnsi="Verdana"/>
          <w:sz w:val="20"/>
          <w:szCs w:val="20"/>
        </w:rPr>
        <w:t xml:space="preserve"> consideró: </w:t>
      </w:r>
    </w:p>
    <w:p w14:paraId="327C42E5" w14:textId="77777777" w:rsidR="00CE0328" w:rsidRPr="00D66B27" w:rsidRDefault="00CE0328" w:rsidP="00CE0328">
      <w:pPr>
        <w:pStyle w:val="MediumGrid1-Accent21"/>
        <w:autoSpaceDE w:val="0"/>
        <w:autoSpaceDN w:val="0"/>
        <w:adjustRightInd w:val="0"/>
        <w:ind w:left="0"/>
        <w:jc w:val="both"/>
        <w:rPr>
          <w:rFonts w:ascii="Verdana" w:eastAsia="Times New Roman" w:hAnsi="Verdana"/>
          <w:color w:val="auto"/>
          <w:sz w:val="18"/>
          <w:szCs w:val="18"/>
          <w:bdr w:val="none" w:sz="0" w:space="0" w:color="auto"/>
          <w:lang w:val="es-CR"/>
        </w:rPr>
      </w:pPr>
    </w:p>
    <w:p w14:paraId="641F08C8" w14:textId="77777777" w:rsidR="00CE0328" w:rsidRPr="00D66B27" w:rsidRDefault="00CE0328" w:rsidP="00364C6E">
      <w:pPr>
        <w:pStyle w:val="MediumGrid1-Accent21"/>
        <w:autoSpaceDE w:val="0"/>
        <w:autoSpaceDN w:val="0"/>
        <w:adjustRightInd w:val="0"/>
        <w:ind w:left="426"/>
        <w:jc w:val="both"/>
        <w:rPr>
          <w:rFonts w:ascii="Verdana" w:hAnsi="Verdana"/>
          <w:color w:val="auto"/>
          <w:sz w:val="18"/>
          <w:szCs w:val="18"/>
          <w:lang w:val="es-CR"/>
        </w:rPr>
      </w:pPr>
      <w:r w:rsidRPr="00D66B27">
        <w:rPr>
          <w:rFonts w:ascii="Verdana" w:hAnsi="Verdana"/>
          <w:color w:val="auto"/>
          <w:sz w:val="18"/>
          <w:szCs w:val="18"/>
          <w:lang w:val="es-CR"/>
        </w:rPr>
        <w:t>Que, tratándose de delitos como los investigados, que la comunidad internacional ha calificado como de lesa humanidad, la acción civil deducida en contra del Fisco tiene por objeto obtener la reparación íntegra de los perjuicios ocasionados por el actuar de un agente del Estado, conforme fluye de los tratados internacionales ratificados por Chile y de la interpretación de las normas de derecho interno, en conformidad a la Constitución Política de la República. En efecto, este derecho de las víctimas y sus familiares encuentra su fundamento en los principios generales del Derecho Internacional de los Derechos Humanos, y la consagración normativa en los tratados internacionales ratificados por Chile, los cuales obligan al Estado a reconocer y proteger este derecho a la reparación íntegra, en virtud de lo dispuesto en el inciso segundo del artículo 5° y en el artículo 6° de la Constitución Política.</w:t>
      </w:r>
    </w:p>
    <w:p w14:paraId="15A0C656" w14:textId="77777777" w:rsidR="00CE0328" w:rsidRPr="00D66B27" w:rsidRDefault="00CE0328" w:rsidP="00364C6E">
      <w:pPr>
        <w:pStyle w:val="MediumGrid1-Accent21"/>
        <w:autoSpaceDE w:val="0"/>
        <w:autoSpaceDN w:val="0"/>
        <w:adjustRightInd w:val="0"/>
        <w:ind w:left="426"/>
        <w:jc w:val="both"/>
        <w:rPr>
          <w:rFonts w:ascii="Verdana" w:hAnsi="Verdana"/>
          <w:color w:val="auto"/>
          <w:sz w:val="18"/>
          <w:szCs w:val="18"/>
          <w:lang w:val="es-CR"/>
        </w:rPr>
      </w:pPr>
    </w:p>
    <w:p w14:paraId="53E59760" w14:textId="77777777" w:rsidR="00CE0328" w:rsidRPr="00D66B27" w:rsidRDefault="00CE0328" w:rsidP="00364C6E">
      <w:pPr>
        <w:pStyle w:val="MediumGrid1-Accent21"/>
        <w:autoSpaceDE w:val="0"/>
        <w:autoSpaceDN w:val="0"/>
        <w:adjustRightInd w:val="0"/>
        <w:ind w:left="426"/>
        <w:jc w:val="both"/>
        <w:rPr>
          <w:rFonts w:ascii="Verdana" w:hAnsi="Verdana"/>
          <w:color w:val="auto"/>
          <w:sz w:val="18"/>
          <w:szCs w:val="18"/>
          <w:lang w:val="es-CR"/>
        </w:rPr>
      </w:pPr>
      <w:r w:rsidRPr="00D66B27">
        <w:rPr>
          <w:rFonts w:ascii="Verdana" w:hAnsi="Verdana"/>
          <w:color w:val="auto"/>
          <w:sz w:val="18"/>
          <w:szCs w:val="18"/>
          <w:lang w:val="es-CR"/>
        </w:rPr>
        <w:lastRenderedPageBreak/>
        <w:t xml:space="preserve">Que la indemnización del daño producido por el delito, así como la acción para hacerla efectiva, resultan de máxima trascendencia al momento de administrar justicia, comprometiendo el interés público y aspectos de justicia material. En el caso en análisis, dado el contexto en que el ilícito fue verificado, con la intervención de agentes estatales durante un período de extrema anormalidad institucional en el que representaban al gobierno de la época, y en que -al menos en el caso de autos- claramente se abusó de aquella potestad y representación, produciendo agravios de tanta gravedad como el que aquí se estudia, el Estado de Chile no puede eludir su responsabilidad legal de reparar dicha deuda de jure </w:t>
      </w:r>
      <w:r w:rsidRPr="00D66B27">
        <w:rPr>
          <w:rFonts w:ascii="Verdana" w:eastAsia="Times New Roman" w:hAnsi="Verdana"/>
          <w:color w:val="auto"/>
          <w:sz w:val="18"/>
          <w:szCs w:val="18"/>
          <w:bdr w:val="none" w:sz="0" w:space="0" w:color="auto"/>
          <w:lang w:val="es-CR"/>
        </w:rPr>
        <w:t>[…]</w:t>
      </w:r>
    </w:p>
    <w:p w14:paraId="29ED1851" w14:textId="77777777" w:rsidR="00CE0328" w:rsidRPr="00D66B27" w:rsidRDefault="00CE0328" w:rsidP="00364C6E">
      <w:pPr>
        <w:pStyle w:val="MediumGrid1-Accent21"/>
        <w:autoSpaceDE w:val="0"/>
        <w:autoSpaceDN w:val="0"/>
        <w:adjustRightInd w:val="0"/>
        <w:ind w:left="426"/>
        <w:jc w:val="both"/>
        <w:rPr>
          <w:rFonts w:ascii="Verdana" w:hAnsi="Verdana"/>
          <w:color w:val="auto"/>
          <w:sz w:val="18"/>
          <w:szCs w:val="18"/>
          <w:lang w:val="es-CR"/>
        </w:rPr>
      </w:pPr>
    </w:p>
    <w:p w14:paraId="07CA981F" w14:textId="77777777" w:rsidR="00CE0328" w:rsidRPr="00D66B27" w:rsidRDefault="00CE0328" w:rsidP="00364C6E">
      <w:pPr>
        <w:pStyle w:val="MediumGrid1-Accent21"/>
        <w:autoSpaceDE w:val="0"/>
        <w:autoSpaceDN w:val="0"/>
        <w:adjustRightInd w:val="0"/>
        <w:ind w:left="426"/>
        <w:jc w:val="both"/>
        <w:rPr>
          <w:rFonts w:ascii="Verdana" w:eastAsia="Times New Roman" w:hAnsi="Verdana"/>
          <w:color w:val="auto"/>
          <w:sz w:val="18"/>
          <w:szCs w:val="18"/>
          <w:bdr w:val="none" w:sz="0" w:space="0" w:color="auto"/>
          <w:lang w:val="es-CR"/>
        </w:rPr>
      </w:pPr>
      <w:r w:rsidRPr="00D66B27">
        <w:rPr>
          <w:rFonts w:ascii="Verdana" w:hAnsi="Verdana"/>
          <w:color w:val="auto"/>
          <w:sz w:val="18"/>
          <w:szCs w:val="18"/>
          <w:lang w:val="es-CR"/>
        </w:rPr>
        <w:t xml:space="preserve">De este modo, en el presente caso no resultan atingentes las disposiciones del derecho interno previstas en el Código Civil sobre prescripción de las acciones civiles comunes de indemnización de perjuicios, invocadas por el Fisco de Chile, al estar en contradicción con las normas del Derecho Internacional de los Derechos Humanos, que protegen el derecho de las víctimas y familiares a recibir la reparación correspondiente, estatuto normativo internacional que ha sido reconocido por Chile. </w:t>
      </w:r>
      <w:r w:rsidRPr="00D66B27">
        <w:rPr>
          <w:rFonts w:ascii="Verdana" w:eastAsia="Times New Roman" w:hAnsi="Verdana"/>
          <w:color w:val="auto"/>
          <w:sz w:val="18"/>
          <w:szCs w:val="18"/>
          <w:bdr w:val="none" w:sz="0" w:space="0" w:color="auto"/>
          <w:lang w:val="es-CR"/>
        </w:rPr>
        <w:t>[…]</w:t>
      </w:r>
    </w:p>
    <w:p w14:paraId="023A95B0" w14:textId="77777777" w:rsidR="00CE0328" w:rsidRPr="00D66B27" w:rsidRDefault="00CE0328" w:rsidP="00364C6E">
      <w:pPr>
        <w:pStyle w:val="MediumGrid1-Accent21"/>
        <w:autoSpaceDE w:val="0"/>
        <w:autoSpaceDN w:val="0"/>
        <w:adjustRightInd w:val="0"/>
        <w:ind w:left="426"/>
        <w:jc w:val="both"/>
        <w:rPr>
          <w:rFonts w:ascii="Verdana" w:eastAsia="Times New Roman" w:hAnsi="Verdana"/>
          <w:color w:val="auto"/>
          <w:sz w:val="18"/>
          <w:szCs w:val="18"/>
          <w:bdr w:val="none" w:sz="0" w:space="0" w:color="auto"/>
          <w:lang w:val="es-CR"/>
        </w:rPr>
      </w:pPr>
    </w:p>
    <w:p w14:paraId="1C8D2BCD" w14:textId="77777777" w:rsidR="00CE0328" w:rsidRPr="00D66B27" w:rsidRDefault="00CE0328" w:rsidP="00364C6E">
      <w:pPr>
        <w:pStyle w:val="MediumGrid1-Accent21"/>
        <w:autoSpaceDE w:val="0"/>
        <w:autoSpaceDN w:val="0"/>
        <w:adjustRightInd w:val="0"/>
        <w:ind w:left="426"/>
        <w:jc w:val="both"/>
        <w:rPr>
          <w:rFonts w:ascii="Verdana" w:eastAsia="Times New Roman" w:hAnsi="Verdana"/>
          <w:color w:val="auto"/>
          <w:sz w:val="18"/>
          <w:szCs w:val="18"/>
          <w:bdr w:val="none" w:sz="0" w:space="0" w:color="auto"/>
          <w:lang w:val="es-CR"/>
        </w:rPr>
      </w:pPr>
      <w:r w:rsidRPr="00D66B27">
        <w:rPr>
          <w:rFonts w:ascii="Verdana" w:hAnsi="Verdana"/>
          <w:color w:val="auto"/>
          <w:sz w:val="18"/>
          <w:szCs w:val="18"/>
          <w:lang w:val="es-CR"/>
        </w:rPr>
        <w:t xml:space="preserve">Que, en suma, pesando sobre el Estado la obligación de reparar a la víctima y sus familiares consagrada por la normativa internacional sobre Derechos Humanos, el derecho interno no deviene en un argumento sostenible para eximirlo de su cumplimiento </w:t>
      </w:r>
      <w:r w:rsidRPr="00D66B27">
        <w:rPr>
          <w:rFonts w:ascii="Verdana" w:eastAsia="Times New Roman" w:hAnsi="Verdana"/>
          <w:color w:val="auto"/>
          <w:sz w:val="18"/>
          <w:szCs w:val="18"/>
          <w:bdr w:val="none" w:sz="0" w:space="0" w:color="auto"/>
          <w:lang w:val="es-CR"/>
        </w:rPr>
        <w:t>[…]</w:t>
      </w:r>
    </w:p>
    <w:p w14:paraId="6ED6070D" w14:textId="77777777" w:rsidR="00CE0328" w:rsidRPr="00D66B27" w:rsidRDefault="00CE0328" w:rsidP="00364C6E">
      <w:pPr>
        <w:pStyle w:val="MediumGrid1-Accent21"/>
        <w:autoSpaceDE w:val="0"/>
        <w:autoSpaceDN w:val="0"/>
        <w:adjustRightInd w:val="0"/>
        <w:ind w:left="426"/>
        <w:jc w:val="both"/>
        <w:rPr>
          <w:rFonts w:ascii="Verdana" w:eastAsia="Times New Roman" w:hAnsi="Verdana"/>
          <w:color w:val="auto"/>
          <w:sz w:val="18"/>
          <w:szCs w:val="18"/>
          <w:bdr w:val="none" w:sz="0" w:space="0" w:color="auto"/>
          <w:lang w:val="es-CR"/>
        </w:rPr>
      </w:pPr>
    </w:p>
    <w:p w14:paraId="23D97BAE" w14:textId="77777777" w:rsidR="00CE0328" w:rsidRPr="00D66B27" w:rsidRDefault="00CE0328" w:rsidP="00364C6E">
      <w:pPr>
        <w:pStyle w:val="MediumGrid1-Accent21"/>
        <w:autoSpaceDE w:val="0"/>
        <w:autoSpaceDN w:val="0"/>
        <w:adjustRightInd w:val="0"/>
        <w:ind w:left="426"/>
        <w:jc w:val="both"/>
        <w:rPr>
          <w:rFonts w:ascii="Verdana" w:hAnsi="Verdana"/>
          <w:color w:val="auto"/>
          <w:sz w:val="18"/>
          <w:szCs w:val="18"/>
          <w:lang w:val="es-CR"/>
        </w:rPr>
      </w:pPr>
      <w:r w:rsidRPr="00D66B27">
        <w:rPr>
          <w:rFonts w:ascii="Verdana" w:hAnsi="Verdana"/>
          <w:color w:val="auto"/>
          <w:sz w:val="18"/>
          <w:szCs w:val="18"/>
          <w:lang w:val="es-CR"/>
        </w:rPr>
        <w:t>Que, en esas condiciones, resulta efectivo que los jueces del grado incurrieron en un error de derecho al momento de acoger la excepción de prescripción de la demanda civil incoada en contra del Estado, yerro que ha influido sustancialmente en lo dispositivo de la sentencia, de suerte tal que el recurso de casación en el fondo será acogido</w:t>
      </w:r>
      <w:r w:rsidRPr="00D66B27">
        <w:rPr>
          <w:rStyle w:val="Refdenotaalpie"/>
          <w:rFonts w:ascii="Verdana" w:hAnsi="Verdana"/>
          <w:color w:val="auto"/>
          <w:sz w:val="18"/>
          <w:szCs w:val="18"/>
          <w:lang w:val="es-CR"/>
        </w:rPr>
        <w:footnoteReference w:id="66"/>
      </w:r>
      <w:r w:rsidRPr="00D66B27">
        <w:rPr>
          <w:rFonts w:ascii="Verdana" w:hAnsi="Verdana"/>
          <w:color w:val="auto"/>
          <w:sz w:val="18"/>
          <w:szCs w:val="18"/>
          <w:lang w:val="es-CR"/>
        </w:rPr>
        <w:t>.</w:t>
      </w:r>
    </w:p>
    <w:p w14:paraId="7A582E67" w14:textId="77777777" w:rsidR="00CE0328" w:rsidRPr="00D66B27" w:rsidRDefault="00CE0328" w:rsidP="004609D2">
      <w:pPr>
        <w:pStyle w:val="Prrafodelista"/>
        <w:spacing w:after="0" w:line="240" w:lineRule="auto"/>
        <w:ind w:left="0"/>
        <w:jc w:val="both"/>
        <w:rPr>
          <w:rFonts w:ascii="Verdana" w:eastAsia="Calibri" w:hAnsi="Verdana" w:cs="Verdana"/>
          <w:bCs/>
          <w:sz w:val="20"/>
          <w:szCs w:val="20"/>
          <w:lang w:eastAsia="es-MX"/>
        </w:rPr>
      </w:pPr>
    </w:p>
    <w:p w14:paraId="32D6F3B8" w14:textId="49A8D993" w:rsidR="00D5582B" w:rsidRPr="00D66B27" w:rsidRDefault="00C61BA8" w:rsidP="00364C6E">
      <w:pPr>
        <w:pStyle w:val="Prrafodelista"/>
        <w:numPr>
          <w:ilvl w:val="0"/>
          <w:numId w:val="2"/>
        </w:numPr>
        <w:spacing w:after="0" w:line="240" w:lineRule="auto"/>
        <w:ind w:left="0" w:firstLine="0"/>
        <w:jc w:val="both"/>
        <w:rPr>
          <w:rFonts w:ascii="Verdana" w:eastAsia="Calibri" w:hAnsi="Verdana" w:cs="Verdana"/>
          <w:bCs/>
          <w:sz w:val="20"/>
          <w:szCs w:val="20"/>
          <w:lang w:eastAsia="es-MX"/>
        </w:rPr>
      </w:pPr>
      <w:r w:rsidRPr="00D66B27">
        <w:rPr>
          <w:rFonts w:ascii="Verdana" w:eastAsia="Calibri" w:hAnsi="Verdana" w:cs="Verdana"/>
          <w:bCs/>
          <w:sz w:val="20"/>
          <w:szCs w:val="20"/>
          <w:lang w:eastAsia="es-MX"/>
        </w:rPr>
        <w:t xml:space="preserve">Según </w:t>
      </w:r>
      <w:r w:rsidR="00990DA1" w:rsidRPr="00D66B27">
        <w:rPr>
          <w:rFonts w:ascii="Verdana" w:eastAsia="Calibri" w:hAnsi="Verdana" w:cs="Verdana"/>
          <w:bCs/>
          <w:sz w:val="20"/>
          <w:szCs w:val="20"/>
          <w:lang w:eastAsia="es-MX"/>
        </w:rPr>
        <w:t>señaló</w:t>
      </w:r>
      <w:r w:rsidRPr="00D66B27">
        <w:rPr>
          <w:rFonts w:ascii="Verdana" w:eastAsia="Calibri" w:hAnsi="Verdana" w:cs="Verdana"/>
          <w:bCs/>
          <w:sz w:val="20"/>
          <w:szCs w:val="20"/>
          <w:lang w:eastAsia="es-MX"/>
        </w:rPr>
        <w:t xml:space="preserve"> </w:t>
      </w:r>
      <w:r w:rsidR="00D5582B" w:rsidRPr="00D66B27">
        <w:rPr>
          <w:rFonts w:ascii="Verdana" w:eastAsia="Calibri" w:hAnsi="Verdana" w:cs="Verdana"/>
          <w:bCs/>
          <w:sz w:val="20"/>
          <w:szCs w:val="20"/>
          <w:lang w:eastAsia="es-MX"/>
        </w:rPr>
        <w:t>la Comisión</w:t>
      </w:r>
      <w:r w:rsidRPr="00D66B27">
        <w:rPr>
          <w:rFonts w:ascii="Verdana" w:eastAsia="Calibri" w:hAnsi="Verdana" w:cs="Verdana"/>
          <w:bCs/>
          <w:sz w:val="20"/>
          <w:szCs w:val="20"/>
          <w:lang w:eastAsia="es-MX"/>
        </w:rPr>
        <w:t xml:space="preserve">, </w:t>
      </w:r>
      <w:r w:rsidR="00D5582B" w:rsidRPr="00D66B27">
        <w:rPr>
          <w:rFonts w:ascii="Verdana" w:eastAsia="Calibri" w:hAnsi="Verdana" w:cs="Verdana"/>
          <w:bCs/>
          <w:sz w:val="20"/>
          <w:szCs w:val="20"/>
          <w:lang w:eastAsia="es-MX"/>
        </w:rPr>
        <w:t xml:space="preserve">el recurso judicial disponible en la jurisdicción chilena para acceder a una indemnización por violaciones a los derechos humanos es la acción civil de indemnización. En todos los casos </w:t>
      </w:r>
      <w:r w:rsidRPr="00D66B27">
        <w:rPr>
          <w:rFonts w:ascii="Verdana" w:eastAsia="Calibri" w:hAnsi="Verdana" w:cs="Verdana"/>
          <w:bCs/>
          <w:sz w:val="20"/>
          <w:szCs w:val="20"/>
          <w:lang w:eastAsia="es-MX"/>
        </w:rPr>
        <w:t>de las víctimas, las autoridades judiciales rechazaron sus demandas</w:t>
      </w:r>
      <w:r w:rsidR="00D5582B" w:rsidRPr="00D66B27">
        <w:rPr>
          <w:rFonts w:ascii="Verdana" w:eastAsia="Calibri" w:hAnsi="Verdana" w:cs="Verdana"/>
          <w:bCs/>
          <w:sz w:val="20"/>
          <w:szCs w:val="20"/>
          <w:lang w:eastAsia="es-MX"/>
        </w:rPr>
        <w:t xml:space="preserve"> </w:t>
      </w:r>
      <w:r w:rsidRPr="00D66B27">
        <w:rPr>
          <w:rFonts w:ascii="Verdana" w:eastAsia="Calibri" w:hAnsi="Verdana" w:cs="Verdana"/>
          <w:bCs/>
          <w:sz w:val="20"/>
          <w:szCs w:val="20"/>
          <w:lang w:eastAsia="es-MX"/>
        </w:rPr>
        <w:t>en aplicación d</w:t>
      </w:r>
      <w:r w:rsidR="00D5582B" w:rsidRPr="00D66B27">
        <w:rPr>
          <w:rFonts w:ascii="Verdana" w:eastAsia="Calibri" w:hAnsi="Verdana" w:cs="Verdana"/>
          <w:bCs/>
          <w:sz w:val="20"/>
          <w:szCs w:val="20"/>
          <w:lang w:eastAsia="es-MX"/>
        </w:rPr>
        <w:t xml:space="preserve">el instituto de la prescripción de la acción civil. </w:t>
      </w:r>
      <w:r w:rsidRPr="00D66B27">
        <w:rPr>
          <w:rFonts w:ascii="Verdana" w:eastAsia="Calibri" w:hAnsi="Verdana" w:cs="Verdana"/>
          <w:bCs/>
          <w:sz w:val="20"/>
          <w:szCs w:val="20"/>
          <w:lang w:eastAsia="es-MX"/>
        </w:rPr>
        <w:t>Tales decisiones se encuentran en firme.</w:t>
      </w:r>
    </w:p>
    <w:p w14:paraId="7B50A19F" w14:textId="77777777" w:rsidR="00D5582B" w:rsidRPr="00D66B27" w:rsidRDefault="00D5582B" w:rsidP="00364C6E">
      <w:pPr>
        <w:pStyle w:val="Prrafodelista"/>
        <w:spacing w:after="0" w:line="240" w:lineRule="auto"/>
        <w:ind w:left="0"/>
        <w:jc w:val="both"/>
        <w:rPr>
          <w:rFonts w:ascii="Verdana" w:eastAsia="Calibri" w:hAnsi="Verdana" w:cs="Verdana"/>
          <w:bCs/>
          <w:sz w:val="20"/>
          <w:szCs w:val="20"/>
          <w:lang w:eastAsia="es-MX"/>
        </w:rPr>
      </w:pPr>
    </w:p>
    <w:p w14:paraId="15917CAF" w14:textId="09E2A750" w:rsidR="00D5582B" w:rsidRPr="00D66B27" w:rsidRDefault="00D5582B" w:rsidP="00364C6E">
      <w:pPr>
        <w:pStyle w:val="Prrafodelista"/>
        <w:numPr>
          <w:ilvl w:val="0"/>
          <w:numId w:val="2"/>
        </w:numPr>
        <w:spacing w:after="0" w:line="240" w:lineRule="auto"/>
        <w:ind w:left="0" w:firstLine="0"/>
        <w:jc w:val="both"/>
        <w:rPr>
          <w:rFonts w:ascii="Verdana" w:eastAsia="Calibri" w:hAnsi="Verdana" w:cs="Verdana"/>
          <w:bCs/>
          <w:sz w:val="20"/>
          <w:szCs w:val="20"/>
          <w:lang w:eastAsia="es-MX"/>
        </w:rPr>
      </w:pPr>
      <w:r w:rsidRPr="00D66B27">
        <w:rPr>
          <w:rFonts w:ascii="Verdana" w:eastAsia="Calibri" w:hAnsi="Verdana" w:cs="Verdana"/>
          <w:bCs/>
          <w:sz w:val="20"/>
          <w:szCs w:val="20"/>
          <w:lang w:eastAsia="es-MX"/>
        </w:rPr>
        <w:t>La Comisión estim</w:t>
      </w:r>
      <w:r w:rsidR="006D6D2C" w:rsidRPr="00D66B27">
        <w:rPr>
          <w:rFonts w:ascii="Verdana" w:eastAsia="Calibri" w:hAnsi="Verdana" w:cs="Verdana"/>
          <w:bCs/>
          <w:sz w:val="20"/>
          <w:szCs w:val="20"/>
          <w:lang w:eastAsia="es-MX"/>
        </w:rPr>
        <w:t>ó</w:t>
      </w:r>
      <w:r w:rsidRPr="00D66B27">
        <w:rPr>
          <w:rFonts w:ascii="Verdana" w:eastAsia="Calibri" w:hAnsi="Verdana" w:cs="Verdana"/>
          <w:bCs/>
          <w:sz w:val="20"/>
          <w:szCs w:val="20"/>
          <w:lang w:eastAsia="es-MX"/>
        </w:rPr>
        <w:t xml:space="preserve"> que la aplicación de </w:t>
      </w:r>
      <w:r w:rsidR="00990DA1" w:rsidRPr="00D66B27">
        <w:rPr>
          <w:rFonts w:ascii="Verdana" w:eastAsia="Calibri" w:hAnsi="Verdana" w:cs="Verdana"/>
          <w:bCs/>
          <w:sz w:val="20"/>
          <w:szCs w:val="20"/>
          <w:lang w:eastAsia="es-MX"/>
        </w:rPr>
        <w:t>tal</w:t>
      </w:r>
      <w:r w:rsidRPr="00D66B27">
        <w:rPr>
          <w:rFonts w:ascii="Verdana" w:eastAsia="Calibri" w:hAnsi="Verdana" w:cs="Verdana"/>
          <w:bCs/>
          <w:sz w:val="20"/>
          <w:szCs w:val="20"/>
          <w:lang w:eastAsia="es-MX"/>
        </w:rPr>
        <w:t xml:space="preserve"> figura en </w:t>
      </w:r>
      <w:r w:rsidR="006D6D2C" w:rsidRPr="00D66B27">
        <w:rPr>
          <w:rFonts w:ascii="Verdana" w:eastAsia="Calibri" w:hAnsi="Verdana" w:cs="Verdana"/>
          <w:bCs/>
          <w:sz w:val="20"/>
          <w:szCs w:val="20"/>
          <w:lang w:eastAsia="es-MX"/>
        </w:rPr>
        <w:t>estos</w:t>
      </w:r>
      <w:r w:rsidRPr="00D66B27">
        <w:rPr>
          <w:rFonts w:ascii="Verdana" w:eastAsia="Calibri" w:hAnsi="Verdana" w:cs="Verdana"/>
          <w:bCs/>
          <w:sz w:val="20"/>
          <w:szCs w:val="20"/>
          <w:lang w:eastAsia="es-MX"/>
        </w:rPr>
        <w:t xml:space="preserve"> casos constituyó una restricción </w:t>
      </w:r>
      <w:r w:rsidR="000859A7" w:rsidRPr="00D66B27">
        <w:rPr>
          <w:rFonts w:ascii="Verdana" w:eastAsia="Calibri" w:hAnsi="Verdana" w:cs="Verdana"/>
          <w:bCs/>
          <w:sz w:val="20"/>
          <w:szCs w:val="20"/>
          <w:lang w:eastAsia="es-MX"/>
        </w:rPr>
        <w:t xml:space="preserve">desproporcional </w:t>
      </w:r>
      <w:r w:rsidRPr="00D66B27">
        <w:rPr>
          <w:rFonts w:ascii="Verdana" w:eastAsia="Calibri" w:hAnsi="Verdana" w:cs="Verdana"/>
          <w:bCs/>
          <w:sz w:val="20"/>
          <w:szCs w:val="20"/>
          <w:lang w:eastAsia="es-MX"/>
        </w:rPr>
        <w:t>en la posibilidad de obtener una reparación</w:t>
      </w:r>
      <w:r w:rsidR="006D6D2C" w:rsidRPr="00D66B27">
        <w:rPr>
          <w:rFonts w:ascii="Verdana" w:eastAsia="Calibri" w:hAnsi="Verdana" w:cs="Verdana"/>
          <w:bCs/>
          <w:sz w:val="20"/>
          <w:szCs w:val="20"/>
          <w:lang w:eastAsia="es-MX"/>
        </w:rPr>
        <w:t>, señalando que ello no implica</w:t>
      </w:r>
      <w:r w:rsidRPr="00D66B27">
        <w:rPr>
          <w:rFonts w:ascii="Verdana" w:eastAsia="Calibri" w:hAnsi="Verdana" w:cs="Verdana"/>
          <w:bCs/>
          <w:sz w:val="20"/>
          <w:szCs w:val="20"/>
          <w:lang w:eastAsia="es-MX"/>
        </w:rPr>
        <w:t xml:space="preserve"> un pronunciamiento genérico sobre dicha figura sino </w:t>
      </w:r>
      <w:r w:rsidR="006D6D2C" w:rsidRPr="00D66B27">
        <w:rPr>
          <w:rFonts w:ascii="Verdana" w:eastAsia="Calibri" w:hAnsi="Verdana" w:cs="Verdana"/>
          <w:bCs/>
          <w:sz w:val="20"/>
          <w:szCs w:val="20"/>
          <w:lang w:eastAsia="es-MX"/>
        </w:rPr>
        <w:t>únicamente respecto de</w:t>
      </w:r>
      <w:r w:rsidRPr="00D66B27">
        <w:rPr>
          <w:rFonts w:ascii="Verdana" w:eastAsia="Calibri" w:hAnsi="Verdana" w:cs="Verdana"/>
          <w:bCs/>
          <w:sz w:val="20"/>
          <w:szCs w:val="20"/>
          <w:lang w:eastAsia="es-MX"/>
        </w:rPr>
        <w:t xml:space="preserve"> la aplicación de la misma a crímenes de lesa humanidad.</w:t>
      </w:r>
      <w:r w:rsidR="006D6D2C" w:rsidRPr="00D66B27">
        <w:rPr>
          <w:rFonts w:ascii="Verdana" w:eastAsia="Calibri" w:hAnsi="Verdana" w:cs="Verdana"/>
          <w:bCs/>
          <w:sz w:val="20"/>
          <w:szCs w:val="20"/>
          <w:lang w:eastAsia="es-MX"/>
        </w:rPr>
        <w:t xml:space="preserve"> Así, consideró que, si bien </w:t>
      </w:r>
      <w:r w:rsidR="009F072F" w:rsidRPr="00D66B27">
        <w:rPr>
          <w:rFonts w:ascii="Verdana" w:eastAsia="Calibri" w:hAnsi="Verdana" w:cs="Verdana"/>
          <w:bCs/>
          <w:sz w:val="20"/>
          <w:szCs w:val="20"/>
          <w:lang w:eastAsia="es-MX"/>
        </w:rPr>
        <w:t>el principio de seguridad jurídica busca coadyuvar al orden público y la paz en las relaciones sociales, el derecho a un recurso judicial para obtener una reparación por crímenes de lesa humanidad no va en desmedro de este principio, sino que lo fortalece y contribuye a su optimización</w:t>
      </w:r>
      <w:r w:rsidR="008854CD">
        <w:rPr>
          <w:rFonts w:ascii="Verdana" w:eastAsia="Calibri" w:hAnsi="Verdana" w:cs="Verdana"/>
          <w:bCs/>
          <w:sz w:val="20"/>
          <w:szCs w:val="20"/>
          <w:lang w:eastAsia="es-MX"/>
        </w:rPr>
        <w:t>.</w:t>
      </w:r>
    </w:p>
    <w:p w14:paraId="4BB5183B" w14:textId="77777777" w:rsidR="009F072F" w:rsidRPr="00D66B27" w:rsidRDefault="009F072F" w:rsidP="00364C6E">
      <w:pPr>
        <w:pStyle w:val="Prrafodelista"/>
        <w:spacing w:after="0" w:line="240" w:lineRule="auto"/>
        <w:ind w:left="0"/>
        <w:jc w:val="both"/>
        <w:rPr>
          <w:rFonts w:ascii="Verdana" w:eastAsia="Calibri" w:hAnsi="Verdana" w:cs="Verdana"/>
          <w:bCs/>
          <w:sz w:val="20"/>
          <w:szCs w:val="20"/>
          <w:lang w:eastAsia="es-MX"/>
        </w:rPr>
      </w:pPr>
    </w:p>
    <w:p w14:paraId="06328DCA" w14:textId="391AF6FF" w:rsidR="006B3005" w:rsidRPr="00D66B27" w:rsidRDefault="009F072F" w:rsidP="00364C6E">
      <w:pPr>
        <w:pStyle w:val="Prrafodelista"/>
        <w:numPr>
          <w:ilvl w:val="0"/>
          <w:numId w:val="2"/>
        </w:numPr>
        <w:spacing w:after="0" w:line="240" w:lineRule="auto"/>
        <w:ind w:left="0" w:firstLine="0"/>
        <w:jc w:val="both"/>
        <w:rPr>
          <w:rFonts w:ascii="Verdana" w:eastAsia="Calibri" w:hAnsi="Verdana" w:cs="Verdana"/>
          <w:bCs/>
          <w:sz w:val="20"/>
          <w:szCs w:val="20"/>
          <w:lang w:eastAsia="es-MX"/>
        </w:rPr>
      </w:pPr>
      <w:r w:rsidRPr="00D66B27">
        <w:rPr>
          <w:rFonts w:ascii="Verdana" w:eastAsia="Calibri" w:hAnsi="Verdana" w:cs="Verdana"/>
          <w:bCs/>
          <w:sz w:val="20"/>
          <w:szCs w:val="20"/>
          <w:lang w:eastAsia="es-MX"/>
        </w:rPr>
        <w:t xml:space="preserve">La Comisión </w:t>
      </w:r>
      <w:r w:rsidR="006D6D2C" w:rsidRPr="00D66B27">
        <w:rPr>
          <w:rFonts w:ascii="Verdana" w:eastAsia="Calibri" w:hAnsi="Verdana" w:cs="Verdana"/>
          <w:bCs/>
          <w:sz w:val="20"/>
          <w:szCs w:val="20"/>
          <w:lang w:eastAsia="es-MX"/>
        </w:rPr>
        <w:t>consider</w:t>
      </w:r>
      <w:r w:rsidR="00856EB9" w:rsidRPr="00D66B27">
        <w:rPr>
          <w:rFonts w:ascii="Verdana" w:eastAsia="Calibri" w:hAnsi="Verdana" w:cs="Verdana"/>
          <w:bCs/>
          <w:sz w:val="20"/>
          <w:szCs w:val="20"/>
          <w:lang w:eastAsia="es-MX"/>
        </w:rPr>
        <w:t>ó</w:t>
      </w:r>
      <w:r w:rsidR="006D6D2C" w:rsidRPr="00D66B27">
        <w:rPr>
          <w:rFonts w:ascii="Verdana" w:eastAsia="Calibri" w:hAnsi="Verdana" w:cs="Verdana"/>
          <w:bCs/>
          <w:sz w:val="20"/>
          <w:szCs w:val="20"/>
          <w:lang w:eastAsia="es-MX"/>
        </w:rPr>
        <w:t xml:space="preserve"> </w:t>
      </w:r>
      <w:r w:rsidRPr="00D66B27">
        <w:rPr>
          <w:rFonts w:ascii="Verdana" w:eastAsia="Calibri" w:hAnsi="Verdana" w:cs="Verdana"/>
          <w:bCs/>
          <w:sz w:val="20"/>
          <w:szCs w:val="20"/>
          <w:lang w:eastAsia="es-MX"/>
        </w:rPr>
        <w:t xml:space="preserve">que la razón de ser de </w:t>
      </w:r>
      <w:r w:rsidR="006D6D2C" w:rsidRPr="00D66B27">
        <w:rPr>
          <w:rFonts w:ascii="Verdana" w:eastAsia="Calibri" w:hAnsi="Verdana" w:cs="Verdana"/>
          <w:bCs/>
          <w:sz w:val="20"/>
          <w:szCs w:val="20"/>
          <w:lang w:eastAsia="es-MX"/>
        </w:rPr>
        <w:t xml:space="preserve">la inconvencionalidad de aplicar la figura de prescripción de la acción penal en casos de graves violaciones de derechos humanos </w:t>
      </w:r>
      <w:r w:rsidRPr="00D66B27">
        <w:rPr>
          <w:rFonts w:ascii="Verdana" w:eastAsia="Calibri" w:hAnsi="Verdana" w:cs="Verdana"/>
          <w:bCs/>
          <w:sz w:val="20"/>
          <w:szCs w:val="20"/>
          <w:lang w:eastAsia="es-MX"/>
        </w:rPr>
        <w:t xml:space="preserve">se relaciona con el carácter fundamental que </w:t>
      </w:r>
      <w:r w:rsidR="006D6D2C" w:rsidRPr="00D66B27">
        <w:rPr>
          <w:rFonts w:ascii="Verdana" w:eastAsia="Calibri" w:hAnsi="Verdana" w:cs="Verdana"/>
          <w:bCs/>
          <w:sz w:val="20"/>
          <w:szCs w:val="20"/>
          <w:lang w:eastAsia="es-MX"/>
        </w:rPr>
        <w:t xml:space="preserve">tiene </w:t>
      </w:r>
      <w:r w:rsidRPr="00D66B27">
        <w:rPr>
          <w:rFonts w:ascii="Verdana" w:eastAsia="Calibri" w:hAnsi="Verdana" w:cs="Verdana"/>
          <w:bCs/>
          <w:sz w:val="20"/>
          <w:szCs w:val="20"/>
          <w:lang w:eastAsia="es-MX"/>
        </w:rPr>
        <w:t xml:space="preserve">el esclarecimiento de los hechos y </w:t>
      </w:r>
      <w:r w:rsidR="006D6D2C" w:rsidRPr="00D66B27">
        <w:rPr>
          <w:rFonts w:ascii="Verdana" w:eastAsia="Calibri" w:hAnsi="Verdana" w:cs="Verdana"/>
          <w:bCs/>
          <w:sz w:val="20"/>
          <w:szCs w:val="20"/>
          <w:lang w:eastAsia="es-MX"/>
        </w:rPr>
        <w:t>la obtención de justicia</w:t>
      </w:r>
      <w:r w:rsidR="00990DA1" w:rsidRPr="00D66B27">
        <w:rPr>
          <w:rFonts w:ascii="Verdana" w:eastAsia="Calibri" w:hAnsi="Verdana" w:cs="Verdana"/>
          <w:bCs/>
          <w:sz w:val="20"/>
          <w:szCs w:val="20"/>
          <w:lang w:eastAsia="es-MX"/>
        </w:rPr>
        <w:t xml:space="preserve"> para las víctimas. P</w:t>
      </w:r>
      <w:r w:rsidR="006D6D2C" w:rsidRPr="00D66B27">
        <w:rPr>
          <w:rFonts w:ascii="Verdana" w:eastAsia="Calibri" w:hAnsi="Verdana" w:cs="Verdana"/>
          <w:bCs/>
          <w:sz w:val="20"/>
          <w:szCs w:val="20"/>
          <w:lang w:eastAsia="es-MX"/>
        </w:rPr>
        <w:t xml:space="preserve">or </w:t>
      </w:r>
      <w:r w:rsidR="00990DA1" w:rsidRPr="00D66B27">
        <w:rPr>
          <w:rFonts w:ascii="Verdana" w:eastAsia="Calibri" w:hAnsi="Verdana" w:cs="Verdana"/>
          <w:bCs/>
          <w:sz w:val="20"/>
          <w:szCs w:val="20"/>
          <w:lang w:eastAsia="es-MX"/>
        </w:rPr>
        <w:t xml:space="preserve">ello, </w:t>
      </w:r>
      <w:r w:rsidR="006D6D2C" w:rsidRPr="00D66B27">
        <w:rPr>
          <w:rFonts w:ascii="Verdana" w:eastAsia="Calibri" w:hAnsi="Verdana" w:cs="Verdana"/>
          <w:bCs/>
          <w:sz w:val="20"/>
          <w:szCs w:val="20"/>
          <w:lang w:eastAsia="es-MX"/>
        </w:rPr>
        <w:t>l</w:t>
      </w:r>
      <w:r w:rsidRPr="00D66B27">
        <w:rPr>
          <w:rFonts w:ascii="Verdana" w:eastAsia="Calibri" w:hAnsi="Verdana" w:cs="Verdana"/>
          <w:bCs/>
          <w:sz w:val="20"/>
          <w:szCs w:val="20"/>
          <w:lang w:eastAsia="es-MX"/>
        </w:rPr>
        <w:t xml:space="preserve">a Comisión </w:t>
      </w:r>
      <w:r w:rsidR="00990DA1" w:rsidRPr="00D66B27">
        <w:rPr>
          <w:rFonts w:ascii="Verdana" w:eastAsia="Calibri" w:hAnsi="Verdana" w:cs="Verdana"/>
          <w:bCs/>
          <w:sz w:val="20"/>
          <w:szCs w:val="20"/>
          <w:lang w:eastAsia="es-MX"/>
        </w:rPr>
        <w:t xml:space="preserve">señaló que </w:t>
      </w:r>
      <w:r w:rsidRPr="00D66B27">
        <w:rPr>
          <w:rFonts w:ascii="Verdana" w:eastAsia="Calibri" w:hAnsi="Verdana" w:cs="Verdana"/>
          <w:bCs/>
          <w:sz w:val="20"/>
          <w:szCs w:val="20"/>
          <w:lang w:eastAsia="es-MX"/>
        </w:rPr>
        <w:t>no encuentra razones para aplicar un estándar distinto a un aspecto igualmente fundamental como es la re</w:t>
      </w:r>
      <w:r w:rsidR="00990DA1" w:rsidRPr="00D66B27">
        <w:rPr>
          <w:rFonts w:ascii="Verdana" w:eastAsia="Calibri" w:hAnsi="Verdana" w:cs="Verdana"/>
          <w:bCs/>
          <w:sz w:val="20"/>
          <w:szCs w:val="20"/>
          <w:lang w:eastAsia="es-MX"/>
        </w:rPr>
        <w:t>paración en este tipo de casos, por lo cual</w:t>
      </w:r>
      <w:r w:rsidR="006D6D2C" w:rsidRPr="00D66B27">
        <w:rPr>
          <w:rFonts w:ascii="Verdana" w:eastAsia="Calibri" w:hAnsi="Verdana" w:cs="Verdana"/>
          <w:bCs/>
          <w:sz w:val="20"/>
          <w:szCs w:val="20"/>
          <w:lang w:eastAsia="es-MX"/>
        </w:rPr>
        <w:t xml:space="preserve"> </w:t>
      </w:r>
      <w:r w:rsidRPr="00D66B27">
        <w:rPr>
          <w:rFonts w:ascii="Verdana" w:eastAsia="Calibri" w:hAnsi="Verdana" w:cs="Verdana"/>
          <w:bCs/>
          <w:sz w:val="20"/>
          <w:szCs w:val="20"/>
          <w:lang w:eastAsia="es-MX"/>
        </w:rPr>
        <w:t>las acciones judiciales de reparación del daño causado por crímenes internacionales</w:t>
      </w:r>
      <w:r w:rsidR="000859A7" w:rsidRPr="00D66B27">
        <w:rPr>
          <w:rFonts w:ascii="Verdana" w:eastAsia="Calibri" w:hAnsi="Verdana" w:cs="Verdana"/>
          <w:bCs/>
          <w:sz w:val="20"/>
          <w:szCs w:val="20"/>
          <w:lang w:eastAsia="es-MX"/>
        </w:rPr>
        <w:t xml:space="preserve"> </w:t>
      </w:r>
      <w:r w:rsidRPr="00D66B27">
        <w:rPr>
          <w:rFonts w:ascii="Verdana" w:eastAsia="Calibri" w:hAnsi="Verdana" w:cs="Verdana"/>
          <w:bCs/>
          <w:sz w:val="20"/>
          <w:szCs w:val="20"/>
          <w:lang w:eastAsia="es-MX"/>
        </w:rPr>
        <w:t xml:space="preserve">no deberían estar sujetas a prescripción. </w:t>
      </w:r>
      <w:r w:rsidR="000859A7" w:rsidRPr="00D66B27">
        <w:rPr>
          <w:rFonts w:ascii="Verdana" w:eastAsia="Calibri" w:hAnsi="Verdana" w:cs="Verdana"/>
          <w:bCs/>
          <w:sz w:val="20"/>
          <w:szCs w:val="20"/>
          <w:lang w:eastAsia="es-MX"/>
        </w:rPr>
        <w:t>En razón de</w:t>
      </w:r>
      <w:r w:rsidR="006B3005" w:rsidRPr="00D66B27">
        <w:rPr>
          <w:rFonts w:ascii="Verdana" w:eastAsia="Calibri" w:hAnsi="Verdana" w:cs="Verdana"/>
          <w:bCs/>
          <w:sz w:val="20"/>
          <w:szCs w:val="20"/>
          <w:lang w:eastAsia="es-MX"/>
        </w:rPr>
        <w:t xml:space="preserve"> las fechas en que ocurrieron o </w:t>
      </w:r>
      <w:r w:rsidR="000859A7" w:rsidRPr="00D66B27">
        <w:rPr>
          <w:rFonts w:ascii="Verdana" w:eastAsia="Calibri" w:hAnsi="Verdana" w:cs="Verdana"/>
          <w:bCs/>
          <w:sz w:val="20"/>
          <w:szCs w:val="20"/>
          <w:lang w:eastAsia="es-MX"/>
        </w:rPr>
        <w:t>comen</w:t>
      </w:r>
      <w:r w:rsidR="006B3005" w:rsidRPr="00D66B27">
        <w:rPr>
          <w:rFonts w:ascii="Verdana" w:eastAsia="Calibri" w:hAnsi="Verdana" w:cs="Verdana"/>
          <w:bCs/>
          <w:sz w:val="20"/>
          <w:szCs w:val="20"/>
          <w:lang w:eastAsia="es-MX"/>
        </w:rPr>
        <w:t>zaron a ocurrir</w:t>
      </w:r>
      <w:r w:rsidR="000859A7" w:rsidRPr="00D66B27">
        <w:rPr>
          <w:rFonts w:ascii="Verdana" w:eastAsia="Calibri" w:hAnsi="Verdana" w:cs="Verdana"/>
          <w:bCs/>
          <w:sz w:val="20"/>
          <w:szCs w:val="20"/>
          <w:lang w:eastAsia="es-MX"/>
        </w:rPr>
        <w:t>,</w:t>
      </w:r>
      <w:r w:rsidR="006B3005" w:rsidRPr="00D66B27">
        <w:rPr>
          <w:rFonts w:ascii="Verdana" w:eastAsia="Calibri" w:hAnsi="Verdana" w:cs="Verdana"/>
          <w:bCs/>
          <w:sz w:val="20"/>
          <w:szCs w:val="20"/>
          <w:lang w:eastAsia="es-MX"/>
        </w:rPr>
        <w:t xml:space="preserve"> </w:t>
      </w:r>
      <w:r w:rsidR="000859A7" w:rsidRPr="00D66B27">
        <w:rPr>
          <w:rFonts w:ascii="Verdana" w:eastAsia="Calibri" w:hAnsi="Verdana" w:cs="Verdana"/>
          <w:bCs/>
          <w:sz w:val="20"/>
          <w:szCs w:val="20"/>
          <w:lang w:eastAsia="es-MX"/>
        </w:rPr>
        <w:t xml:space="preserve">la Comisión consideró que </w:t>
      </w:r>
      <w:r w:rsidR="006B3005" w:rsidRPr="00D66B27">
        <w:rPr>
          <w:rFonts w:ascii="Verdana" w:eastAsia="Calibri" w:hAnsi="Verdana" w:cs="Verdana"/>
          <w:bCs/>
          <w:sz w:val="20"/>
          <w:szCs w:val="20"/>
          <w:lang w:eastAsia="es-MX"/>
        </w:rPr>
        <w:t>las violaciones primarias respecto</w:t>
      </w:r>
      <w:r w:rsidR="000859A7" w:rsidRPr="00D66B27">
        <w:rPr>
          <w:rFonts w:ascii="Verdana" w:eastAsia="Calibri" w:hAnsi="Verdana" w:cs="Verdana"/>
          <w:bCs/>
          <w:sz w:val="20"/>
          <w:szCs w:val="20"/>
          <w:lang w:eastAsia="es-MX"/>
        </w:rPr>
        <w:t xml:space="preserve"> de las cuales las víctimas de este </w:t>
      </w:r>
      <w:r w:rsidR="006B3005" w:rsidRPr="00D66B27">
        <w:rPr>
          <w:rFonts w:ascii="Verdana" w:eastAsia="Calibri" w:hAnsi="Verdana" w:cs="Verdana"/>
          <w:bCs/>
          <w:sz w:val="20"/>
          <w:szCs w:val="20"/>
          <w:lang w:eastAsia="es-MX"/>
        </w:rPr>
        <w:t xml:space="preserve">caso buscan una reparación, todas a partir de septiembre de 1973, hacen parte de los crímenes de lesa humanidad cometidos durante la dictadura militar, por lo cual la aplicación de la figura de prescripción a </w:t>
      </w:r>
      <w:r w:rsidR="000859A7" w:rsidRPr="00D66B27">
        <w:rPr>
          <w:rFonts w:ascii="Verdana" w:eastAsia="Calibri" w:hAnsi="Verdana" w:cs="Verdana"/>
          <w:bCs/>
          <w:sz w:val="20"/>
          <w:szCs w:val="20"/>
          <w:lang w:eastAsia="es-MX"/>
        </w:rPr>
        <w:t>sus</w:t>
      </w:r>
      <w:r w:rsidR="006B3005" w:rsidRPr="00D66B27">
        <w:rPr>
          <w:rFonts w:ascii="Verdana" w:eastAsia="Calibri" w:hAnsi="Verdana" w:cs="Verdana"/>
          <w:bCs/>
          <w:sz w:val="20"/>
          <w:szCs w:val="20"/>
          <w:lang w:eastAsia="es-MX"/>
        </w:rPr>
        <w:t xml:space="preserve"> acciones civiles de reparación constituyó un obstáculo en el acceso efectivo a la justicia para hacer efectivo </w:t>
      </w:r>
      <w:r w:rsidR="000859A7" w:rsidRPr="00D66B27">
        <w:rPr>
          <w:rFonts w:ascii="Verdana" w:eastAsia="Calibri" w:hAnsi="Verdana" w:cs="Verdana"/>
          <w:bCs/>
          <w:sz w:val="20"/>
          <w:szCs w:val="20"/>
          <w:lang w:eastAsia="es-MX"/>
        </w:rPr>
        <w:t>su</w:t>
      </w:r>
      <w:r w:rsidR="006B3005" w:rsidRPr="00D66B27">
        <w:rPr>
          <w:rFonts w:ascii="Verdana" w:eastAsia="Calibri" w:hAnsi="Verdana" w:cs="Verdana"/>
          <w:bCs/>
          <w:sz w:val="20"/>
          <w:szCs w:val="20"/>
          <w:lang w:eastAsia="es-MX"/>
        </w:rPr>
        <w:t xml:space="preserve"> derecho a ser reparadas</w:t>
      </w:r>
      <w:r w:rsidR="008854CD">
        <w:rPr>
          <w:rFonts w:ascii="Verdana" w:eastAsia="Calibri" w:hAnsi="Verdana" w:cs="Verdana"/>
          <w:bCs/>
          <w:sz w:val="20"/>
          <w:szCs w:val="20"/>
          <w:lang w:eastAsia="es-MX"/>
        </w:rPr>
        <w:t>.</w:t>
      </w:r>
    </w:p>
    <w:p w14:paraId="17D18B71" w14:textId="77777777" w:rsidR="009F072F" w:rsidRPr="00D66B27" w:rsidRDefault="009F072F" w:rsidP="00364C6E">
      <w:pPr>
        <w:pStyle w:val="Prrafodelista"/>
        <w:spacing w:after="0" w:line="240" w:lineRule="auto"/>
        <w:ind w:left="0"/>
        <w:jc w:val="both"/>
        <w:rPr>
          <w:rFonts w:ascii="Verdana" w:eastAsia="Calibri" w:hAnsi="Verdana" w:cs="Verdana"/>
          <w:bCs/>
          <w:sz w:val="20"/>
          <w:szCs w:val="20"/>
          <w:lang w:eastAsia="es-MX"/>
        </w:rPr>
      </w:pPr>
    </w:p>
    <w:p w14:paraId="245925D6" w14:textId="624DBEB7" w:rsidR="009F072F" w:rsidRPr="00D66B27" w:rsidRDefault="004D5F62" w:rsidP="00364C6E">
      <w:pPr>
        <w:pStyle w:val="Prrafodelista"/>
        <w:numPr>
          <w:ilvl w:val="0"/>
          <w:numId w:val="2"/>
        </w:numPr>
        <w:spacing w:after="0" w:line="240" w:lineRule="auto"/>
        <w:ind w:left="0" w:firstLine="0"/>
        <w:jc w:val="both"/>
        <w:rPr>
          <w:rFonts w:ascii="Verdana" w:eastAsia="Calibri" w:hAnsi="Verdana" w:cs="Verdana"/>
          <w:bCs/>
          <w:sz w:val="20"/>
          <w:szCs w:val="20"/>
          <w:lang w:eastAsia="es-MX"/>
        </w:rPr>
      </w:pPr>
      <w:r w:rsidRPr="00D66B27">
        <w:rPr>
          <w:rFonts w:ascii="Verdana" w:eastAsia="Calibri" w:hAnsi="Verdana" w:cs="Verdana"/>
          <w:bCs/>
          <w:sz w:val="20"/>
          <w:szCs w:val="20"/>
          <w:lang w:eastAsia="es-MX"/>
        </w:rPr>
        <w:t xml:space="preserve">Este Tribunal </w:t>
      </w:r>
      <w:r w:rsidR="00D90983">
        <w:rPr>
          <w:rFonts w:ascii="Verdana" w:eastAsia="Calibri" w:hAnsi="Verdana" w:cs="Verdana"/>
          <w:bCs/>
          <w:sz w:val="20"/>
          <w:szCs w:val="20"/>
          <w:lang w:eastAsia="es-MX"/>
        </w:rPr>
        <w:t xml:space="preserve">considera que </w:t>
      </w:r>
      <w:r w:rsidRPr="00D66B27">
        <w:rPr>
          <w:rFonts w:ascii="Verdana" w:eastAsia="Calibri" w:hAnsi="Verdana" w:cs="Verdana"/>
          <w:bCs/>
          <w:sz w:val="20"/>
          <w:szCs w:val="20"/>
          <w:lang w:eastAsia="es-MX"/>
        </w:rPr>
        <w:t>las apreciaciones anteriores</w:t>
      </w:r>
      <w:r w:rsidR="00D90983">
        <w:rPr>
          <w:rFonts w:ascii="Verdana" w:eastAsia="Calibri" w:hAnsi="Verdana" w:cs="Verdana"/>
          <w:bCs/>
          <w:sz w:val="20"/>
          <w:szCs w:val="20"/>
          <w:lang w:eastAsia="es-MX"/>
        </w:rPr>
        <w:t xml:space="preserve"> son razonables</w:t>
      </w:r>
      <w:r w:rsidRPr="00D66B27">
        <w:rPr>
          <w:rFonts w:ascii="Verdana" w:eastAsia="Calibri" w:hAnsi="Verdana" w:cs="Verdana"/>
          <w:bCs/>
          <w:sz w:val="20"/>
          <w:szCs w:val="20"/>
          <w:lang w:eastAsia="es-MX"/>
        </w:rPr>
        <w:t xml:space="preserve">. En la medida en que los hechos que dieron origen a las acciones civiles de reparación de daños han sido </w:t>
      </w:r>
      <w:r w:rsidRPr="00D66B27">
        <w:rPr>
          <w:rFonts w:ascii="Verdana" w:eastAsia="Calibri" w:hAnsi="Verdana" w:cs="Verdana"/>
          <w:bCs/>
          <w:sz w:val="20"/>
          <w:szCs w:val="20"/>
          <w:lang w:eastAsia="es-MX"/>
        </w:rPr>
        <w:lastRenderedPageBreak/>
        <w:t>calificados como crímenes contra la humanidad</w:t>
      </w:r>
      <w:r w:rsidR="00990DA1" w:rsidRPr="00D66B27">
        <w:rPr>
          <w:rStyle w:val="Refdenotaalpie"/>
          <w:rFonts w:ascii="Verdana" w:eastAsia="Calibri" w:hAnsi="Verdana" w:cs="Verdana"/>
          <w:bCs/>
          <w:sz w:val="20"/>
          <w:szCs w:val="20"/>
          <w:lang w:eastAsia="es-MX"/>
        </w:rPr>
        <w:footnoteReference w:id="67"/>
      </w:r>
      <w:r w:rsidRPr="00D66B27">
        <w:rPr>
          <w:rFonts w:ascii="Verdana" w:eastAsia="Calibri" w:hAnsi="Verdana" w:cs="Verdana"/>
          <w:bCs/>
          <w:sz w:val="20"/>
          <w:szCs w:val="20"/>
          <w:lang w:eastAsia="es-MX"/>
        </w:rPr>
        <w:t>, tales acciones no debe</w:t>
      </w:r>
      <w:r w:rsidR="00D90983">
        <w:rPr>
          <w:rFonts w:ascii="Verdana" w:eastAsia="Calibri" w:hAnsi="Verdana" w:cs="Verdana"/>
          <w:bCs/>
          <w:sz w:val="20"/>
          <w:szCs w:val="20"/>
          <w:lang w:eastAsia="es-MX"/>
        </w:rPr>
        <w:t>rían</w:t>
      </w:r>
      <w:r w:rsidRPr="00D66B27">
        <w:rPr>
          <w:rFonts w:ascii="Verdana" w:eastAsia="Calibri" w:hAnsi="Verdana" w:cs="Verdana"/>
          <w:bCs/>
          <w:sz w:val="20"/>
          <w:szCs w:val="20"/>
          <w:lang w:eastAsia="es-MX"/>
        </w:rPr>
        <w:t xml:space="preserve"> ser objeto de prescripción.</w:t>
      </w:r>
    </w:p>
    <w:p w14:paraId="521DCAF3" w14:textId="77777777" w:rsidR="006D6D2C" w:rsidRPr="00D66B27" w:rsidRDefault="006D6D2C" w:rsidP="00364C6E">
      <w:pPr>
        <w:pStyle w:val="Prrafodelista"/>
        <w:spacing w:after="0" w:line="240" w:lineRule="auto"/>
        <w:ind w:left="0"/>
        <w:jc w:val="both"/>
        <w:rPr>
          <w:rFonts w:ascii="Verdana" w:eastAsia="Calibri" w:hAnsi="Verdana" w:cs="Verdana"/>
          <w:bCs/>
          <w:sz w:val="20"/>
          <w:szCs w:val="20"/>
          <w:lang w:eastAsia="es-MX"/>
        </w:rPr>
      </w:pPr>
    </w:p>
    <w:p w14:paraId="58387199" w14:textId="13CE78EA" w:rsidR="00F9042B" w:rsidRPr="00D66B27" w:rsidRDefault="00F9042B" w:rsidP="00364C6E">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La Corte</w:t>
      </w:r>
      <w:r w:rsidRPr="00D66B27">
        <w:rPr>
          <w:rFonts w:ascii="Verdana" w:hAnsi="Verdana"/>
          <w:b/>
          <w:i/>
          <w:sz w:val="20"/>
          <w:szCs w:val="20"/>
        </w:rPr>
        <w:t xml:space="preserve"> </w:t>
      </w:r>
      <w:r w:rsidRPr="00D66B27">
        <w:rPr>
          <w:rFonts w:ascii="Verdana" w:hAnsi="Verdana"/>
          <w:sz w:val="20"/>
          <w:szCs w:val="20"/>
        </w:rPr>
        <w:t>destaca que, tal como reconoció el Estado, el hecho ilícito que generó su responsabilidad internacional se configuró por el rechazo, por parte de los tribunales de justicia nacionales, de acciones civiles intentadas por las víctimas de reparación de daños ocasionados por actos calificados como crímenes de lesa humanidad, con base en la aplicación de la figura de la prescripción, alegada como excepción por el Consejo de Defensa del Estado en r</w:t>
      </w:r>
      <w:r w:rsidR="00D077A3" w:rsidRPr="00D66B27">
        <w:rPr>
          <w:rFonts w:ascii="Verdana" w:hAnsi="Verdana"/>
          <w:sz w:val="20"/>
          <w:szCs w:val="20"/>
        </w:rPr>
        <w:t>epresentación del Fisco chileno. Tal criterio</w:t>
      </w:r>
      <w:r w:rsidRPr="00D66B27">
        <w:rPr>
          <w:rFonts w:ascii="Verdana" w:hAnsi="Verdana"/>
          <w:sz w:val="20"/>
          <w:szCs w:val="20"/>
        </w:rPr>
        <w:t xml:space="preserve"> impidió que los tribunales analizaran en su mérito la posibilidad de determinar una indemnización por los daños y perjuicios morales ocasionados a las víctimas, </w:t>
      </w:r>
      <w:r w:rsidR="00D077A3" w:rsidRPr="00D66B27">
        <w:rPr>
          <w:rFonts w:ascii="Verdana" w:hAnsi="Verdana"/>
          <w:sz w:val="20"/>
          <w:szCs w:val="20"/>
        </w:rPr>
        <w:t>restringiendo</w:t>
      </w:r>
      <w:r w:rsidRPr="00D66B27">
        <w:rPr>
          <w:rFonts w:ascii="Verdana" w:hAnsi="Verdana"/>
          <w:sz w:val="20"/>
          <w:szCs w:val="20"/>
        </w:rPr>
        <w:t xml:space="preserve"> la posibilidad d</w:t>
      </w:r>
      <w:r w:rsidR="0081589D">
        <w:rPr>
          <w:rFonts w:ascii="Verdana" w:hAnsi="Verdana"/>
          <w:sz w:val="20"/>
          <w:szCs w:val="20"/>
        </w:rPr>
        <w:t>e obtener una reparación justa.</w:t>
      </w:r>
      <w:r w:rsidR="0081589D" w:rsidRPr="00D66B27">
        <w:rPr>
          <w:rFonts w:ascii="Verdana" w:hAnsi="Verdana"/>
          <w:sz w:val="20"/>
          <w:szCs w:val="20"/>
        </w:rPr>
        <w:t xml:space="preserve"> </w:t>
      </w:r>
      <w:r w:rsidRPr="00D66B27">
        <w:rPr>
          <w:rFonts w:ascii="Verdana" w:hAnsi="Verdana"/>
          <w:sz w:val="20"/>
          <w:szCs w:val="20"/>
        </w:rPr>
        <w:t>Es decir, no hay duda de que en este caso las violaciones de derechos reconocidos en la Convención se produjeron por una serie de decisiones de órganos judiciales del Estado que impidieron a las víctimas acceder materialmente a la justicia para reclamar su derecho de obtener una reparación.</w:t>
      </w:r>
    </w:p>
    <w:p w14:paraId="2C1A271B" w14:textId="77777777" w:rsidR="00F9042B" w:rsidRPr="00D66B27" w:rsidRDefault="00F9042B" w:rsidP="00364C6E">
      <w:pPr>
        <w:pStyle w:val="Prrafodelista"/>
        <w:spacing w:after="0" w:line="240" w:lineRule="auto"/>
        <w:ind w:left="0"/>
        <w:jc w:val="both"/>
        <w:rPr>
          <w:rFonts w:ascii="Verdana" w:eastAsia="Calibri" w:hAnsi="Verdana" w:cs="Verdana"/>
          <w:bCs/>
          <w:sz w:val="20"/>
          <w:szCs w:val="20"/>
          <w:lang w:eastAsia="es-MX"/>
        </w:rPr>
      </w:pPr>
    </w:p>
    <w:p w14:paraId="04C9EC97" w14:textId="39EDEB54" w:rsidR="00D5582B" w:rsidRPr="00D66B27" w:rsidRDefault="00F9042B" w:rsidP="00364C6E">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Sin embargo, l</w:t>
      </w:r>
      <w:r w:rsidR="00D5582B" w:rsidRPr="00D66B27">
        <w:rPr>
          <w:rFonts w:ascii="Verdana" w:hAnsi="Verdana"/>
          <w:sz w:val="20"/>
          <w:szCs w:val="20"/>
        </w:rPr>
        <w:t xml:space="preserve">a naturaleza de tales hechos ha llevado </w:t>
      </w:r>
      <w:r w:rsidR="00D077A3" w:rsidRPr="00D66B27">
        <w:rPr>
          <w:rFonts w:ascii="Verdana" w:hAnsi="Verdana"/>
          <w:sz w:val="20"/>
          <w:szCs w:val="20"/>
        </w:rPr>
        <w:t xml:space="preserve">al Estado, con base en el cambio jurisprudencial de su máxima autoridad judicial, </w:t>
      </w:r>
      <w:r w:rsidR="00D5582B" w:rsidRPr="00D66B27">
        <w:rPr>
          <w:rFonts w:ascii="Verdana" w:hAnsi="Verdana"/>
          <w:sz w:val="20"/>
          <w:szCs w:val="20"/>
        </w:rPr>
        <w:t>a reconocer ante este Tribunal que no es aplicable la prescripción civil a acciones que procuren reparaciones por daños y perjuicios ocasionados por ese tipo de hechos (</w:t>
      </w:r>
      <w:r w:rsidR="00D5582B" w:rsidRPr="00D66B27">
        <w:rPr>
          <w:rFonts w:ascii="Verdana" w:hAnsi="Verdana"/>
          <w:i/>
          <w:sz w:val="20"/>
          <w:szCs w:val="20"/>
        </w:rPr>
        <w:t xml:space="preserve">supra </w:t>
      </w:r>
      <w:r w:rsidR="001A0AAE">
        <w:rPr>
          <w:rFonts w:ascii="Verdana" w:hAnsi="Verdana"/>
          <w:sz w:val="20"/>
          <w:szCs w:val="20"/>
        </w:rPr>
        <w:t>párr. 15</w:t>
      </w:r>
      <w:r w:rsidR="00D5582B" w:rsidRPr="00D66B27">
        <w:rPr>
          <w:rFonts w:ascii="Verdana" w:hAnsi="Verdana"/>
          <w:sz w:val="20"/>
          <w:szCs w:val="20"/>
        </w:rPr>
        <w:t>).</w:t>
      </w:r>
    </w:p>
    <w:p w14:paraId="3B09EB83" w14:textId="77777777" w:rsidR="004D5F62" w:rsidRPr="00D66B27" w:rsidRDefault="004D5F62" w:rsidP="00364C6E">
      <w:pPr>
        <w:pStyle w:val="Prrafodelista"/>
        <w:spacing w:after="0" w:line="240" w:lineRule="auto"/>
        <w:ind w:left="0"/>
        <w:jc w:val="both"/>
        <w:rPr>
          <w:rFonts w:ascii="Verdana" w:eastAsia="Calibri" w:hAnsi="Verdana" w:cs="Verdana"/>
          <w:bCs/>
          <w:sz w:val="20"/>
          <w:szCs w:val="20"/>
          <w:lang w:eastAsia="es-MX"/>
        </w:rPr>
      </w:pPr>
    </w:p>
    <w:p w14:paraId="5336ED3D" w14:textId="02233F94" w:rsidR="00CE0328" w:rsidRPr="00D66B27" w:rsidRDefault="008578A1" w:rsidP="00364C6E">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 xml:space="preserve">En efecto, el Estado comparte el criterio </w:t>
      </w:r>
      <w:r w:rsidR="00D077A3" w:rsidRPr="00D66B27">
        <w:rPr>
          <w:rFonts w:ascii="Verdana" w:hAnsi="Verdana"/>
          <w:sz w:val="20"/>
          <w:szCs w:val="20"/>
        </w:rPr>
        <w:t xml:space="preserve">de </w:t>
      </w:r>
      <w:r w:rsidRPr="00D66B27">
        <w:rPr>
          <w:rFonts w:ascii="Verdana" w:hAnsi="Verdana"/>
          <w:sz w:val="20"/>
          <w:szCs w:val="20"/>
        </w:rPr>
        <w:t xml:space="preserve">que las reclamaciones de reparación por violaciones flagrantes de los derechos humanos no se encuentran sujetas a prescripción y que no puede excusarse en el mero paso del tiempo (fundamento de la prescripción) para no dar cumplimiento a sus obligaciones internacionales de investigar, sancionar y reparar las graves violaciones a los derechos humanos ocurridas durante el periodo 1973-1990, lo que incluye su arista indemnizatoria. En este sentido, señaló que la jurisprudencia nacional ha integrado paulatinamente el derecho internacional de los derechos humanos al ordenamiento jurídico nacional, de modo tal que las modificaciones legales posteriores y la integración de los tratados internacionales en sus fallos han permeado la jurisprudencia del tribunal superior del país, </w:t>
      </w:r>
      <w:r w:rsidR="004E2B08" w:rsidRPr="00D66B27">
        <w:rPr>
          <w:rFonts w:ascii="Verdana" w:hAnsi="Verdana"/>
          <w:sz w:val="20"/>
          <w:szCs w:val="20"/>
        </w:rPr>
        <w:t>que ha reconocido</w:t>
      </w:r>
      <w:r w:rsidRPr="00D66B27">
        <w:rPr>
          <w:rFonts w:ascii="Verdana" w:hAnsi="Verdana"/>
          <w:sz w:val="20"/>
          <w:szCs w:val="20"/>
        </w:rPr>
        <w:t xml:space="preserve"> la admisibilidad de acciones judiciales de carácter civil </w:t>
      </w:r>
      <w:r w:rsidR="004E2B08" w:rsidRPr="00D66B27">
        <w:rPr>
          <w:rFonts w:ascii="Verdana" w:hAnsi="Verdana"/>
          <w:sz w:val="20"/>
          <w:szCs w:val="20"/>
        </w:rPr>
        <w:t>del tipo referido</w:t>
      </w:r>
      <w:r w:rsidRPr="00D66B27">
        <w:rPr>
          <w:rFonts w:ascii="Verdana" w:hAnsi="Verdana"/>
          <w:sz w:val="20"/>
          <w:szCs w:val="20"/>
        </w:rPr>
        <w:t>. Parte de este tránsito se explica con la incorporación, en el inciso segundo del artículo 5 de la Constitución Política de la República, de una norma expresa que integra al ordenamiento jurídico los tratados internacionales de derechos humanos ratificados por Chile</w:t>
      </w:r>
      <w:r w:rsidRPr="00D66B27">
        <w:rPr>
          <w:rStyle w:val="Refdenotaalpie"/>
          <w:rFonts w:ascii="Verdana" w:hAnsi="Verdana"/>
          <w:sz w:val="20"/>
          <w:szCs w:val="20"/>
        </w:rPr>
        <w:footnoteReference w:id="68"/>
      </w:r>
      <w:r w:rsidRPr="00D66B27">
        <w:rPr>
          <w:rFonts w:ascii="Verdana" w:hAnsi="Verdana"/>
          <w:sz w:val="20"/>
          <w:szCs w:val="20"/>
        </w:rPr>
        <w:t>, modificación que ha permitido a los tribunales de justicia dar aplicación sostenida a esta normativa.</w:t>
      </w:r>
    </w:p>
    <w:p w14:paraId="39CB25CE" w14:textId="77777777" w:rsidR="00CE0328" w:rsidRPr="00D66B27" w:rsidRDefault="00CE0328" w:rsidP="00364C6E">
      <w:pPr>
        <w:pStyle w:val="Prrafodelista"/>
        <w:spacing w:after="0" w:line="240" w:lineRule="auto"/>
        <w:ind w:left="0"/>
        <w:jc w:val="both"/>
        <w:rPr>
          <w:rFonts w:ascii="Verdana" w:hAnsi="Verdana"/>
          <w:sz w:val="20"/>
          <w:szCs w:val="20"/>
        </w:rPr>
      </w:pPr>
    </w:p>
    <w:p w14:paraId="2FB573E9" w14:textId="1CF301FD" w:rsidR="008578A1" w:rsidRPr="00D66B27" w:rsidRDefault="008578A1" w:rsidP="00364C6E">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En tal sentido, al hacer un recuento de la jurisprudencia de la Corte Suprema desde el año 2015, el Estado afirmó que la misma ha superado la dicotomía entre derecho interno y derecho externo, conjugando coherentemente ambas fuentes normativas a la luz de las obligaciones internacionales de derechos humanos</w:t>
      </w:r>
      <w:r w:rsidRPr="00D66B27">
        <w:rPr>
          <w:rStyle w:val="Refdenotaalpie"/>
          <w:rFonts w:ascii="Verdana" w:hAnsi="Verdana"/>
          <w:sz w:val="20"/>
          <w:szCs w:val="20"/>
        </w:rPr>
        <w:footnoteReference w:id="69"/>
      </w:r>
      <w:r w:rsidRPr="00D66B27">
        <w:rPr>
          <w:rFonts w:ascii="Verdana" w:hAnsi="Verdana"/>
          <w:sz w:val="20"/>
          <w:szCs w:val="20"/>
        </w:rPr>
        <w:t xml:space="preserve">. El Estado afirmó que lo anterior no obedece a un criterio </w:t>
      </w:r>
      <w:r w:rsidRPr="00D66B27">
        <w:rPr>
          <w:rFonts w:ascii="Verdana" w:hAnsi="Verdana"/>
          <w:sz w:val="20"/>
          <w:szCs w:val="20"/>
        </w:rPr>
        <w:lastRenderedPageBreak/>
        <w:t>aislado o una decisión fortuita, sino que actualmente se está frente a una posición robusta y consolidada que entiende que sobre el Estado pesan obligaciones internacionales y donde lo que debe prim</w:t>
      </w:r>
      <w:r w:rsidR="0081589D">
        <w:rPr>
          <w:rFonts w:ascii="Verdana" w:hAnsi="Verdana"/>
          <w:sz w:val="20"/>
          <w:szCs w:val="20"/>
        </w:rPr>
        <w:t>ar es la obligación de reparar.</w:t>
      </w:r>
    </w:p>
    <w:p w14:paraId="766D6766" w14:textId="77777777" w:rsidR="008578A1" w:rsidRPr="00D66B27" w:rsidRDefault="008578A1" w:rsidP="00364C6E">
      <w:pPr>
        <w:pStyle w:val="Prrafodelista"/>
        <w:spacing w:after="0" w:line="240" w:lineRule="auto"/>
        <w:ind w:left="0"/>
        <w:jc w:val="both"/>
        <w:rPr>
          <w:rFonts w:ascii="Verdana" w:eastAsia="Calibri" w:hAnsi="Verdana" w:cs="Verdana"/>
          <w:bCs/>
          <w:sz w:val="20"/>
          <w:szCs w:val="20"/>
          <w:lang w:eastAsia="es-MX"/>
        </w:rPr>
      </w:pPr>
    </w:p>
    <w:p w14:paraId="0F12904E" w14:textId="290E1E17" w:rsidR="00CE0328" w:rsidRPr="00D66B27" w:rsidRDefault="005F750E" w:rsidP="00364C6E">
      <w:pPr>
        <w:pStyle w:val="Prrafodelista"/>
        <w:numPr>
          <w:ilvl w:val="0"/>
          <w:numId w:val="2"/>
        </w:numPr>
        <w:spacing w:after="0" w:line="240" w:lineRule="auto"/>
        <w:ind w:left="0" w:firstLine="0"/>
        <w:jc w:val="both"/>
        <w:rPr>
          <w:rFonts w:ascii="Verdana" w:hAnsi="Verdana"/>
          <w:sz w:val="20"/>
          <w:szCs w:val="20"/>
        </w:rPr>
      </w:pPr>
      <w:r w:rsidRPr="00D66B27">
        <w:rPr>
          <w:rFonts w:ascii="Verdana" w:eastAsia="Calibri" w:hAnsi="Verdana" w:cs="Verdana"/>
          <w:bCs/>
          <w:sz w:val="20"/>
          <w:szCs w:val="20"/>
          <w:lang w:eastAsia="es-MX"/>
        </w:rPr>
        <w:t>E</w:t>
      </w:r>
      <w:r w:rsidR="005744B1" w:rsidRPr="00D66B27">
        <w:rPr>
          <w:rFonts w:ascii="Verdana" w:eastAsia="Calibri" w:hAnsi="Verdana" w:cs="Verdana"/>
          <w:bCs/>
          <w:sz w:val="20"/>
          <w:szCs w:val="20"/>
          <w:lang w:eastAsia="es-MX"/>
        </w:rPr>
        <w:t xml:space="preserve">l Estado presentó un amplio estudio de jurisprudencia </w:t>
      </w:r>
      <w:r w:rsidR="00F9042B" w:rsidRPr="00D66B27">
        <w:rPr>
          <w:rFonts w:ascii="Verdana" w:hAnsi="Verdana" w:cs="Arial"/>
          <w:color w:val="121212"/>
          <w:sz w:val="20"/>
          <w:szCs w:val="20"/>
        </w:rPr>
        <w:t xml:space="preserve">sobre ese tipo de acciones, así como un certificado de la Secretaría de la Corte Suprema que incluye un listado de </w:t>
      </w:r>
      <w:r w:rsidR="00F440DE">
        <w:rPr>
          <w:rFonts w:ascii="Verdana" w:hAnsi="Verdana" w:cs="Arial"/>
          <w:color w:val="121212"/>
          <w:sz w:val="20"/>
          <w:szCs w:val="20"/>
        </w:rPr>
        <w:t>numerosas</w:t>
      </w:r>
      <w:r w:rsidR="00F9042B" w:rsidRPr="00D66B27">
        <w:rPr>
          <w:rFonts w:ascii="Verdana" w:hAnsi="Verdana" w:cs="Arial"/>
          <w:color w:val="121212"/>
          <w:sz w:val="20"/>
          <w:szCs w:val="20"/>
        </w:rPr>
        <w:t xml:space="preserve"> causas </w:t>
      </w:r>
      <w:r w:rsidR="0081589D">
        <w:rPr>
          <w:rFonts w:ascii="Verdana" w:hAnsi="Verdana" w:cs="Arial"/>
          <w:color w:val="121212"/>
          <w:sz w:val="20"/>
          <w:szCs w:val="20"/>
        </w:rPr>
        <w:t>sentenciadas entre los años 2008</w:t>
      </w:r>
      <w:r w:rsidR="00F9042B" w:rsidRPr="00D66B27">
        <w:rPr>
          <w:rFonts w:ascii="Verdana" w:hAnsi="Verdana" w:cs="Arial"/>
          <w:color w:val="121212"/>
          <w:sz w:val="20"/>
          <w:szCs w:val="20"/>
        </w:rPr>
        <w:t xml:space="preserve"> a 2017, en los que la Segunda Sala de la Corte Suprema había declarado la imprescriptibilidad de la acción civil en ese tipo de casos</w:t>
      </w:r>
      <w:r w:rsidR="00F9042B" w:rsidRPr="00D66B27">
        <w:rPr>
          <w:rStyle w:val="Refdenotaalpie"/>
          <w:rFonts w:ascii="Verdana" w:hAnsi="Verdana" w:cs="Arial"/>
          <w:color w:val="121212"/>
          <w:sz w:val="20"/>
          <w:szCs w:val="20"/>
        </w:rPr>
        <w:footnoteReference w:id="70"/>
      </w:r>
      <w:r w:rsidR="00F9042B" w:rsidRPr="00D66B27">
        <w:rPr>
          <w:rFonts w:ascii="Verdana" w:hAnsi="Verdana" w:cs="Arial"/>
          <w:color w:val="121212"/>
          <w:sz w:val="20"/>
          <w:szCs w:val="20"/>
        </w:rPr>
        <w:t xml:space="preserve">. </w:t>
      </w:r>
      <w:r w:rsidR="00DC04EB" w:rsidRPr="00D66B27">
        <w:rPr>
          <w:rFonts w:ascii="Verdana" w:hAnsi="Verdana"/>
          <w:sz w:val="20"/>
          <w:szCs w:val="20"/>
        </w:rPr>
        <w:t xml:space="preserve">Al respecto, </w:t>
      </w:r>
      <w:r w:rsidR="00F9042B" w:rsidRPr="00D66B27">
        <w:rPr>
          <w:rFonts w:ascii="Verdana" w:eastAsia="Calibri" w:hAnsi="Verdana" w:cs="Verdana"/>
          <w:bCs/>
          <w:sz w:val="20"/>
          <w:szCs w:val="20"/>
          <w:lang w:eastAsia="es-MX"/>
        </w:rPr>
        <w:t xml:space="preserve">la Corte estima oportuno </w:t>
      </w:r>
      <w:r w:rsidR="00DC04EB" w:rsidRPr="00D66B27">
        <w:rPr>
          <w:rFonts w:ascii="Verdana" w:eastAsia="Calibri" w:hAnsi="Verdana" w:cs="Verdana"/>
          <w:bCs/>
          <w:sz w:val="20"/>
          <w:szCs w:val="20"/>
          <w:lang w:eastAsia="es-MX"/>
        </w:rPr>
        <w:t xml:space="preserve">hacer notar </w:t>
      </w:r>
      <w:r w:rsidR="00F9042B" w:rsidRPr="00D66B27">
        <w:rPr>
          <w:rFonts w:ascii="Verdana" w:eastAsia="Calibri" w:hAnsi="Verdana" w:cs="Verdana"/>
          <w:bCs/>
          <w:sz w:val="20"/>
          <w:szCs w:val="20"/>
          <w:lang w:eastAsia="es-MX"/>
        </w:rPr>
        <w:t>que</w:t>
      </w:r>
      <w:r w:rsidR="00DC04EB" w:rsidRPr="00D66B27">
        <w:rPr>
          <w:rFonts w:ascii="Verdana" w:eastAsia="Calibri" w:hAnsi="Verdana" w:cs="Verdana"/>
          <w:bCs/>
          <w:sz w:val="20"/>
          <w:szCs w:val="20"/>
          <w:lang w:eastAsia="es-MX"/>
        </w:rPr>
        <w:t xml:space="preserve"> las acciones civiles a que se refieren esos casos eran acciones civiles resarcitorias instauradas en el marco de procesos penales, es decir</w:t>
      </w:r>
      <w:r w:rsidR="00F9042B" w:rsidRPr="00D66B27">
        <w:rPr>
          <w:rFonts w:ascii="Verdana" w:eastAsia="Calibri" w:hAnsi="Verdana" w:cs="Verdana"/>
          <w:bCs/>
          <w:sz w:val="20"/>
          <w:szCs w:val="20"/>
          <w:lang w:eastAsia="es-MX"/>
        </w:rPr>
        <w:t>,</w:t>
      </w:r>
      <w:r w:rsidR="00DC04EB" w:rsidRPr="00D66B27">
        <w:rPr>
          <w:rFonts w:ascii="Verdana" w:eastAsia="Calibri" w:hAnsi="Verdana" w:cs="Verdana"/>
          <w:bCs/>
          <w:sz w:val="20"/>
          <w:szCs w:val="20"/>
          <w:lang w:eastAsia="es-MX"/>
        </w:rPr>
        <w:t xml:space="preserve"> </w:t>
      </w:r>
      <w:r w:rsidR="004E2B08" w:rsidRPr="00D66B27">
        <w:rPr>
          <w:rFonts w:ascii="Verdana" w:eastAsia="Calibri" w:hAnsi="Verdana" w:cs="Verdana"/>
          <w:bCs/>
          <w:sz w:val="20"/>
          <w:szCs w:val="20"/>
          <w:lang w:eastAsia="es-MX"/>
        </w:rPr>
        <w:t>de alguna manera dependientes de</w:t>
      </w:r>
      <w:r w:rsidR="00DC04EB" w:rsidRPr="00D66B27">
        <w:rPr>
          <w:rFonts w:ascii="Verdana" w:eastAsia="Calibri" w:hAnsi="Verdana" w:cs="Verdana"/>
          <w:bCs/>
          <w:sz w:val="20"/>
          <w:szCs w:val="20"/>
          <w:lang w:eastAsia="es-MX"/>
        </w:rPr>
        <w:t xml:space="preserve"> las respectivas acciones penales. En este sentido, los criterios de la Corte Suprema de Justicia chilena para sostener tal razonamiento </w:t>
      </w:r>
      <w:r w:rsidR="00E67ED6" w:rsidRPr="00D66B27">
        <w:rPr>
          <w:rFonts w:ascii="Verdana" w:eastAsia="Calibri" w:hAnsi="Verdana" w:cs="Verdana"/>
          <w:bCs/>
          <w:sz w:val="20"/>
          <w:szCs w:val="20"/>
          <w:lang w:eastAsia="es-MX"/>
        </w:rPr>
        <w:t>son los siguientes:</w:t>
      </w:r>
      <w:r w:rsidR="00DC04EB" w:rsidRPr="00D66B27">
        <w:rPr>
          <w:rFonts w:ascii="Verdana" w:eastAsia="Calibri" w:hAnsi="Verdana" w:cs="Verdana"/>
          <w:bCs/>
          <w:sz w:val="20"/>
          <w:szCs w:val="20"/>
          <w:lang w:eastAsia="es-MX"/>
        </w:rPr>
        <w:t xml:space="preserve"> </w:t>
      </w:r>
    </w:p>
    <w:p w14:paraId="1D274CCA" w14:textId="77777777" w:rsidR="00E67ED6" w:rsidRPr="00D66B27" w:rsidRDefault="00E67ED6" w:rsidP="00E67ED6">
      <w:pPr>
        <w:pStyle w:val="Prrafodelista"/>
        <w:spacing w:after="0" w:line="240" w:lineRule="auto"/>
        <w:ind w:left="0"/>
        <w:jc w:val="both"/>
        <w:rPr>
          <w:rFonts w:ascii="Verdana" w:hAnsi="Verdana"/>
          <w:sz w:val="20"/>
          <w:szCs w:val="20"/>
        </w:rPr>
      </w:pPr>
    </w:p>
    <w:p w14:paraId="6BAF250C" w14:textId="77777777" w:rsidR="00E67ED6" w:rsidRPr="00D66B27" w:rsidRDefault="00E67ED6" w:rsidP="00364C6E">
      <w:pPr>
        <w:spacing w:after="0" w:line="240" w:lineRule="auto"/>
        <w:ind w:left="426"/>
        <w:jc w:val="both"/>
        <w:rPr>
          <w:rFonts w:ascii="Verdana" w:hAnsi="Verdana"/>
          <w:iCs/>
          <w:sz w:val="18"/>
          <w:szCs w:val="20"/>
        </w:rPr>
      </w:pPr>
      <w:r w:rsidRPr="00D66B27">
        <w:rPr>
          <w:rFonts w:ascii="Verdana" w:hAnsi="Verdana"/>
          <w:iCs/>
          <w:sz w:val="18"/>
          <w:szCs w:val="20"/>
        </w:rPr>
        <w:t xml:space="preserve">Quinto: Que, más allá de lo razonado por los jueces </w:t>
      </w:r>
      <w:r w:rsidRPr="00D66B27">
        <w:rPr>
          <w:rFonts w:ascii="Verdana" w:hAnsi="Verdana"/>
          <w:i/>
          <w:iCs/>
          <w:sz w:val="18"/>
          <w:szCs w:val="20"/>
        </w:rPr>
        <w:t>ad quem</w:t>
      </w:r>
      <w:r w:rsidRPr="00D66B27">
        <w:rPr>
          <w:rFonts w:ascii="Verdana" w:hAnsi="Verdana"/>
          <w:iCs/>
          <w:sz w:val="18"/>
          <w:szCs w:val="20"/>
        </w:rPr>
        <w:t>, reiterada jurisprudencia de esta Corte precisa que, tratándose de un delito de lesa humanidad -lo que ha sido declarado en la especie-, cuya acción penal persecutoria es imprescriptible, no resulta coherente entender que la correlativa acción civil indemnizatoria esté sujeta a las normas sobre prescripción contempladas en la ley civil interna, ya que ello contraría la voluntad expresa manifestada por la normativa internacional sobre Derechos Humanos, integrante del ordenamiento jurídico nacional, en armonía con el inciso segundo del artículo 5° de la Carta Fundamental, que instaura el derecho de las víctimas y otros legítimos titulares a obtener la debida reparación de todos los perjuicios sufridos a consecuencia del acto ilícito, e incluso por el propio derecho interno, que, en virtud de la ley N° 19.123, reconoció en forma explícita la innegable existencia de los daños y concedió también a los familiares de aquellos calificados como detenidos desaparecidos y ejecutados políticos, por violación a los derechos humanos en el período 1973-1990, regalías de carácter económico o pecuniario. En esta línea discurren también SCS Nros. 20.288-14, de 13 de abril de 2105; 1.424, de 1 de abril de 2014; 22.652, de 31 de marzo de 2015, entre otras. Por ende, cualquier pretendida diferenciación en orden a dividir ambas acciones y otorgarles un tratamiento desigual resulta discriminatoria y no permite al ordenamiento jurídico guardar la coherencia y unidad indispensables en un Estado de derecho democrático. Entonces, pretender el empleo de las disposiciones del Código Civil en la responsabilidad derivada de crímenes de lesa humanidad posibles de cometer con la activa colaboración del Estado, como derecho común supletorio a todo el régimen jurídico, hoy resulta improcedente.</w:t>
      </w:r>
    </w:p>
    <w:p w14:paraId="6F647250" w14:textId="77777777" w:rsidR="00E67ED6" w:rsidRPr="00D66B27" w:rsidRDefault="00E67ED6" w:rsidP="00364C6E">
      <w:pPr>
        <w:spacing w:after="0" w:line="240" w:lineRule="auto"/>
        <w:ind w:left="426"/>
        <w:jc w:val="both"/>
        <w:rPr>
          <w:rFonts w:ascii="Verdana" w:hAnsi="Verdana"/>
          <w:iCs/>
          <w:sz w:val="18"/>
          <w:szCs w:val="20"/>
        </w:rPr>
      </w:pPr>
    </w:p>
    <w:p w14:paraId="392D2EE0" w14:textId="77777777" w:rsidR="00E67ED6" w:rsidRPr="00D66B27" w:rsidRDefault="00E67ED6" w:rsidP="00364C6E">
      <w:pPr>
        <w:spacing w:after="0" w:line="240" w:lineRule="auto"/>
        <w:ind w:left="426"/>
        <w:jc w:val="both"/>
        <w:rPr>
          <w:rFonts w:ascii="Verdana" w:hAnsi="Verdana"/>
          <w:iCs/>
          <w:sz w:val="18"/>
          <w:szCs w:val="20"/>
        </w:rPr>
      </w:pPr>
      <w:r w:rsidRPr="00D66B27">
        <w:rPr>
          <w:rFonts w:ascii="Verdana" w:hAnsi="Verdana"/>
          <w:iCs/>
          <w:sz w:val="18"/>
          <w:szCs w:val="20"/>
        </w:rPr>
        <w:t>Séptimo: Que, además, la acción civil aquí deducida por los demandantes en contra del Fisco, tendientes a conseguir la reparación íntegra de los detrimentos ocasionados, encuentra su fundamento en los dogmas generales del Derecho Internacional de los Derechos Humanos y su consagración normativa en los tratados internacionales ratificados por Chile, los cuales obligan al Estado a reconocer y proteger este derecho a la reparación completa, en virtud de lo ordenado en los artículos 5°, inciso segundo, y 6° de la Constitución Política de la República. Los artículos 1.1 y 63.1 de la Convención Americana de Derechos Humanos preceptúan que la responsabilidad del Estado por esta clase de sucesos queda sujeta a disposiciones de Derecho Internacional, que no pueden quedar incumplidas a pretexto de hacer primar otros preceptos de derecho interno, por cuanto, de ventilarse un hecho ilícito imputable a un Estado surge de inmediato la responsabilidad internacional de éste por la transgresión de una regla internacional, con el subsecuente deber de reparación y de hacer cesar los colofones del agravio.</w:t>
      </w:r>
    </w:p>
    <w:p w14:paraId="083F4C2A" w14:textId="77777777" w:rsidR="00E67ED6" w:rsidRPr="00D66B27" w:rsidRDefault="00E67ED6" w:rsidP="00364C6E">
      <w:pPr>
        <w:spacing w:after="0" w:line="240" w:lineRule="auto"/>
        <w:ind w:left="426"/>
        <w:jc w:val="both"/>
        <w:rPr>
          <w:rFonts w:ascii="Verdana" w:hAnsi="Verdana"/>
          <w:iCs/>
          <w:sz w:val="18"/>
          <w:szCs w:val="20"/>
        </w:rPr>
      </w:pPr>
    </w:p>
    <w:p w14:paraId="1689684F" w14:textId="77777777" w:rsidR="00E67ED6" w:rsidRPr="00D66B27" w:rsidRDefault="00E67ED6" w:rsidP="00364C6E">
      <w:pPr>
        <w:spacing w:after="0" w:line="240" w:lineRule="auto"/>
        <w:ind w:left="426"/>
        <w:jc w:val="both"/>
        <w:rPr>
          <w:rFonts w:ascii="Verdana" w:hAnsi="Verdana"/>
          <w:iCs/>
          <w:sz w:val="18"/>
          <w:szCs w:val="20"/>
        </w:rPr>
      </w:pPr>
      <w:r w:rsidRPr="00D66B27">
        <w:rPr>
          <w:rFonts w:ascii="Verdana" w:hAnsi="Verdana"/>
          <w:iCs/>
          <w:sz w:val="18"/>
          <w:szCs w:val="20"/>
        </w:rPr>
        <w:lastRenderedPageBreak/>
        <w:t xml:space="preserve">Noveno: Que, de otra parte, la indemnización del daño producido por el delito y la acción para hacerla efectiva, de máxima trascendencia al momento de administrar justicia, compromete el interés público y aspectos de justicia material, todo lo cual condujo a acoger las acciones civiles deducidas en autos, cuyo objeto es obtener la reparación íntegra de los perjuicios ocasionados por el actuar de agentes del Estado de Chile, ya que así lo demanda la aplicación de buena fe de los tratados internacionales suscritos por nuestro país y la interpretación de las normas de derecho internacional consideradas </w:t>
      </w:r>
      <w:r w:rsidRPr="00D66B27">
        <w:rPr>
          <w:rFonts w:ascii="Verdana" w:hAnsi="Verdana"/>
          <w:i/>
          <w:iCs/>
          <w:sz w:val="18"/>
          <w:szCs w:val="20"/>
        </w:rPr>
        <w:t>ius cogens</w:t>
      </w:r>
      <w:r w:rsidRPr="00D66B27">
        <w:rPr>
          <w:rFonts w:ascii="Verdana" w:hAnsi="Verdana"/>
          <w:iCs/>
          <w:sz w:val="18"/>
          <w:szCs w:val="20"/>
        </w:rPr>
        <w:t xml:space="preserve"> por la comunidad jurídica internacional. Dichas normas deben tener aplicación preferente en nuestro ordenamiento interno, al tenor de lo que dispone el artículo 5° de la Constitución Política de la República, por sobre aquellas disposiciones de orden jurídico nacional que posibilitarían eludir las responsabilidades en que ha incurrido el Estado chileno, a través de la actuación penalmente culpable de sus funcionarios, dando cumplimiento de este modo a la Convención de Viena sobre Derecho de los Tratados. </w:t>
      </w:r>
    </w:p>
    <w:p w14:paraId="6796F737" w14:textId="77777777" w:rsidR="00E67ED6" w:rsidRPr="00D66B27" w:rsidRDefault="00E67ED6" w:rsidP="00364C6E">
      <w:pPr>
        <w:spacing w:after="0" w:line="240" w:lineRule="auto"/>
        <w:ind w:left="426"/>
        <w:jc w:val="both"/>
        <w:rPr>
          <w:rFonts w:ascii="Verdana" w:hAnsi="Verdana"/>
          <w:iCs/>
          <w:sz w:val="18"/>
          <w:szCs w:val="20"/>
        </w:rPr>
      </w:pPr>
    </w:p>
    <w:p w14:paraId="4ED1E813" w14:textId="5466D022" w:rsidR="00E67ED6" w:rsidRPr="00D66B27" w:rsidRDefault="00E67ED6" w:rsidP="00364C6E">
      <w:pPr>
        <w:spacing w:after="0" w:line="240" w:lineRule="auto"/>
        <w:ind w:left="426"/>
        <w:jc w:val="both"/>
        <w:rPr>
          <w:rFonts w:ascii="Verdana" w:hAnsi="Verdana"/>
          <w:iCs/>
          <w:sz w:val="18"/>
          <w:szCs w:val="20"/>
        </w:rPr>
      </w:pPr>
      <w:r w:rsidRPr="00D66B27">
        <w:rPr>
          <w:rFonts w:ascii="Verdana" w:hAnsi="Verdana"/>
          <w:iCs/>
          <w:sz w:val="18"/>
          <w:szCs w:val="20"/>
        </w:rPr>
        <w:t>Décimo: Que, por último, debe tenerse en consideración que el sistema de responsabilidad del Estado deriva también de los artículos 6 inciso tercero de la Constitución Política de la República y 3º de la Ley Nº 18.575, Orgánica Constitucional de Bases Generales de la Administración del Estado, las que, de aceptarse la tesis del recurso, quedarían inaplicadas. […]</w:t>
      </w:r>
      <w:r w:rsidR="00062EAE">
        <w:rPr>
          <w:rStyle w:val="Refdenotaalpie"/>
          <w:rFonts w:ascii="Verdana" w:hAnsi="Verdana"/>
          <w:iCs/>
          <w:sz w:val="18"/>
          <w:szCs w:val="20"/>
        </w:rPr>
        <w:footnoteReference w:id="71"/>
      </w:r>
    </w:p>
    <w:p w14:paraId="09433017" w14:textId="77777777" w:rsidR="00CE0328" w:rsidRPr="00D66B27" w:rsidRDefault="00CE0328" w:rsidP="00CE0328">
      <w:pPr>
        <w:pStyle w:val="Prrafodelista"/>
        <w:spacing w:after="0" w:line="240" w:lineRule="auto"/>
        <w:ind w:left="0"/>
        <w:jc w:val="both"/>
        <w:rPr>
          <w:rFonts w:ascii="Verdana" w:hAnsi="Verdana"/>
          <w:sz w:val="20"/>
          <w:szCs w:val="20"/>
        </w:rPr>
      </w:pPr>
    </w:p>
    <w:p w14:paraId="55EB8BB2" w14:textId="6CDED327" w:rsidR="005274DA" w:rsidRPr="00D66B27" w:rsidRDefault="00DC04EB" w:rsidP="00364C6E">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iCs/>
          <w:sz w:val="20"/>
          <w:szCs w:val="20"/>
        </w:rPr>
        <w:t xml:space="preserve">En este caso, las acciones intentadas </w:t>
      </w:r>
      <w:r w:rsidR="005F750E" w:rsidRPr="00D66B27">
        <w:rPr>
          <w:rFonts w:ascii="Verdana" w:hAnsi="Verdana"/>
          <w:iCs/>
          <w:sz w:val="20"/>
          <w:szCs w:val="20"/>
        </w:rPr>
        <w:t>por las víctimas fueron de carácter civil</w:t>
      </w:r>
      <w:r w:rsidR="009E617E" w:rsidRPr="00D66B27">
        <w:rPr>
          <w:rFonts w:ascii="Verdana" w:hAnsi="Verdana"/>
          <w:iCs/>
          <w:sz w:val="20"/>
          <w:szCs w:val="20"/>
        </w:rPr>
        <w:t>,</w:t>
      </w:r>
      <w:r w:rsidR="005F750E" w:rsidRPr="00D66B27">
        <w:rPr>
          <w:rFonts w:ascii="Verdana" w:hAnsi="Verdana"/>
          <w:iCs/>
          <w:sz w:val="20"/>
          <w:szCs w:val="20"/>
        </w:rPr>
        <w:t xml:space="preserve"> propiamente</w:t>
      </w:r>
      <w:r w:rsidR="009E617E" w:rsidRPr="00D66B27">
        <w:rPr>
          <w:rFonts w:ascii="Verdana" w:hAnsi="Verdana"/>
          <w:iCs/>
          <w:sz w:val="20"/>
          <w:szCs w:val="20"/>
        </w:rPr>
        <w:t>,</w:t>
      </w:r>
      <w:r w:rsidR="005F750E" w:rsidRPr="00D66B27">
        <w:rPr>
          <w:rFonts w:ascii="Verdana" w:hAnsi="Verdana"/>
          <w:iCs/>
          <w:sz w:val="20"/>
          <w:szCs w:val="20"/>
        </w:rPr>
        <w:t xml:space="preserve"> y no consta que estuviesen aparejadas o relaci</w:t>
      </w:r>
      <w:r w:rsidR="00990DA1" w:rsidRPr="00D66B27">
        <w:rPr>
          <w:rFonts w:ascii="Verdana" w:hAnsi="Verdana"/>
          <w:iCs/>
          <w:sz w:val="20"/>
          <w:szCs w:val="20"/>
        </w:rPr>
        <w:t>onadas</w:t>
      </w:r>
      <w:r w:rsidR="005F750E" w:rsidRPr="00D66B27">
        <w:rPr>
          <w:rFonts w:ascii="Verdana" w:hAnsi="Verdana"/>
          <w:iCs/>
          <w:sz w:val="20"/>
          <w:szCs w:val="20"/>
        </w:rPr>
        <w:t xml:space="preserve"> con algún proceso penal. De tal modo, y en consecuencia con su reconocimiento, la Corte entiende que los fundamentos del Estado para considerar imprescriptibles las acciones civiles de reparaciones por daños ocasionados en hechos calificados o calificables como crímenes contra la humanidad, con base en la jurisprudencia de la Corte Suprema, son aplicables a cualquier acción civil, independientemente de si </w:t>
      </w:r>
      <w:r w:rsidR="009702D5" w:rsidRPr="00D66B27">
        <w:rPr>
          <w:rFonts w:ascii="Verdana" w:hAnsi="Verdana"/>
          <w:iCs/>
          <w:sz w:val="20"/>
          <w:szCs w:val="20"/>
        </w:rPr>
        <w:t xml:space="preserve">ésta </w:t>
      </w:r>
      <w:r w:rsidR="005F750E" w:rsidRPr="00D66B27">
        <w:rPr>
          <w:rFonts w:ascii="Verdana" w:hAnsi="Verdana"/>
          <w:iCs/>
          <w:sz w:val="20"/>
          <w:szCs w:val="20"/>
        </w:rPr>
        <w:t>es resarcitoria en el marco de un proceso penal o si es una demanda en la vía civil propiamente dicha. Es decir, tal imprescriptibilidad se justifica en la obligación del Estado de reparar por la naturaleza de los hechos y no depende por ello de</w:t>
      </w:r>
      <w:r w:rsidR="009702D5" w:rsidRPr="00D66B27">
        <w:rPr>
          <w:rFonts w:ascii="Verdana" w:hAnsi="Verdana"/>
          <w:iCs/>
          <w:sz w:val="20"/>
          <w:szCs w:val="20"/>
        </w:rPr>
        <w:t xml:space="preserve">l tipo </w:t>
      </w:r>
      <w:r w:rsidR="005F750E" w:rsidRPr="00D66B27">
        <w:rPr>
          <w:rFonts w:ascii="Verdana" w:hAnsi="Verdana"/>
          <w:iCs/>
          <w:sz w:val="20"/>
          <w:szCs w:val="20"/>
        </w:rPr>
        <w:t>de acción judicial</w:t>
      </w:r>
      <w:r w:rsidR="009702D5" w:rsidRPr="00D66B27">
        <w:rPr>
          <w:rFonts w:ascii="Verdana" w:hAnsi="Verdana"/>
          <w:iCs/>
          <w:sz w:val="20"/>
          <w:szCs w:val="20"/>
        </w:rPr>
        <w:t xml:space="preserve"> que busque hacerla valer</w:t>
      </w:r>
      <w:r w:rsidR="005F750E" w:rsidRPr="00D66B27">
        <w:rPr>
          <w:rFonts w:ascii="Verdana" w:hAnsi="Verdana"/>
          <w:iCs/>
          <w:sz w:val="20"/>
          <w:szCs w:val="20"/>
        </w:rPr>
        <w:t>.</w:t>
      </w:r>
    </w:p>
    <w:p w14:paraId="4C35DB05" w14:textId="77777777" w:rsidR="00F9042B" w:rsidRPr="00D66B27" w:rsidRDefault="00F9042B" w:rsidP="00364C6E">
      <w:pPr>
        <w:pStyle w:val="Prrafodelista"/>
        <w:spacing w:after="0" w:line="240" w:lineRule="auto"/>
        <w:ind w:left="0"/>
        <w:jc w:val="both"/>
        <w:rPr>
          <w:rFonts w:ascii="Verdana" w:hAnsi="Verdana"/>
          <w:sz w:val="20"/>
          <w:szCs w:val="20"/>
        </w:rPr>
      </w:pPr>
    </w:p>
    <w:p w14:paraId="08BA8B81" w14:textId="442A39D3" w:rsidR="004D5F62" w:rsidRPr="00D66B27" w:rsidRDefault="005F750E" w:rsidP="00364C6E">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 xml:space="preserve">Además, el Tribunal </w:t>
      </w:r>
      <w:r w:rsidR="004D5F62" w:rsidRPr="00D66B27">
        <w:rPr>
          <w:rFonts w:ascii="Verdana" w:hAnsi="Verdana"/>
          <w:sz w:val="20"/>
          <w:szCs w:val="20"/>
        </w:rPr>
        <w:t xml:space="preserve">estima pertinente recordar que, en su Informe, la Comisión hizo notar que la defensa del Estado se había concentrado, durante el trámite del caso ante ella, en informar sobre su programa administrativo de reparaciones y las prestaciones recibidas por las víctimas; que la pretensión de </w:t>
      </w:r>
      <w:r w:rsidR="009702D5" w:rsidRPr="00D66B27">
        <w:rPr>
          <w:rFonts w:ascii="Verdana" w:hAnsi="Verdana"/>
          <w:sz w:val="20"/>
          <w:szCs w:val="20"/>
        </w:rPr>
        <w:t>éstas</w:t>
      </w:r>
      <w:r w:rsidR="004D5F62" w:rsidRPr="00D66B27">
        <w:rPr>
          <w:rFonts w:ascii="Verdana" w:hAnsi="Verdana"/>
          <w:sz w:val="20"/>
          <w:szCs w:val="20"/>
        </w:rPr>
        <w:t xml:space="preserve"> no era solicitar un examen en abstracto de convencionalidad de </w:t>
      </w:r>
      <w:r w:rsidR="009702D5" w:rsidRPr="00D66B27">
        <w:rPr>
          <w:rFonts w:ascii="Verdana" w:hAnsi="Verdana"/>
          <w:sz w:val="20"/>
          <w:szCs w:val="20"/>
        </w:rPr>
        <w:t>tal programa</w:t>
      </w:r>
      <w:r w:rsidR="004D5F62" w:rsidRPr="00D66B27">
        <w:rPr>
          <w:rFonts w:ascii="Verdana" w:hAnsi="Verdana"/>
          <w:sz w:val="20"/>
          <w:szCs w:val="20"/>
        </w:rPr>
        <w:t>; y que no ha sido controvertido que las víctimas recibieran prestaciones en el marco de dicho</w:t>
      </w:r>
      <w:r w:rsidR="009702D5" w:rsidRPr="00D66B27">
        <w:rPr>
          <w:rFonts w:ascii="Verdana" w:hAnsi="Verdana"/>
          <w:sz w:val="20"/>
          <w:szCs w:val="20"/>
        </w:rPr>
        <w:t>s</w:t>
      </w:r>
      <w:r w:rsidR="004D5F62" w:rsidRPr="00D66B27">
        <w:rPr>
          <w:rFonts w:ascii="Verdana" w:hAnsi="Verdana"/>
          <w:sz w:val="20"/>
          <w:szCs w:val="20"/>
        </w:rPr>
        <w:t xml:space="preserve"> programa</w:t>
      </w:r>
      <w:r w:rsidR="009702D5" w:rsidRPr="00D66B27">
        <w:rPr>
          <w:rFonts w:ascii="Verdana" w:hAnsi="Verdana"/>
          <w:sz w:val="20"/>
          <w:szCs w:val="20"/>
        </w:rPr>
        <w:t>s</w:t>
      </w:r>
      <w:r w:rsidR="004D5F62" w:rsidRPr="00D66B27">
        <w:rPr>
          <w:rFonts w:ascii="Verdana" w:hAnsi="Verdana"/>
          <w:sz w:val="20"/>
          <w:szCs w:val="20"/>
        </w:rPr>
        <w:t>. La Comisión consideró que las vías de reparación administrativa y judicial son co</w:t>
      </w:r>
      <w:r w:rsidR="00062EAE">
        <w:rPr>
          <w:rFonts w:ascii="Verdana" w:hAnsi="Verdana"/>
          <w:sz w:val="20"/>
          <w:szCs w:val="20"/>
        </w:rPr>
        <w:t>mplementarias y no excluyentes.</w:t>
      </w:r>
    </w:p>
    <w:p w14:paraId="3228FC74" w14:textId="77777777" w:rsidR="004D5F62" w:rsidRPr="00D66B27" w:rsidRDefault="004D5F62" w:rsidP="00364C6E">
      <w:pPr>
        <w:pStyle w:val="Prrafodelista"/>
        <w:spacing w:after="0" w:line="240" w:lineRule="auto"/>
        <w:ind w:left="0"/>
        <w:jc w:val="both"/>
        <w:rPr>
          <w:rFonts w:ascii="Verdana" w:hAnsi="Verdana"/>
          <w:sz w:val="20"/>
          <w:szCs w:val="20"/>
        </w:rPr>
      </w:pPr>
    </w:p>
    <w:p w14:paraId="75702DAB" w14:textId="08B528C4" w:rsidR="008578A1" w:rsidRPr="00D66B27" w:rsidRDefault="008578A1" w:rsidP="00364C6E">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Al respecto, el Estado destacó que, en paralelo al cambio jurisprudencial referido, la Corte Suprema ha reconoc</w:t>
      </w:r>
      <w:r w:rsidR="008B4287">
        <w:rPr>
          <w:rFonts w:ascii="Verdana" w:hAnsi="Verdana"/>
          <w:sz w:val="20"/>
          <w:szCs w:val="20"/>
        </w:rPr>
        <w:t xml:space="preserve">ido el carácter complementario </w:t>
      </w:r>
      <w:r w:rsidRPr="00D66B27">
        <w:rPr>
          <w:rFonts w:ascii="Verdana" w:hAnsi="Verdana"/>
          <w:sz w:val="20"/>
          <w:szCs w:val="20"/>
        </w:rPr>
        <w:t xml:space="preserve">que tienen las reparaciones </w:t>
      </w:r>
      <w:r w:rsidR="00243096">
        <w:rPr>
          <w:rFonts w:ascii="Verdana" w:hAnsi="Verdana"/>
          <w:sz w:val="20"/>
          <w:szCs w:val="20"/>
        </w:rPr>
        <w:t xml:space="preserve">económicas otorgadas mediante las leyes promulgadas desde la recuperación de la democracia en 1990 </w:t>
      </w:r>
      <w:r w:rsidRPr="00D66B27">
        <w:rPr>
          <w:rFonts w:ascii="Verdana" w:hAnsi="Verdana"/>
          <w:sz w:val="20"/>
          <w:szCs w:val="20"/>
        </w:rPr>
        <w:t xml:space="preserve">con las indemnizaciones </w:t>
      </w:r>
      <w:r w:rsidR="00243096">
        <w:rPr>
          <w:rFonts w:ascii="Verdana" w:hAnsi="Verdana"/>
          <w:sz w:val="20"/>
          <w:szCs w:val="20"/>
        </w:rPr>
        <w:t>obtenidas por la</w:t>
      </w:r>
      <w:r w:rsidRPr="00D66B27">
        <w:rPr>
          <w:rFonts w:ascii="Verdana" w:hAnsi="Verdana"/>
          <w:sz w:val="20"/>
          <w:szCs w:val="20"/>
        </w:rPr>
        <w:t xml:space="preserve"> vía judicial, indicando que el otorgamiento de pensiones </w:t>
      </w:r>
      <w:r w:rsidR="00243096">
        <w:rPr>
          <w:rFonts w:ascii="Verdana" w:hAnsi="Verdana"/>
          <w:sz w:val="20"/>
          <w:szCs w:val="20"/>
        </w:rPr>
        <w:t>de</w:t>
      </w:r>
      <w:r w:rsidRPr="00D66B27">
        <w:rPr>
          <w:rFonts w:ascii="Verdana" w:hAnsi="Verdana"/>
          <w:sz w:val="20"/>
          <w:szCs w:val="20"/>
        </w:rPr>
        <w:t xml:space="preserve"> la Ley Nº 19.123 no impide a las víctimas obtener indemnizaciones por la vía de la demanda indemnizatoria de daño moral, desestimando razonamientos que consideraban la reparación administrativa como excluyente de la reparación judicial. </w:t>
      </w:r>
      <w:r w:rsidR="00E67ED6" w:rsidRPr="00D66B27">
        <w:rPr>
          <w:rFonts w:ascii="Verdana" w:hAnsi="Verdana"/>
          <w:sz w:val="20"/>
          <w:szCs w:val="20"/>
        </w:rPr>
        <w:t>En efecto, en la referida jurisprudencia de la Corte Suprema se razona de la siguiente manera:</w:t>
      </w:r>
    </w:p>
    <w:p w14:paraId="00AD1917" w14:textId="77777777" w:rsidR="00E67ED6" w:rsidRPr="00D66B27" w:rsidRDefault="00E67ED6" w:rsidP="00E67ED6">
      <w:pPr>
        <w:spacing w:after="0" w:line="240" w:lineRule="auto"/>
        <w:jc w:val="both"/>
        <w:rPr>
          <w:rFonts w:ascii="Verdana" w:hAnsi="Verdana"/>
          <w:iCs/>
          <w:sz w:val="18"/>
          <w:szCs w:val="20"/>
        </w:rPr>
      </w:pPr>
    </w:p>
    <w:p w14:paraId="1BD525DC" w14:textId="68436952" w:rsidR="00E67ED6" w:rsidRPr="00D66B27" w:rsidRDefault="00E67ED6" w:rsidP="00364C6E">
      <w:pPr>
        <w:spacing w:after="0" w:line="240" w:lineRule="auto"/>
        <w:ind w:left="567"/>
        <w:jc w:val="both"/>
        <w:rPr>
          <w:rFonts w:ascii="Verdana" w:hAnsi="Verdana"/>
          <w:iCs/>
          <w:sz w:val="18"/>
          <w:szCs w:val="20"/>
        </w:rPr>
      </w:pPr>
      <w:r w:rsidRPr="00D66B27">
        <w:rPr>
          <w:rFonts w:ascii="Verdana" w:hAnsi="Verdana"/>
          <w:iCs/>
          <w:sz w:val="18"/>
          <w:szCs w:val="20"/>
        </w:rPr>
        <w:t xml:space="preserve">[…] Que estas mismas reflexiones impiden aceptar la alegación del Fisco de Chile de declarar improcedente la indemnización que se ha demandado en razón de que los actores obtuvieron pensiones de reparación de conformidad a la Ley N° 19.123 y sus sucesivas modificaciones, pues esa pretensión contradice lo dispuesto en la normativa internacional antes señalada y porque el derecho común interno sólo es aplicable si no está en contradicción con esa preceptiva, como también se razonó, de modo que la responsabilidad del Estado por esta clase de ilícitos siempre queda sujeta a reglas de Derecho Internacional, las que no pueden ser incumplidas en función de otros preceptos de derecho patrio. La reglamentación invocada por el Fisco -que sólo establece un sistema de pensiones asistenciales- no contempla incompatibilidad alguna con las indemnizaciones que aquí se persiguen y </w:t>
      </w:r>
      <w:r w:rsidRPr="00D66B27">
        <w:rPr>
          <w:rFonts w:ascii="Verdana" w:hAnsi="Verdana"/>
          <w:iCs/>
          <w:sz w:val="18"/>
          <w:szCs w:val="20"/>
        </w:rPr>
        <w:lastRenderedPageBreak/>
        <w:t>no es procedente suponer que ella se dictó para reparar todo daño moral inferido a las víctimas de atentados a los derechos humanos, ya que se trata de formas distintas de reparación, y que las asuma el Estado voluntariamente, como es el caso de la legislación antes señalada, no importa la renuncia de una de las partes o la prohibición para que el sistema jurisdiccional declare su procedencia, por los medios que autoriza la ley</w:t>
      </w:r>
      <w:r w:rsidR="003B5FFB">
        <w:rPr>
          <w:rStyle w:val="Refdenotaalpie"/>
          <w:rFonts w:ascii="Verdana" w:hAnsi="Verdana"/>
          <w:iCs/>
          <w:sz w:val="18"/>
          <w:szCs w:val="20"/>
        </w:rPr>
        <w:footnoteReference w:id="72"/>
      </w:r>
      <w:r w:rsidRPr="00D66B27">
        <w:rPr>
          <w:rFonts w:ascii="Verdana" w:hAnsi="Verdana"/>
          <w:iCs/>
          <w:sz w:val="18"/>
          <w:szCs w:val="20"/>
        </w:rPr>
        <w:t>.</w:t>
      </w:r>
    </w:p>
    <w:p w14:paraId="79148ECE" w14:textId="77777777" w:rsidR="00CE0328" w:rsidRPr="00D66B27" w:rsidRDefault="00CE0328" w:rsidP="00364C6E">
      <w:pPr>
        <w:pStyle w:val="Prrafodelista"/>
        <w:spacing w:after="0" w:line="240" w:lineRule="auto"/>
        <w:ind w:left="0"/>
        <w:jc w:val="both"/>
        <w:rPr>
          <w:rFonts w:ascii="Verdana" w:hAnsi="Verdana"/>
          <w:sz w:val="20"/>
          <w:szCs w:val="20"/>
        </w:rPr>
      </w:pPr>
    </w:p>
    <w:p w14:paraId="5D1C74EF" w14:textId="77777777" w:rsidR="00904FF5" w:rsidRPr="00D66B27" w:rsidRDefault="00904FF5" w:rsidP="00904FF5">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En relación con la idoneidad de mecanismos de reparación a nivel interno,</w:t>
      </w:r>
      <w:r>
        <w:rPr>
          <w:rFonts w:ascii="Verdana" w:hAnsi="Verdana"/>
          <w:sz w:val="20"/>
          <w:szCs w:val="20"/>
        </w:rPr>
        <w:t xml:space="preserve"> por ejemplo en Colombia,</w:t>
      </w:r>
      <w:r w:rsidRPr="00D66B27">
        <w:rPr>
          <w:rFonts w:ascii="Verdana" w:hAnsi="Verdana"/>
          <w:sz w:val="20"/>
          <w:szCs w:val="20"/>
        </w:rPr>
        <w:t xml:space="preserve"> el Tribunal ha considerado que, en escenarios de justicia transicional, en los cuales los Estados deben asumir su deber de reparar masivamente a números de víctimas que pueden exceder ampliamente las capacidades y posibilidades de los tribunales internos, los programas administrativos de reparación constituyen una de las maneras legítimas de satisfacer el derecho a la reparación. En esos contextos, esas medidas de reparación deben entenderse en conjunto con otras medidas de verdad y justicia, siempre y cuando se cumplan con una serie de requisitos relacionados, entre otros, con su legitimidad y efectiva capacidad de reparación integral de las mismas</w:t>
      </w:r>
      <w:r w:rsidRPr="00D66B27">
        <w:rPr>
          <w:rStyle w:val="Refdenotaalpie"/>
          <w:rFonts w:ascii="Verdana" w:hAnsi="Verdana" w:cs="Times New Roman"/>
          <w:sz w:val="20"/>
          <w:szCs w:val="20"/>
        </w:rPr>
        <w:footnoteReference w:id="73"/>
      </w:r>
      <w:r w:rsidRPr="00D66B27">
        <w:rPr>
          <w:rFonts w:ascii="Verdana" w:hAnsi="Verdana" w:cs="Times New Roman"/>
          <w:sz w:val="20"/>
          <w:szCs w:val="20"/>
        </w:rPr>
        <w:t xml:space="preserve">. </w:t>
      </w:r>
      <w:r>
        <w:rPr>
          <w:rFonts w:ascii="Verdana" w:hAnsi="Verdana" w:cs="Times New Roman"/>
          <w:sz w:val="20"/>
          <w:szCs w:val="20"/>
        </w:rPr>
        <w:t>El hecho de combinar reparaciones administrativas y judiciales, según cada Estado, puede ser entendido como de carácter diferente (excluyente) o complementario y, en este sentido, podría tomarse en cuenta, en una vía, lo otorgado en la otra. No obstante, en el caso chileno se entiende que, según el criterio jurisprudencial prevaleciente, ambos tipos de reparaciones son complementarios entre sí y no se descontaría, en la vía judicial, lo otorgado en aplicación de programas administrativos de reparaciones.</w:t>
      </w:r>
    </w:p>
    <w:p w14:paraId="5F8F2FF8" w14:textId="77777777" w:rsidR="00904FF5" w:rsidRDefault="00904FF5" w:rsidP="00904FF5">
      <w:pPr>
        <w:pStyle w:val="Prrafodelista"/>
        <w:spacing w:after="0" w:line="240" w:lineRule="auto"/>
        <w:ind w:left="0"/>
        <w:jc w:val="both"/>
        <w:rPr>
          <w:rFonts w:ascii="Verdana" w:hAnsi="Verdana"/>
          <w:sz w:val="20"/>
          <w:szCs w:val="20"/>
        </w:rPr>
      </w:pPr>
    </w:p>
    <w:p w14:paraId="24B75CC3" w14:textId="77777777" w:rsidR="00CE0328" w:rsidRPr="00D66B27" w:rsidRDefault="00CE0328" w:rsidP="00364C6E">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Específicamente respecto del programa administrativo de reparaciones de Chile, anteriormente este Tribunal ha expresado que “valora positivamente la política de reparación de violaciones a derechos humanos adelantada por el Estado”</w:t>
      </w:r>
      <w:r w:rsidRPr="00D66B27">
        <w:rPr>
          <w:rFonts w:ascii="Verdana" w:hAnsi="Verdana"/>
          <w:sz w:val="20"/>
          <w:szCs w:val="20"/>
          <w:vertAlign w:val="superscript"/>
        </w:rPr>
        <w:footnoteReference w:id="74"/>
      </w:r>
      <w:r w:rsidRPr="00D66B27">
        <w:rPr>
          <w:rFonts w:ascii="Verdana" w:hAnsi="Verdana"/>
          <w:sz w:val="20"/>
          <w:szCs w:val="20"/>
        </w:rPr>
        <w:t xml:space="preserve">. Posteriormente, en el </w:t>
      </w:r>
      <w:r w:rsidRPr="00D66B27">
        <w:rPr>
          <w:rFonts w:ascii="Verdana" w:hAnsi="Verdana"/>
          <w:i/>
          <w:sz w:val="20"/>
          <w:szCs w:val="20"/>
        </w:rPr>
        <w:t>caso García Lucero y otras vs. Chile</w:t>
      </w:r>
      <w:r w:rsidRPr="00D66B27">
        <w:rPr>
          <w:rFonts w:ascii="Verdana" w:hAnsi="Verdana"/>
          <w:sz w:val="20"/>
          <w:szCs w:val="20"/>
        </w:rPr>
        <w:t xml:space="preserve">, la Corte consideró que: </w:t>
      </w:r>
    </w:p>
    <w:p w14:paraId="296E7C48" w14:textId="77777777" w:rsidR="00CE0328" w:rsidRPr="00D66B27" w:rsidRDefault="00CE0328" w:rsidP="00CE0328">
      <w:pPr>
        <w:pStyle w:val="Prrafodelista"/>
        <w:rPr>
          <w:rFonts w:ascii="Cambria" w:eastAsia="Times New Roman" w:hAnsi="Cambria"/>
          <w:sz w:val="20"/>
          <w:szCs w:val="20"/>
        </w:rPr>
      </w:pPr>
    </w:p>
    <w:p w14:paraId="12213CFE" w14:textId="28E9A492" w:rsidR="00CE0328" w:rsidRPr="00D66B27" w:rsidRDefault="00CE0328" w:rsidP="00CE0328">
      <w:pPr>
        <w:pStyle w:val="Prrafodelista"/>
        <w:spacing w:line="240" w:lineRule="auto"/>
        <w:ind w:left="567"/>
        <w:jc w:val="both"/>
        <w:rPr>
          <w:rFonts w:ascii="Verdana" w:eastAsia="Times New Roman" w:hAnsi="Verdana"/>
          <w:sz w:val="18"/>
          <w:szCs w:val="18"/>
        </w:rPr>
      </w:pPr>
      <w:r w:rsidRPr="00D66B27">
        <w:rPr>
          <w:rFonts w:ascii="Verdana" w:hAnsi="Verdana"/>
          <w:sz w:val="18"/>
          <w:szCs w:val="18"/>
        </w:rPr>
        <w:t>[…] la existencia de programas administrativos de reparación debe ser compatible con las obligaciones estatales bajo la Convención Americana y otras normas internacionales y, por ello, no puede derivar en un menoscabo al deber estatal de garantizar el “libre y pleno ejercicio” de los derechos a las garantías y protección judiciales, en los términos de los artículos 1.1, 25.1 y 8.1 de la Convención, respectivamente. En otros términos, los programas administrativos de reparación u otras medidas o acciones normativas o de otro carácter que coexistan con los mismos, no pueden generar una obstrucción a la posibilidad de que las víctimas, de conformidad a los derechos a las garantías y protección judiciales, interpongan acciones en reclamo de reparaciones. […] Resulta conforme a la observancia de derechos convencionales que el establecimiento de sistemas internos administrativos o colectivos de reparación no impida a las víctimas el ejercicio de acciones jurisdiccionales en reclamo de medidas de reparación”</w:t>
      </w:r>
      <w:r w:rsidRPr="00D66B27">
        <w:rPr>
          <w:rStyle w:val="Refdenotaalpie"/>
          <w:rFonts w:ascii="Verdana" w:hAnsi="Verdana"/>
          <w:sz w:val="18"/>
          <w:szCs w:val="18"/>
        </w:rPr>
        <w:footnoteReference w:id="75"/>
      </w:r>
      <w:r w:rsidRPr="00D66B27">
        <w:rPr>
          <w:rFonts w:ascii="Verdana" w:hAnsi="Verdana"/>
          <w:sz w:val="18"/>
          <w:szCs w:val="18"/>
        </w:rPr>
        <w:t>.</w:t>
      </w:r>
    </w:p>
    <w:p w14:paraId="202D9E83" w14:textId="77777777" w:rsidR="00CE0328" w:rsidRPr="00D66B27" w:rsidRDefault="00CE0328" w:rsidP="00CE0328">
      <w:pPr>
        <w:pStyle w:val="Prrafodelista"/>
        <w:spacing w:after="0" w:line="240" w:lineRule="auto"/>
        <w:ind w:left="0"/>
        <w:jc w:val="both"/>
        <w:rPr>
          <w:rFonts w:ascii="Verdana" w:hAnsi="Verdana"/>
          <w:sz w:val="20"/>
          <w:szCs w:val="20"/>
        </w:rPr>
      </w:pPr>
    </w:p>
    <w:p w14:paraId="1126D0F3" w14:textId="73DB19F0" w:rsidR="00CE0328" w:rsidRPr="00D66B27" w:rsidRDefault="00CE0328" w:rsidP="00364C6E">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 xml:space="preserve">La Corte considera que el criterio jurisprudencial prevaleciente actualmente a nivel interno, acerca del carácter complementario y no excluyente de reparaciones otorgadas en vías administrativa y judicial, es </w:t>
      </w:r>
      <w:r w:rsidR="008B4287">
        <w:rPr>
          <w:rFonts w:ascii="Verdana" w:hAnsi="Verdana"/>
          <w:sz w:val="20"/>
          <w:szCs w:val="20"/>
        </w:rPr>
        <w:t>razonable en relación</w:t>
      </w:r>
      <w:r w:rsidRPr="00D66B27">
        <w:rPr>
          <w:rFonts w:ascii="Verdana" w:hAnsi="Verdana"/>
          <w:sz w:val="20"/>
          <w:szCs w:val="20"/>
        </w:rPr>
        <w:t xml:space="preserve"> con el derecho de víctimas de graves violaciones de derechos humanos de acceder a la justicia para solicitar una declaratoria judicial de responsabilidad estatal, ya sea para que se efectúe una determinación individual de daños o, en su caso, para cuestionar la suficiencia o efectividad de reparaciones recibidas con anterioridad.</w:t>
      </w:r>
    </w:p>
    <w:p w14:paraId="192AA716" w14:textId="77777777" w:rsidR="00CE0328" w:rsidRPr="00D66B27" w:rsidRDefault="00CE0328" w:rsidP="00364C6E">
      <w:pPr>
        <w:pStyle w:val="Prrafodelista"/>
        <w:spacing w:after="0" w:line="240" w:lineRule="auto"/>
        <w:ind w:left="0"/>
        <w:jc w:val="both"/>
        <w:rPr>
          <w:rFonts w:ascii="Verdana" w:hAnsi="Verdana"/>
          <w:sz w:val="20"/>
          <w:szCs w:val="20"/>
        </w:rPr>
      </w:pPr>
    </w:p>
    <w:p w14:paraId="1458C24C" w14:textId="47B402FC" w:rsidR="00CE0328" w:rsidRPr="00D66B27" w:rsidRDefault="00B60B97" w:rsidP="00364C6E">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En conclusión</w:t>
      </w:r>
      <w:r w:rsidR="00CE0328" w:rsidRPr="00D66B27">
        <w:rPr>
          <w:rFonts w:ascii="Verdana" w:hAnsi="Verdana"/>
          <w:sz w:val="20"/>
          <w:szCs w:val="20"/>
        </w:rPr>
        <w:t xml:space="preserve">, ciertamente la jurisprudencia de los últimos años de la Corte Suprema de Justicia chilena ha variado notablemente hacia una interpretación </w:t>
      </w:r>
      <w:r w:rsidR="009D0823">
        <w:rPr>
          <w:rFonts w:ascii="Verdana" w:hAnsi="Verdana"/>
          <w:sz w:val="20"/>
          <w:szCs w:val="20"/>
        </w:rPr>
        <w:t>razonable</w:t>
      </w:r>
      <w:r w:rsidR="00CE0328" w:rsidRPr="00D66B27">
        <w:rPr>
          <w:rFonts w:ascii="Verdana" w:hAnsi="Verdana"/>
          <w:sz w:val="20"/>
          <w:szCs w:val="20"/>
        </w:rPr>
        <w:t xml:space="preserve"> y adecuada con su </w:t>
      </w:r>
      <w:r w:rsidR="00CE0328" w:rsidRPr="00D66B27">
        <w:rPr>
          <w:rFonts w:ascii="Verdana" w:hAnsi="Verdana"/>
          <w:sz w:val="20"/>
          <w:szCs w:val="20"/>
        </w:rPr>
        <w:lastRenderedPageBreak/>
        <w:t xml:space="preserve">deber de ejercer un efectivo control de convencionalidad. La Corte Interamericana valora positivamente tal cambio jurisprudencial. </w:t>
      </w:r>
    </w:p>
    <w:p w14:paraId="72F40F9E" w14:textId="77777777" w:rsidR="004D5F62" w:rsidRPr="00D66B27" w:rsidRDefault="004D5F62" w:rsidP="00364C6E">
      <w:pPr>
        <w:pStyle w:val="Prrafodelista"/>
        <w:spacing w:after="0" w:line="240" w:lineRule="auto"/>
        <w:ind w:left="0"/>
        <w:jc w:val="both"/>
        <w:rPr>
          <w:rFonts w:ascii="Verdana" w:hAnsi="Verdana"/>
          <w:sz w:val="20"/>
          <w:szCs w:val="20"/>
        </w:rPr>
      </w:pPr>
    </w:p>
    <w:p w14:paraId="33BBDAD5" w14:textId="793F5A7C" w:rsidR="00E043B4" w:rsidRPr="00D66B27" w:rsidRDefault="00E043B4" w:rsidP="00364C6E">
      <w:pPr>
        <w:pStyle w:val="Prrafodelista"/>
        <w:numPr>
          <w:ilvl w:val="0"/>
          <w:numId w:val="2"/>
        </w:numPr>
        <w:spacing w:after="0" w:line="240" w:lineRule="auto"/>
        <w:ind w:left="0" w:firstLine="0"/>
        <w:jc w:val="both"/>
        <w:rPr>
          <w:rFonts w:ascii="Verdana" w:hAnsi="Verdana"/>
          <w:sz w:val="20"/>
          <w:szCs w:val="20"/>
        </w:rPr>
      </w:pPr>
      <w:r w:rsidRPr="00D66B27">
        <w:rPr>
          <w:rFonts w:ascii="Verdana" w:hAnsi="Verdana"/>
          <w:sz w:val="20"/>
          <w:szCs w:val="20"/>
        </w:rPr>
        <w:t>En consecuencia, este Tribunal declara que el Estado es responsable por la violación del derecho de acceso a la justicia, en los término</w:t>
      </w:r>
      <w:r w:rsidR="002F5254">
        <w:rPr>
          <w:rFonts w:ascii="Verdana" w:hAnsi="Verdana"/>
          <w:sz w:val="20"/>
          <w:szCs w:val="20"/>
        </w:rPr>
        <w:t>s</w:t>
      </w:r>
      <w:r w:rsidRPr="00D66B27">
        <w:rPr>
          <w:rFonts w:ascii="Verdana" w:hAnsi="Verdana"/>
          <w:sz w:val="20"/>
          <w:szCs w:val="20"/>
        </w:rPr>
        <w:t xml:space="preserve"> de los derechos a las garantías judiciales y a la protección judicial, reconocidos en los artículos 8.1 y 25.1 de la Convención Americana, en relación con los artículos 1.1 y 2 de la misma, en perjuicio de María Laura Órdenes Guerra, Ariel Luis Antonio Alcayaga Órdenes, Marta Elizabeth Alcayaga Órdenes, Augusto Oscar Amador Alcayaga Órdenes, Gloria Laura Astris Alcayaga Órdenes y María Laura Elena Alcayaga Órdenes; de Lucía Morales Compagnon, Jorge Roberto </w:t>
      </w:r>
      <w:r w:rsidR="002E7785" w:rsidRPr="00D66B27">
        <w:rPr>
          <w:rFonts w:ascii="Verdana" w:hAnsi="Verdana"/>
          <w:sz w:val="20"/>
          <w:szCs w:val="20"/>
        </w:rPr>
        <w:t xml:space="preserve">Osorio </w:t>
      </w:r>
      <w:r w:rsidRPr="00D66B27">
        <w:rPr>
          <w:rFonts w:ascii="Verdana" w:hAnsi="Verdana"/>
          <w:sz w:val="20"/>
          <w:szCs w:val="20"/>
        </w:rPr>
        <w:t xml:space="preserve">Morales, Carolina Andrea </w:t>
      </w:r>
      <w:r w:rsidR="002E7785" w:rsidRPr="00D66B27">
        <w:rPr>
          <w:rFonts w:ascii="Verdana" w:hAnsi="Verdana"/>
          <w:sz w:val="20"/>
          <w:szCs w:val="20"/>
        </w:rPr>
        <w:t xml:space="preserve">Osorio </w:t>
      </w:r>
      <w:r w:rsidRPr="00D66B27">
        <w:rPr>
          <w:rFonts w:ascii="Verdana" w:hAnsi="Verdana"/>
          <w:sz w:val="20"/>
          <w:szCs w:val="20"/>
        </w:rPr>
        <w:t xml:space="preserve">Morales, Lucía Odette </w:t>
      </w:r>
      <w:r w:rsidR="002E7785" w:rsidRPr="00D66B27">
        <w:rPr>
          <w:rFonts w:ascii="Verdana" w:hAnsi="Verdana"/>
          <w:sz w:val="20"/>
          <w:szCs w:val="20"/>
        </w:rPr>
        <w:t xml:space="preserve">Osorio </w:t>
      </w:r>
      <w:r w:rsidRPr="00D66B27">
        <w:rPr>
          <w:rFonts w:ascii="Verdana" w:hAnsi="Verdana"/>
          <w:sz w:val="20"/>
          <w:szCs w:val="20"/>
        </w:rPr>
        <w:t xml:space="preserve">Morales y María Teresa </w:t>
      </w:r>
      <w:r w:rsidR="002E7785" w:rsidRPr="00D66B27">
        <w:rPr>
          <w:rFonts w:ascii="Verdana" w:hAnsi="Verdana"/>
          <w:sz w:val="20"/>
          <w:szCs w:val="20"/>
        </w:rPr>
        <w:t xml:space="preserve">Osorio </w:t>
      </w:r>
      <w:r w:rsidRPr="00D66B27">
        <w:rPr>
          <w:rFonts w:ascii="Verdana" w:hAnsi="Verdana"/>
          <w:sz w:val="20"/>
          <w:szCs w:val="20"/>
        </w:rPr>
        <w:t>Morales; de Alina María Barraza Codoceo, Eduardo Patricio Cortés Barraza, Marcia Alejandra Cortés Barraza, Patricia Auristela Cortés Barraza, Nora Isabel Cortés Barraza y Hernán Alejandro Cortés Barraza; de Mario Melo Acuña, Ilia María Prádenas Pérez y Carlos Gustavo Melo Prádenas; de Pamela Adriana Vivando</w:t>
      </w:r>
      <w:r w:rsidR="00C9421F">
        <w:rPr>
          <w:rFonts w:ascii="Verdana" w:hAnsi="Verdana"/>
          <w:sz w:val="20"/>
          <w:szCs w:val="20"/>
        </w:rPr>
        <w:t xml:space="preserve"> Medina</w:t>
      </w:r>
      <w:r w:rsidRPr="00D66B27">
        <w:rPr>
          <w:rFonts w:ascii="Verdana" w:hAnsi="Verdana"/>
          <w:sz w:val="20"/>
          <w:szCs w:val="20"/>
        </w:rPr>
        <w:t>; de Elena Alejandrina</w:t>
      </w:r>
      <w:r w:rsidR="00BE3FC7">
        <w:rPr>
          <w:rFonts w:ascii="Verdana" w:hAnsi="Verdana"/>
          <w:sz w:val="20"/>
          <w:szCs w:val="20"/>
        </w:rPr>
        <w:t xml:space="preserve"> Gómez</w:t>
      </w:r>
      <w:r w:rsidRPr="00D66B27">
        <w:rPr>
          <w:rFonts w:ascii="Verdana" w:hAnsi="Verdana"/>
          <w:sz w:val="20"/>
          <w:szCs w:val="20"/>
        </w:rPr>
        <w:t xml:space="preserve"> Vargas y Katia Ximena Espejo</w:t>
      </w:r>
      <w:r w:rsidR="00BE3FC7">
        <w:rPr>
          <w:rFonts w:ascii="Verdana" w:hAnsi="Verdana"/>
          <w:sz w:val="20"/>
          <w:szCs w:val="20"/>
        </w:rPr>
        <w:t xml:space="preserve"> Gómez</w:t>
      </w:r>
      <w:r w:rsidRPr="00D66B27">
        <w:rPr>
          <w:rFonts w:ascii="Verdana" w:hAnsi="Verdana"/>
          <w:sz w:val="20"/>
          <w:szCs w:val="20"/>
        </w:rPr>
        <w:t>; y de Magdalena Mercedes Navarrete</w:t>
      </w:r>
      <w:r w:rsidR="00BE3FC7">
        <w:rPr>
          <w:rFonts w:ascii="Verdana" w:hAnsi="Verdana"/>
          <w:sz w:val="20"/>
          <w:szCs w:val="20"/>
        </w:rPr>
        <w:t xml:space="preserve"> Faraldo</w:t>
      </w:r>
      <w:r w:rsidRPr="00D66B27">
        <w:rPr>
          <w:rFonts w:ascii="Verdana" w:hAnsi="Verdana"/>
          <w:sz w:val="20"/>
          <w:szCs w:val="20"/>
        </w:rPr>
        <w:t xml:space="preserve">, Jorge Alberto Reyes Navarrete, Patricio Hernán Reyes Navarrete y Víctor Eduardo Reyes Navarrete. </w:t>
      </w:r>
    </w:p>
    <w:p w14:paraId="57DA12CC" w14:textId="77777777" w:rsidR="00607AFC" w:rsidRPr="00D66B27" w:rsidRDefault="00607AFC">
      <w:pPr>
        <w:pBdr>
          <w:top w:val="nil"/>
        </w:pBdr>
        <w:autoSpaceDE w:val="0"/>
        <w:autoSpaceDN w:val="0"/>
        <w:adjustRightInd w:val="0"/>
        <w:spacing w:after="0" w:line="240" w:lineRule="auto"/>
        <w:jc w:val="both"/>
        <w:rPr>
          <w:rFonts w:ascii="Verdana" w:eastAsia="Times New Roman" w:hAnsi="Verdana" w:cs="Tahoma"/>
          <w:sz w:val="20"/>
          <w:szCs w:val="20"/>
        </w:rPr>
      </w:pPr>
    </w:p>
    <w:p w14:paraId="7E5C4DF5" w14:textId="77777777" w:rsidR="00E043B4" w:rsidRDefault="00E043B4">
      <w:pPr>
        <w:pBdr>
          <w:top w:val="nil"/>
        </w:pBdr>
        <w:autoSpaceDE w:val="0"/>
        <w:autoSpaceDN w:val="0"/>
        <w:adjustRightInd w:val="0"/>
        <w:spacing w:after="0" w:line="240" w:lineRule="auto"/>
        <w:jc w:val="both"/>
        <w:rPr>
          <w:rFonts w:ascii="Verdana" w:eastAsia="Times New Roman" w:hAnsi="Verdana" w:cs="Tahoma"/>
          <w:sz w:val="20"/>
          <w:szCs w:val="20"/>
        </w:rPr>
      </w:pPr>
    </w:p>
    <w:p w14:paraId="46268EE9" w14:textId="77777777" w:rsidR="00FF3C8E" w:rsidRPr="00D66B27" w:rsidRDefault="00FF3C8E">
      <w:pPr>
        <w:pBdr>
          <w:top w:val="nil"/>
        </w:pBdr>
        <w:autoSpaceDE w:val="0"/>
        <w:autoSpaceDN w:val="0"/>
        <w:adjustRightInd w:val="0"/>
        <w:spacing w:after="0" w:line="240" w:lineRule="auto"/>
        <w:jc w:val="both"/>
        <w:rPr>
          <w:rFonts w:ascii="Verdana" w:eastAsia="Times New Roman" w:hAnsi="Verdana" w:cs="Tahoma"/>
          <w:sz w:val="20"/>
          <w:szCs w:val="20"/>
        </w:rPr>
      </w:pPr>
    </w:p>
    <w:p w14:paraId="640FFF63" w14:textId="53845EC8" w:rsidR="00607AFC" w:rsidRPr="00D66B27" w:rsidRDefault="009D4CC9">
      <w:pPr>
        <w:pStyle w:val="Ttulo1"/>
        <w:spacing w:before="0" w:after="0"/>
        <w:rPr>
          <w:b w:val="0"/>
          <w:bCs w:val="0"/>
          <w:caps w:val="0"/>
        </w:rPr>
      </w:pPr>
      <w:bookmarkStart w:id="21" w:name="_Toc476251464"/>
      <w:bookmarkStart w:id="22" w:name="_Toc528084363"/>
      <w:r w:rsidRPr="00D66B27">
        <w:t>V</w:t>
      </w:r>
      <w:r w:rsidR="005274DA" w:rsidRPr="00D66B27">
        <w:t>ii</w:t>
      </w:r>
      <w:r w:rsidR="00607AFC" w:rsidRPr="00D66B27">
        <w:br/>
        <w:t>REPARACIONES</w:t>
      </w:r>
      <w:bookmarkEnd w:id="21"/>
      <w:bookmarkEnd w:id="22"/>
    </w:p>
    <w:p w14:paraId="54C56CA7" w14:textId="77777777" w:rsidR="00607AFC" w:rsidRPr="00D66B27" w:rsidRDefault="00607AFC" w:rsidP="00DC7CD8">
      <w:pPr>
        <w:spacing w:line="240" w:lineRule="auto"/>
        <w:jc w:val="center"/>
        <w:rPr>
          <w:rFonts w:ascii="Verdana" w:hAnsi="Verdana"/>
          <w:b/>
          <w:smallCaps/>
          <w:snapToGrid w:val="0"/>
          <w:sz w:val="20"/>
          <w:szCs w:val="20"/>
          <w:lang w:eastAsia="es-ES"/>
        </w:rPr>
      </w:pPr>
      <w:r w:rsidRPr="00D66B27">
        <w:rPr>
          <w:rFonts w:ascii="Verdana" w:hAnsi="Verdana" w:cs="Tahoma"/>
          <w:b/>
          <w:smallCaps/>
          <w:sz w:val="20"/>
          <w:szCs w:val="20"/>
        </w:rPr>
        <w:t xml:space="preserve"> (</w:t>
      </w:r>
      <w:r w:rsidRPr="00D66B27">
        <w:rPr>
          <w:rFonts w:ascii="Verdana" w:hAnsi="Verdana"/>
          <w:b/>
          <w:smallCaps/>
          <w:snapToGrid w:val="0"/>
          <w:sz w:val="20"/>
          <w:szCs w:val="20"/>
          <w:lang w:eastAsia="es-ES"/>
        </w:rPr>
        <w:t>Aplicación del artículo 63.1 de la Convención Americana</w:t>
      </w:r>
      <w:r w:rsidRPr="00D66B27">
        <w:rPr>
          <w:rStyle w:val="Refdenotaalpie"/>
          <w:rFonts w:ascii="Verdana" w:hAnsi="Verdana"/>
          <w:bCs/>
          <w:spacing w:val="-2"/>
          <w:sz w:val="20"/>
          <w:szCs w:val="20"/>
        </w:rPr>
        <w:footnoteReference w:id="76"/>
      </w:r>
      <w:r w:rsidRPr="00D66B27">
        <w:rPr>
          <w:rFonts w:ascii="Verdana" w:hAnsi="Verdana"/>
          <w:b/>
          <w:smallCaps/>
          <w:snapToGrid w:val="0"/>
          <w:sz w:val="20"/>
          <w:szCs w:val="20"/>
          <w:lang w:eastAsia="es-ES"/>
        </w:rPr>
        <w:t>)</w:t>
      </w:r>
    </w:p>
    <w:p w14:paraId="34E62DE4" w14:textId="77777777" w:rsidR="00607AFC" w:rsidRPr="00D66B27" w:rsidRDefault="00607AFC" w:rsidP="00364C6E">
      <w:pPr>
        <w:numPr>
          <w:ilvl w:val="0"/>
          <w:numId w:val="2"/>
        </w:numPr>
        <w:pBdr>
          <w:top w:val="nil"/>
        </w:pBdr>
        <w:autoSpaceDE w:val="0"/>
        <w:autoSpaceDN w:val="0"/>
        <w:adjustRightInd w:val="0"/>
        <w:spacing w:after="0" w:line="240" w:lineRule="auto"/>
        <w:ind w:left="0" w:firstLine="0"/>
        <w:jc w:val="both"/>
        <w:rPr>
          <w:rFonts w:ascii="Verdana" w:hAnsi="Verdana" w:cs="Times New Roman"/>
          <w:sz w:val="20"/>
          <w:szCs w:val="20"/>
          <w:lang w:bidi="en-US"/>
        </w:rPr>
      </w:pPr>
      <w:r w:rsidRPr="00D66B27">
        <w:rPr>
          <w:rFonts w:ascii="Verdana" w:hAnsi="Verdana"/>
          <w:sz w:val="20"/>
          <w:szCs w:val="20"/>
        </w:rPr>
        <w:t>Con base en lo dispuesto en el artículo 63.1 de la Convención Americana, la Corte ha indicado que toda violación</w:t>
      </w:r>
      <w:r w:rsidRPr="00D66B27">
        <w:rPr>
          <w:rFonts w:ascii="Verdana" w:hAnsi="Verdana"/>
          <w:spacing w:val="-2"/>
          <w:sz w:val="20"/>
          <w:szCs w:val="20"/>
        </w:rPr>
        <w:t xml:space="preserve">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Pr="00D66B27">
        <w:rPr>
          <w:rStyle w:val="Refdenotaalpie"/>
          <w:rFonts w:ascii="Verdana" w:hAnsi="Verdana"/>
          <w:spacing w:val="-2"/>
          <w:sz w:val="20"/>
          <w:szCs w:val="20"/>
        </w:rPr>
        <w:footnoteReference w:id="77"/>
      </w:r>
      <w:r w:rsidRPr="00D66B27">
        <w:rPr>
          <w:rFonts w:ascii="Verdana" w:hAnsi="Verdana"/>
          <w:spacing w:val="-2"/>
          <w:sz w:val="20"/>
          <w:szCs w:val="20"/>
        </w:rPr>
        <w:t>.</w:t>
      </w:r>
    </w:p>
    <w:p w14:paraId="7D7B5AE4" w14:textId="77777777" w:rsidR="00607AFC" w:rsidRPr="00D66B27" w:rsidRDefault="00607AFC" w:rsidP="00364C6E">
      <w:pPr>
        <w:pBdr>
          <w:top w:val="nil"/>
        </w:pBdr>
        <w:autoSpaceDE w:val="0"/>
        <w:autoSpaceDN w:val="0"/>
        <w:adjustRightInd w:val="0"/>
        <w:spacing w:after="0" w:line="240" w:lineRule="auto"/>
        <w:jc w:val="both"/>
        <w:rPr>
          <w:rFonts w:ascii="Verdana" w:hAnsi="Verdana"/>
          <w:spacing w:val="-2"/>
          <w:sz w:val="20"/>
          <w:szCs w:val="20"/>
        </w:rPr>
      </w:pPr>
    </w:p>
    <w:p w14:paraId="005ADF95" w14:textId="77777777" w:rsidR="00607AFC" w:rsidRPr="00D66B27" w:rsidRDefault="00607AFC" w:rsidP="00364C6E">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pacing w:val="-2"/>
          <w:sz w:val="20"/>
          <w:szCs w:val="20"/>
        </w:rPr>
        <w:t>Las reparaciones deben tener un nexo causal con los hechos del caso, las violaciones</w:t>
      </w:r>
      <w:r w:rsidRPr="00D66B27">
        <w:rPr>
          <w:rFonts w:ascii="Verdana" w:hAnsi="Verdana"/>
          <w:sz w:val="20"/>
          <w:szCs w:val="20"/>
          <w:lang w:bidi="en-US"/>
        </w:rPr>
        <w:t xml:space="preserve"> declaradas, los daños acreditados, así como con las medidas solicitadas para reparar l</w:t>
      </w:r>
      <w:r w:rsidRPr="00D66B27">
        <w:rPr>
          <w:rFonts w:ascii="Verdana" w:hAnsi="Verdana"/>
          <w:sz w:val="20"/>
          <w:szCs w:val="20"/>
        </w:rPr>
        <w:t>o</w:t>
      </w:r>
      <w:r w:rsidRPr="00D66B27">
        <w:rPr>
          <w:rFonts w:ascii="Verdana" w:hAnsi="Verdana"/>
          <w:sz w:val="20"/>
          <w:szCs w:val="20"/>
          <w:lang w:bidi="en-US"/>
        </w:rPr>
        <w:t>s daños respectivos, cuya concurrencia debe observar el Tribunal para pronunciarse debidamente y conforme a derecho</w:t>
      </w:r>
      <w:r w:rsidRPr="00D66B27">
        <w:rPr>
          <w:rFonts w:ascii="Verdana" w:hAnsi="Verdana"/>
          <w:sz w:val="20"/>
          <w:szCs w:val="20"/>
          <w:vertAlign w:val="superscript"/>
          <w:lang w:bidi="en-US"/>
        </w:rPr>
        <w:footnoteReference w:id="78"/>
      </w:r>
      <w:r w:rsidRPr="00D66B27">
        <w:rPr>
          <w:rFonts w:ascii="Verdana" w:hAnsi="Verdana"/>
          <w:sz w:val="20"/>
          <w:szCs w:val="20"/>
          <w:lang w:bidi="en-US"/>
        </w:rPr>
        <w:t>.</w:t>
      </w:r>
      <w:r w:rsidRPr="00D66B27">
        <w:rPr>
          <w:rFonts w:ascii="Verdana" w:hAnsi="Verdana"/>
          <w:sz w:val="20"/>
          <w:szCs w:val="20"/>
        </w:rPr>
        <w:t xml:space="preserve"> </w:t>
      </w:r>
    </w:p>
    <w:p w14:paraId="39400942" w14:textId="77777777" w:rsidR="00607AFC" w:rsidRPr="00D66B27" w:rsidRDefault="00607AFC" w:rsidP="00364C6E">
      <w:pPr>
        <w:pBdr>
          <w:top w:val="nil"/>
        </w:pBdr>
        <w:autoSpaceDE w:val="0"/>
        <w:autoSpaceDN w:val="0"/>
        <w:adjustRightInd w:val="0"/>
        <w:spacing w:after="0" w:line="240" w:lineRule="auto"/>
        <w:jc w:val="both"/>
        <w:rPr>
          <w:rFonts w:ascii="Verdana" w:hAnsi="Verdana"/>
          <w:sz w:val="20"/>
          <w:szCs w:val="20"/>
          <w:lang w:bidi="en-US"/>
        </w:rPr>
      </w:pPr>
    </w:p>
    <w:p w14:paraId="68AFF04F" w14:textId="77777777" w:rsidR="00607AFC" w:rsidRPr="00D66B27" w:rsidRDefault="00607AFC" w:rsidP="00364C6E">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lang w:bidi="en-US"/>
        </w:rPr>
        <w:t>La reparación del daño ocasionado por la infracción de una obligación internacional requiere, siempre</w:t>
      </w:r>
      <w:r w:rsidRPr="00D66B27">
        <w:rPr>
          <w:rFonts w:ascii="Verdana" w:hAnsi="Verdana"/>
          <w:sz w:val="20"/>
          <w:szCs w:val="20"/>
        </w:rPr>
        <w:t xml:space="preserve"> que sea posible, la plena restitución </w:t>
      </w:r>
      <w:r w:rsidRPr="00D66B27">
        <w:rPr>
          <w:rFonts w:ascii="Verdana" w:hAnsi="Verdana"/>
          <w:bCs/>
          <w:spacing w:val="-2"/>
          <w:sz w:val="20"/>
          <w:szCs w:val="20"/>
        </w:rPr>
        <w:t>(</w:t>
      </w:r>
      <w:r w:rsidRPr="00D66B27">
        <w:rPr>
          <w:rFonts w:ascii="Verdana" w:hAnsi="Verdana"/>
          <w:bCs/>
          <w:i/>
          <w:spacing w:val="-2"/>
          <w:sz w:val="20"/>
          <w:szCs w:val="20"/>
        </w:rPr>
        <w:t>restitutio in integrum</w:t>
      </w:r>
      <w:r w:rsidRPr="00D66B27">
        <w:rPr>
          <w:rFonts w:ascii="Verdana" w:hAnsi="Verdana"/>
          <w:bCs/>
          <w:spacing w:val="-2"/>
          <w:sz w:val="20"/>
          <w:szCs w:val="20"/>
        </w:rPr>
        <w:t>)</w:t>
      </w:r>
      <w:r w:rsidRPr="00D66B27">
        <w:rPr>
          <w:rFonts w:ascii="Verdana" w:hAnsi="Verdana"/>
          <w:sz w:val="20"/>
          <w:szCs w:val="20"/>
        </w:rPr>
        <w:t xml:space="preserve">, que consiste en el restablecimiento de la situación anterior. De no ser esto factible, </w:t>
      </w:r>
      <w:r w:rsidRPr="00D66B27">
        <w:rPr>
          <w:rFonts w:ascii="Verdana" w:hAnsi="Verdana"/>
          <w:bCs/>
          <w:spacing w:val="-2"/>
          <w:sz w:val="20"/>
          <w:szCs w:val="20"/>
        </w:rPr>
        <w:t xml:space="preserve">como ocurre en la mayoría de los casos de violaciones a derechos humanos, </w:t>
      </w:r>
      <w:r w:rsidRPr="00D66B27">
        <w:rPr>
          <w:rFonts w:ascii="Verdana" w:hAnsi="Verdana"/>
          <w:sz w:val="20"/>
          <w:szCs w:val="20"/>
        </w:rPr>
        <w:t xml:space="preserve">el Tribunal determinará </w:t>
      </w:r>
      <w:r w:rsidRPr="00D66B27">
        <w:rPr>
          <w:rFonts w:ascii="Verdana" w:hAnsi="Verdana"/>
          <w:sz w:val="20"/>
          <w:szCs w:val="20"/>
          <w:lang w:bidi="en-US"/>
        </w:rPr>
        <w:t>medidas</w:t>
      </w:r>
      <w:r w:rsidRPr="00D66B27">
        <w:rPr>
          <w:rFonts w:ascii="Verdana" w:hAnsi="Verdana"/>
          <w:sz w:val="20"/>
          <w:szCs w:val="20"/>
        </w:rPr>
        <w:t xml:space="preserve"> para garantizar los derechos conculcado</w:t>
      </w:r>
      <w:r w:rsidRPr="00D66B27">
        <w:rPr>
          <w:rFonts w:ascii="Verdana" w:hAnsi="Verdana"/>
          <w:sz w:val="20"/>
          <w:szCs w:val="20"/>
          <w:lang w:bidi="en-US"/>
        </w:rPr>
        <w:t>s</w:t>
      </w:r>
      <w:r w:rsidRPr="00D66B27">
        <w:rPr>
          <w:rFonts w:ascii="Verdana" w:hAnsi="Verdana"/>
          <w:sz w:val="20"/>
          <w:szCs w:val="20"/>
        </w:rPr>
        <w:t xml:space="preserve"> y reparar las consecuencias que las infracciones produjeron</w:t>
      </w:r>
      <w:r w:rsidRPr="00D66B27">
        <w:rPr>
          <w:rFonts w:ascii="Verdana" w:eastAsia="MS Mincho" w:hAnsi="Verdana"/>
          <w:sz w:val="20"/>
          <w:szCs w:val="20"/>
          <w:vertAlign w:val="superscript"/>
        </w:rPr>
        <w:footnoteReference w:id="79"/>
      </w:r>
      <w:r w:rsidRPr="00D66B27">
        <w:rPr>
          <w:rFonts w:ascii="Verdana" w:hAnsi="Verdana"/>
          <w:sz w:val="20"/>
          <w:szCs w:val="20"/>
        </w:rPr>
        <w:t xml:space="preserve">. </w:t>
      </w:r>
    </w:p>
    <w:p w14:paraId="40A2EBED" w14:textId="77777777" w:rsidR="00607AFC" w:rsidRPr="00D66B27" w:rsidRDefault="00607AFC" w:rsidP="00364C6E">
      <w:pPr>
        <w:pBdr>
          <w:top w:val="nil"/>
        </w:pBdr>
        <w:autoSpaceDE w:val="0"/>
        <w:autoSpaceDN w:val="0"/>
        <w:adjustRightInd w:val="0"/>
        <w:spacing w:after="0" w:line="240" w:lineRule="auto"/>
        <w:jc w:val="both"/>
        <w:rPr>
          <w:rFonts w:ascii="Verdana" w:hAnsi="Verdana" w:cs="Times New Roman"/>
          <w:sz w:val="20"/>
          <w:szCs w:val="20"/>
          <w:lang w:bidi="en-US"/>
        </w:rPr>
      </w:pPr>
    </w:p>
    <w:p w14:paraId="4541CC26" w14:textId="24176A52" w:rsidR="00607AFC" w:rsidRPr="00FF3C8E" w:rsidRDefault="00607AFC" w:rsidP="00364C6E">
      <w:pPr>
        <w:numPr>
          <w:ilvl w:val="0"/>
          <w:numId w:val="2"/>
        </w:numPr>
        <w:pBdr>
          <w:top w:val="nil"/>
        </w:pBdr>
        <w:autoSpaceDE w:val="0"/>
        <w:autoSpaceDN w:val="0"/>
        <w:adjustRightInd w:val="0"/>
        <w:spacing w:after="0" w:line="240" w:lineRule="auto"/>
        <w:ind w:left="0" w:firstLine="0"/>
        <w:jc w:val="both"/>
        <w:rPr>
          <w:rFonts w:ascii="Verdana" w:hAnsi="Verdana" w:cs="Times New Roman"/>
          <w:sz w:val="20"/>
          <w:szCs w:val="20"/>
          <w:lang w:bidi="en-US"/>
        </w:rPr>
      </w:pPr>
      <w:r w:rsidRPr="00D66B27">
        <w:rPr>
          <w:rFonts w:ascii="Verdana" w:hAnsi="Verdana" w:cs="Times New Roman"/>
          <w:sz w:val="20"/>
          <w:szCs w:val="20"/>
          <w:lang w:bidi="en-US"/>
        </w:rPr>
        <w:t>En consideraci</w:t>
      </w:r>
      <w:r w:rsidRPr="00D66B27">
        <w:rPr>
          <w:rFonts w:ascii="Verdana" w:hAnsi="Verdana"/>
          <w:spacing w:val="-2"/>
          <w:sz w:val="20"/>
          <w:szCs w:val="20"/>
        </w:rPr>
        <w:t>ón de las violaciones declaradas en el capítulo anterior,</w:t>
      </w:r>
      <w:r w:rsidR="0097139A" w:rsidRPr="00D66B27">
        <w:rPr>
          <w:rFonts w:ascii="Verdana" w:hAnsi="Verdana"/>
          <w:spacing w:val="-2"/>
          <w:sz w:val="20"/>
          <w:szCs w:val="20"/>
        </w:rPr>
        <w:t xml:space="preserve"> y valorando el reconocimiento expresado por el Estado de su obligación de reparar a las víctimas de este caso, </w:t>
      </w:r>
      <w:r w:rsidRPr="00D66B27">
        <w:rPr>
          <w:rFonts w:ascii="Verdana" w:hAnsi="Verdana"/>
          <w:spacing w:val="-2"/>
          <w:sz w:val="20"/>
          <w:szCs w:val="20"/>
        </w:rPr>
        <w:t xml:space="preserve">el Tribunal procederá a </w:t>
      </w:r>
      <w:r w:rsidR="00411E62" w:rsidRPr="00D66B27">
        <w:rPr>
          <w:rFonts w:ascii="Verdana" w:hAnsi="Verdana"/>
          <w:spacing w:val="-2"/>
          <w:sz w:val="20"/>
          <w:szCs w:val="20"/>
        </w:rPr>
        <w:t xml:space="preserve">disponer las medidas </w:t>
      </w:r>
      <w:r w:rsidR="00295656" w:rsidRPr="00D66B27">
        <w:rPr>
          <w:rFonts w:ascii="Verdana" w:hAnsi="Verdana"/>
          <w:spacing w:val="-2"/>
          <w:sz w:val="20"/>
          <w:szCs w:val="20"/>
        </w:rPr>
        <w:t>de reparación pertinentes</w:t>
      </w:r>
      <w:r w:rsidR="00B90965" w:rsidRPr="00D66B27">
        <w:rPr>
          <w:rFonts w:ascii="Verdana" w:hAnsi="Verdana"/>
          <w:spacing w:val="-2"/>
          <w:sz w:val="20"/>
          <w:szCs w:val="20"/>
        </w:rPr>
        <w:t xml:space="preserve">, </w:t>
      </w:r>
      <w:r w:rsidR="0097139A" w:rsidRPr="00D66B27">
        <w:rPr>
          <w:rFonts w:ascii="Verdana" w:hAnsi="Verdana"/>
          <w:spacing w:val="-2"/>
          <w:sz w:val="20"/>
          <w:szCs w:val="20"/>
        </w:rPr>
        <w:t xml:space="preserve">en atención </w:t>
      </w:r>
      <w:r w:rsidR="009D4CC9" w:rsidRPr="00D66B27">
        <w:rPr>
          <w:rFonts w:ascii="Verdana" w:hAnsi="Verdana"/>
          <w:spacing w:val="-2"/>
          <w:sz w:val="20"/>
          <w:szCs w:val="20"/>
        </w:rPr>
        <w:t xml:space="preserve">a </w:t>
      </w:r>
      <w:r w:rsidR="0097139A" w:rsidRPr="00D66B27">
        <w:rPr>
          <w:rFonts w:ascii="Verdana" w:hAnsi="Verdana"/>
          <w:spacing w:val="-2"/>
          <w:sz w:val="20"/>
          <w:szCs w:val="20"/>
        </w:rPr>
        <w:t xml:space="preserve">las </w:t>
      </w:r>
      <w:r w:rsidR="00B73B99">
        <w:rPr>
          <w:rFonts w:ascii="Verdana" w:hAnsi="Verdana"/>
          <w:spacing w:val="-2"/>
          <w:sz w:val="20"/>
          <w:szCs w:val="20"/>
        </w:rPr>
        <w:t>pretensiones</w:t>
      </w:r>
      <w:r w:rsidR="00E36C6B">
        <w:rPr>
          <w:rFonts w:ascii="Verdana" w:hAnsi="Verdana"/>
          <w:spacing w:val="-2"/>
          <w:sz w:val="20"/>
          <w:szCs w:val="20"/>
        </w:rPr>
        <w:t xml:space="preserve"> de la Comisión y </w:t>
      </w:r>
      <w:r w:rsidR="009D4CC9" w:rsidRPr="00D66B27">
        <w:rPr>
          <w:rFonts w:ascii="Verdana" w:hAnsi="Verdana"/>
          <w:spacing w:val="-2"/>
          <w:sz w:val="20"/>
          <w:szCs w:val="20"/>
        </w:rPr>
        <w:t>el representante</w:t>
      </w:r>
      <w:r w:rsidR="0097139A" w:rsidRPr="00D66B27">
        <w:rPr>
          <w:rFonts w:ascii="Verdana" w:hAnsi="Verdana"/>
          <w:spacing w:val="-2"/>
          <w:sz w:val="20"/>
          <w:szCs w:val="20"/>
        </w:rPr>
        <w:t xml:space="preserve"> </w:t>
      </w:r>
      <w:r w:rsidR="00B90965" w:rsidRPr="00D66B27">
        <w:rPr>
          <w:rFonts w:ascii="Verdana" w:hAnsi="Verdana"/>
          <w:spacing w:val="-2"/>
          <w:sz w:val="20"/>
          <w:szCs w:val="20"/>
        </w:rPr>
        <w:t>y</w:t>
      </w:r>
      <w:r w:rsidR="00B73B99">
        <w:rPr>
          <w:rFonts w:ascii="Verdana" w:hAnsi="Verdana"/>
          <w:spacing w:val="-2"/>
          <w:sz w:val="20"/>
          <w:szCs w:val="20"/>
        </w:rPr>
        <w:t xml:space="preserve"> las observaciones y alegatos del Estado,</w:t>
      </w:r>
      <w:r w:rsidR="00B90965" w:rsidRPr="00D66B27">
        <w:rPr>
          <w:rFonts w:ascii="Verdana" w:hAnsi="Verdana"/>
          <w:spacing w:val="-2"/>
          <w:sz w:val="20"/>
          <w:szCs w:val="20"/>
        </w:rPr>
        <w:t xml:space="preserve"> </w:t>
      </w:r>
      <w:r w:rsidRPr="00D66B27">
        <w:rPr>
          <w:rFonts w:ascii="Verdana" w:hAnsi="Verdana"/>
          <w:spacing w:val="-2"/>
          <w:sz w:val="20"/>
          <w:szCs w:val="20"/>
        </w:rPr>
        <w:t xml:space="preserve">a la luz </w:t>
      </w:r>
      <w:r w:rsidRPr="00D66B27">
        <w:rPr>
          <w:rFonts w:ascii="Verdana" w:hAnsi="Verdana"/>
          <w:spacing w:val="-2"/>
          <w:sz w:val="20"/>
          <w:szCs w:val="20"/>
        </w:rPr>
        <w:lastRenderedPageBreak/>
        <w:t xml:space="preserve">de los criterios fijados en </w:t>
      </w:r>
      <w:r w:rsidR="00411E62" w:rsidRPr="00D66B27">
        <w:rPr>
          <w:rFonts w:ascii="Verdana" w:hAnsi="Verdana"/>
          <w:spacing w:val="-2"/>
          <w:sz w:val="20"/>
          <w:szCs w:val="20"/>
        </w:rPr>
        <w:t>su</w:t>
      </w:r>
      <w:r w:rsidRPr="00D66B27">
        <w:rPr>
          <w:rFonts w:ascii="Verdana" w:hAnsi="Verdana"/>
          <w:spacing w:val="-2"/>
          <w:sz w:val="20"/>
          <w:szCs w:val="20"/>
        </w:rPr>
        <w:t xml:space="preserve"> jurisprudencia en relación con la naturaleza y alcance de la obligación de reparar.</w:t>
      </w:r>
    </w:p>
    <w:p w14:paraId="640D7227" w14:textId="77777777" w:rsidR="00FF3C8E" w:rsidRPr="00D66B27" w:rsidRDefault="00FF3C8E" w:rsidP="00FF3C8E">
      <w:pPr>
        <w:pBdr>
          <w:top w:val="nil"/>
        </w:pBdr>
        <w:autoSpaceDE w:val="0"/>
        <w:autoSpaceDN w:val="0"/>
        <w:adjustRightInd w:val="0"/>
        <w:spacing w:after="0" w:line="240" w:lineRule="auto"/>
        <w:jc w:val="both"/>
        <w:rPr>
          <w:rFonts w:ascii="Verdana" w:hAnsi="Verdana" w:cs="Times New Roman"/>
          <w:sz w:val="20"/>
          <w:szCs w:val="20"/>
          <w:lang w:bidi="en-US"/>
        </w:rPr>
      </w:pPr>
    </w:p>
    <w:p w14:paraId="08419A9C" w14:textId="77777777" w:rsidR="00607AFC" w:rsidRPr="00D66B27" w:rsidRDefault="00607AFC">
      <w:pPr>
        <w:autoSpaceDE w:val="0"/>
        <w:autoSpaceDN w:val="0"/>
        <w:adjustRightInd w:val="0"/>
        <w:spacing w:after="0" w:line="240" w:lineRule="auto"/>
        <w:ind w:right="49"/>
        <w:contextualSpacing/>
        <w:jc w:val="both"/>
        <w:rPr>
          <w:rFonts w:ascii="Verdana" w:hAnsi="Verdana" w:cs="Times New Roman"/>
          <w:sz w:val="20"/>
          <w:szCs w:val="20"/>
          <w:lang w:bidi="en-US"/>
        </w:rPr>
      </w:pPr>
    </w:p>
    <w:p w14:paraId="57D50D1D" w14:textId="77777777" w:rsidR="00607AFC" w:rsidRPr="00D66B27" w:rsidRDefault="00607AFC" w:rsidP="001D6943">
      <w:pPr>
        <w:pStyle w:val="Ttulo2"/>
        <w:keepLines w:val="0"/>
        <w:numPr>
          <w:ilvl w:val="0"/>
          <w:numId w:val="12"/>
        </w:numPr>
        <w:spacing w:before="0" w:line="240" w:lineRule="auto"/>
        <w:ind w:left="1134"/>
        <w:jc w:val="both"/>
        <w:rPr>
          <w:rFonts w:ascii="Verdana" w:eastAsia="Times New Roman" w:hAnsi="Verdana" w:cs="Times New Roman"/>
          <w:bCs w:val="0"/>
          <w:i/>
          <w:color w:val="auto"/>
          <w:sz w:val="20"/>
          <w:szCs w:val="20"/>
        </w:rPr>
      </w:pPr>
      <w:bookmarkStart w:id="23" w:name="_Toc476251465"/>
      <w:bookmarkStart w:id="24" w:name="_Toc505877005"/>
      <w:bookmarkStart w:id="25" w:name="_Toc528084364"/>
      <w:r w:rsidRPr="00D66B27">
        <w:rPr>
          <w:rFonts w:ascii="Verdana" w:eastAsia="Times New Roman" w:hAnsi="Verdana" w:cs="Times New Roman"/>
          <w:bCs w:val="0"/>
          <w:i/>
          <w:color w:val="auto"/>
          <w:sz w:val="20"/>
          <w:szCs w:val="20"/>
        </w:rPr>
        <w:t>Parte lesionada</w:t>
      </w:r>
      <w:bookmarkEnd w:id="23"/>
      <w:bookmarkEnd w:id="24"/>
      <w:bookmarkEnd w:id="25"/>
    </w:p>
    <w:p w14:paraId="23650574" w14:textId="77777777" w:rsidR="00607AFC" w:rsidRPr="00D66B27" w:rsidRDefault="00607AFC">
      <w:pPr>
        <w:pBdr>
          <w:top w:val="nil"/>
        </w:pBdr>
        <w:autoSpaceDE w:val="0"/>
        <w:autoSpaceDN w:val="0"/>
        <w:adjustRightInd w:val="0"/>
        <w:spacing w:after="0" w:line="240" w:lineRule="auto"/>
        <w:jc w:val="both"/>
        <w:rPr>
          <w:rFonts w:ascii="Verdana" w:hAnsi="Verdana"/>
          <w:spacing w:val="-2"/>
          <w:sz w:val="20"/>
          <w:szCs w:val="20"/>
        </w:rPr>
      </w:pPr>
    </w:p>
    <w:p w14:paraId="758EE68A" w14:textId="571C2B03" w:rsidR="00607AFC" w:rsidRPr="00D66B27" w:rsidRDefault="009C03F7" w:rsidP="00364C6E">
      <w:pPr>
        <w:numPr>
          <w:ilvl w:val="0"/>
          <w:numId w:val="2"/>
        </w:numPr>
        <w:pBdr>
          <w:top w:val="nil"/>
        </w:pBdr>
        <w:autoSpaceDE w:val="0"/>
        <w:autoSpaceDN w:val="0"/>
        <w:adjustRightInd w:val="0"/>
        <w:spacing w:after="0" w:line="240" w:lineRule="auto"/>
        <w:ind w:left="0" w:firstLine="0"/>
        <w:jc w:val="both"/>
        <w:rPr>
          <w:rFonts w:ascii="Verdana" w:hAnsi="Verdana"/>
          <w:spacing w:val="-2"/>
          <w:sz w:val="20"/>
          <w:szCs w:val="20"/>
        </w:rPr>
      </w:pPr>
      <w:r w:rsidRPr="00D66B27">
        <w:rPr>
          <w:rFonts w:ascii="Verdana" w:hAnsi="Verdana"/>
          <w:spacing w:val="-2"/>
          <w:sz w:val="20"/>
          <w:szCs w:val="20"/>
        </w:rPr>
        <w:t xml:space="preserve">En este caso, el Tribunal considera </w:t>
      </w:r>
      <w:r w:rsidR="00607AFC" w:rsidRPr="00D66B27">
        <w:rPr>
          <w:rFonts w:ascii="Verdana" w:hAnsi="Verdana"/>
          <w:spacing w:val="-2"/>
          <w:sz w:val="20"/>
          <w:szCs w:val="20"/>
        </w:rPr>
        <w:t xml:space="preserve">como “parte lesionada”, en los términos del artículo 63.1 de la Convención, </w:t>
      </w:r>
      <w:r w:rsidR="009D4CC9" w:rsidRPr="00D66B27">
        <w:rPr>
          <w:rFonts w:ascii="Verdana" w:hAnsi="Verdana"/>
          <w:spacing w:val="-2"/>
          <w:sz w:val="20"/>
          <w:szCs w:val="20"/>
        </w:rPr>
        <w:t>a las víctimas declaradas en el presente caso (</w:t>
      </w:r>
      <w:r w:rsidR="009D4CC9" w:rsidRPr="00D66B27">
        <w:rPr>
          <w:rFonts w:ascii="Verdana" w:hAnsi="Verdana"/>
          <w:i/>
          <w:spacing w:val="-2"/>
          <w:sz w:val="20"/>
          <w:szCs w:val="20"/>
        </w:rPr>
        <w:t xml:space="preserve">supra </w:t>
      </w:r>
      <w:r w:rsidR="00B72792">
        <w:rPr>
          <w:rFonts w:ascii="Verdana" w:hAnsi="Verdana"/>
          <w:spacing w:val="-2"/>
          <w:sz w:val="20"/>
          <w:szCs w:val="20"/>
        </w:rPr>
        <w:t>párr. 102</w:t>
      </w:r>
      <w:r w:rsidR="009D4CC9" w:rsidRPr="00D66B27">
        <w:rPr>
          <w:rFonts w:ascii="Verdana" w:hAnsi="Verdana"/>
          <w:spacing w:val="-2"/>
          <w:sz w:val="20"/>
          <w:szCs w:val="20"/>
        </w:rPr>
        <w:t>)</w:t>
      </w:r>
      <w:r w:rsidR="00607AFC" w:rsidRPr="00D66B27">
        <w:rPr>
          <w:rFonts w:ascii="Verdana" w:hAnsi="Verdana"/>
          <w:spacing w:val="-2"/>
          <w:sz w:val="20"/>
          <w:szCs w:val="20"/>
        </w:rPr>
        <w:t>.</w:t>
      </w:r>
    </w:p>
    <w:p w14:paraId="5AE5DB1D" w14:textId="77777777" w:rsidR="007C031A" w:rsidRDefault="007C031A">
      <w:pPr>
        <w:autoSpaceDE w:val="0"/>
        <w:autoSpaceDN w:val="0"/>
        <w:adjustRightInd w:val="0"/>
        <w:spacing w:after="0" w:line="240" w:lineRule="auto"/>
        <w:ind w:right="49"/>
        <w:contextualSpacing/>
        <w:jc w:val="both"/>
        <w:rPr>
          <w:rFonts w:ascii="Verdana" w:eastAsia="Calibri" w:hAnsi="Verdana" w:cs="Times New Roman"/>
          <w:sz w:val="20"/>
          <w:szCs w:val="20"/>
        </w:rPr>
      </w:pPr>
    </w:p>
    <w:p w14:paraId="50454A4C" w14:textId="77777777" w:rsidR="00FF3C8E" w:rsidRPr="00D66B27" w:rsidRDefault="00FF3C8E">
      <w:pPr>
        <w:autoSpaceDE w:val="0"/>
        <w:autoSpaceDN w:val="0"/>
        <w:adjustRightInd w:val="0"/>
        <w:spacing w:after="0" w:line="240" w:lineRule="auto"/>
        <w:ind w:right="49"/>
        <w:contextualSpacing/>
        <w:jc w:val="both"/>
        <w:rPr>
          <w:rFonts w:ascii="Verdana" w:eastAsia="Calibri" w:hAnsi="Verdana" w:cs="Times New Roman"/>
          <w:sz w:val="20"/>
          <w:szCs w:val="20"/>
        </w:rPr>
      </w:pPr>
    </w:p>
    <w:p w14:paraId="4F75263C" w14:textId="55E3BCB8" w:rsidR="00622076" w:rsidRPr="00D66B27" w:rsidRDefault="00295656" w:rsidP="001D6943">
      <w:pPr>
        <w:pStyle w:val="Ttulo2"/>
        <w:keepLines w:val="0"/>
        <w:numPr>
          <w:ilvl w:val="0"/>
          <w:numId w:val="12"/>
        </w:numPr>
        <w:spacing w:before="0" w:line="240" w:lineRule="auto"/>
        <w:ind w:left="1134"/>
        <w:jc w:val="both"/>
        <w:rPr>
          <w:rFonts w:ascii="Verdana" w:eastAsia="Times New Roman" w:hAnsi="Verdana" w:cs="Times New Roman"/>
          <w:bCs w:val="0"/>
          <w:i/>
          <w:color w:val="auto"/>
          <w:sz w:val="20"/>
          <w:szCs w:val="20"/>
        </w:rPr>
      </w:pPr>
      <w:bookmarkStart w:id="26" w:name="_Toc528084365"/>
      <w:bookmarkStart w:id="27" w:name="_Toc476251466"/>
      <w:bookmarkStart w:id="28" w:name="_Toc505877007"/>
      <w:r w:rsidRPr="00D66B27">
        <w:rPr>
          <w:rFonts w:ascii="Verdana" w:eastAsia="Times New Roman" w:hAnsi="Verdana" w:cs="Times New Roman"/>
          <w:bCs w:val="0"/>
          <w:i/>
          <w:color w:val="auto"/>
          <w:sz w:val="20"/>
          <w:szCs w:val="20"/>
        </w:rPr>
        <w:t>I</w:t>
      </w:r>
      <w:r w:rsidR="003B5279" w:rsidRPr="00D66B27">
        <w:rPr>
          <w:rFonts w:ascii="Verdana" w:eastAsia="Times New Roman" w:hAnsi="Verdana" w:cs="Times New Roman"/>
          <w:bCs w:val="0"/>
          <w:i/>
          <w:color w:val="auto"/>
          <w:sz w:val="20"/>
          <w:szCs w:val="20"/>
        </w:rPr>
        <w:t>ndemnización compensatoria</w:t>
      </w:r>
      <w:bookmarkEnd w:id="26"/>
      <w:r w:rsidR="004658C4" w:rsidRPr="00D66B27">
        <w:rPr>
          <w:rFonts w:ascii="Verdana" w:eastAsia="Times New Roman" w:hAnsi="Verdana" w:cs="Times New Roman"/>
          <w:bCs w:val="0"/>
          <w:i/>
          <w:color w:val="auto"/>
          <w:sz w:val="20"/>
          <w:szCs w:val="20"/>
        </w:rPr>
        <w:t xml:space="preserve"> </w:t>
      </w:r>
    </w:p>
    <w:p w14:paraId="716B8C30" w14:textId="77777777" w:rsidR="00622076" w:rsidRPr="00D66B27" w:rsidRDefault="00622076" w:rsidP="00622076">
      <w:pPr>
        <w:autoSpaceDE w:val="0"/>
        <w:autoSpaceDN w:val="0"/>
        <w:adjustRightInd w:val="0"/>
        <w:spacing w:after="0" w:line="240" w:lineRule="auto"/>
        <w:ind w:right="49"/>
        <w:contextualSpacing/>
        <w:jc w:val="both"/>
        <w:rPr>
          <w:rFonts w:ascii="Verdana" w:eastAsia="Calibri" w:hAnsi="Verdana" w:cs="Times New Roman"/>
          <w:sz w:val="20"/>
          <w:szCs w:val="20"/>
        </w:rPr>
      </w:pPr>
    </w:p>
    <w:p w14:paraId="3D397B74" w14:textId="3355A7F2" w:rsidR="001D7227" w:rsidRPr="00D66B27" w:rsidRDefault="001D7227" w:rsidP="00364C6E">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 xml:space="preserve">La </w:t>
      </w:r>
      <w:r w:rsidRPr="00D66B27">
        <w:rPr>
          <w:rFonts w:ascii="Verdana" w:hAnsi="Verdana"/>
          <w:b/>
          <w:i/>
          <w:sz w:val="20"/>
          <w:szCs w:val="20"/>
        </w:rPr>
        <w:t>Comisión</w:t>
      </w:r>
      <w:r w:rsidRPr="00D66B27">
        <w:rPr>
          <w:rFonts w:ascii="Verdana" w:hAnsi="Verdana"/>
          <w:sz w:val="20"/>
          <w:szCs w:val="20"/>
        </w:rPr>
        <w:t xml:space="preserve"> consideró que el Estado debe </w:t>
      </w:r>
      <w:r w:rsidR="00E36C6B">
        <w:rPr>
          <w:rFonts w:ascii="Verdana" w:hAnsi="Verdana"/>
          <w:sz w:val="20"/>
          <w:szCs w:val="20"/>
        </w:rPr>
        <w:t xml:space="preserve">“reparar a las víctimas” y que, “como parte de esta reparación, el Estado debe adoptar las medidas necesarias para </w:t>
      </w:r>
      <w:r w:rsidRPr="00D66B27">
        <w:rPr>
          <w:rFonts w:ascii="Verdana" w:hAnsi="Verdana"/>
          <w:sz w:val="20"/>
          <w:szCs w:val="20"/>
        </w:rPr>
        <w:t xml:space="preserve">ofrecer un recurso judicial efectivo para que las víctimas puedan presentar sus reclamos y obtener una decisión en materia de reparaciones”, lo cual debe ser “independiente del programa administrativo”. </w:t>
      </w:r>
    </w:p>
    <w:p w14:paraId="6141D9BF" w14:textId="77777777" w:rsidR="001D7227" w:rsidRPr="00D66B27" w:rsidRDefault="001D7227" w:rsidP="001D7227">
      <w:pPr>
        <w:spacing w:after="0" w:line="240" w:lineRule="auto"/>
        <w:jc w:val="both"/>
        <w:rPr>
          <w:rFonts w:ascii="Verdana" w:hAnsi="Verdana"/>
          <w:sz w:val="20"/>
          <w:szCs w:val="20"/>
        </w:rPr>
      </w:pPr>
    </w:p>
    <w:p w14:paraId="364B4E9A" w14:textId="0229D5A3" w:rsidR="001D7227" w:rsidRPr="00D66B27" w:rsidRDefault="001D7227" w:rsidP="00364C6E">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 xml:space="preserve">Por su parte, el </w:t>
      </w:r>
      <w:r w:rsidRPr="00D66B27">
        <w:rPr>
          <w:rFonts w:ascii="Verdana" w:hAnsi="Verdana"/>
          <w:b/>
          <w:i/>
          <w:sz w:val="20"/>
          <w:szCs w:val="20"/>
        </w:rPr>
        <w:t>representante</w:t>
      </w:r>
      <w:r w:rsidR="00B60B97" w:rsidRPr="00D66B27">
        <w:rPr>
          <w:rFonts w:ascii="Verdana" w:hAnsi="Verdana"/>
          <w:sz w:val="20"/>
          <w:szCs w:val="20"/>
        </w:rPr>
        <w:t xml:space="preserve"> planteó </w:t>
      </w:r>
      <w:r w:rsidRPr="00D66B27">
        <w:rPr>
          <w:rFonts w:ascii="Verdana" w:hAnsi="Verdana"/>
          <w:sz w:val="20"/>
          <w:szCs w:val="20"/>
        </w:rPr>
        <w:t>que el Estado defina “algún remedio jurídico rápido y efectivo, administrativo o de cualquier naturaleza, que</w:t>
      </w:r>
      <w:r w:rsidR="009C5087" w:rsidRPr="00D66B27">
        <w:rPr>
          <w:rFonts w:ascii="Verdana" w:hAnsi="Verdana"/>
          <w:sz w:val="20"/>
          <w:szCs w:val="20"/>
        </w:rPr>
        <w:t xml:space="preserve"> </w:t>
      </w:r>
      <w:r w:rsidRPr="00D66B27">
        <w:rPr>
          <w:rFonts w:ascii="Verdana" w:hAnsi="Verdana"/>
          <w:sz w:val="20"/>
          <w:szCs w:val="20"/>
        </w:rPr>
        <w:t xml:space="preserve">disponga las indemnizaciones que correspondan”, cuya cuantía </w:t>
      </w:r>
      <w:r w:rsidR="00B60B97" w:rsidRPr="00D66B27">
        <w:rPr>
          <w:rFonts w:ascii="Verdana" w:hAnsi="Verdana"/>
          <w:sz w:val="20"/>
          <w:szCs w:val="20"/>
        </w:rPr>
        <w:t>debería definirse</w:t>
      </w:r>
      <w:r w:rsidRPr="00D66B27">
        <w:rPr>
          <w:rFonts w:ascii="Verdana" w:hAnsi="Verdana"/>
          <w:sz w:val="20"/>
          <w:szCs w:val="20"/>
        </w:rPr>
        <w:t xml:space="preserve"> por criterios internacionales </w:t>
      </w:r>
      <w:r w:rsidR="001016E7" w:rsidRPr="00D66B27">
        <w:rPr>
          <w:rFonts w:ascii="Verdana" w:hAnsi="Verdana"/>
          <w:sz w:val="20"/>
          <w:szCs w:val="20"/>
        </w:rPr>
        <w:t xml:space="preserve">y </w:t>
      </w:r>
      <w:r w:rsidRPr="00D66B27">
        <w:rPr>
          <w:rFonts w:ascii="Verdana" w:hAnsi="Verdana"/>
          <w:sz w:val="20"/>
          <w:szCs w:val="20"/>
        </w:rPr>
        <w:t>por estándares actualmente aplicados por la judicatura chilena.</w:t>
      </w:r>
    </w:p>
    <w:p w14:paraId="0213381A" w14:textId="77777777" w:rsidR="001D7227" w:rsidRPr="00D66B27" w:rsidRDefault="001D7227" w:rsidP="001D7227">
      <w:pPr>
        <w:pStyle w:val="Prrafodelista"/>
        <w:spacing w:after="0" w:line="240" w:lineRule="auto"/>
        <w:ind w:left="0"/>
        <w:jc w:val="both"/>
        <w:rPr>
          <w:rFonts w:ascii="Verdana" w:hAnsi="Verdana"/>
          <w:sz w:val="20"/>
          <w:szCs w:val="20"/>
        </w:rPr>
      </w:pPr>
    </w:p>
    <w:p w14:paraId="2A6CC5DC" w14:textId="7AAB7B79" w:rsidR="00452B67" w:rsidRPr="00D66B27" w:rsidRDefault="00003B28" w:rsidP="00364C6E">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Según fue señalado (</w:t>
      </w:r>
      <w:r w:rsidRPr="00D66B27">
        <w:rPr>
          <w:rFonts w:ascii="Verdana" w:hAnsi="Verdana"/>
          <w:i/>
          <w:sz w:val="20"/>
          <w:szCs w:val="20"/>
        </w:rPr>
        <w:t xml:space="preserve">supra </w:t>
      </w:r>
      <w:r w:rsidR="00030215">
        <w:rPr>
          <w:rFonts w:ascii="Verdana" w:hAnsi="Verdana"/>
          <w:sz w:val="20"/>
          <w:szCs w:val="20"/>
        </w:rPr>
        <w:t>párr. 19</w:t>
      </w:r>
      <w:r w:rsidRPr="00D66B27">
        <w:rPr>
          <w:rFonts w:ascii="Verdana" w:hAnsi="Verdana"/>
          <w:sz w:val="20"/>
          <w:szCs w:val="20"/>
        </w:rPr>
        <w:t>)</w:t>
      </w:r>
      <w:r w:rsidR="001D7227" w:rsidRPr="00D66B27">
        <w:rPr>
          <w:rFonts w:ascii="Verdana" w:hAnsi="Verdana"/>
          <w:sz w:val="20"/>
          <w:szCs w:val="20"/>
        </w:rPr>
        <w:t xml:space="preserve">, </w:t>
      </w:r>
      <w:r w:rsidR="00545651" w:rsidRPr="00D66B27">
        <w:rPr>
          <w:rFonts w:ascii="Verdana" w:hAnsi="Verdana"/>
          <w:sz w:val="20"/>
          <w:szCs w:val="20"/>
        </w:rPr>
        <w:t xml:space="preserve">en su contestación </w:t>
      </w:r>
      <w:r w:rsidR="001D7227" w:rsidRPr="00D66B27">
        <w:rPr>
          <w:rFonts w:ascii="Verdana" w:hAnsi="Verdana"/>
          <w:sz w:val="20"/>
          <w:szCs w:val="20"/>
        </w:rPr>
        <w:t xml:space="preserve">el </w:t>
      </w:r>
      <w:r w:rsidR="001D7227" w:rsidRPr="00D66B27">
        <w:rPr>
          <w:rFonts w:ascii="Verdana" w:hAnsi="Verdana"/>
          <w:b/>
          <w:i/>
          <w:sz w:val="20"/>
          <w:szCs w:val="20"/>
        </w:rPr>
        <w:t>Estado</w:t>
      </w:r>
      <w:r w:rsidR="001D7227" w:rsidRPr="00D66B27">
        <w:rPr>
          <w:rFonts w:ascii="Verdana" w:hAnsi="Verdana"/>
          <w:sz w:val="20"/>
          <w:szCs w:val="20"/>
        </w:rPr>
        <w:t xml:space="preserve"> consideró que las decisiones pronunciadas en las causas judiciales instauradas por las víctimas tienen carácter de cosa juzgada, lo que hace imposible jurídicamente restituir los procesos para dictar nuevas sentencias, por lo cual la reparación adecuada sería una indemnización monetaria.</w:t>
      </w:r>
      <w:r w:rsidR="00545651" w:rsidRPr="00D66B27">
        <w:rPr>
          <w:rFonts w:ascii="Verdana" w:hAnsi="Verdana"/>
          <w:sz w:val="20"/>
          <w:szCs w:val="20"/>
        </w:rPr>
        <w:t xml:space="preserve"> </w:t>
      </w:r>
    </w:p>
    <w:p w14:paraId="496D3B5B" w14:textId="77777777" w:rsidR="00452B67" w:rsidRPr="00D66B27" w:rsidRDefault="00452B67" w:rsidP="00364C6E">
      <w:pPr>
        <w:pBdr>
          <w:top w:val="nil"/>
        </w:pBdr>
        <w:autoSpaceDE w:val="0"/>
        <w:autoSpaceDN w:val="0"/>
        <w:adjustRightInd w:val="0"/>
        <w:spacing w:after="0" w:line="240" w:lineRule="auto"/>
        <w:jc w:val="both"/>
        <w:rPr>
          <w:rFonts w:ascii="Verdana" w:hAnsi="Verdana"/>
          <w:sz w:val="20"/>
          <w:szCs w:val="20"/>
        </w:rPr>
      </w:pPr>
    </w:p>
    <w:p w14:paraId="690EA653" w14:textId="22008D4A" w:rsidR="00D45CAA" w:rsidRPr="00D66B27" w:rsidRDefault="009C18BC" w:rsidP="00364C6E">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No obstante</w:t>
      </w:r>
      <w:r w:rsidR="005268C7" w:rsidRPr="00D66B27">
        <w:rPr>
          <w:rFonts w:ascii="Verdana" w:hAnsi="Verdana"/>
          <w:sz w:val="20"/>
          <w:szCs w:val="20"/>
        </w:rPr>
        <w:t xml:space="preserve"> lo anterior</w:t>
      </w:r>
      <w:r w:rsidRPr="00D66B27">
        <w:rPr>
          <w:rFonts w:ascii="Verdana" w:hAnsi="Verdana"/>
          <w:sz w:val="20"/>
          <w:szCs w:val="20"/>
        </w:rPr>
        <w:t>, en sus alegatos fin</w:t>
      </w:r>
      <w:r w:rsidR="00F83CF4" w:rsidRPr="00D66B27">
        <w:rPr>
          <w:rFonts w:ascii="Verdana" w:hAnsi="Verdana"/>
          <w:sz w:val="20"/>
          <w:szCs w:val="20"/>
        </w:rPr>
        <w:t xml:space="preserve">ales el Estado solicitó al Tribunal que rechace las medidas de reparación propuestas por la Comisión, que niegue la procedencia de una compensación económica y que otorgue, en favor de las víctimas, </w:t>
      </w:r>
      <w:r w:rsidR="00AF660C" w:rsidRPr="00D66B27">
        <w:rPr>
          <w:rFonts w:ascii="Verdana" w:hAnsi="Verdana"/>
          <w:sz w:val="20"/>
          <w:szCs w:val="20"/>
        </w:rPr>
        <w:t xml:space="preserve">las </w:t>
      </w:r>
      <w:r w:rsidR="00F83CF4" w:rsidRPr="00D66B27">
        <w:rPr>
          <w:rFonts w:ascii="Verdana" w:hAnsi="Verdana"/>
          <w:sz w:val="20"/>
          <w:szCs w:val="20"/>
        </w:rPr>
        <w:t xml:space="preserve">medidas de reparación no patrimoniales que procedan. </w:t>
      </w:r>
      <w:r w:rsidR="00BF6126" w:rsidRPr="00D66B27">
        <w:rPr>
          <w:rFonts w:ascii="Verdana" w:hAnsi="Verdana"/>
          <w:sz w:val="20"/>
          <w:szCs w:val="20"/>
        </w:rPr>
        <w:t xml:space="preserve">En este sentido, alegó que </w:t>
      </w:r>
      <w:r w:rsidR="00D45CAA" w:rsidRPr="00D66B27">
        <w:rPr>
          <w:rFonts w:ascii="Verdana" w:hAnsi="Verdana"/>
          <w:sz w:val="20"/>
          <w:szCs w:val="20"/>
        </w:rPr>
        <w:t xml:space="preserve">este Tribunal no se encuentra facultado para pronunciarse acerca de daños ocasionados por los crímenes de lesa humanidad que dieron origen a las referidas acciones civiles, ni tampoco sobre actos relativos a las investigaciones penales de dichos crímenes, por cuanto esos hechos </w:t>
      </w:r>
      <w:r w:rsidR="001B64C1" w:rsidRPr="00D66B27">
        <w:rPr>
          <w:rFonts w:ascii="Verdana" w:hAnsi="Verdana"/>
          <w:sz w:val="20"/>
          <w:szCs w:val="20"/>
        </w:rPr>
        <w:t xml:space="preserve">fueron </w:t>
      </w:r>
      <w:r w:rsidR="00D45CAA" w:rsidRPr="00D66B27">
        <w:rPr>
          <w:rFonts w:ascii="Verdana" w:hAnsi="Verdana"/>
          <w:sz w:val="20"/>
          <w:szCs w:val="20"/>
        </w:rPr>
        <w:t xml:space="preserve">excluidos del objeto del litigio </w:t>
      </w:r>
      <w:r w:rsidR="001B64C1" w:rsidRPr="00D66B27">
        <w:rPr>
          <w:rFonts w:ascii="Verdana" w:hAnsi="Verdana"/>
          <w:sz w:val="20"/>
          <w:szCs w:val="20"/>
        </w:rPr>
        <w:t xml:space="preserve">por </w:t>
      </w:r>
      <w:r w:rsidR="00D45CAA" w:rsidRPr="00D66B27">
        <w:rPr>
          <w:rFonts w:ascii="Verdana" w:hAnsi="Verdana"/>
          <w:sz w:val="20"/>
          <w:szCs w:val="20"/>
        </w:rPr>
        <w:t xml:space="preserve">el representante </w:t>
      </w:r>
      <w:r w:rsidR="001B64C1" w:rsidRPr="00D66B27">
        <w:rPr>
          <w:rFonts w:ascii="Verdana" w:hAnsi="Verdana"/>
          <w:sz w:val="20"/>
          <w:szCs w:val="20"/>
        </w:rPr>
        <w:t xml:space="preserve">y </w:t>
      </w:r>
      <w:r w:rsidR="00D45CAA" w:rsidRPr="00D66B27">
        <w:rPr>
          <w:rFonts w:ascii="Verdana" w:hAnsi="Verdana"/>
          <w:sz w:val="20"/>
          <w:szCs w:val="20"/>
        </w:rPr>
        <w:t xml:space="preserve">por la </w:t>
      </w:r>
      <w:r w:rsidR="00BF6126" w:rsidRPr="00D66B27">
        <w:rPr>
          <w:rFonts w:ascii="Verdana" w:hAnsi="Verdana"/>
          <w:sz w:val="20"/>
          <w:szCs w:val="20"/>
        </w:rPr>
        <w:t>Comisión</w:t>
      </w:r>
      <w:r w:rsidR="00D45CAA" w:rsidRPr="00D66B27">
        <w:rPr>
          <w:rFonts w:ascii="Verdana" w:hAnsi="Verdana"/>
          <w:sz w:val="20"/>
          <w:szCs w:val="20"/>
        </w:rPr>
        <w:t xml:space="preserve"> y, además, porque </w:t>
      </w:r>
      <w:r w:rsidR="00BF6126" w:rsidRPr="00D66B27">
        <w:rPr>
          <w:rFonts w:ascii="Verdana" w:hAnsi="Verdana"/>
          <w:sz w:val="20"/>
          <w:szCs w:val="20"/>
        </w:rPr>
        <w:t xml:space="preserve">la </w:t>
      </w:r>
      <w:r w:rsidR="00D45CAA" w:rsidRPr="00D66B27">
        <w:rPr>
          <w:rFonts w:ascii="Verdana" w:hAnsi="Verdana"/>
          <w:sz w:val="20"/>
          <w:szCs w:val="20"/>
        </w:rPr>
        <w:t xml:space="preserve">Corte no tiene competencia </w:t>
      </w:r>
      <w:r w:rsidR="00D45CAA" w:rsidRPr="00D66B27">
        <w:rPr>
          <w:rFonts w:ascii="Verdana" w:hAnsi="Verdana"/>
          <w:i/>
          <w:sz w:val="20"/>
          <w:szCs w:val="20"/>
        </w:rPr>
        <w:t>ratione temporis</w:t>
      </w:r>
      <w:r w:rsidR="00D45CAA" w:rsidRPr="00D66B27">
        <w:rPr>
          <w:rFonts w:ascii="Verdana" w:hAnsi="Verdana"/>
          <w:sz w:val="20"/>
          <w:szCs w:val="20"/>
        </w:rPr>
        <w:t xml:space="preserve"> para pronunciarse sobre medidas destinadas a reparar las vulneraciones de derechos cometidas durante el periodo de dictadura militar</w:t>
      </w:r>
      <w:r w:rsidR="0006257C" w:rsidRPr="00D66B27">
        <w:rPr>
          <w:rFonts w:ascii="Verdana" w:hAnsi="Verdana"/>
          <w:sz w:val="20"/>
          <w:szCs w:val="20"/>
        </w:rPr>
        <w:t>. Alegó que e</w:t>
      </w:r>
      <w:r w:rsidR="00024D06" w:rsidRPr="00D66B27">
        <w:rPr>
          <w:rFonts w:ascii="Verdana" w:hAnsi="Verdana"/>
          <w:sz w:val="20"/>
          <w:szCs w:val="20"/>
        </w:rPr>
        <w:t xml:space="preserve">sto está confirmado en jurisprudencia </w:t>
      </w:r>
      <w:r w:rsidR="00BF6126" w:rsidRPr="00D66B27">
        <w:rPr>
          <w:rFonts w:ascii="Verdana" w:hAnsi="Verdana"/>
          <w:sz w:val="20"/>
          <w:szCs w:val="20"/>
        </w:rPr>
        <w:t xml:space="preserve">en casos anteriores </w:t>
      </w:r>
      <w:r w:rsidR="00024D06" w:rsidRPr="00D66B27">
        <w:rPr>
          <w:rFonts w:ascii="Verdana" w:hAnsi="Verdana"/>
          <w:sz w:val="20"/>
          <w:szCs w:val="20"/>
        </w:rPr>
        <w:t xml:space="preserve">respecto de Chile </w:t>
      </w:r>
      <w:r w:rsidR="00BF6126" w:rsidRPr="00D66B27">
        <w:rPr>
          <w:rFonts w:ascii="Verdana" w:hAnsi="Verdana"/>
          <w:sz w:val="20"/>
          <w:szCs w:val="20"/>
        </w:rPr>
        <w:t>relacionados con denegación de justicia en crímenes de lesa humanidad</w:t>
      </w:r>
      <w:r w:rsidR="005268C7" w:rsidRPr="00D66B27">
        <w:rPr>
          <w:rStyle w:val="Refdenotaalpie"/>
          <w:rFonts w:ascii="Verdana" w:hAnsi="Verdana"/>
          <w:sz w:val="20"/>
          <w:szCs w:val="20"/>
        </w:rPr>
        <w:footnoteReference w:id="80"/>
      </w:r>
      <w:r w:rsidR="00D45CAA" w:rsidRPr="00D66B27">
        <w:rPr>
          <w:rFonts w:ascii="Verdana" w:hAnsi="Verdana"/>
          <w:sz w:val="20"/>
          <w:szCs w:val="20"/>
        </w:rPr>
        <w:t xml:space="preserve">. </w:t>
      </w:r>
      <w:r w:rsidR="00E676CE" w:rsidRPr="00D66B27">
        <w:rPr>
          <w:rFonts w:ascii="Verdana" w:hAnsi="Verdana"/>
          <w:sz w:val="20"/>
          <w:szCs w:val="20"/>
        </w:rPr>
        <w:t>E</w:t>
      </w:r>
      <w:r w:rsidR="00D45CAA" w:rsidRPr="00D66B27">
        <w:rPr>
          <w:rFonts w:ascii="Verdana" w:hAnsi="Verdana"/>
          <w:sz w:val="20"/>
          <w:szCs w:val="20"/>
        </w:rPr>
        <w:t xml:space="preserve">l Estado es del parecer que </w:t>
      </w:r>
      <w:r w:rsidR="0047165E" w:rsidRPr="00D66B27">
        <w:rPr>
          <w:rFonts w:ascii="Verdana" w:hAnsi="Verdana"/>
          <w:sz w:val="20"/>
          <w:szCs w:val="20"/>
        </w:rPr>
        <w:t xml:space="preserve">la </w:t>
      </w:r>
      <w:r w:rsidR="00D45CAA" w:rsidRPr="00D66B27">
        <w:rPr>
          <w:rFonts w:ascii="Verdana" w:hAnsi="Verdana"/>
          <w:sz w:val="20"/>
          <w:szCs w:val="20"/>
        </w:rPr>
        <w:t xml:space="preserve">Corte aplique el mismo criterio que utilizó para resolver </w:t>
      </w:r>
      <w:r w:rsidR="0047165E" w:rsidRPr="00D66B27">
        <w:rPr>
          <w:rFonts w:ascii="Verdana" w:hAnsi="Verdana"/>
          <w:sz w:val="20"/>
          <w:szCs w:val="20"/>
        </w:rPr>
        <w:t xml:space="preserve">el </w:t>
      </w:r>
      <w:r w:rsidR="0047165E" w:rsidRPr="00D66B27">
        <w:rPr>
          <w:rFonts w:ascii="Verdana" w:hAnsi="Verdana"/>
          <w:i/>
          <w:sz w:val="20"/>
          <w:szCs w:val="20"/>
        </w:rPr>
        <w:t>caso</w:t>
      </w:r>
      <w:r w:rsidR="005268C7" w:rsidRPr="00D66B27">
        <w:rPr>
          <w:rFonts w:ascii="Verdana" w:hAnsi="Verdana"/>
          <w:i/>
          <w:sz w:val="20"/>
          <w:szCs w:val="20"/>
        </w:rPr>
        <w:t xml:space="preserve"> Almonacid Arerellano y otros vs. Chile</w:t>
      </w:r>
      <w:r w:rsidR="0047165E" w:rsidRPr="00D66B27">
        <w:rPr>
          <w:rFonts w:ascii="Verdana" w:hAnsi="Verdana"/>
          <w:sz w:val="20"/>
          <w:szCs w:val="20"/>
        </w:rPr>
        <w:t xml:space="preserve"> y le </w:t>
      </w:r>
      <w:r w:rsidR="00BF7C11">
        <w:rPr>
          <w:rFonts w:ascii="Verdana" w:hAnsi="Verdana"/>
          <w:sz w:val="20"/>
          <w:szCs w:val="20"/>
        </w:rPr>
        <w:t>solicitó</w:t>
      </w:r>
      <w:r w:rsidR="00D45CAA" w:rsidRPr="00D66B27">
        <w:rPr>
          <w:rFonts w:ascii="Verdana" w:hAnsi="Verdana"/>
          <w:sz w:val="20"/>
          <w:szCs w:val="20"/>
        </w:rPr>
        <w:t xml:space="preserve"> que</w:t>
      </w:r>
      <w:r w:rsidR="00EA690B" w:rsidRPr="00D66B27">
        <w:rPr>
          <w:rFonts w:ascii="Verdana" w:hAnsi="Verdana"/>
          <w:sz w:val="20"/>
          <w:szCs w:val="20"/>
        </w:rPr>
        <w:t xml:space="preserve"> </w:t>
      </w:r>
      <w:r w:rsidR="00B60B97" w:rsidRPr="00D66B27">
        <w:rPr>
          <w:rFonts w:ascii="Verdana" w:hAnsi="Verdana"/>
          <w:sz w:val="20"/>
          <w:szCs w:val="20"/>
        </w:rPr>
        <w:t>no considere</w:t>
      </w:r>
      <w:r w:rsidR="00D45CAA" w:rsidRPr="00D66B27">
        <w:rPr>
          <w:rFonts w:ascii="Verdana" w:hAnsi="Verdana"/>
          <w:sz w:val="20"/>
          <w:szCs w:val="20"/>
        </w:rPr>
        <w:t xml:space="preserve"> el pago de indemnizaciones de perjuicios como medida de reparación pertinente para las víctimas.</w:t>
      </w:r>
      <w:r w:rsidR="00465B74" w:rsidRPr="00D66B27">
        <w:rPr>
          <w:rFonts w:ascii="Verdana" w:hAnsi="Verdana"/>
          <w:sz w:val="20"/>
          <w:szCs w:val="20"/>
        </w:rPr>
        <w:t xml:space="preserve"> Señaló que esta </w:t>
      </w:r>
      <w:r w:rsidR="00D45CAA" w:rsidRPr="00D66B27">
        <w:rPr>
          <w:rFonts w:ascii="Verdana" w:hAnsi="Verdana"/>
          <w:sz w:val="20"/>
          <w:szCs w:val="20"/>
        </w:rPr>
        <w:t xml:space="preserve">solicitud </w:t>
      </w:r>
      <w:r w:rsidR="00465B74" w:rsidRPr="00D66B27">
        <w:rPr>
          <w:rFonts w:ascii="Verdana" w:hAnsi="Verdana"/>
          <w:sz w:val="20"/>
          <w:szCs w:val="20"/>
        </w:rPr>
        <w:t xml:space="preserve">no </w:t>
      </w:r>
      <w:r w:rsidR="00D45CAA" w:rsidRPr="00D66B27">
        <w:rPr>
          <w:rFonts w:ascii="Verdana" w:hAnsi="Verdana"/>
          <w:sz w:val="20"/>
          <w:szCs w:val="20"/>
        </w:rPr>
        <w:t xml:space="preserve">representa una forma velada de escapar de sus propias </w:t>
      </w:r>
      <w:r w:rsidR="00D45CAA" w:rsidRPr="00D66B27">
        <w:rPr>
          <w:rFonts w:ascii="Verdana" w:hAnsi="Verdana"/>
          <w:sz w:val="20"/>
          <w:szCs w:val="20"/>
        </w:rPr>
        <w:lastRenderedPageBreak/>
        <w:t xml:space="preserve">responsabilidades para con las víctimas de violaciones de derechos humanos ocurridas durante la dictadura </w:t>
      </w:r>
      <w:r w:rsidR="00465B74" w:rsidRPr="00D66B27">
        <w:rPr>
          <w:rFonts w:ascii="Verdana" w:hAnsi="Verdana"/>
          <w:sz w:val="20"/>
          <w:szCs w:val="20"/>
        </w:rPr>
        <w:t xml:space="preserve">militar, sino que debe ser leída a la luz, precisamente, de </w:t>
      </w:r>
      <w:r w:rsidR="00D45CAA" w:rsidRPr="00D66B27">
        <w:rPr>
          <w:rFonts w:ascii="Verdana" w:hAnsi="Verdana"/>
          <w:sz w:val="20"/>
          <w:szCs w:val="20"/>
        </w:rPr>
        <w:t xml:space="preserve">los esfuerzos desarrollados por </w:t>
      </w:r>
      <w:r w:rsidR="00465B74" w:rsidRPr="00D66B27">
        <w:rPr>
          <w:rFonts w:ascii="Verdana" w:hAnsi="Verdana"/>
          <w:sz w:val="20"/>
          <w:szCs w:val="20"/>
        </w:rPr>
        <w:t xml:space="preserve">el Estado </w:t>
      </w:r>
      <w:r w:rsidR="00D45CAA" w:rsidRPr="00D66B27">
        <w:rPr>
          <w:rFonts w:ascii="Verdana" w:hAnsi="Verdana"/>
          <w:sz w:val="20"/>
          <w:szCs w:val="20"/>
        </w:rPr>
        <w:t>a partir de 1990 para otorgar</w:t>
      </w:r>
      <w:r w:rsidR="00465B74" w:rsidRPr="00D66B27">
        <w:rPr>
          <w:rFonts w:ascii="Verdana" w:hAnsi="Verdana"/>
          <w:sz w:val="20"/>
          <w:szCs w:val="20"/>
        </w:rPr>
        <w:t>les</w:t>
      </w:r>
      <w:r w:rsidR="00D45CAA" w:rsidRPr="00D66B27">
        <w:rPr>
          <w:rFonts w:ascii="Verdana" w:hAnsi="Verdana"/>
          <w:sz w:val="20"/>
          <w:szCs w:val="20"/>
        </w:rPr>
        <w:t xml:space="preserve"> reparación suficiente. </w:t>
      </w:r>
    </w:p>
    <w:p w14:paraId="50E83BC5" w14:textId="77777777" w:rsidR="00465B74" w:rsidRPr="00D66B27" w:rsidRDefault="00465B74" w:rsidP="00465B74">
      <w:pPr>
        <w:pStyle w:val="Prrafodelista"/>
        <w:spacing w:after="0" w:line="240" w:lineRule="auto"/>
        <w:ind w:left="0"/>
        <w:jc w:val="both"/>
        <w:rPr>
          <w:rFonts w:ascii="Verdana" w:hAnsi="Verdana"/>
          <w:sz w:val="20"/>
          <w:szCs w:val="20"/>
        </w:rPr>
      </w:pPr>
    </w:p>
    <w:p w14:paraId="16068FD4" w14:textId="23D97EFA" w:rsidR="004658C4" w:rsidRPr="00D66B27" w:rsidRDefault="005F2FFE" w:rsidP="00364C6E">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 xml:space="preserve">Al respecto, en sus observaciones finales </w:t>
      </w:r>
      <w:r w:rsidR="009C5087" w:rsidRPr="00D66B27">
        <w:rPr>
          <w:rFonts w:ascii="Verdana" w:hAnsi="Verdana"/>
          <w:sz w:val="20"/>
          <w:szCs w:val="20"/>
        </w:rPr>
        <w:t xml:space="preserve">la </w:t>
      </w:r>
      <w:r w:rsidR="009C5087" w:rsidRPr="00D66B27">
        <w:rPr>
          <w:rFonts w:ascii="Verdana" w:hAnsi="Verdana"/>
          <w:b/>
          <w:i/>
          <w:sz w:val="20"/>
          <w:szCs w:val="20"/>
        </w:rPr>
        <w:t>Comisión</w:t>
      </w:r>
      <w:r w:rsidR="006A70EB" w:rsidRPr="00D66B27">
        <w:rPr>
          <w:rFonts w:ascii="Verdana" w:hAnsi="Verdana"/>
          <w:sz w:val="20"/>
          <w:szCs w:val="20"/>
        </w:rPr>
        <w:t xml:space="preserve"> señaló que </w:t>
      </w:r>
      <w:r w:rsidR="009C5087" w:rsidRPr="00D66B27">
        <w:rPr>
          <w:rFonts w:ascii="Verdana" w:hAnsi="Verdana"/>
          <w:sz w:val="20"/>
          <w:szCs w:val="20"/>
        </w:rPr>
        <w:t>la restitución ha de concederse siempre que esa posible</w:t>
      </w:r>
      <w:r w:rsidRPr="00D66B27">
        <w:rPr>
          <w:rFonts w:ascii="Verdana" w:hAnsi="Verdana"/>
          <w:sz w:val="20"/>
          <w:szCs w:val="20"/>
        </w:rPr>
        <w:t xml:space="preserve"> y</w:t>
      </w:r>
      <w:r w:rsidR="009C5087" w:rsidRPr="00D66B27">
        <w:rPr>
          <w:rFonts w:ascii="Verdana" w:hAnsi="Verdana"/>
          <w:sz w:val="20"/>
          <w:szCs w:val="20"/>
        </w:rPr>
        <w:t xml:space="preserve"> que </w:t>
      </w:r>
      <w:r w:rsidR="00184D90" w:rsidRPr="00D66B27">
        <w:rPr>
          <w:rFonts w:ascii="Verdana" w:hAnsi="Verdana"/>
          <w:sz w:val="20"/>
          <w:szCs w:val="20"/>
        </w:rPr>
        <w:t>ese</w:t>
      </w:r>
      <w:r w:rsidR="009C5087" w:rsidRPr="00D66B27">
        <w:rPr>
          <w:rFonts w:ascii="Verdana" w:hAnsi="Verdana"/>
          <w:sz w:val="20"/>
          <w:szCs w:val="20"/>
        </w:rPr>
        <w:t xml:space="preserve"> componente es central en </w:t>
      </w:r>
      <w:r w:rsidRPr="00D66B27">
        <w:rPr>
          <w:rFonts w:ascii="Verdana" w:hAnsi="Verdana"/>
          <w:sz w:val="20"/>
          <w:szCs w:val="20"/>
        </w:rPr>
        <w:t>este</w:t>
      </w:r>
      <w:r w:rsidR="009C5087" w:rsidRPr="00D66B27">
        <w:rPr>
          <w:rFonts w:ascii="Verdana" w:hAnsi="Verdana"/>
          <w:sz w:val="20"/>
          <w:szCs w:val="20"/>
        </w:rPr>
        <w:t xml:space="preserve"> caso, pero la aproximación estatal </w:t>
      </w:r>
      <w:r w:rsidR="00184D90" w:rsidRPr="00D66B27">
        <w:rPr>
          <w:rFonts w:ascii="Verdana" w:hAnsi="Verdana"/>
          <w:sz w:val="20"/>
          <w:szCs w:val="20"/>
        </w:rPr>
        <w:t xml:space="preserve">lo </w:t>
      </w:r>
      <w:r w:rsidR="009C5087" w:rsidRPr="00D66B27">
        <w:rPr>
          <w:rFonts w:ascii="Verdana" w:hAnsi="Verdana"/>
          <w:sz w:val="20"/>
          <w:szCs w:val="20"/>
        </w:rPr>
        <w:t>convierte en ilusorio</w:t>
      </w:r>
      <w:r w:rsidR="00184D90" w:rsidRPr="00D66B27">
        <w:rPr>
          <w:rFonts w:ascii="Verdana" w:hAnsi="Verdana"/>
          <w:sz w:val="20"/>
          <w:szCs w:val="20"/>
        </w:rPr>
        <w:t xml:space="preserve"> </w:t>
      </w:r>
      <w:r w:rsidR="009C5087" w:rsidRPr="00D66B27">
        <w:rPr>
          <w:rFonts w:ascii="Verdana" w:hAnsi="Verdana"/>
          <w:sz w:val="20"/>
          <w:szCs w:val="20"/>
        </w:rPr>
        <w:t xml:space="preserve">pese a </w:t>
      </w:r>
      <w:r w:rsidR="006A70EB" w:rsidRPr="00D66B27">
        <w:rPr>
          <w:rFonts w:ascii="Verdana" w:hAnsi="Verdana"/>
          <w:sz w:val="20"/>
          <w:szCs w:val="20"/>
        </w:rPr>
        <w:t xml:space="preserve">ser </w:t>
      </w:r>
      <w:r w:rsidR="00184D90" w:rsidRPr="00D66B27">
        <w:rPr>
          <w:rFonts w:ascii="Verdana" w:hAnsi="Verdana"/>
          <w:sz w:val="20"/>
          <w:szCs w:val="20"/>
        </w:rPr>
        <w:t>posible</w:t>
      </w:r>
      <w:r w:rsidR="009C5087" w:rsidRPr="00D66B27">
        <w:rPr>
          <w:rFonts w:ascii="Verdana" w:hAnsi="Verdana"/>
          <w:sz w:val="20"/>
          <w:szCs w:val="20"/>
        </w:rPr>
        <w:t xml:space="preserve"> por la naturaleza del caso.</w:t>
      </w:r>
      <w:r w:rsidR="00D617A3" w:rsidRPr="00D66B27">
        <w:rPr>
          <w:rFonts w:ascii="Verdana" w:hAnsi="Verdana"/>
          <w:sz w:val="20"/>
          <w:szCs w:val="20"/>
        </w:rPr>
        <w:t xml:space="preserve"> Así, puesto que el Estado obligado no puede invocar disposiciones o dificultades de su derecho interno para dejar de cumplir su obligación, la Comisión reiteró que las víctimas, si así lo desean, deben contar con un recurso judicial </w:t>
      </w:r>
      <w:r w:rsidR="0067725D" w:rsidRPr="00D66B27">
        <w:rPr>
          <w:rFonts w:ascii="Verdana" w:hAnsi="Verdana"/>
          <w:sz w:val="20"/>
          <w:szCs w:val="20"/>
        </w:rPr>
        <w:t>para</w:t>
      </w:r>
      <w:r w:rsidR="00D617A3" w:rsidRPr="00D66B27">
        <w:rPr>
          <w:rFonts w:ascii="Verdana" w:hAnsi="Verdana"/>
          <w:sz w:val="20"/>
          <w:szCs w:val="20"/>
        </w:rPr>
        <w:t xml:space="preserve"> r</w:t>
      </w:r>
      <w:r w:rsidR="0067725D" w:rsidRPr="00D66B27">
        <w:rPr>
          <w:rFonts w:ascii="Verdana" w:hAnsi="Verdana"/>
          <w:sz w:val="20"/>
          <w:szCs w:val="20"/>
        </w:rPr>
        <w:t xml:space="preserve">eclamar reparaciones judiciales, </w:t>
      </w:r>
      <w:r w:rsidR="00D617A3" w:rsidRPr="00D66B27">
        <w:rPr>
          <w:rFonts w:ascii="Verdana" w:hAnsi="Verdana"/>
          <w:sz w:val="20"/>
          <w:szCs w:val="20"/>
        </w:rPr>
        <w:t xml:space="preserve">por lo que </w:t>
      </w:r>
      <w:r w:rsidR="0067725D" w:rsidRPr="00D66B27">
        <w:rPr>
          <w:rFonts w:ascii="Verdana" w:hAnsi="Verdana"/>
          <w:sz w:val="20"/>
          <w:szCs w:val="20"/>
        </w:rPr>
        <w:t xml:space="preserve">la </w:t>
      </w:r>
      <w:r w:rsidR="00D617A3" w:rsidRPr="00D66B27">
        <w:rPr>
          <w:rFonts w:ascii="Verdana" w:hAnsi="Verdana"/>
          <w:sz w:val="20"/>
          <w:szCs w:val="20"/>
        </w:rPr>
        <w:t xml:space="preserve">Corte no </w:t>
      </w:r>
      <w:r w:rsidR="0067725D" w:rsidRPr="00D66B27">
        <w:rPr>
          <w:rFonts w:ascii="Verdana" w:hAnsi="Verdana"/>
          <w:sz w:val="20"/>
          <w:szCs w:val="20"/>
        </w:rPr>
        <w:t>debe admitir</w:t>
      </w:r>
      <w:r w:rsidR="00D617A3" w:rsidRPr="00D66B27">
        <w:rPr>
          <w:rFonts w:ascii="Verdana" w:hAnsi="Verdana"/>
          <w:sz w:val="20"/>
          <w:szCs w:val="20"/>
        </w:rPr>
        <w:t xml:space="preserve"> el argumento del Estado según el cual es imposible jurídicamente llevar a cabo o reabrir los procesos judiciales para dictar nuevas sentencias</w:t>
      </w:r>
      <w:r w:rsidRPr="00D66B27">
        <w:rPr>
          <w:rFonts w:ascii="Verdana" w:hAnsi="Verdana"/>
          <w:sz w:val="20"/>
          <w:szCs w:val="20"/>
        </w:rPr>
        <w:t>.</w:t>
      </w:r>
      <w:r w:rsidR="00036F36" w:rsidRPr="00D66B27">
        <w:rPr>
          <w:rFonts w:ascii="Verdana" w:hAnsi="Verdana"/>
          <w:sz w:val="20"/>
          <w:szCs w:val="20"/>
        </w:rPr>
        <w:t xml:space="preserve"> Sin embargo, la Comisión también señaló que la Corte podría disponer, tomando en cuenta el tiempo transcurrido y </w:t>
      </w:r>
      <w:r w:rsidR="0059443C" w:rsidRPr="00D66B27">
        <w:rPr>
          <w:rFonts w:ascii="Verdana" w:hAnsi="Verdana"/>
          <w:sz w:val="20"/>
          <w:szCs w:val="20"/>
        </w:rPr>
        <w:t xml:space="preserve">el </w:t>
      </w:r>
      <w:r w:rsidR="00036F36" w:rsidRPr="00D66B27">
        <w:rPr>
          <w:rFonts w:ascii="Verdana" w:hAnsi="Verdana"/>
          <w:sz w:val="20"/>
          <w:szCs w:val="20"/>
        </w:rPr>
        <w:t xml:space="preserve">que </w:t>
      </w:r>
      <w:r w:rsidR="0059443C" w:rsidRPr="00D66B27">
        <w:rPr>
          <w:rFonts w:ascii="Verdana" w:hAnsi="Verdana"/>
          <w:sz w:val="20"/>
          <w:szCs w:val="20"/>
        </w:rPr>
        <w:t xml:space="preserve">implicaría </w:t>
      </w:r>
      <w:r w:rsidR="00036F36" w:rsidRPr="00D66B27">
        <w:rPr>
          <w:rFonts w:ascii="Verdana" w:hAnsi="Verdana"/>
          <w:sz w:val="20"/>
          <w:szCs w:val="20"/>
        </w:rPr>
        <w:t>habilitar nuevamente el recurso judicial, que el Estado establezca un mecanismo más expedito, que garantice a las víctimas las mismas reparaciones a las que podrían haber accedido a través de la vía judicial, sin perjuicio de que las partes puedan acordar una indemnización equivalente a la que eventualmente podrían recibir en el marco del proceso judicial.</w:t>
      </w:r>
      <w:r w:rsidR="002B38DC">
        <w:rPr>
          <w:rFonts w:ascii="Verdana" w:hAnsi="Verdana"/>
          <w:sz w:val="20"/>
          <w:szCs w:val="20"/>
        </w:rPr>
        <w:t xml:space="preserve"> </w:t>
      </w:r>
    </w:p>
    <w:p w14:paraId="729541F1" w14:textId="77777777" w:rsidR="0067725D" w:rsidRPr="00D66B27" w:rsidRDefault="0067725D" w:rsidP="001D7227">
      <w:pPr>
        <w:spacing w:after="0" w:line="240" w:lineRule="auto"/>
        <w:jc w:val="both"/>
        <w:rPr>
          <w:rFonts w:ascii="Verdana" w:hAnsi="Verdana"/>
          <w:sz w:val="20"/>
          <w:szCs w:val="20"/>
        </w:rPr>
      </w:pPr>
    </w:p>
    <w:p w14:paraId="672DEBCE" w14:textId="3C40244C" w:rsidR="00B2211A" w:rsidRPr="00D66B27" w:rsidRDefault="00F9042B" w:rsidP="00364C6E">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La</w:t>
      </w:r>
      <w:r w:rsidRPr="00D66B27">
        <w:rPr>
          <w:rFonts w:ascii="Verdana" w:hAnsi="Verdana"/>
          <w:b/>
          <w:sz w:val="20"/>
          <w:szCs w:val="20"/>
        </w:rPr>
        <w:t xml:space="preserve"> </w:t>
      </w:r>
      <w:r w:rsidRPr="00D66B27">
        <w:rPr>
          <w:rFonts w:ascii="Verdana" w:hAnsi="Verdana"/>
          <w:b/>
          <w:i/>
          <w:sz w:val="20"/>
          <w:szCs w:val="20"/>
        </w:rPr>
        <w:t>Corte</w:t>
      </w:r>
      <w:r w:rsidRPr="00D66B27">
        <w:rPr>
          <w:rFonts w:ascii="Verdana" w:hAnsi="Verdana"/>
          <w:sz w:val="20"/>
          <w:szCs w:val="20"/>
        </w:rPr>
        <w:t xml:space="preserve"> hace notar que </w:t>
      </w:r>
      <w:r w:rsidR="0035770A" w:rsidRPr="00D66B27">
        <w:rPr>
          <w:rFonts w:ascii="Verdana" w:hAnsi="Verdana"/>
          <w:sz w:val="20"/>
          <w:szCs w:val="20"/>
        </w:rPr>
        <w:t>las acciones civiles intentadas por las víctimas han sido objeto de decisiones que, hoy día, tienen carácter de cosa juzgada</w:t>
      </w:r>
      <w:r w:rsidR="00EA690B" w:rsidRPr="00D66B27">
        <w:rPr>
          <w:rFonts w:ascii="Verdana" w:hAnsi="Verdana"/>
          <w:sz w:val="20"/>
          <w:szCs w:val="20"/>
        </w:rPr>
        <w:t xml:space="preserve">. </w:t>
      </w:r>
      <w:r w:rsidRPr="00D66B27">
        <w:rPr>
          <w:rFonts w:ascii="Verdana" w:hAnsi="Verdana"/>
          <w:sz w:val="20"/>
          <w:szCs w:val="20"/>
        </w:rPr>
        <w:t xml:space="preserve">En este sentido, es claro que </w:t>
      </w:r>
      <w:r w:rsidR="00EA690B" w:rsidRPr="00D66B27">
        <w:rPr>
          <w:rFonts w:ascii="Verdana" w:hAnsi="Verdana"/>
          <w:sz w:val="20"/>
          <w:szCs w:val="20"/>
        </w:rPr>
        <w:t xml:space="preserve">el instituto de la cosa jugada es </w:t>
      </w:r>
      <w:r w:rsidR="002B0CEB" w:rsidRPr="00D66B27">
        <w:rPr>
          <w:rFonts w:ascii="Verdana" w:hAnsi="Verdana"/>
          <w:sz w:val="20"/>
          <w:szCs w:val="20"/>
        </w:rPr>
        <w:t>un principio garantizador que debe ser respetado en un Estado de derecho</w:t>
      </w:r>
      <w:r w:rsidR="002B0CEB" w:rsidRPr="00D66B27">
        <w:rPr>
          <w:rStyle w:val="Refdenotaalpie"/>
          <w:rFonts w:ascii="Verdana" w:hAnsi="Verdana"/>
          <w:sz w:val="20"/>
          <w:szCs w:val="20"/>
        </w:rPr>
        <w:footnoteReference w:id="81"/>
      </w:r>
      <w:r w:rsidR="0035770A" w:rsidRPr="00D66B27">
        <w:rPr>
          <w:rFonts w:ascii="Verdana" w:hAnsi="Verdana"/>
          <w:sz w:val="20"/>
          <w:szCs w:val="20"/>
        </w:rPr>
        <w:t xml:space="preserve">. </w:t>
      </w:r>
      <w:r w:rsidRPr="00D66B27">
        <w:rPr>
          <w:rFonts w:ascii="Verdana" w:hAnsi="Verdana"/>
          <w:sz w:val="20"/>
          <w:szCs w:val="20"/>
        </w:rPr>
        <w:t>A la vez, n</w:t>
      </w:r>
      <w:r w:rsidR="0035770A" w:rsidRPr="00D66B27">
        <w:rPr>
          <w:rFonts w:ascii="Verdana" w:hAnsi="Verdana"/>
          <w:sz w:val="20"/>
          <w:szCs w:val="20"/>
        </w:rPr>
        <w:t>o cabe duda que los hechos que originaron</w:t>
      </w:r>
      <w:r w:rsidR="002B0CEB" w:rsidRPr="00D66B27">
        <w:rPr>
          <w:rFonts w:ascii="Verdana" w:hAnsi="Verdana"/>
          <w:sz w:val="20"/>
          <w:szCs w:val="20"/>
        </w:rPr>
        <w:t xml:space="preserve"> las referidas acciones civiles constituyen graves violaciones de derechos humanos, particularmente desapariciones forzadas y ejecuciones extrajudiciale</w:t>
      </w:r>
      <w:r w:rsidR="00B2211A" w:rsidRPr="00D66B27">
        <w:rPr>
          <w:rFonts w:ascii="Verdana" w:hAnsi="Verdana"/>
          <w:sz w:val="20"/>
          <w:szCs w:val="20"/>
        </w:rPr>
        <w:t>s de familiares de las víctimas</w:t>
      </w:r>
      <w:r w:rsidRPr="00D66B27">
        <w:rPr>
          <w:rFonts w:ascii="Verdana" w:hAnsi="Verdana"/>
          <w:sz w:val="20"/>
          <w:szCs w:val="20"/>
        </w:rPr>
        <w:t xml:space="preserve"> calificadas como crímenes contra la humanidad</w:t>
      </w:r>
      <w:r w:rsidR="00B2211A" w:rsidRPr="00D66B27">
        <w:rPr>
          <w:rFonts w:ascii="Verdana" w:hAnsi="Verdana"/>
          <w:sz w:val="20"/>
          <w:szCs w:val="20"/>
        </w:rPr>
        <w:t>.</w:t>
      </w:r>
      <w:r w:rsidR="00EA690B" w:rsidRPr="00D66B27">
        <w:rPr>
          <w:rFonts w:ascii="Verdana" w:hAnsi="Verdana"/>
          <w:sz w:val="20"/>
          <w:szCs w:val="20"/>
        </w:rPr>
        <w:t xml:space="preserve"> En </w:t>
      </w:r>
      <w:r w:rsidR="00B60B97" w:rsidRPr="00D66B27">
        <w:rPr>
          <w:rFonts w:ascii="Verdana" w:hAnsi="Verdana"/>
          <w:sz w:val="20"/>
          <w:szCs w:val="20"/>
        </w:rPr>
        <w:t>ciertos</w:t>
      </w:r>
      <w:r w:rsidR="00EA690B" w:rsidRPr="00D66B27">
        <w:rPr>
          <w:rFonts w:ascii="Verdana" w:hAnsi="Verdana"/>
          <w:sz w:val="20"/>
          <w:szCs w:val="20"/>
        </w:rPr>
        <w:t xml:space="preserve"> casos, en que la violación a la Convención ha sido ocasionada por decisiones judiciales internas, la Corte ha dispuesto como medida de reparación, entre otras, que el Estado “deje sin efecto” tales decisiones</w:t>
      </w:r>
      <w:r w:rsidR="00EA690B" w:rsidRPr="00D66B27">
        <w:rPr>
          <w:rStyle w:val="Refdenotaalpie"/>
          <w:rFonts w:ascii="Verdana" w:hAnsi="Verdana"/>
          <w:sz w:val="20"/>
          <w:szCs w:val="20"/>
        </w:rPr>
        <w:footnoteReference w:id="82"/>
      </w:r>
      <w:r w:rsidR="00EA690B" w:rsidRPr="00D66B27">
        <w:rPr>
          <w:rFonts w:ascii="Verdana" w:hAnsi="Verdana"/>
          <w:sz w:val="20"/>
          <w:szCs w:val="20"/>
        </w:rPr>
        <w:t xml:space="preserve">. </w:t>
      </w:r>
      <w:r w:rsidR="00B2211A" w:rsidRPr="00D66B27">
        <w:rPr>
          <w:rFonts w:ascii="Verdana" w:hAnsi="Verdana"/>
          <w:sz w:val="20"/>
          <w:szCs w:val="20"/>
        </w:rPr>
        <w:t>No obstante,</w:t>
      </w:r>
      <w:r w:rsidR="0035770A" w:rsidRPr="00D66B27">
        <w:rPr>
          <w:rFonts w:ascii="Verdana" w:hAnsi="Verdana"/>
          <w:sz w:val="20"/>
          <w:szCs w:val="20"/>
        </w:rPr>
        <w:t xml:space="preserve"> es oportuno </w:t>
      </w:r>
      <w:r w:rsidR="00B2211A" w:rsidRPr="00D66B27">
        <w:rPr>
          <w:rFonts w:ascii="Verdana" w:hAnsi="Verdana"/>
          <w:sz w:val="20"/>
          <w:szCs w:val="20"/>
        </w:rPr>
        <w:t>hacer notar</w:t>
      </w:r>
      <w:r w:rsidR="0035770A" w:rsidRPr="00D66B27">
        <w:rPr>
          <w:rFonts w:ascii="Verdana" w:hAnsi="Verdana"/>
          <w:sz w:val="20"/>
          <w:szCs w:val="20"/>
        </w:rPr>
        <w:t xml:space="preserve"> que</w:t>
      </w:r>
      <w:r w:rsidR="00B2211A" w:rsidRPr="00D66B27">
        <w:rPr>
          <w:rFonts w:ascii="Verdana" w:hAnsi="Verdana"/>
          <w:sz w:val="20"/>
          <w:szCs w:val="20"/>
        </w:rPr>
        <w:t xml:space="preserve"> en este caso no ha sido alegado que se haya configurado</w:t>
      </w:r>
      <w:r w:rsidR="0035770A" w:rsidRPr="00D66B27">
        <w:rPr>
          <w:rFonts w:ascii="Verdana" w:hAnsi="Verdana"/>
          <w:sz w:val="20"/>
          <w:szCs w:val="20"/>
        </w:rPr>
        <w:t xml:space="preserve"> algún supuesto </w:t>
      </w:r>
      <w:r w:rsidR="002B0CEB" w:rsidRPr="00D66B27">
        <w:rPr>
          <w:rFonts w:ascii="Verdana" w:hAnsi="Verdana"/>
          <w:sz w:val="20"/>
          <w:szCs w:val="20"/>
        </w:rPr>
        <w:t xml:space="preserve">en que los </w:t>
      </w:r>
      <w:r w:rsidR="00B2211A" w:rsidRPr="00D66B27">
        <w:rPr>
          <w:rFonts w:ascii="Verdana" w:hAnsi="Verdana"/>
          <w:sz w:val="20"/>
          <w:szCs w:val="20"/>
        </w:rPr>
        <w:t xml:space="preserve">procesos internos, </w:t>
      </w:r>
      <w:r w:rsidR="002B0CEB" w:rsidRPr="00D66B27">
        <w:rPr>
          <w:rFonts w:ascii="Verdana" w:hAnsi="Verdana"/>
          <w:sz w:val="20"/>
          <w:szCs w:val="20"/>
        </w:rPr>
        <w:t>que han llegado a decisiones definitivas o con carácter de cosa juzgada</w:t>
      </w:r>
      <w:r w:rsidR="00B2211A" w:rsidRPr="00D66B27">
        <w:rPr>
          <w:rFonts w:ascii="Verdana" w:hAnsi="Verdana"/>
          <w:sz w:val="20"/>
          <w:szCs w:val="20"/>
        </w:rPr>
        <w:t>,</w:t>
      </w:r>
      <w:r w:rsidR="002B0CEB" w:rsidRPr="00D66B27">
        <w:rPr>
          <w:rFonts w:ascii="Verdana" w:hAnsi="Verdana"/>
          <w:sz w:val="20"/>
          <w:szCs w:val="20"/>
        </w:rPr>
        <w:t xml:space="preserve"> sean producto de la apariencia, el fraude o de una voluntad de perpetuar una situación de impunidad</w:t>
      </w:r>
      <w:r w:rsidR="004D1EDC" w:rsidRPr="00D66B27">
        <w:rPr>
          <w:rFonts w:ascii="Verdana" w:hAnsi="Verdana"/>
          <w:sz w:val="20"/>
          <w:szCs w:val="20"/>
        </w:rPr>
        <w:t>, supuestos que</w:t>
      </w:r>
      <w:r w:rsidR="002B0CEB" w:rsidRPr="00D66B27">
        <w:rPr>
          <w:rFonts w:ascii="Verdana" w:hAnsi="Verdana"/>
          <w:sz w:val="20"/>
          <w:szCs w:val="20"/>
        </w:rPr>
        <w:t xml:space="preserve"> permitiría</w:t>
      </w:r>
      <w:r w:rsidR="004D1EDC" w:rsidRPr="00D66B27">
        <w:rPr>
          <w:rFonts w:ascii="Verdana" w:hAnsi="Verdana"/>
          <w:sz w:val="20"/>
          <w:szCs w:val="20"/>
        </w:rPr>
        <w:t>n</w:t>
      </w:r>
      <w:r w:rsidR="002B0CEB" w:rsidRPr="00D66B27">
        <w:rPr>
          <w:rFonts w:ascii="Verdana" w:hAnsi="Verdana"/>
          <w:sz w:val="20"/>
          <w:szCs w:val="20"/>
        </w:rPr>
        <w:t xml:space="preserve"> </w:t>
      </w:r>
      <w:r w:rsidR="00B2211A" w:rsidRPr="00D66B27">
        <w:rPr>
          <w:rFonts w:ascii="Verdana" w:hAnsi="Verdana"/>
          <w:sz w:val="20"/>
          <w:szCs w:val="20"/>
        </w:rPr>
        <w:t xml:space="preserve">al Tribunal </w:t>
      </w:r>
      <w:r w:rsidR="00BD47A1" w:rsidRPr="00D66B27">
        <w:rPr>
          <w:rFonts w:ascii="Verdana" w:hAnsi="Verdana"/>
          <w:sz w:val="20"/>
          <w:szCs w:val="20"/>
        </w:rPr>
        <w:t xml:space="preserve">considerar </w:t>
      </w:r>
      <w:r w:rsidR="00B2211A" w:rsidRPr="00D66B27">
        <w:rPr>
          <w:rFonts w:ascii="Verdana" w:hAnsi="Verdana"/>
          <w:sz w:val="20"/>
          <w:szCs w:val="20"/>
        </w:rPr>
        <w:t>la</w:t>
      </w:r>
      <w:r w:rsidR="00BD47A1" w:rsidRPr="00D66B27">
        <w:rPr>
          <w:rFonts w:ascii="Verdana" w:hAnsi="Verdana"/>
          <w:sz w:val="20"/>
          <w:szCs w:val="20"/>
        </w:rPr>
        <w:t xml:space="preserve"> procede</w:t>
      </w:r>
      <w:r w:rsidR="00B2211A" w:rsidRPr="00D66B27">
        <w:rPr>
          <w:rFonts w:ascii="Verdana" w:hAnsi="Verdana"/>
          <w:sz w:val="20"/>
          <w:szCs w:val="20"/>
        </w:rPr>
        <w:t>ncia de</w:t>
      </w:r>
      <w:r w:rsidR="00BD47A1" w:rsidRPr="00D66B27">
        <w:rPr>
          <w:rFonts w:ascii="Verdana" w:hAnsi="Verdana"/>
          <w:sz w:val="20"/>
          <w:szCs w:val="20"/>
        </w:rPr>
        <w:t xml:space="preserve"> </w:t>
      </w:r>
      <w:r w:rsidR="002B0CEB" w:rsidRPr="00D66B27">
        <w:rPr>
          <w:rFonts w:ascii="Verdana" w:hAnsi="Verdana"/>
          <w:sz w:val="20"/>
          <w:szCs w:val="20"/>
        </w:rPr>
        <w:t>disponer</w:t>
      </w:r>
      <w:r w:rsidR="00B2211A" w:rsidRPr="00D66B27">
        <w:rPr>
          <w:rFonts w:ascii="Verdana" w:hAnsi="Verdana"/>
          <w:sz w:val="20"/>
          <w:szCs w:val="20"/>
        </w:rPr>
        <w:t>,</w:t>
      </w:r>
      <w:r w:rsidR="002B0CEB" w:rsidRPr="00D66B27">
        <w:rPr>
          <w:rFonts w:ascii="Verdana" w:hAnsi="Verdana"/>
          <w:sz w:val="20"/>
          <w:szCs w:val="20"/>
        </w:rPr>
        <w:t xml:space="preserve"> excepcionalmente</w:t>
      </w:r>
      <w:r w:rsidR="00B2211A" w:rsidRPr="00D66B27">
        <w:rPr>
          <w:rFonts w:ascii="Verdana" w:hAnsi="Verdana"/>
          <w:sz w:val="20"/>
          <w:szCs w:val="20"/>
        </w:rPr>
        <w:t>,</w:t>
      </w:r>
      <w:r w:rsidR="002B0CEB" w:rsidRPr="00D66B27">
        <w:rPr>
          <w:rFonts w:ascii="Verdana" w:hAnsi="Verdana"/>
          <w:sz w:val="20"/>
          <w:szCs w:val="20"/>
        </w:rPr>
        <w:t xml:space="preserve"> que un Estado </w:t>
      </w:r>
      <w:r w:rsidR="00BD47A1" w:rsidRPr="00D66B27">
        <w:rPr>
          <w:rFonts w:ascii="Verdana" w:hAnsi="Verdana"/>
          <w:sz w:val="20"/>
          <w:szCs w:val="20"/>
        </w:rPr>
        <w:t>reabra tales procesos</w:t>
      </w:r>
      <w:r w:rsidR="002B0CEB" w:rsidRPr="00D66B27">
        <w:rPr>
          <w:rStyle w:val="Refdenotaalpie"/>
          <w:rFonts w:ascii="Verdana" w:hAnsi="Verdana"/>
          <w:sz w:val="20"/>
          <w:szCs w:val="20"/>
        </w:rPr>
        <w:footnoteReference w:id="83"/>
      </w:r>
      <w:r w:rsidR="002B0CEB" w:rsidRPr="00D66B27">
        <w:rPr>
          <w:rFonts w:ascii="Verdana" w:hAnsi="Verdana"/>
          <w:sz w:val="20"/>
          <w:szCs w:val="20"/>
        </w:rPr>
        <w:t xml:space="preserve">. </w:t>
      </w:r>
    </w:p>
    <w:p w14:paraId="294849E0" w14:textId="77777777" w:rsidR="00B2211A" w:rsidRPr="00D66B27" w:rsidRDefault="00B2211A" w:rsidP="00364C6E">
      <w:pPr>
        <w:pBdr>
          <w:top w:val="nil"/>
        </w:pBdr>
        <w:autoSpaceDE w:val="0"/>
        <w:autoSpaceDN w:val="0"/>
        <w:adjustRightInd w:val="0"/>
        <w:spacing w:after="0" w:line="240" w:lineRule="auto"/>
        <w:jc w:val="both"/>
        <w:rPr>
          <w:rFonts w:ascii="Verdana" w:hAnsi="Verdana"/>
          <w:sz w:val="20"/>
          <w:szCs w:val="20"/>
        </w:rPr>
      </w:pPr>
    </w:p>
    <w:p w14:paraId="04035226" w14:textId="3AEFEEA6" w:rsidR="0035770A" w:rsidRPr="00D66B27" w:rsidRDefault="005268C7" w:rsidP="00364C6E">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Según fue considerado,</w:t>
      </w:r>
      <w:r w:rsidR="00BD47A1" w:rsidRPr="00D66B27">
        <w:rPr>
          <w:rFonts w:ascii="Verdana" w:hAnsi="Verdana"/>
          <w:sz w:val="20"/>
          <w:szCs w:val="20"/>
        </w:rPr>
        <w:t xml:space="preserve"> la naturaleza de tales hechos ha llevado </w:t>
      </w:r>
      <w:r w:rsidR="00C74864" w:rsidRPr="00D66B27">
        <w:rPr>
          <w:rFonts w:ascii="Verdana" w:hAnsi="Verdana"/>
          <w:sz w:val="20"/>
          <w:szCs w:val="20"/>
        </w:rPr>
        <w:t xml:space="preserve">al Estado, con base en el cambio jurisprudencial de su máxima autoridad judicial, a reconocer ante este Tribunal </w:t>
      </w:r>
      <w:r w:rsidR="00BD47A1" w:rsidRPr="00D66B27">
        <w:rPr>
          <w:rFonts w:ascii="Verdana" w:hAnsi="Verdana"/>
          <w:sz w:val="20"/>
          <w:szCs w:val="20"/>
        </w:rPr>
        <w:t xml:space="preserve">que no es aplicable la prescripción civil a acciones que procuren reparaciones por perjuicios </w:t>
      </w:r>
      <w:r w:rsidR="002B38DC">
        <w:rPr>
          <w:rFonts w:ascii="Verdana" w:hAnsi="Verdana"/>
          <w:sz w:val="20"/>
          <w:szCs w:val="20"/>
        </w:rPr>
        <w:t xml:space="preserve">morales </w:t>
      </w:r>
      <w:r w:rsidR="00BD47A1" w:rsidRPr="00D66B27">
        <w:rPr>
          <w:rFonts w:ascii="Verdana" w:hAnsi="Verdana"/>
          <w:sz w:val="20"/>
          <w:szCs w:val="20"/>
        </w:rPr>
        <w:t xml:space="preserve">ocasionados por ese tipo de hechos. Consecuentemente con esta doctrina, </w:t>
      </w:r>
      <w:r w:rsidR="00F9042B" w:rsidRPr="00D66B27">
        <w:rPr>
          <w:rFonts w:ascii="Verdana" w:hAnsi="Verdana"/>
          <w:sz w:val="20"/>
          <w:szCs w:val="20"/>
        </w:rPr>
        <w:t>en este tipo de casos</w:t>
      </w:r>
      <w:r w:rsidR="00A42E9C" w:rsidRPr="00D66B27">
        <w:rPr>
          <w:rFonts w:ascii="Verdana" w:hAnsi="Verdana"/>
          <w:sz w:val="20"/>
          <w:szCs w:val="20"/>
        </w:rPr>
        <w:t xml:space="preserve"> </w:t>
      </w:r>
      <w:r w:rsidR="00BD47A1" w:rsidRPr="00D66B27">
        <w:rPr>
          <w:rFonts w:ascii="Verdana" w:hAnsi="Verdana"/>
          <w:sz w:val="20"/>
          <w:szCs w:val="20"/>
        </w:rPr>
        <w:t>el</w:t>
      </w:r>
      <w:r w:rsidR="00A42E9C" w:rsidRPr="00D66B27">
        <w:rPr>
          <w:rFonts w:ascii="Verdana" w:hAnsi="Verdana"/>
          <w:sz w:val="20"/>
          <w:szCs w:val="20"/>
        </w:rPr>
        <w:t xml:space="preserve"> </w:t>
      </w:r>
      <w:r w:rsidR="00BD47A1" w:rsidRPr="00D66B27">
        <w:rPr>
          <w:rFonts w:ascii="Verdana" w:hAnsi="Verdana"/>
          <w:sz w:val="20"/>
          <w:szCs w:val="20"/>
        </w:rPr>
        <w:t xml:space="preserve">instituto de la cosa juzgada no debería constituir un obstáculo </w:t>
      </w:r>
      <w:r w:rsidR="00A42E9C" w:rsidRPr="00D66B27">
        <w:rPr>
          <w:rFonts w:ascii="Verdana" w:hAnsi="Verdana"/>
          <w:sz w:val="20"/>
          <w:szCs w:val="20"/>
        </w:rPr>
        <w:t xml:space="preserve">para que las víctimas del presente caso </w:t>
      </w:r>
      <w:r w:rsidR="00C74864" w:rsidRPr="00D66B27">
        <w:rPr>
          <w:rFonts w:ascii="Verdana" w:hAnsi="Verdana"/>
          <w:sz w:val="20"/>
          <w:szCs w:val="20"/>
        </w:rPr>
        <w:t>–</w:t>
      </w:r>
      <w:r w:rsidR="00A42E9C" w:rsidRPr="00D66B27">
        <w:rPr>
          <w:rFonts w:ascii="Verdana" w:hAnsi="Verdana"/>
          <w:sz w:val="20"/>
          <w:szCs w:val="20"/>
        </w:rPr>
        <w:t>o personas que se encuentren en situaciones análogas</w:t>
      </w:r>
      <w:r w:rsidR="00C74864" w:rsidRPr="00D66B27">
        <w:rPr>
          <w:rFonts w:ascii="Verdana" w:hAnsi="Verdana"/>
          <w:sz w:val="20"/>
          <w:szCs w:val="20"/>
        </w:rPr>
        <w:t>–</w:t>
      </w:r>
      <w:r w:rsidR="00A42E9C" w:rsidRPr="00D66B27">
        <w:rPr>
          <w:rFonts w:ascii="Verdana" w:hAnsi="Verdana"/>
          <w:sz w:val="20"/>
          <w:szCs w:val="20"/>
        </w:rPr>
        <w:t xml:space="preserve"> puedan finalmente acceder a las reparaciones que les puedan corresponder por vía judicial.</w:t>
      </w:r>
    </w:p>
    <w:p w14:paraId="4F91C497" w14:textId="242787CE" w:rsidR="006E12BF" w:rsidRPr="00D66B27" w:rsidRDefault="006E12BF" w:rsidP="00364C6E">
      <w:pPr>
        <w:pStyle w:val="Prrafodelista"/>
        <w:spacing w:after="0" w:line="240" w:lineRule="auto"/>
        <w:ind w:left="0"/>
        <w:jc w:val="both"/>
        <w:rPr>
          <w:rFonts w:ascii="Verdana" w:hAnsi="Verdana"/>
          <w:sz w:val="20"/>
          <w:szCs w:val="20"/>
        </w:rPr>
      </w:pPr>
    </w:p>
    <w:p w14:paraId="7E8BD1D8" w14:textId="3B52CD5C" w:rsidR="00C93DAC" w:rsidRPr="00D66B27" w:rsidRDefault="004D1EDC" w:rsidP="00364C6E">
      <w:pPr>
        <w:numPr>
          <w:ilvl w:val="0"/>
          <w:numId w:val="2"/>
        </w:numPr>
        <w:pBdr>
          <w:top w:val="nil"/>
        </w:pBdr>
        <w:autoSpaceDE w:val="0"/>
        <w:autoSpaceDN w:val="0"/>
        <w:adjustRightInd w:val="0"/>
        <w:spacing w:after="0" w:line="240" w:lineRule="auto"/>
        <w:ind w:left="0" w:firstLine="0"/>
        <w:jc w:val="both"/>
        <w:rPr>
          <w:rFonts w:ascii="Verdana" w:eastAsia="Batang" w:hAnsi="Verdana"/>
          <w:sz w:val="20"/>
          <w:szCs w:val="20"/>
          <w:lang w:eastAsia="es-MX"/>
        </w:rPr>
      </w:pPr>
      <w:r w:rsidRPr="00D66B27">
        <w:rPr>
          <w:rFonts w:ascii="Verdana" w:hAnsi="Verdana"/>
          <w:sz w:val="20"/>
          <w:szCs w:val="20"/>
        </w:rPr>
        <w:t xml:space="preserve">En este sentido, no obstante haber propuesto </w:t>
      </w:r>
      <w:r w:rsidR="00B2211A" w:rsidRPr="00D66B27">
        <w:rPr>
          <w:rFonts w:ascii="Verdana" w:hAnsi="Verdana"/>
          <w:sz w:val="20"/>
          <w:szCs w:val="20"/>
        </w:rPr>
        <w:t xml:space="preserve">inicialmente </w:t>
      </w:r>
      <w:r w:rsidRPr="00D66B27">
        <w:rPr>
          <w:rFonts w:ascii="Verdana" w:hAnsi="Verdana"/>
          <w:sz w:val="20"/>
          <w:szCs w:val="20"/>
        </w:rPr>
        <w:t>que la reparación adecuada en este caso correspondería a una indemnización monetaria que la Corte fijaría (</w:t>
      </w:r>
      <w:r w:rsidRPr="00D66B27">
        <w:rPr>
          <w:rFonts w:ascii="Verdana" w:hAnsi="Verdana"/>
          <w:i/>
          <w:sz w:val="20"/>
          <w:szCs w:val="20"/>
        </w:rPr>
        <w:t xml:space="preserve">supra </w:t>
      </w:r>
      <w:r w:rsidR="00030215">
        <w:rPr>
          <w:rFonts w:ascii="Verdana" w:hAnsi="Verdana"/>
          <w:sz w:val="20"/>
          <w:szCs w:val="20"/>
        </w:rPr>
        <w:t>párr. 19</w:t>
      </w:r>
      <w:r w:rsidRPr="00D66B27">
        <w:rPr>
          <w:rFonts w:ascii="Verdana" w:hAnsi="Verdana"/>
          <w:sz w:val="20"/>
          <w:szCs w:val="20"/>
        </w:rPr>
        <w:t xml:space="preserve">), </w:t>
      </w:r>
      <w:r w:rsidR="0054175B" w:rsidRPr="00D66B27">
        <w:rPr>
          <w:rFonts w:ascii="Verdana" w:hAnsi="Verdana"/>
          <w:sz w:val="20"/>
          <w:szCs w:val="20"/>
        </w:rPr>
        <w:t xml:space="preserve">el Estado manifestó </w:t>
      </w:r>
      <w:r w:rsidRPr="00D66B27">
        <w:rPr>
          <w:rFonts w:ascii="Verdana" w:hAnsi="Verdana"/>
          <w:sz w:val="20"/>
          <w:szCs w:val="20"/>
        </w:rPr>
        <w:t>en sus alegatos finales</w:t>
      </w:r>
      <w:r w:rsidR="008B4287">
        <w:rPr>
          <w:rFonts w:ascii="Verdana" w:hAnsi="Verdana"/>
          <w:sz w:val="20"/>
          <w:szCs w:val="20"/>
        </w:rPr>
        <w:t>, cambiando su posición sostenida durante todo el procedimiento,</w:t>
      </w:r>
      <w:r w:rsidRPr="00D66B27">
        <w:rPr>
          <w:rFonts w:ascii="Verdana" w:hAnsi="Verdana"/>
          <w:sz w:val="20"/>
          <w:szCs w:val="20"/>
        </w:rPr>
        <w:t xml:space="preserve"> que no correspondería </w:t>
      </w:r>
      <w:r w:rsidR="008B4287">
        <w:rPr>
          <w:rFonts w:ascii="Verdana" w:hAnsi="Verdana"/>
          <w:sz w:val="20"/>
          <w:szCs w:val="20"/>
        </w:rPr>
        <w:t>al Tribunal</w:t>
      </w:r>
      <w:r w:rsidR="002B38DC">
        <w:rPr>
          <w:rFonts w:ascii="Verdana" w:hAnsi="Verdana"/>
          <w:sz w:val="20"/>
          <w:szCs w:val="20"/>
        </w:rPr>
        <w:t xml:space="preserve"> fijar indemnización porque ello implicaría</w:t>
      </w:r>
      <w:r w:rsidR="008B4287">
        <w:rPr>
          <w:rFonts w:ascii="Verdana" w:hAnsi="Verdana"/>
          <w:sz w:val="20"/>
          <w:szCs w:val="20"/>
        </w:rPr>
        <w:t xml:space="preserve"> </w:t>
      </w:r>
      <w:r w:rsidR="002B7811" w:rsidRPr="00D66B27">
        <w:rPr>
          <w:rFonts w:ascii="Verdana" w:hAnsi="Verdana"/>
          <w:sz w:val="20"/>
          <w:szCs w:val="20"/>
        </w:rPr>
        <w:t>evaluar</w:t>
      </w:r>
      <w:r w:rsidRPr="00D66B27">
        <w:rPr>
          <w:rFonts w:ascii="Verdana" w:hAnsi="Verdana"/>
          <w:sz w:val="20"/>
          <w:szCs w:val="20"/>
        </w:rPr>
        <w:t xml:space="preserve"> esos perjuicios morales reclamados por las víctimas. </w:t>
      </w:r>
      <w:r w:rsidR="008B4287">
        <w:rPr>
          <w:rFonts w:ascii="Verdana" w:hAnsi="Verdana"/>
          <w:sz w:val="20"/>
          <w:szCs w:val="20"/>
        </w:rPr>
        <w:t>L</w:t>
      </w:r>
      <w:r w:rsidR="005268C7" w:rsidRPr="00D66B27">
        <w:rPr>
          <w:rFonts w:ascii="Verdana" w:hAnsi="Verdana"/>
          <w:sz w:val="20"/>
          <w:szCs w:val="20"/>
        </w:rPr>
        <w:t xml:space="preserve">os alegatos finales escritos no son </w:t>
      </w:r>
      <w:r w:rsidR="00A24B90" w:rsidRPr="00D66B27">
        <w:rPr>
          <w:rFonts w:ascii="Verdana" w:hAnsi="Verdana"/>
          <w:sz w:val="20"/>
          <w:szCs w:val="20"/>
        </w:rPr>
        <w:t>un</w:t>
      </w:r>
      <w:r w:rsidR="005268C7" w:rsidRPr="00D66B27">
        <w:rPr>
          <w:rFonts w:ascii="Verdana" w:hAnsi="Verdana"/>
          <w:sz w:val="20"/>
          <w:szCs w:val="20"/>
        </w:rPr>
        <w:t xml:space="preserve"> momento procesal para contradecir o limitar el efecto de su reconocimiento de </w:t>
      </w:r>
      <w:r w:rsidR="005268C7" w:rsidRPr="00D66B27">
        <w:rPr>
          <w:rFonts w:ascii="Verdana" w:hAnsi="Verdana"/>
          <w:sz w:val="20"/>
          <w:szCs w:val="20"/>
        </w:rPr>
        <w:lastRenderedPageBreak/>
        <w:t>responsabilidad</w:t>
      </w:r>
      <w:r w:rsidR="005268C7" w:rsidRPr="00D66B27">
        <w:rPr>
          <w:rStyle w:val="Refdenotaalpie"/>
          <w:rFonts w:ascii="Verdana" w:hAnsi="Verdana"/>
          <w:sz w:val="20"/>
          <w:szCs w:val="20"/>
        </w:rPr>
        <w:footnoteReference w:id="84"/>
      </w:r>
      <w:r w:rsidR="008B4287">
        <w:rPr>
          <w:rFonts w:ascii="Verdana" w:hAnsi="Verdana"/>
          <w:sz w:val="20"/>
          <w:szCs w:val="20"/>
        </w:rPr>
        <w:t>. A la vez,</w:t>
      </w:r>
      <w:r w:rsidR="007A550B" w:rsidRPr="00D66B27">
        <w:rPr>
          <w:rFonts w:ascii="Verdana" w:eastAsia="Batang" w:hAnsi="Verdana"/>
          <w:sz w:val="20"/>
          <w:szCs w:val="20"/>
          <w:lang w:eastAsia="es-MX"/>
        </w:rPr>
        <w:t xml:space="preserve"> es </w:t>
      </w:r>
      <w:r w:rsidR="00C93DAC" w:rsidRPr="00D66B27">
        <w:rPr>
          <w:rFonts w:ascii="Verdana" w:eastAsia="Batang" w:hAnsi="Verdana"/>
          <w:sz w:val="20"/>
          <w:szCs w:val="20"/>
          <w:lang w:eastAsia="es-MX"/>
        </w:rPr>
        <w:t xml:space="preserve">cierto </w:t>
      </w:r>
      <w:r w:rsidR="007A550B" w:rsidRPr="00D66B27">
        <w:rPr>
          <w:rFonts w:ascii="Verdana" w:eastAsia="Batang" w:hAnsi="Verdana"/>
          <w:sz w:val="20"/>
          <w:szCs w:val="20"/>
          <w:lang w:eastAsia="es-MX"/>
        </w:rPr>
        <w:t>que</w:t>
      </w:r>
      <w:r w:rsidR="00606D38" w:rsidRPr="00D66B27">
        <w:rPr>
          <w:rFonts w:ascii="Verdana" w:eastAsia="Batang" w:hAnsi="Verdana"/>
          <w:sz w:val="20"/>
          <w:szCs w:val="20"/>
          <w:lang w:eastAsia="es-MX"/>
        </w:rPr>
        <w:t xml:space="preserve"> el representante </w:t>
      </w:r>
      <w:r w:rsidR="00223564" w:rsidRPr="00D66B27">
        <w:rPr>
          <w:rFonts w:ascii="Verdana" w:eastAsia="Batang" w:hAnsi="Verdana"/>
          <w:sz w:val="20"/>
          <w:szCs w:val="20"/>
          <w:lang w:eastAsia="es-MX"/>
        </w:rPr>
        <w:t xml:space="preserve">y la Comisión </w:t>
      </w:r>
      <w:r w:rsidR="00606D38" w:rsidRPr="00D66B27">
        <w:rPr>
          <w:rFonts w:ascii="Verdana" w:eastAsia="Batang" w:hAnsi="Verdana"/>
          <w:sz w:val="20"/>
          <w:szCs w:val="20"/>
          <w:lang w:eastAsia="es-MX"/>
        </w:rPr>
        <w:t>no pres</w:t>
      </w:r>
      <w:r w:rsidR="00223564" w:rsidRPr="00D66B27">
        <w:rPr>
          <w:rFonts w:ascii="Verdana" w:eastAsia="Batang" w:hAnsi="Verdana"/>
          <w:sz w:val="20"/>
          <w:szCs w:val="20"/>
          <w:lang w:eastAsia="es-MX"/>
        </w:rPr>
        <w:t>entaron</w:t>
      </w:r>
      <w:r w:rsidR="00606D38" w:rsidRPr="00D66B27">
        <w:rPr>
          <w:rFonts w:ascii="Verdana" w:eastAsia="Batang" w:hAnsi="Verdana"/>
          <w:sz w:val="20"/>
          <w:szCs w:val="20"/>
          <w:lang w:eastAsia="es-MX"/>
        </w:rPr>
        <w:t xml:space="preserve"> </w:t>
      </w:r>
      <w:r w:rsidR="00E303DB" w:rsidRPr="00D66B27">
        <w:rPr>
          <w:rFonts w:ascii="Verdana" w:eastAsia="Batang" w:hAnsi="Verdana"/>
          <w:sz w:val="20"/>
          <w:szCs w:val="20"/>
          <w:lang w:eastAsia="es-MX"/>
        </w:rPr>
        <w:t xml:space="preserve">ante la Corte </w:t>
      </w:r>
      <w:r w:rsidR="00606D38" w:rsidRPr="00D66B27">
        <w:rPr>
          <w:rFonts w:ascii="Verdana" w:eastAsia="Batang" w:hAnsi="Verdana"/>
          <w:sz w:val="20"/>
          <w:szCs w:val="20"/>
          <w:lang w:eastAsia="es-MX"/>
        </w:rPr>
        <w:t xml:space="preserve">pretensiones </w:t>
      </w:r>
      <w:r w:rsidR="007A550B" w:rsidRPr="00D66B27">
        <w:rPr>
          <w:rFonts w:ascii="Verdana" w:eastAsia="Batang" w:hAnsi="Verdana"/>
          <w:sz w:val="20"/>
          <w:szCs w:val="20"/>
          <w:lang w:eastAsia="es-MX"/>
        </w:rPr>
        <w:t xml:space="preserve">de indemnizaciones o compensaciones pecuniarias </w:t>
      </w:r>
      <w:r w:rsidR="00606D38" w:rsidRPr="00D66B27">
        <w:rPr>
          <w:rFonts w:ascii="Verdana" w:eastAsia="Batang" w:hAnsi="Verdana"/>
          <w:sz w:val="20"/>
          <w:szCs w:val="20"/>
          <w:lang w:eastAsia="es-MX"/>
        </w:rPr>
        <w:t xml:space="preserve">con cuantificaciones específicas </w:t>
      </w:r>
      <w:r w:rsidR="00115292" w:rsidRPr="00D66B27">
        <w:rPr>
          <w:rFonts w:ascii="Verdana" w:eastAsia="Batang" w:hAnsi="Verdana"/>
          <w:sz w:val="20"/>
          <w:szCs w:val="20"/>
          <w:lang w:eastAsia="es-MX"/>
        </w:rPr>
        <w:t>sobre daños morales o inmateriales que las víctimas estimar</w:t>
      </w:r>
      <w:r w:rsidR="00C22C0B" w:rsidRPr="00D66B27">
        <w:rPr>
          <w:rFonts w:ascii="Verdana" w:eastAsia="Batang" w:hAnsi="Verdana"/>
          <w:sz w:val="20"/>
          <w:szCs w:val="20"/>
          <w:lang w:eastAsia="es-MX"/>
        </w:rPr>
        <w:t>ían apropiadas</w:t>
      </w:r>
      <w:r w:rsidR="00223564" w:rsidRPr="00D66B27">
        <w:rPr>
          <w:rFonts w:ascii="Verdana" w:eastAsia="Batang" w:hAnsi="Verdana"/>
          <w:sz w:val="20"/>
          <w:szCs w:val="20"/>
          <w:lang w:eastAsia="es-MX"/>
        </w:rPr>
        <w:t xml:space="preserve">. </w:t>
      </w:r>
    </w:p>
    <w:p w14:paraId="2469ECCE" w14:textId="77777777" w:rsidR="00C93DAC" w:rsidRPr="00D66B27" w:rsidRDefault="00C93DAC" w:rsidP="00364C6E">
      <w:pPr>
        <w:pBdr>
          <w:top w:val="nil"/>
        </w:pBdr>
        <w:autoSpaceDE w:val="0"/>
        <w:autoSpaceDN w:val="0"/>
        <w:adjustRightInd w:val="0"/>
        <w:spacing w:after="0" w:line="240" w:lineRule="auto"/>
        <w:jc w:val="both"/>
        <w:rPr>
          <w:rFonts w:ascii="Verdana" w:hAnsi="Verdana"/>
          <w:sz w:val="20"/>
          <w:szCs w:val="20"/>
        </w:rPr>
      </w:pPr>
    </w:p>
    <w:p w14:paraId="758E93F0" w14:textId="4D5773FD" w:rsidR="00C93DAC" w:rsidRPr="00D66B27" w:rsidRDefault="002A317B" w:rsidP="00364C6E">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E</w:t>
      </w:r>
      <w:r w:rsidR="00C93DAC" w:rsidRPr="00D66B27">
        <w:rPr>
          <w:rFonts w:ascii="Verdana" w:hAnsi="Verdana"/>
          <w:sz w:val="20"/>
          <w:szCs w:val="20"/>
        </w:rPr>
        <w:t>n el presente caso</w:t>
      </w:r>
      <w:r w:rsidRPr="00D66B27">
        <w:rPr>
          <w:rFonts w:ascii="Verdana" w:hAnsi="Verdana"/>
          <w:sz w:val="20"/>
          <w:szCs w:val="20"/>
        </w:rPr>
        <w:t>,</w:t>
      </w:r>
      <w:r w:rsidR="00C93DAC" w:rsidRPr="00D66B27">
        <w:rPr>
          <w:rFonts w:ascii="Verdana" w:hAnsi="Verdana"/>
          <w:sz w:val="20"/>
          <w:szCs w:val="20"/>
        </w:rPr>
        <w:t xml:space="preserve"> la denegación de justicia surgió por una interpretación judicial contraria a la Convención y la consecuencia de la situación jurídica infringida es que, al día de hoy, las víctimas no han podido hacer efectivo su derecho a reclamar</w:t>
      </w:r>
      <w:r w:rsidRPr="00D66B27">
        <w:rPr>
          <w:rFonts w:ascii="Verdana" w:hAnsi="Verdana"/>
          <w:sz w:val="20"/>
          <w:szCs w:val="20"/>
        </w:rPr>
        <w:t>,</w:t>
      </w:r>
      <w:r w:rsidR="00C93DAC" w:rsidRPr="00D66B27">
        <w:rPr>
          <w:rFonts w:ascii="Verdana" w:hAnsi="Verdana"/>
          <w:sz w:val="20"/>
          <w:szCs w:val="20"/>
        </w:rPr>
        <w:t xml:space="preserve"> y eventualmente recibir</w:t>
      </w:r>
      <w:r w:rsidRPr="00D66B27">
        <w:rPr>
          <w:rFonts w:ascii="Verdana" w:hAnsi="Verdana"/>
          <w:sz w:val="20"/>
          <w:szCs w:val="20"/>
        </w:rPr>
        <w:t>,</w:t>
      </w:r>
      <w:r w:rsidR="00C93DAC" w:rsidRPr="00D66B27">
        <w:rPr>
          <w:rFonts w:ascii="Verdana" w:hAnsi="Verdana"/>
          <w:sz w:val="20"/>
          <w:szCs w:val="20"/>
        </w:rPr>
        <w:t xml:space="preserve"> indemnizaciones por perjuicios morales alegados por la vía de una determinación judicial. </w:t>
      </w:r>
      <w:r w:rsidRPr="00D66B27">
        <w:rPr>
          <w:rFonts w:ascii="Verdana" w:hAnsi="Verdana"/>
          <w:sz w:val="20"/>
          <w:szCs w:val="20"/>
        </w:rPr>
        <w:t>De ese modo, la medida de restitución consecuente con ese daño podría ser disponer que el Estado les garantice el acceso a un nuevo recurso rápido y efectivo de carácter judicial para subsanar dicha situación o, en su defecto, algún mecanismo alternativo que cumpla con esa necesidad.</w:t>
      </w:r>
    </w:p>
    <w:p w14:paraId="12AF11E6" w14:textId="77777777" w:rsidR="002A317B" w:rsidRPr="00D66B27" w:rsidRDefault="002A317B" w:rsidP="00364C6E">
      <w:pPr>
        <w:pBdr>
          <w:top w:val="nil"/>
        </w:pBdr>
        <w:autoSpaceDE w:val="0"/>
        <w:autoSpaceDN w:val="0"/>
        <w:adjustRightInd w:val="0"/>
        <w:spacing w:after="0" w:line="240" w:lineRule="auto"/>
        <w:jc w:val="both"/>
        <w:rPr>
          <w:rFonts w:ascii="Verdana" w:eastAsia="Batang" w:hAnsi="Verdana"/>
          <w:sz w:val="20"/>
          <w:szCs w:val="20"/>
          <w:lang w:eastAsia="es-MX"/>
        </w:rPr>
      </w:pPr>
    </w:p>
    <w:p w14:paraId="2A323EC8" w14:textId="729D10A5" w:rsidR="00C93DAC" w:rsidRPr="00D66B27" w:rsidRDefault="002A317B" w:rsidP="00364C6E">
      <w:pPr>
        <w:numPr>
          <w:ilvl w:val="0"/>
          <w:numId w:val="2"/>
        </w:numPr>
        <w:pBdr>
          <w:top w:val="nil"/>
        </w:pBdr>
        <w:autoSpaceDE w:val="0"/>
        <w:autoSpaceDN w:val="0"/>
        <w:adjustRightInd w:val="0"/>
        <w:spacing w:after="0" w:line="240" w:lineRule="auto"/>
        <w:ind w:left="0" w:firstLine="0"/>
        <w:jc w:val="both"/>
        <w:rPr>
          <w:rFonts w:ascii="Verdana" w:eastAsia="Batang" w:hAnsi="Verdana"/>
          <w:sz w:val="20"/>
          <w:szCs w:val="20"/>
          <w:lang w:eastAsia="es-MX"/>
        </w:rPr>
      </w:pPr>
      <w:r w:rsidRPr="00D66B27">
        <w:rPr>
          <w:rFonts w:ascii="Verdana" w:eastAsia="Batang" w:hAnsi="Verdana"/>
          <w:sz w:val="20"/>
          <w:szCs w:val="20"/>
          <w:lang w:eastAsia="es-MX"/>
        </w:rPr>
        <w:t>No obstante</w:t>
      </w:r>
      <w:r w:rsidR="00C93DAC" w:rsidRPr="00D66B27">
        <w:rPr>
          <w:rFonts w:ascii="Verdana" w:eastAsia="Batang" w:hAnsi="Verdana"/>
          <w:sz w:val="20"/>
          <w:szCs w:val="20"/>
          <w:lang w:eastAsia="es-MX"/>
        </w:rPr>
        <w:t>,</w:t>
      </w:r>
      <w:r w:rsidRPr="00D66B27">
        <w:rPr>
          <w:rFonts w:ascii="Verdana" w:eastAsia="Batang" w:hAnsi="Verdana"/>
          <w:sz w:val="20"/>
          <w:szCs w:val="20"/>
          <w:lang w:eastAsia="es-MX"/>
        </w:rPr>
        <w:t xml:space="preserve"> en definitiva,</w:t>
      </w:r>
      <w:r w:rsidR="00C93DAC" w:rsidRPr="00D66B27">
        <w:rPr>
          <w:rFonts w:ascii="Verdana" w:eastAsia="Batang" w:hAnsi="Verdana"/>
          <w:sz w:val="20"/>
          <w:szCs w:val="20"/>
          <w:lang w:eastAsia="es-MX"/>
        </w:rPr>
        <w:t xml:space="preserve"> </w:t>
      </w:r>
      <w:r w:rsidR="00C93DAC" w:rsidRPr="00D66B27">
        <w:rPr>
          <w:rFonts w:ascii="Verdana" w:hAnsi="Verdana"/>
          <w:sz w:val="20"/>
          <w:szCs w:val="20"/>
        </w:rPr>
        <w:t xml:space="preserve">el daño ocasionado </w:t>
      </w:r>
      <w:r w:rsidRPr="00D66B27">
        <w:rPr>
          <w:rFonts w:ascii="Verdana" w:eastAsia="Batang" w:hAnsi="Verdana"/>
          <w:sz w:val="20"/>
          <w:szCs w:val="20"/>
          <w:lang w:eastAsia="es-MX"/>
        </w:rPr>
        <w:t xml:space="preserve">por esa falta </w:t>
      </w:r>
      <w:r w:rsidRPr="00D66B27">
        <w:rPr>
          <w:rFonts w:ascii="Verdana" w:hAnsi="Verdana"/>
          <w:sz w:val="20"/>
          <w:szCs w:val="20"/>
        </w:rPr>
        <w:t xml:space="preserve">de acceso a la justicia </w:t>
      </w:r>
      <w:r w:rsidR="00C93DAC" w:rsidRPr="00D66B27">
        <w:rPr>
          <w:rFonts w:ascii="Verdana" w:hAnsi="Verdana"/>
          <w:sz w:val="20"/>
          <w:szCs w:val="20"/>
        </w:rPr>
        <w:t>es</w:t>
      </w:r>
      <w:r w:rsidRPr="00D66B27">
        <w:rPr>
          <w:rFonts w:ascii="Verdana" w:hAnsi="Verdana"/>
          <w:sz w:val="20"/>
          <w:szCs w:val="20"/>
        </w:rPr>
        <w:t xml:space="preserve"> que las víctimas no han </w:t>
      </w:r>
      <w:r w:rsidR="00D2166C" w:rsidRPr="00D66B27">
        <w:rPr>
          <w:rFonts w:ascii="Verdana" w:hAnsi="Verdana"/>
          <w:sz w:val="20"/>
          <w:szCs w:val="20"/>
        </w:rPr>
        <w:t xml:space="preserve">recibido </w:t>
      </w:r>
      <w:r w:rsidRPr="00D66B27">
        <w:rPr>
          <w:rFonts w:ascii="Verdana" w:hAnsi="Verdana"/>
          <w:sz w:val="20"/>
          <w:szCs w:val="20"/>
        </w:rPr>
        <w:t>aún</w:t>
      </w:r>
      <w:r w:rsidR="00C93DAC" w:rsidRPr="00D66B27">
        <w:rPr>
          <w:rFonts w:ascii="Verdana" w:hAnsi="Verdana"/>
          <w:sz w:val="20"/>
          <w:szCs w:val="20"/>
        </w:rPr>
        <w:t xml:space="preserve"> las indemnizaciones que les corresponderían</w:t>
      </w:r>
      <w:r w:rsidR="002A5963" w:rsidRPr="00D66B27">
        <w:rPr>
          <w:rFonts w:ascii="Verdana" w:hAnsi="Verdana"/>
          <w:sz w:val="20"/>
          <w:szCs w:val="20"/>
        </w:rPr>
        <w:t xml:space="preserve"> y, </w:t>
      </w:r>
      <w:r w:rsidR="002A5963" w:rsidRPr="00D66B27">
        <w:rPr>
          <w:rFonts w:ascii="Verdana" w:eastAsia="Batang" w:hAnsi="Verdana"/>
          <w:sz w:val="20"/>
          <w:szCs w:val="20"/>
          <w:lang w:eastAsia="es-MX"/>
        </w:rPr>
        <w:t>si se aceptara el argumento del Estado, la consecuencia necesaria es que aquéllas quedarían sin la posibilidad de acceder a reparaciones tanto en el ámbito interno como internacional</w:t>
      </w:r>
      <w:r w:rsidR="00C93DAC" w:rsidRPr="00D66B27">
        <w:rPr>
          <w:rFonts w:ascii="Verdana" w:hAnsi="Verdana"/>
          <w:sz w:val="20"/>
          <w:szCs w:val="20"/>
        </w:rPr>
        <w:t xml:space="preserve">. </w:t>
      </w:r>
      <w:r w:rsidR="00A34895" w:rsidRPr="00D66B27">
        <w:rPr>
          <w:rFonts w:ascii="Verdana" w:hAnsi="Verdana"/>
          <w:sz w:val="20"/>
          <w:szCs w:val="20"/>
        </w:rPr>
        <w:t>T</w:t>
      </w:r>
      <w:r w:rsidR="00A34895" w:rsidRPr="00D66B27">
        <w:rPr>
          <w:rFonts w:ascii="Verdana" w:eastAsia="Batang" w:hAnsi="Verdana"/>
          <w:sz w:val="20"/>
          <w:szCs w:val="20"/>
          <w:lang w:eastAsia="es-MX"/>
        </w:rPr>
        <w:t xml:space="preserve">odos los familiares de las víctimas </w:t>
      </w:r>
      <w:r w:rsidR="002B38DC">
        <w:rPr>
          <w:rFonts w:ascii="Verdana" w:eastAsia="Batang" w:hAnsi="Verdana"/>
          <w:sz w:val="20"/>
          <w:szCs w:val="20"/>
          <w:lang w:eastAsia="es-MX"/>
        </w:rPr>
        <w:t xml:space="preserve">de este caso </w:t>
      </w:r>
      <w:r w:rsidR="00A34895" w:rsidRPr="00D66B27">
        <w:rPr>
          <w:rFonts w:ascii="Verdana" w:eastAsia="Batang" w:hAnsi="Verdana"/>
          <w:sz w:val="20"/>
          <w:szCs w:val="20"/>
          <w:lang w:eastAsia="es-MX"/>
        </w:rPr>
        <w:t xml:space="preserve">son personas desaparecidas o ejecutadas, y en algunos casos torturados, </w:t>
      </w:r>
      <w:r w:rsidR="002A25A3">
        <w:rPr>
          <w:rFonts w:ascii="Verdana" w:eastAsia="Batang" w:hAnsi="Verdana"/>
          <w:sz w:val="20"/>
          <w:szCs w:val="20"/>
          <w:lang w:eastAsia="es-MX"/>
        </w:rPr>
        <w:t>en</w:t>
      </w:r>
      <w:r w:rsidR="00A34895" w:rsidRPr="00D66B27">
        <w:rPr>
          <w:rFonts w:ascii="Verdana" w:eastAsia="Batang" w:hAnsi="Verdana"/>
          <w:sz w:val="20"/>
          <w:szCs w:val="20"/>
          <w:lang w:eastAsia="es-MX"/>
        </w:rPr>
        <w:t xml:space="preserve"> hechos </w:t>
      </w:r>
      <w:r w:rsidR="002A5963" w:rsidRPr="00D66B27">
        <w:rPr>
          <w:rFonts w:ascii="Verdana" w:eastAsia="Batang" w:hAnsi="Verdana"/>
          <w:sz w:val="20"/>
          <w:szCs w:val="20"/>
          <w:lang w:eastAsia="es-MX"/>
        </w:rPr>
        <w:t>calificados como crímenes contra la humanidad</w:t>
      </w:r>
      <w:r w:rsidR="0040719F">
        <w:rPr>
          <w:rFonts w:ascii="Verdana" w:eastAsia="Batang" w:hAnsi="Verdana"/>
          <w:sz w:val="20"/>
          <w:szCs w:val="20"/>
          <w:lang w:eastAsia="es-MX"/>
        </w:rPr>
        <w:t>,</w:t>
      </w:r>
      <w:r w:rsidR="002A5963" w:rsidRPr="00D66B27">
        <w:rPr>
          <w:rFonts w:ascii="Verdana" w:eastAsia="Batang" w:hAnsi="Verdana"/>
          <w:sz w:val="20"/>
          <w:szCs w:val="20"/>
          <w:lang w:eastAsia="es-MX"/>
        </w:rPr>
        <w:t xml:space="preserve"> </w:t>
      </w:r>
      <w:r w:rsidR="00A34895" w:rsidRPr="00D66B27">
        <w:rPr>
          <w:rFonts w:ascii="Verdana" w:eastAsia="Batang" w:hAnsi="Verdana"/>
          <w:sz w:val="20"/>
          <w:szCs w:val="20"/>
          <w:lang w:eastAsia="es-MX"/>
        </w:rPr>
        <w:t xml:space="preserve">que han </w:t>
      </w:r>
      <w:r w:rsidR="002A5963" w:rsidRPr="00D66B27">
        <w:rPr>
          <w:rFonts w:ascii="Verdana" w:eastAsia="Batang" w:hAnsi="Verdana"/>
          <w:sz w:val="20"/>
          <w:szCs w:val="20"/>
          <w:lang w:eastAsia="es-MX"/>
        </w:rPr>
        <w:t xml:space="preserve">sido </w:t>
      </w:r>
      <w:r w:rsidR="00A34895" w:rsidRPr="00D66B27">
        <w:rPr>
          <w:rFonts w:ascii="Verdana" w:eastAsia="Batang" w:hAnsi="Verdana"/>
          <w:sz w:val="20"/>
          <w:szCs w:val="20"/>
          <w:lang w:eastAsia="es-MX"/>
        </w:rPr>
        <w:t xml:space="preserve">reconocidos por el Estado a través de la Comisión </w:t>
      </w:r>
      <w:r w:rsidR="002A5963" w:rsidRPr="00D66B27">
        <w:rPr>
          <w:rFonts w:ascii="Verdana" w:eastAsia="Batang" w:hAnsi="Verdana"/>
          <w:sz w:val="20"/>
          <w:szCs w:val="20"/>
          <w:lang w:eastAsia="es-MX"/>
        </w:rPr>
        <w:t>Rettig y ante este Tribunal.</w:t>
      </w:r>
      <w:r w:rsidR="00A34895" w:rsidRPr="00D66B27">
        <w:rPr>
          <w:rFonts w:ascii="Verdana" w:hAnsi="Verdana"/>
          <w:sz w:val="20"/>
          <w:szCs w:val="20"/>
        </w:rPr>
        <w:t xml:space="preserve"> </w:t>
      </w:r>
    </w:p>
    <w:p w14:paraId="7E5F7797" w14:textId="16B7FCD5" w:rsidR="00EC1D34" w:rsidRPr="00D66B27" w:rsidRDefault="00EC1D34" w:rsidP="00364C6E">
      <w:pPr>
        <w:pBdr>
          <w:top w:val="nil"/>
        </w:pBdr>
        <w:autoSpaceDE w:val="0"/>
        <w:autoSpaceDN w:val="0"/>
        <w:adjustRightInd w:val="0"/>
        <w:spacing w:after="0" w:line="240" w:lineRule="auto"/>
        <w:jc w:val="both"/>
        <w:rPr>
          <w:rFonts w:ascii="Verdana" w:eastAsia="Batang" w:hAnsi="Verdana"/>
          <w:sz w:val="20"/>
          <w:szCs w:val="20"/>
          <w:lang w:eastAsia="es-MX"/>
        </w:rPr>
      </w:pPr>
    </w:p>
    <w:p w14:paraId="2C8054D7" w14:textId="2C43022A" w:rsidR="00EC1D34" w:rsidRPr="00D66B27" w:rsidRDefault="0040719F" w:rsidP="00364C6E">
      <w:pPr>
        <w:numPr>
          <w:ilvl w:val="0"/>
          <w:numId w:val="2"/>
        </w:numPr>
        <w:pBdr>
          <w:top w:val="nil"/>
        </w:pBdr>
        <w:autoSpaceDE w:val="0"/>
        <w:autoSpaceDN w:val="0"/>
        <w:adjustRightInd w:val="0"/>
        <w:spacing w:after="0" w:line="240" w:lineRule="auto"/>
        <w:ind w:left="0" w:firstLine="0"/>
        <w:jc w:val="both"/>
        <w:rPr>
          <w:rFonts w:ascii="Verdana" w:hAnsi="Verdana"/>
          <w:i/>
          <w:sz w:val="20"/>
          <w:szCs w:val="20"/>
        </w:rPr>
      </w:pPr>
      <w:r>
        <w:rPr>
          <w:rFonts w:ascii="Verdana" w:eastAsia="Batang" w:hAnsi="Verdana"/>
          <w:sz w:val="20"/>
          <w:szCs w:val="20"/>
          <w:lang w:eastAsia="es-MX"/>
        </w:rPr>
        <w:t>L</w:t>
      </w:r>
      <w:r w:rsidR="00EC1D34" w:rsidRPr="00D66B27">
        <w:rPr>
          <w:rFonts w:ascii="Verdana" w:eastAsia="Batang" w:hAnsi="Verdana"/>
          <w:sz w:val="20"/>
          <w:szCs w:val="20"/>
          <w:lang w:eastAsia="es-MX"/>
        </w:rPr>
        <w:t xml:space="preserve">a Corte ha señalado reiteradamente que </w:t>
      </w:r>
      <w:r w:rsidR="00EC1D34" w:rsidRPr="00D66B27">
        <w:rPr>
          <w:rFonts w:ascii="Verdana" w:hAnsi="Verdana"/>
          <w:sz w:val="20"/>
          <w:szCs w:val="20"/>
        </w:rPr>
        <w:t>el principio de complementariedad informa transversalmente el Sistema Interamericano de Derechos Humanos, el cual es, tal como lo expresa el Preámbulo de la Convención Americana, “coadyuvante o complementario de la [protección] que ofrece el derecho interno de los Estados americanos”</w:t>
      </w:r>
      <w:r w:rsidR="00EC1D34" w:rsidRPr="00D66B27">
        <w:rPr>
          <w:rFonts w:ascii="Verdana" w:hAnsi="Verdana"/>
          <w:sz w:val="20"/>
          <w:szCs w:val="20"/>
          <w:vertAlign w:val="superscript"/>
        </w:rPr>
        <w:footnoteReference w:id="85"/>
      </w:r>
      <w:r w:rsidR="00EC1D34" w:rsidRPr="00D66B27">
        <w:rPr>
          <w:rFonts w:ascii="Verdana" w:hAnsi="Verdana"/>
          <w:sz w:val="20"/>
          <w:szCs w:val="20"/>
        </w:rPr>
        <w:t>.</w:t>
      </w:r>
      <w:r w:rsidR="00EC1D34" w:rsidRPr="00D66B27">
        <w:rPr>
          <w:rFonts w:ascii="Verdana" w:hAnsi="Verdana"/>
          <w:i/>
          <w:sz w:val="20"/>
          <w:szCs w:val="20"/>
        </w:rPr>
        <w:t xml:space="preserve"> </w:t>
      </w:r>
      <w:r w:rsidR="00EC1D34" w:rsidRPr="00D66B27">
        <w:rPr>
          <w:rFonts w:ascii="Verdana" w:hAnsi="Verdana"/>
          <w:sz w:val="20"/>
          <w:szCs w:val="20"/>
        </w:rPr>
        <w:t>Por ello, el sistema de protección instaurado por la Convención no sustituye a las jurisdicciones nacionales, sino que las complementa</w:t>
      </w:r>
      <w:r w:rsidR="00EC1D34" w:rsidRPr="00D66B27">
        <w:rPr>
          <w:rFonts w:ascii="Verdana" w:hAnsi="Verdana"/>
          <w:sz w:val="20"/>
          <w:szCs w:val="20"/>
          <w:vertAlign w:val="superscript"/>
        </w:rPr>
        <w:footnoteReference w:id="86"/>
      </w:r>
      <w:r w:rsidR="00EC1D34" w:rsidRPr="00D66B27">
        <w:rPr>
          <w:rFonts w:ascii="Verdana" w:hAnsi="Verdana"/>
          <w:sz w:val="20"/>
          <w:szCs w:val="20"/>
        </w:rPr>
        <w:t>.</w:t>
      </w:r>
    </w:p>
    <w:p w14:paraId="3A427939" w14:textId="77777777" w:rsidR="00C93DAC" w:rsidRPr="00D66B27" w:rsidRDefault="00C93DAC" w:rsidP="00364C6E">
      <w:pPr>
        <w:pBdr>
          <w:top w:val="nil"/>
        </w:pBdr>
        <w:autoSpaceDE w:val="0"/>
        <w:autoSpaceDN w:val="0"/>
        <w:adjustRightInd w:val="0"/>
        <w:spacing w:after="0" w:line="240" w:lineRule="auto"/>
        <w:jc w:val="both"/>
        <w:rPr>
          <w:rFonts w:ascii="Verdana" w:eastAsia="Batang" w:hAnsi="Verdana"/>
          <w:sz w:val="20"/>
          <w:szCs w:val="20"/>
          <w:lang w:eastAsia="es-MX"/>
        </w:rPr>
      </w:pPr>
    </w:p>
    <w:p w14:paraId="63162DB0" w14:textId="21B724FF" w:rsidR="00A34895" w:rsidRPr="00D66B27" w:rsidRDefault="00A34895" w:rsidP="00364C6E">
      <w:pPr>
        <w:numPr>
          <w:ilvl w:val="0"/>
          <w:numId w:val="2"/>
        </w:numPr>
        <w:pBdr>
          <w:top w:val="nil"/>
        </w:pBdr>
        <w:autoSpaceDE w:val="0"/>
        <w:autoSpaceDN w:val="0"/>
        <w:adjustRightInd w:val="0"/>
        <w:spacing w:after="0" w:line="240" w:lineRule="auto"/>
        <w:ind w:left="0" w:firstLine="0"/>
        <w:jc w:val="both"/>
        <w:rPr>
          <w:rFonts w:ascii="Verdana" w:eastAsia="Batang" w:hAnsi="Verdana"/>
          <w:sz w:val="20"/>
          <w:szCs w:val="20"/>
          <w:lang w:eastAsia="es-MX"/>
        </w:rPr>
      </w:pPr>
      <w:r w:rsidRPr="00D66B27">
        <w:rPr>
          <w:rFonts w:ascii="Verdana" w:hAnsi="Verdana"/>
          <w:sz w:val="20"/>
          <w:szCs w:val="20"/>
        </w:rPr>
        <w:t xml:space="preserve">De ese modo, tomando en cuenta el reconocimiento estatal, </w:t>
      </w:r>
      <w:r w:rsidR="00C93DAC" w:rsidRPr="00D66B27">
        <w:rPr>
          <w:rFonts w:ascii="Verdana" w:hAnsi="Verdana"/>
          <w:sz w:val="20"/>
          <w:szCs w:val="20"/>
        </w:rPr>
        <w:t xml:space="preserve">el tiempo transcurrido y la duración adicional que podría implicar la </w:t>
      </w:r>
      <w:r w:rsidR="00C93DAC" w:rsidRPr="00D66B27">
        <w:rPr>
          <w:rFonts w:ascii="Verdana" w:eastAsia="Batang" w:hAnsi="Verdana"/>
          <w:sz w:val="20"/>
          <w:szCs w:val="20"/>
          <w:lang w:eastAsia="es-MX"/>
        </w:rPr>
        <w:t>habilitación</w:t>
      </w:r>
      <w:r w:rsidR="00C93DAC" w:rsidRPr="00D66B27">
        <w:rPr>
          <w:rFonts w:ascii="Verdana" w:hAnsi="Verdana"/>
          <w:sz w:val="20"/>
          <w:szCs w:val="20"/>
        </w:rPr>
        <w:t xml:space="preserve"> de un recurso judicial o el inicio de nuevas causas, y </w:t>
      </w:r>
      <w:r w:rsidR="00C93DAC" w:rsidRPr="00D66B27">
        <w:rPr>
          <w:rFonts w:ascii="Verdana" w:hAnsi="Verdana"/>
          <w:sz w:val="20"/>
        </w:rPr>
        <w:t>a efectos de que las víctimas reciban de forma pronta alguna reparación</w:t>
      </w:r>
      <w:r w:rsidR="00C93DAC" w:rsidRPr="00D66B27">
        <w:rPr>
          <w:rStyle w:val="Refdenotaalpie"/>
          <w:rFonts w:ascii="Verdana" w:hAnsi="Verdana"/>
          <w:sz w:val="20"/>
        </w:rPr>
        <w:footnoteReference w:id="87"/>
      </w:r>
      <w:r w:rsidR="00C93DAC" w:rsidRPr="00D66B27">
        <w:rPr>
          <w:rFonts w:ascii="Verdana" w:hAnsi="Verdana"/>
          <w:sz w:val="20"/>
        </w:rPr>
        <w:t xml:space="preserve">, el Tribunal estima pertinente </w:t>
      </w:r>
      <w:r w:rsidRPr="00D66B27">
        <w:rPr>
          <w:rFonts w:ascii="Verdana" w:hAnsi="Verdana"/>
          <w:sz w:val="20"/>
        </w:rPr>
        <w:t xml:space="preserve">disponer, en aplicación del principio de complementariedad, </w:t>
      </w:r>
      <w:r w:rsidR="00C93DAC" w:rsidRPr="00D66B27">
        <w:rPr>
          <w:rFonts w:ascii="Verdana" w:hAnsi="Verdana"/>
          <w:sz w:val="20"/>
          <w:szCs w:val="20"/>
        </w:rPr>
        <w:t xml:space="preserve">que el Estado otorgue </w:t>
      </w:r>
      <w:r w:rsidR="002A5963" w:rsidRPr="00D66B27">
        <w:rPr>
          <w:rFonts w:ascii="Verdana" w:hAnsi="Verdana"/>
          <w:sz w:val="20"/>
          <w:szCs w:val="20"/>
        </w:rPr>
        <w:t xml:space="preserve">directamente </w:t>
      </w:r>
      <w:r w:rsidR="00C93DAC" w:rsidRPr="00D66B27">
        <w:rPr>
          <w:rFonts w:ascii="Verdana" w:hAnsi="Verdana"/>
          <w:sz w:val="20"/>
          <w:szCs w:val="20"/>
        </w:rPr>
        <w:t xml:space="preserve">una compensación a cada una de las víctimas del presente caso. </w:t>
      </w:r>
    </w:p>
    <w:p w14:paraId="57DC8EA5" w14:textId="77777777" w:rsidR="00A34895" w:rsidRPr="00D66B27" w:rsidRDefault="00A34895" w:rsidP="00364C6E">
      <w:pPr>
        <w:pBdr>
          <w:top w:val="nil"/>
        </w:pBdr>
        <w:autoSpaceDE w:val="0"/>
        <w:autoSpaceDN w:val="0"/>
        <w:adjustRightInd w:val="0"/>
        <w:spacing w:after="0" w:line="240" w:lineRule="auto"/>
        <w:jc w:val="both"/>
        <w:rPr>
          <w:rFonts w:ascii="Verdana" w:hAnsi="Verdana"/>
          <w:sz w:val="20"/>
          <w:szCs w:val="20"/>
        </w:rPr>
      </w:pPr>
    </w:p>
    <w:p w14:paraId="4168D49C" w14:textId="49BF94F6" w:rsidR="00C93DAC" w:rsidRPr="00D66B27" w:rsidRDefault="00C93DAC" w:rsidP="00364C6E">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E</w:t>
      </w:r>
      <w:r w:rsidR="00A34895" w:rsidRPr="00D66B27">
        <w:rPr>
          <w:rFonts w:ascii="Verdana" w:hAnsi="Verdana"/>
          <w:sz w:val="20"/>
          <w:szCs w:val="20"/>
        </w:rPr>
        <w:t xml:space="preserve">n este sentido, la Corte no realiza </w:t>
      </w:r>
      <w:r w:rsidRPr="00D66B27">
        <w:rPr>
          <w:rFonts w:ascii="Verdana" w:hAnsi="Verdana"/>
          <w:sz w:val="20"/>
          <w:szCs w:val="20"/>
        </w:rPr>
        <w:t>un pronunciamiento o evaluación sobre hechos y daños ocurridos al momento en que los familiares de las víctimas fu</w:t>
      </w:r>
      <w:r w:rsidR="002A5963" w:rsidRPr="00D66B27">
        <w:rPr>
          <w:rFonts w:ascii="Verdana" w:hAnsi="Verdana"/>
          <w:sz w:val="20"/>
          <w:szCs w:val="20"/>
        </w:rPr>
        <w:t xml:space="preserve">eron ejecutados o desaparecidos, sino que se remite a los propios criterios de  la jurisprudencia nacional pertinente. </w:t>
      </w:r>
    </w:p>
    <w:p w14:paraId="142F6B94" w14:textId="77777777" w:rsidR="00C93DAC" w:rsidRPr="00D66B27" w:rsidRDefault="00C93DAC" w:rsidP="00364C6E">
      <w:pPr>
        <w:pBdr>
          <w:top w:val="nil"/>
        </w:pBdr>
        <w:autoSpaceDE w:val="0"/>
        <w:autoSpaceDN w:val="0"/>
        <w:adjustRightInd w:val="0"/>
        <w:spacing w:after="0" w:line="240" w:lineRule="auto"/>
        <w:jc w:val="both"/>
        <w:rPr>
          <w:rFonts w:ascii="Verdana" w:hAnsi="Verdana"/>
          <w:sz w:val="20"/>
          <w:szCs w:val="20"/>
        </w:rPr>
      </w:pPr>
    </w:p>
    <w:p w14:paraId="79E10935" w14:textId="005D051B" w:rsidR="000C0060" w:rsidRPr="00D66B27" w:rsidRDefault="002B2C41" w:rsidP="00364C6E">
      <w:pPr>
        <w:numPr>
          <w:ilvl w:val="0"/>
          <w:numId w:val="2"/>
        </w:numPr>
        <w:pBdr>
          <w:top w:val="nil"/>
        </w:pBdr>
        <w:autoSpaceDE w:val="0"/>
        <w:autoSpaceDN w:val="0"/>
        <w:adjustRightInd w:val="0"/>
        <w:spacing w:after="0" w:line="240" w:lineRule="auto"/>
        <w:ind w:left="0" w:firstLine="0"/>
        <w:jc w:val="both"/>
        <w:rPr>
          <w:rFonts w:ascii="Verdana" w:eastAsia="Batang" w:hAnsi="Verdana"/>
          <w:sz w:val="20"/>
          <w:szCs w:val="20"/>
          <w:lang w:eastAsia="es-MX"/>
        </w:rPr>
      </w:pPr>
      <w:r w:rsidRPr="00D66B27">
        <w:rPr>
          <w:rFonts w:ascii="Verdana" w:hAnsi="Verdana"/>
          <w:sz w:val="20"/>
          <w:szCs w:val="20"/>
        </w:rPr>
        <w:t>E</w:t>
      </w:r>
      <w:r w:rsidR="00774A97" w:rsidRPr="00D66B27">
        <w:rPr>
          <w:rFonts w:ascii="Verdana" w:hAnsi="Verdana"/>
          <w:sz w:val="20"/>
          <w:szCs w:val="20"/>
        </w:rPr>
        <w:t>n</w:t>
      </w:r>
      <w:r w:rsidR="008B4287">
        <w:rPr>
          <w:rFonts w:ascii="Verdana" w:hAnsi="Verdana"/>
          <w:sz w:val="20"/>
          <w:szCs w:val="20"/>
        </w:rPr>
        <w:t xml:space="preserve"> este sentido, durante</w:t>
      </w:r>
      <w:r w:rsidR="00774A97" w:rsidRPr="00D66B27">
        <w:rPr>
          <w:rFonts w:ascii="Verdana" w:hAnsi="Verdana"/>
          <w:sz w:val="20"/>
          <w:szCs w:val="20"/>
        </w:rPr>
        <w:t xml:space="preserve"> el trámite</w:t>
      </w:r>
      <w:r w:rsidR="00EC422F" w:rsidRPr="00D66B27">
        <w:rPr>
          <w:rFonts w:ascii="Verdana" w:hAnsi="Verdana"/>
          <w:sz w:val="20"/>
          <w:szCs w:val="20"/>
        </w:rPr>
        <w:t xml:space="preserve"> del caso</w:t>
      </w:r>
      <w:r w:rsidR="00774A97" w:rsidRPr="00D66B27">
        <w:rPr>
          <w:rFonts w:ascii="Verdana" w:hAnsi="Verdana"/>
          <w:sz w:val="20"/>
          <w:szCs w:val="20"/>
        </w:rPr>
        <w:t xml:space="preserve"> </w:t>
      </w:r>
      <w:r w:rsidR="00EC422F" w:rsidRPr="00D66B27">
        <w:rPr>
          <w:rFonts w:ascii="Verdana" w:hAnsi="Verdana"/>
          <w:sz w:val="20"/>
          <w:szCs w:val="20"/>
        </w:rPr>
        <w:t xml:space="preserve">ante la Comisión </w:t>
      </w:r>
      <w:r w:rsidR="00E303DB" w:rsidRPr="00D66B27">
        <w:rPr>
          <w:rFonts w:ascii="Verdana" w:hAnsi="Verdana"/>
          <w:sz w:val="20"/>
          <w:szCs w:val="20"/>
        </w:rPr>
        <w:t xml:space="preserve">y </w:t>
      </w:r>
      <w:r w:rsidR="00774A97" w:rsidRPr="00D66B27">
        <w:rPr>
          <w:rFonts w:ascii="Verdana" w:hAnsi="Verdana"/>
          <w:sz w:val="20"/>
          <w:szCs w:val="20"/>
        </w:rPr>
        <w:t xml:space="preserve">la Corte, </w:t>
      </w:r>
      <w:r w:rsidR="00E303DB" w:rsidRPr="00D66B27">
        <w:rPr>
          <w:rFonts w:ascii="Verdana" w:hAnsi="Verdana"/>
          <w:sz w:val="20"/>
          <w:szCs w:val="20"/>
        </w:rPr>
        <w:t xml:space="preserve">tanto </w:t>
      </w:r>
      <w:r w:rsidR="00774A97" w:rsidRPr="00D66B27">
        <w:rPr>
          <w:rFonts w:ascii="Verdana" w:hAnsi="Verdana"/>
          <w:sz w:val="20"/>
          <w:szCs w:val="20"/>
        </w:rPr>
        <w:t xml:space="preserve">el Estado </w:t>
      </w:r>
      <w:r w:rsidR="00E303DB" w:rsidRPr="00D66B27">
        <w:rPr>
          <w:rFonts w:ascii="Verdana" w:hAnsi="Verdana"/>
          <w:sz w:val="20"/>
          <w:szCs w:val="20"/>
        </w:rPr>
        <w:t>como el</w:t>
      </w:r>
      <w:r w:rsidR="00774A97" w:rsidRPr="00D66B27">
        <w:rPr>
          <w:rFonts w:ascii="Verdana" w:hAnsi="Verdana"/>
          <w:sz w:val="20"/>
          <w:szCs w:val="20"/>
        </w:rPr>
        <w:t xml:space="preserve"> representa</w:t>
      </w:r>
      <w:r w:rsidR="00E303DB" w:rsidRPr="00D66B27">
        <w:rPr>
          <w:rFonts w:ascii="Verdana" w:hAnsi="Verdana"/>
          <w:sz w:val="20"/>
          <w:szCs w:val="20"/>
        </w:rPr>
        <w:t>nte</w:t>
      </w:r>
      <w:r w:rsidR="00774A97" w:rsidRPr="00D66B27">
        <w:rPr>
          <w:rFonts w:ascii="Verdana" w:hAnsi="Verdana"/>
          <w:sz w:val="20"/>
          <w:szCs w:val="20"/>
        </w:rPr>
        <w:t xml:space="preserve"> hicieron referencia a diversos casos</w:t>
      </w:r>
      <w:r w:rsidR="00774A97" w:rsidRPr="00D66B27">
        <w:rPr>
          <w:rFonts w:ascii="Verdana" w:eastAsia="Batang" w:hAnsi="Verdana"/>
          <w:sz w:val="20"/>
          <w:szCs w:val="20"/>
          <w:lang w:eastAsia="es-MX"/>
        </w:rPr>
        <w:t xml:space="preserve"> en que</w:t>
      </w:r>
      <w:r w:rsidR="000C0060" w:rsidRPr="00D66B27">
        <w:rPr>
          <w:rFonts w:ascii="Verdana" w:eastAsia="Batang" w:hAnsi="Verdana"/>
          <w:sz w:val="20"/>
          <w:szCs w:val="20"/>
          <w:lang w:eastAsia="es-MX"/>
        </w:rPr>
        <w:t xml:space="preserve"> las Salas Segunda y Tercera (Constitucional) de</w:t>
      </w:r>
      <w:r w:rsidR="00774A97" w:rsidRPr="00D66B27">
        <w:rPr>
          <w:rFonts w:ascii="Verdana" w:eastAsia="Batang" w:hAnsi="Verdana"/>
          <w:sz w:val="20"/>
          <w:szCs w:val="20"/>
          <w:lang w:eastAsia="es-MX"/>
        </w:rPr>
        <w:t xml:space="preserve"> la Corte Suprema de Justicia de Chile había</w:t>
      </w:r>
      <w:r w:rsidR="000C0060" w:rsidRPr="00D66B27">
        <w:rPr>
          <w:rFonts w:ascii="Verdana" w:eastAsia="Batang" w:hAnsi="Verdana"/>
          <w:sz w:val="20"/>
          <w:szCs w:val="20"/>
          <w:lang w:eastAsia="es-MX"/>
        </w:rPr>
        <w:t>n</w:t>
      </w:r>
      <w:r w:rsidR="00774A97" w:rsidRPr="00D66B27">
        <w:rPr>
          <w:rFonts w:ascii="Verdana" w:eastAsia="Batang" w:hAnsi="Verdana"/>
          <w:sz w:val="20"/>
          <w:szCs w:val="20"/>
          <w:lang w:eastAsia="es-MX"/>
        </w:rPr>
        <w:t xml:space="preserve"> </w:t>
      </w:r>
      <w:r w:rsidR="00F70B36" w:rsidRPr="00D66B27">
        <w:rPr>
          <w:rFonts w:ascii="Verdana" w:eastAsia="Batang" w:hAnsi="Verdana"/>
          <w:sz w:val="20"/>
          <w:szCs w:val="20"/>
          <w:lang w:eastAsia="es-MX"/>
        </w:rPr>
        <w:t xml:space="preserve">acogido acciones civiles de reparación relacionadas </w:t>
      </w:r>
      <w:r w:rsidR="005268C7" w:rsidRPr="00D66B27">
        <w:rPr>
          <w:rFonts w:ascii="Verdana" w:eastAsia="Batang" w:hAnsi="Verdana"/>
          <w:sz w:val="20"/>
          <w:szCs w:val="20"/>
          <w:lang w:eastAsia="es-MX"/>
        </w:rPr>
        <w:t>con crímenes de lesa humanidad</w:t>
      </w:r>
      <w:r w:rsidR="00F70B36" w:rsidRPr="00D66B27">
        <w:rPr>
          <w:rFonts w:ascii="Verdana" w:eastAsia="Batang" w:hAnsi="Verdana"/>
          <w:sz w:val="20"/>
          <w:szCs w:val="20"/>
          <w:lang w:eastAsia="es-MX"/>
        </w:rPr>
        <w:t xml:space="preserve"> </w:t>
      </w:r>
      <w:r w:rsidR="00EC422F" w:rsidRPr="00D66B27">
        <w:rPr>
          <w:rFonts w:ascii="Verdana" w:eastAsia="Batang" w:hAnsi="Verdana"/>
          <w:sz w:val="20"/>
          <w:szCs w:val="20"/>
          <w:lang w:eastAsia="es-MX"/>
        </w:rPr>
        <w:t>y había fijado indemnizaciones por perjuicios morales</w:t>
      </w:r>
      <w:r w:rsidR="00774A97" w:rsidRPr="00D66B27">
        <w:rPr>
          <w:rFonts w:ascii="Verdana" w:eastAsia="Batang" w:hAnsi="Verdana"/>
          <w:sz w:val="20"/>
          <w:szCs w:val="20"/>
          <w:lang w:eastAsia="es-MX"/>
        </w:rPr>
        <w:t xml:space="preserve">. En este sentido, el representante </w:t>
      </w:r>
      <w:r w:rsidR="00F70B36" w:rsidRPr="00D66B27">
        <w:rPr>
          <w:rFonts w:ascii="Verdana" w:eastAsia="Batang" w:hAnsi="Verdana"/>
          <w:sz w:val="20"/>
          <w:szCs w:val="20"/>
          <w:lang w:eastAsia="es-MX"/>
        </w:rPr>
        <w:t xml:space="preserve">citó </w:t>
      </w:r>
      <w:r w:rsidR="00774A97" w:rsidRPr="00D66B27">
        <w:rPr>
          <w:rFonts w:ascii="Verdana" w:eastAsia="Batang" w:hAnsi="Verdana"/>
          <w:sz w:val="20"/>
          <w:szCs w:val="20"/>
          <w:lang w:eastAsia="es-MX"/>
        </w:rPr>
        <w:t>sentencias dictadas entre los años 2014 y 2016, cuyos montos indemnizatorios oscila</w:t>
      </w:r>
      <w:r w:rsidR="00904FF5">
        <w:rPr>
          <w:rFonts w:ascii="Verdana" w:eastAsia="Batang" w:hAnsi="Verdana"/>
          <w:sz w:val="20"/>
          <w:szCs w:val="20"/>
          <w:lang w:eastAsia="es-MX"/>
        </w:rPr>
        <w:t>rían</w:t>
      </w:r>
      <w:r w:rsidR="000C0060" w:rsidRPr="00D66B27">
        <w:rPr>
          <w:rFonts w:ascii="Verdana" w:eastAsia="Batang" w:hAnsi="Verdana"/>
          <w:sz w:val="20"/>
          <w:szCs w:val="20"/>
          <w:lang w:eastAsia="es-MX"/>
        </w:rPr>
        <w:t xml:space="preserve"> entre 100.000.000,00 y 13</w:t>
      </w:r>
      <w:r w:rsidR="00774A97" w:rsidRPr="00D66B27">
        <w:rPr>
          <w:rFonts w:ascii="Verdana" w:eastAsia="Batang" w:hAnsi="Verdana"/>
          <w:sz w:val="20"/>
          <w:szCs w:val="20"/>
          <w:lang w:eastAsia="es-MX"/>
        </w:rPr>
        <w:t xml:space="preserve">0.000.000,00 (cien y </w:t>
      </w:r>
      <w:r w:rsidR="000C0060" w:rsidRPr="00D66B27">
        <w:rPr>
          <w:rFonts w:ascii="Verdana" w:eastAsia="Batang" w:hAnsi="Verdana"/>
          <w:sz w:val="20"/>
          <w:szCs w:val="20"/>
          <w:lang w:eastAsia="es-MX"/>
        </w:rPr>
        <w:t>ciento treinta</w:t>
      </w:r>
      <w:r w:rsidR="00774A97" w:rsidRPr="00D66B27">
        <w:rPr>
          <w:rFonts w:ascii="Verdana" w:eastAsia="Batang" w:hAnsi="Verdana"/>
          <w:sz w:val="20"/>
          <w:szCs w:val="20"/>
          <w:lang w:eastAsia="es-MX"/>
        </w:rPr>
        <w:t xml:space="preserve"> millones) de Pesos chilenos para cada uno de los familiares</w:t>
      </w:r>
      <w:r w:rsidR="00AA3656" w:rsidRPr="00D66B27">
        <w:rPr>
          <w:rFonts w:ascii="Verdana" w:hAnsi="Verdana" w:cs="Arial"/>
          <w:color w:val="121212"/>
          <w:sz w:val="20"/>
          <w:szCs w:val="20"/>
        </w:rPr>
        <w:t xml:space="preserve">. </w:t>
      </w:r>
      <w:r w:rsidR="00774A97" w:rsidRPr="00D66B27">
        <w:rPr>
          <w:rFonts w:ascii="Verdana" w:hAnsi="Verdana" w:cs="Arial"/>
          <w:color w:val="121212"/>
          <w:sz w:val="20"/>
          <w:szCs w:val="20"/>
        </w:rPr>
        <w:t xml:space="preserve">Por </w:t>
      </w:r>
      <w:r w:rsidR="005268C7" w:rsidRPr="00D66B27">
        <w:rPr>
          <w:rFonts w:ascii="Verdana" w:hAnsi="Verdana" w:cs="Arial"/>
          <w:color w:val="121212"/>
          <w:sz w:val="20"/>
          <w:szCs w:val="20"/>
        </w:rPr>
        <w:t>otra</w:t>
      </w:r>
      <w:r w:rsidR="00774A97" w:rsidRPr="00D66B27">
        <w:rPr>
          <w:rFonts w:ascii="Verdana" w:hAnsi="Verdana" w:cs="Arial"/>
          <w:color w:val="121212"/>
          <w:sz w:val="20"/>
          <w:szCs w:val="20"/>
        </w:rPr>
        <w:t xml:space="preserve"> parte, </w:t>
      </w:r>
      <w:r w:rsidR="00C422D2" w:rsidRPr="00D66B27">
        <w:rPr>
          <w:rFonts w:ascii="Verdana" w:hAnsi="Verdana" w:cs="Arial"/>
          <w:color w:val="121212"/>
          <w:sz w:val="20"/>
          <w:szCs w:val="20"/>
        </w:rPr>
        <w:t xml:space="preserve">según la información referida en </w:t>
      </w:r>
      <w:r w:rsidR="008F38B4">
        <w:rPr>
          <w:rFonts w:ascii="Verdana" w:hAnsi="Verdana" w:cs="Arial"/>
          <w:color w:val="121212"/>
          <w:sz w:val="20"/>
          <w:szCs w:val="20"/>
        </w:rPr>
        <w:t>el</w:t>
      </w:r>
      <w:r w:rsidR="005268C7" w:rsidRPr="00D66B27">
        <w:rPr>
          <w:rFonts w:ascii="Verdana" w:hAnsi="Verdana" w:cs="Arial"/>
          <w:color w:val="121212"/>
          <w:sz w:val="20"/>
          <w:szCs w:val="20"/>
        </w:rPr>
        <w:t xml:space="preserve"> </w:t>
      </w:r>
      <w:r w:rsidR="00EE4FC3" w:rsidRPr="00D66B27">
        <w:rPr>
          <w:rFonts w:ascii="Verdana" w:hAnsi="Verdana" w:cs="Arial"/>
          <w:color w:val="121212"/>
          <w:sz w:val="20"/>
          <w:szCs w:val="20"/>
        </w:rPr>
        <w:t xml:space="preserve">estudio de jurisprudencia </w:t>
      </w:r>
      <w:r w:rsidR="005268C7" w:rsidRPr="00D66B27">
        <w:rPr>
          <w:rFonts w:ascii="Verdana" w:hAnsi="Verdana" w:cs="Arial"/>
          <w:color w:val="121212"/>
          <w:sz w:val="20"/>
          <w:szCs w:val="20"/>
        </w:rPr>
        <w:t xml:space="preserve">presentado por </w:t>
      </w:r>
      <w:r w:rsidR="005268C7" w:rsidRPr="00D66B27">
        <w:rPr>
          <w:rFonts w:ascii="Verdana" w:eastAsia="Batang" w:hAnsi="Verdana"/>
          <w:sz w:val="20"/>
          <w:szCs w:val="20"/>
          <w:lang w:eastAsia="es-MX"/>
        </w:rPr>
        <w:t>el Estado</w:t>
      </w:r>
      <w:r w:rsidR="000C0060" w:rsidRPr="00D66B27">
        <w:rPr>
          <w:rFonts w:ascii="Verdana" w:eastAsia="Batang" w:hAnsi="Verdana"/>
          <w:sz w:val="20"/>
          <w:szCs w:val="20"/>
          <w:lang w:eastAsia="es-MX"/>
        </w:rPr>
        <w:t xml:space="preserve">, </w:t>
      </w:r>
      <w:r w:rsidR="00C422D2" w:rsidRPr="00D66B27">
        <w:rPr>
          <w:rFonts w:ascii="Verdana" w:eastAsia="Batang" w:hAnsi="Verdana"/>
          <w:sz w:val="20"/>
          <w:szCs w:val="20"/>
          <w:lang w:eastAsia="es-MX"/>
        </w:rPr>
        <w:t xml:space="preserve">se observa </w:t>
      </w:r>
      <w:r w:rsidR="008F38B4">
        <w:rPr>
          <w:rFonts w:ascii="Verdana" w:eastAsia="Batang" w:hAnsi="Verdana"/>
          <w:sz w:val="20"/>
          <w:szCs w:val="20"/>
          <w:lang w:eastAsia="es-MX"/>
        </w:rPr>
        <w:t>por ejemplo</w:t>
      </w:r>
      <w:r w:rsidR="008F38B4" w:rsidRPr="00D66B27">
        <w:rPr>
          <w:rFonts w:ascii="Verdana" w:eastAsia="Batang" w:hAnsi="Verdana"/>
          <w:sz w:val="20"/>
          <w:szCs w:val="20"/>
          <w:lang w:eastAsia="es-MX"/>
        </w:rPr>
        <w:t xml:space="preserve"> </w:t>
      </w:r>
      <w:r w:rsidR="00C422D2" w:rsidRPr="00D66B27">
        <w:rPr>
          <w:rFonts w:ascii="Verdana" w:eastAsia="Batang" w:hAnsi="Verdana"/>
          <w:sz w:val="20"/>
          <w:szCs w:val="20"/>
          <w:lang w:eastAsia="es-MX"/>
        </w:rPr>
        <w:t>que</w:t>
      </w:r>
      <w:r w:rsidR="00EA79C9">
        <w:rPr>
          <w:rFonts w:ascii="Verdana" w:eastAsia="Batang" w:hAnsi="Verdana"/>
          <w:sz w:val="20"/>
          <w:szCs w:val="20"/>
          <w:lang w:eastAsia="es-MX"/>
        </w:rPr>
        <w:t>,</w:t>
      </w:r>
      <w:r w:rsidR="00C422D2" w:rsidRPr="00D66B27">
        <w:rPr>
          <w:rFonts w:ascii="Verdana" w:eastAsia="Batang" w:hAnsi="Verdana"/>
          <w:sz w:val="20"/>
          <w:szCs w:val="20"/>
          <w:lang w:eastAsia="es-MX"/>
        </w:rPr>
        <w:t xml:space="preserve"> en una serie de </w:t>
      </w:r>
      <w:r w:rsidR="000C0060" w:rsidRPr="00D66B27">
        <w:rPr>
          <w:rFonts w:ascii="Verdana" w:eastAsia="Batang" w:hAnsi="Verdana"/>
          <w:sz w:val="20"/>
          <w:szCs w:val="20"/>
          <w:lang w:eastAsia="es-MX"/>
        </w:rPr>
        <w:t>causas conocidas por la Sala Segunda de la Corte Supr</w:t>
      </w:r>
      <w:r w:rsidR="008B4287">
        <w:rPr>
          <w:rFonts w:ascii="Verdana" w:eastAsia="Batang" w:hAnsi="Verdana"/>
          <w:sz w:val="20"/>
          <w:szCs w:val="20"/>
          <w:lang w:eastAsia="es-MX"/>
        </w:rPr>
        <w:t>ema de Chile entre los años 2007</w:t>
      </w:r>
      <w:r w:rsidR="000C0060" w:rsidRPr="00D66B27">
        <w:rPr>
          <w:rFonts w:ascii="Verdana" w:eastAsia="Batang" w:hAnsi="Verdana"/>
          <w:sz w:val="20"/>
          <w:szCs w:val="20"/>
          <w:lang w:eastAsia="es-MX"/>
        </w:rPr>
        <w:t xml:space="preserve"> </w:t>
      </w:r>
      <w:r w:rsidR="008B4287">
        <w:rPr>
          <w:rFonts w:ascii="Verdana" w:eastAsia="Batang" w:hAnsi="Verdana"/>
          <w:sz w:val="20"/>
          <w:szCs w:val="20"/>
          <w:lang w:eastAsia="es-MX"/>
        </w:rPr>
        <w:t>y</w:t>
      </w:r>
      <w:r w:rsidR="000C0060" w:rsidRPr="00D66B27">
        <w:rPr>
          <w:rFonts w:ascii="Verdana" w:eastAsia="Batang" w:hAnsi="Verdana"/>
          <w:sz w:val="20"/>
          <w:szCs w:val="20"/>
          <w:lang w:eastAsia="es-MX"/>
        </w:rPr>
        <w:t xml:space="preserve"> 2017</w:t>
      </w:r>
      <w:r w:rsidR="003662ED">
        <w:rPr>
          <w:rFonts w:ascii="Verdana" w:eastAsia="Batang" w:hAnsi="Verdana"/>
          <w:sz w:val="20"/>
          <w:szCs w:val="20"/>
          <w:lang w:eastAsia="es-MX"/>
        </w:rPr>
        <w:t xml:space="preserve">, las personas condenadas y/o el Fisco de Chile </w:t>
      </w:r>
      <w:r w:rsidR="00C422D2" w:rsidRPr="00D66B27">
        <w:rPr>
          <w:rFonts w:ascii="Verdana" w:eastAsia="Batang" w:hAnsi="Verdana"/>
          <w:sz w:val="20"/>
          <w:szCs w:val="20"/>
          <w:lang w:eastAsia="es-MX"/>
        </w:rPr>
        <w:t xml:space="preserve">habrían sido </w:t>
      </w:r>
      <w:r w:rsidR="003662ED">
        <w:rPr>
          <w:rFonts w:ascii="Verdana" w:eastAsia="Batang" w:hAnsi="Verdana"/>
          <w:sz w:val="20"/>
          <w:szCs w:val="20"/>
          <w:lang w:eastAsia="es-MX"/>
        </w:rPr>
        <w:lastRenderedPageBreak/>
        <w:t>condenados a pagar</w:t>
      </w:r>
      <w:r w:rsidR="000C0060" w:rsidRPr="00D66B27">
        <w:rPr>
          <w:rFonts w:ascii="Verdana" w:eastAsia="Batang" w:hAnsi="Verdana"/>
          <w:sz w:val="20"/>
          <w:szCs w:val="20"/>
          <w:lang w:eastAsia="es-MX"/>
        </w:rPr>
        <w:t xml:space="preserve"> montos indemnizatorios por concepto de </w:t>
      </w:r>
      <w:r w:rsidR="00C422D2" w:rsidRPr="00D66B27">
        <w:rPr>
          <w:rFonts w:ascii="Verdana" w:eastAsia="Batang" w:hAnsi="Verdana"/>
          <w:sz w:val="20"/>
          <w:szCs w:val="20"/>
          <w:lang w:eastAsia="es-MX"/>
        </w:rPr>
        <w:t>perjuicios</w:t>
      </w:r>
      <w:r w:rsidR="000C0060" w:rsidRPr="00D66B27">
        <w:rPr>
          <w:rFonts w:ascii="Verdana" w:eastAsia="Batang" w:hAnsi="Verdana"/>
          <w:sz w:val="20"/>
          <w:szCs w:val="20"/>
          <w:lang w:eastAsia="es-MX"/>
        </w:rPr>
        <w:t xml:space="preserve"> moral</w:t>
      </w:r>
      <w:r w:rsidR="00C422D2" w:rsidRPr="00D66B27">
        <w:rPr>
          <w:rFonts w:ascii="Verdana" w:eastAsia="Batang" w:hAnsi="Verdana"/>
          <w:sz w:val="20"/>
          <w:szCs w:val="20"/>
          <w:lang w:eastAsia="es-MX"/>
        </w:rPr>
        <w:t>es</w:t>
      </w:r>
      <w:r w:rsidR="003662ED">
        <w:rPr>
          <w:rFonts w:ascii="Verdana" w:eastAsia="Batang" w:hAnsi="Verdana"/>
          <w:sz w:val="20"/>
          <w:szCs w:val="20"/>
          <w:lang w:eastAsia="es-MX"/>
        </w:rPr>
        <w:t xml:space="preserve"> que oscilan entre los 3</w:t>
      </w:r>
      <w:r w:rsidR="000C0060" w:rsidRPr="00D66B27">
        <w:rPr>
          <w:rFonts w:ascii="Verdana" w:eastAsia="Batang" w:hAnsi="Verdana"/>
          <w:sz w:val="20"/>
          <w:szCs w:val="20"/>
          <w:lang w:eastAsia="es-MX"/>
        </w:rPr>
        <w:t>0.000.000,00 (</w:t>
      </w:r>
      <w:r w:rsidR="003662ED">
        <w:rPr>
          <w:rFonts w:ascii="Verdana" w:eastAsia="Batang" w:hAnsi="Verdana"/>
          <w:sz w:val="20"/>
          <w:szCs w:val="20"/>
          <w:lang w:eastAsia="es-MX"/>
        </w:rPr>
        <w:t>treinta millones) y 15</w:t>
      </w:r>
      <w:r w:rsidR="000C0060" w:rsidRPr="00D66B27">
        <w:rPr>
          <w:rFonts w:ascii="Verdana" w:eastAsia="Batang" w:hAnsi="Verdana"/>
          <w:sz w:val="20"/>
          <w:szCs w:val="20"/>
          <w:lang w:eastAsia="es-MX"/>
        </w:rPr>
        <w:t>0.000</w:t>
      </w:r>
      <w:r w:rsidR="00C422D2" w:rsidRPr="00D66B27">
        <w:rPr>
          <w:rFonts w:ascii="Verdana" w:eastAsia="Batang" w:hAnsi="Verdana"/>
          <w:sz w:val="20"/>
          <w:szCs w:val="20"/>
          <w:lang w:eastAsia="es-MX"/>
        </w:rPr>
        <w:t>.000</w:t>
      </w:r>
      <w:r w:rsidR="000C0060" w:rsidRPr="00D66B27">
        <w:rPr>
          <w:rFonts w:ascii="Verdana" w:eastAsia="Batang" w:hAnsi="Verdana"/>
          <w:sz w:val="20"/>
          <w:szCs w:val="20"/>
          <w:lang w:eastAsia="es-MX"/>
        </w:rPr>
        <w:t>,00 (cien</w:t>
      </w:r>
      <w:r w:rsidR="003662ED">
        <w:rPr>
          <w:rFonts w:ascii="Verdana" w:eastAsia="Batang" w:hAnsi="Verdana"/>
          <w:sz w:val="20"/>
          <w:szCs w:val="20"/>
          <w:lang w:eastAsia="es-MX"/>
        </w:rPr>
        <w:t>to cincuenta</w:t>
      </w:r>
      <w:r w:rsidR="000C0060" w:rsidRPr="00D66B27">
        <w:rPr>
          <w:rFonts w:ascii="Verdana" w:eastAsia="Batang" w:hAnsi="Verdana"/>
          <w:sz w:val="20"/>
          <w:szCs w:val="20"/>
          <w:lang w:eastAsia="es-MX"/>
        </w:rPr>
        <w:t xml:space="preserve"> millones) </w:t>
      </w:r>
      <w:r w:rsidR="00C422D2" w:rsidRPr="00D66B27">
        <w:rPr>
          <w:rFonts w:ascii="Verdana" w:eastAsia="Batang" w:hAnsi="Verdana"/>
          <w:sz w:val="20"/>
          <w:szCs w:val="20"/>
          <w:lang w:eastAsia="es-MX"/>
        </w:rPr>
        <w:t>de Pesos chilenos</w:t>
      </w:r>
      <w:r w:rsidRPr="00D66B27">
        <w:rPr>
          <w:rFonts w:ascii="Verdana" w:eastAsia="Batang" w:hAnsi="Verdana"/>
          <w:sz w:val="20"/>
          <w:szCs w:val="20"/>
          <w:lang w:eastAsia="es-MX"/>
        </w:rPr>
        <w:t>,</w:t>
      </w:r>
      <w:r w:rsidR="00C422D2" w:rsidRPr="00D66B27">
        <w:rPr>
          <w:rFonts w:ascii="Verdana" w:eastAsia="Batang" w:hAnsi="Verdana"/>
          <w:sz w:val="20"/>
          <w:szCs w:val="20"/>
          <w:lang w:eastAsia="es-MX"/>
        </w:rPr>
        <w:t xml:space="preserve"> </w:t>
      </w:r>
      <w:r w:rsidR="000C0060" w:rsidRPr="00D66B27">
        <w:rPr>
          <w:rFonts w:ascii="Verdana" w:eastAsia="Batang" w:hAnsi="Verdana"/>
          <w:sz w:val="20"/>
          <w:szCs w:val="20"/>
          <w:lang w:eastAsia="es-MX"/>
        </w:rPr>
        <w:t>a favor de familiares de personas desaparecidas</w:t>
      </w:r>
      <w:r w:rsidR="008B4287">
        <w:rPr>
          <w:rFonts w:ascii="Verdana" w:eastAsia="Batang" w:hAnsi="Verdana"/>
          <w:sz w:val="20"/>
          <w:szCs w:val="20"/>
          <w:lang w:eastAsia="es-MX"/>
        </w:rPr>
        <w:t xml:space="preserve"> o ejecutadas</w:t>
      </w:r>
      <w:r w:rsidR="000C0060" w:rsidRPr="00D66B27">
        <w:rPr>
          <w:rFonts w:ascii="Verdana" w:eastAsia="Batang" w:hAnsi="Verdana"/>
          <w:sz w:val="20"/>
          <w:szCs w:val="20"/>
          <w:lang w:eastAsia="es-MX"/>
        </w:rPr>
        <w:t>.</w:t>
      </w:r>
      <w:r w:rsidR="00C422D2" w:rsidRPr="00D66B27">
        <w:rPr>
          <w:rFonts w:ascii="Verdana" w:eastAsia="Batang" w:hAnsi="Verdana"/>
          <w:sz w:val="20"/>
          <w:szCs w:val="20"/>
          <w:lang w:eastAsia="es-MX"/>
        </w:rPr>
        <w:t xml:space="preserve"> </w:t>
      </w:r>
      <w:r w:rsidR="008B4287">
        <w:rPr>
          <w:rFonts w:ascii="Verdana" w:eastAsia="Batang" w:hAnsi="Verdana"/>
          <w:sz w:val="20"/>
          <w:szCs w:val="20"/>
          <w:lang w:eastAsia="es-MX"/>
        </w:rPr>
        <w:t>D</w:t>
      </w:r>
      <w:r w:rsidRPr="00D66B27">
        <w:rPr>
          <w:rFonts w:ascii="Verdana" w:eastAsia="Batang" w:hAnsi="Verdana"/>
          <w:sz w:val="20"/>
          <w:szCs w:val="20"/>
          <w:lang w:eastAsia="es-MX"/>
        </w:rPr>
        <w:t>estaca que, en general</w:t>
      </w:r>
      <w:r w:rsidR="00BF7C11">
        <w:rPr>
          <w:rFonts w:ascii="Verdana" w:eastAsia="Batang" w:hAnsi="Verdana"/>
          <w:sz w:val="20"/>
          <w:szCs w:val="20"/>
          <w:lang w:eastAsia="es-MX"/>
        </w:rPr>
        <w:t xml:space="preserve"> o en numerosos casos</w:t>
      </w:r>
      <w:r w:rsidRPr="00D66B27">
        <w:rPr>
          <w:rFonts w:ascii="Verdana" w:eastAsia="Batang" w:hAnsi="Verdana"/>
          <w:sz w:val="20"/>
          <w:szCs w:val="20"/>
          <w:lang w:eastAsia="es-MX"/>
        </w:rPr>
        <w:t>, la jurisprudencia nacional otorga los mismos montos indemnizatorios a cada uno de los familiares, independientemente del tipo de filiación de éstos con la víctima desaparecida o ejecutada</w:t>
      </w:r>
      <w:r w:rsidR="002A25A3">
        <w:rPr>
          <w:rStyle w:val="Refdenotaalpie"/>
          <w:rFonts w:ascii="Verdana" w:eastAsia="Batang" w:hAnsi="Verdana"/>
          <w:sz w:val="20"/>
          <w:szCs w:val="20"/>
          <w:lang w:eastAsia="es-MX"/>
        </w:rPr>
        <w:footnoteReference w:id="88"/>
      </w:r>
      <w:r w:rsidRPr="00D66B27">
        <w:rPr>
          <w:rFonts w:ascii="Verdana" w:eastAsia="Batang" w:hAnsi="Verdana"/>
          <w:sz w:val="20"/>
          <w:szCs w:val="20"/>
          <w:lang w:eastAsia="es-MX"/>
        </w:rPr>
        <w:t>.</w:t>
      </w:r>
    </w:p>
    <w:p w14:paraId="25CB96A5" w14:textId="77777777" w:rsidR="000C0060" w:rsidRPr="00D66B27" w:rsidRDefault="000C0060" w:rsidP="00364C6E">
      <w:pPr>
        <w:pBdr>
          <w:top w:val="nil"/>
        </w:pBdr>
        <w:autoSpaceDE w:val="0"/>
        <w:autoSpaceDN w:val="0"/>
        <w:adjustRightInd w:val="0"/>
        <w:spacing w:after="0" w:line="240" w:lineRule="auto"/>
        <w:jc w:val="both"/>
        <w:rPr>
          <w:rFonts w:ascii="Verdana" w:eastAsia="Batang" w:hAnsi="Verdana"/>
          <w:sz w:val="20"/>
          <w:szCs w:val="20"/>
          <w:lang w:eastAsia="es-MX"/>
        </w:rPr>
      </w:pPr>
    </w:p>
    <w:p w14:paraId="3D98E223" w14:textId="07875E39" w:rsidR="00C65636" w:rsidRPr="00D66B27" w:rsidRDefault="0088603E" w:rsidP="00364C6E">
      <w:pPr>
        <w:numPr>
          <w:ilvl w:val="0"/>
          <w:numId w:val="2"/>
        </w:numPr>
        <w:pBdr>
          <w:top w:val="nil"/>
        </w:pBdr>
        <w:autoSpaceDE w:val="0"/>
        <w:autoSpaceDN w:val="0"/>
        <w:adjustRightInd w:val="0"/>
        <w:spacing w:after="0" w:line="240" w:lineRule="auto"/>
        <w:ind w:left="0" w:firstLine="0"/>
        <w:jc w:val="both"/>
        <w:rPr>
          <w:rFonts w:ascii="Verdana" w:eastAsia="Batang" w:hAnsi="Verdana"/>
          <w:b/>
          <w:sz w:val="20"/>
          <w:szCs w:val="20"/>
          <w:lang w:eastAsia="es-MX"/>
        </w:rPr>
      </w:pPr>
      <w:r w:rsidRPr="00D66B27">
        <w:rPr>
          <w:rFonts w:ascii="Verdana" w:eastAsia="Batang" w:hAnsi="Verdana"/>
          <w:sz w:val="20"/>
          <w:szCs w:val="20"/>
          <w:lang w:eastAsia="es-MX"/>
        </w:rPr>
        <w:t xml:space="preserve">Además, según se desprende de la propia jurisprudencia de la Corte Suprema aportada por el Estado, en casos en que el Fisco chileno </w:t>
      </w:r>
      <w:r w:rsidR="001C75F6" w:rsidRPr="00D66B27">
        <w:rPr>
          <w:rFonts w:ascii="Verdana" w:eastAsia="Batang" w:hAnsi="Verdana"/>
          <w:sz w:val="20"/>
          <w:szCs w:val="20"/>
          <w:lang w:eastAsia="es-MX"/>
        </w:rPr>
        <w:t xml:space="preserve">ha cuestionado la acreditación del daño moral reclamado, el criterio para </w:t>
      </w:r>
      <w:r w:rsidR="001E7AD9" w:rsidRPr="00D66B27">
        <w:rPr>
          <w:rFonts w:ascii="Verdana" w:eastAsia="Batang" w:hAnsi="Verdana"/>
          <w:sz w:val="20"/>
          <w:szCs w:val="20"/>
          <w:lang w:eastAsia="es-MX"/>
        </w:rPr>
        <w:t>fijarlo</w:t>
      </w:r>
      <w:r w:rsidR="001C75F6" w:rsidRPr="00D66B27">
        <w:rPr>
          <w:rFonts w:ascii="Verdana" w:eastAsia="Batang" w:hAnsi="Verdana"/>
          <w:sz w:val="20"/>
          <w:szCs w:val="20"/>
          <w:lang w:eastAsia="es-MX"/>
        </w:rPr>
        <w:t xml:space="preserve"> en causas </w:t>
      </w:r>
      <w:r w:rsidR="00AD4B46">
        <w:rPr>
          <w:rFonts w:ascii="Verdana" w:eastAsia="Batang" w:hAnsi="Verdana"/>
          <w:sz w:val="20"/>
          <w:szCs w:val="20"/>
          <w:lang w:eastAsia="es-MX"/>
        </w:rPr>
        <w:t xml:space="preserve">de crímenes de lesa humanidad </w:t>
      </w:r>
      <w:r w:rsidR="001C75F6" w:rsidRPr="00D66B27">
        <w:rPr>
          <w:rFonts w:ascii="Verdana" w:eastAsia="Batang" w:hAnsi="Verdana"/>
          <w:sz w:val="20"/>
          <w:szCs w:val="20"/>
          <w:lang w:eastAsia="es-MX"/>
        </w:rPr>
        <w:t>son los “lazos de parentesco y las calidades en que personalmente cada uno de los afectados</w:t>
      </w:r>
      <w:r w:rsidR="00AD4B46">
        <w:rPr>
          <w:rFonts w:ascii="Verdana" w:eastAsia="Batang" w:hAnsi="Verdana"/>
          <w:sz w:val="20"/>
          <w:szCs w:val="20"/>
          <w:lang w:eastAsia="es-MX"/>
        </w:rPr>
        <w:t>[, es decir, su familiar,]</w:t>
      </w:r>
      <w:r w:rsidR="001C75F6" w:rsidRPr="00D66B27">
        <w:rPr>
          <w:rFonts w:ascii="Verdana" w:eastAsia="Batang" w:hAnsi="Verdana"/>
          <w:sz w:val="20"/>
          <w:szCs w:val="20"/>
          <w:lang w:eastAsia="es-MX"/>
        </w:rPr>
        <w:t xml:space="preserve"> sufrió las agresiones, vejaciones y torturas a </w:t>
      </w:r>
      <w:r w:rsidR="00904FF5">
        <w:rPr>
          <w:rFonts w:ascii="Verdana" w:eastAsia="Batang" w:hAnsi="Verdana"/>
          <w:sz w:val="20"/>
          <w:szCs w:val="20"/>
          <w:lang w:eastAsia="es-MX"/>
        </w:rPr>
        <w:t xml:space="preserve">que </w:t>
      </w:r>
      <w:r w:rsidR="001C75F6" w:rsidRPr="00D66B27">
        <w:rPr>
          <w:rFonts w:ascii="Verdana" w:eastAsia="Batang" w:hAnsi="Verdana"/>
          <w:sz w:val="20"/>
          <w:szCs w:val="20"/>
          <w:lang w:eastAsia="es-MX"/>
        </w:rPr>
        <w:t>fueron sometidos […] con las graves lesiones y consecuencias</w:t>
      </w:r>
      <w:r w:rsidR="006E0ABF" w:rsidRPr="00D66B27">
        <w:rPr>
          <w:rFonts w:ascii="Verdana" w:eastAsia="Batang" w:hAnsi="Verdana"/>
          <w:sz w:val="20"/>
          <w:szCs w:val="20"/>
          <w:lang w:eastAsia="es-MX"/>
        </w:rPr>
        <w:t xml:space="preserve"> […]</w:t>
      </w:r>
      <w:r w:rsidR="001C75F6" w:rsidRPr="00D66B27">
        <w:rPr>
          <w:rFonts w:ascii="Verdana" w:eastAsia="Batang" w:hAnsi="Verdana"/>
          <w:sz w:val="20"/>
          <w:szCs w:val="20"/>
          <w:lang w:eastAsia="es-MX"/>
        </w:rPr>
        <w:t xml:space="preserve">”. Esta jurisprudencia </w:t>
      </w:r>
      <w:r w:rsidR="00197FDF" w:rsidRPr="00D66B27">
        <w:rPr>
          <w:rFonts w:ascii="Verdana" w:eastAsia="Batang" w:hAnsi="Verdana"/>
          <w:sz w:val="20"/>
          <w:szCs w:val="20"/>
          <w:lang w:eastAsia="es-MX"/>
        </w:rPr>
        <w:t xml:space="preserve">señala que, </w:t>
      </w:r>
      <w:r w:rsidR="00A56DF9" w:rsidRPr="00D66B27">
        <w:rPr>
          <w:rFonts w:ascii="Verdana" w:eastAsia="Batang" w:hAnsi="Verdana"/>
          <w:sz w:val="20"/>
          <w:szCs w:val="20"/>
          <w:lang w:eastAsia="es-MX"/>
        </w:rPr>
        <w:t xml:space="preserve">al momento de precisar la existencia y entidad del </w:t>
      </w:r>
      <w:r w:rsidR="00197FDF" w:rsidRPr="00D66B27">
        <w:rPr>
          <w:rFonts w:ascii="Verdana" w:eastAsia="Batang" w:hAnsi="Verdana"/>
          <w:sz w:val="20"/>
          <w:szCs w:val="20"/>
          <w:lang w:eastAsia="es-MX"/>
        </w:rPr>
        <w:t>daño moral reclamado, por su naturaleza netamente subjetiva</w:t>
      </w:r>
      <w:r w:rsidR="00AD4B46">
        <w:rPr>
          <w:rFonts w:ascii="Verdana" w:eastAsia="Batang" w:hAnsi="Verdana"/>
          <w:sz w:val="20"/>
          <w:szCs w:val="20"/>
          <w:lang w:eastAsia="es-MX"/>
        </w:rPr>
        <w:t xml:space="preserve"> que surge de “la propia naturaleza afectiva del ser humano”</w:t>
      </w:r>
      <w:r w:rsidR="00197FDF" w:rsidRPr="00D66B27">
        <w:rPr>
          <w:rFonts w:ascii="Verdana" w:eastAsia="Batang" w:hAnsi="Verdana"/>
          <w:sz w:val="20"/>
          <w:szCs w:val="20"/>
          <w:lang w:eastAsia="es-MX"/>
        </w:rPr>
        <w:t>, no puedan aplicarse las mismas reglas utilizadas para la de</w:t>
      </w:r>
      <w:r w:rsidR="00AD4B46">
        <w:rPr>
          <w:rFonts w:ascii="Verdana" w:eastAsia="Batang" w:hAnsi="Verdana"/>
          <w:sz w:val="20"/>
          <w:szCs w:val="20"/>
          <w:lang w:eastAsia="es-MX"/>
        </w:rPr>
        <w:t>terminación de daños materiales</w:t>
      </w:r>
      <w:r w:rsidR="00197FDF" w:rsidRPr="00D66B27">
        <w:rPr>
          <w:rFonts w:ascii="Verdana" w:eastAsia="Batang" w:hAnsi="Verdana"/>
          <w:sz w:val="20"/>
          <w:szCs w:val="20"/>
          <w:lang w:eastAsia="es-MX"/>
        </w:rPr>
        <w:t xml:space="preserve"> </w:t>
      </w:r>
      <w:r w:rsidR="00AD4B46">
        <w:rPr>
          <w:rFonts w:ascii="Verdana" w:eastAsia="Batang" w:hAnsi="Verdana"/>
          <w:sz w:val="20"/>
          <w:szCs w:val="20"/>
          <w:lang w:eastAsia="es-MX"/>
        </w:rPr>
        <w:t>(</w:t>
      </w:r>
      <w:r w:rsidR="00197FDF" w:rsidRPr="00D66B27">
        <w:rPr>
          <w:rFonts w:ascii="Verdana" w:eastAsia="Batang" w:hAnsi="Verdana"/>
          <w:sz w:val="20"/>
          <w:szCs w:val="20"/>
          <w:lang w:eastAsia="es-MX"/>
        </w:rPr>
        <w:t>que son susceptibles de prueba y de determinación directa</w:t>
      </w:r>
      <w:r w:rsidR="00AD4B46">
        <w:rPr>
          <w:rFonts w:ascii="Verdana" w:eastAsia="Batang" w:hAnsi="Verdana"/>
          <w:sz w:val="20"/>
          <w:szCs w:val="20"/>
          <w:lang w:eastAsia="es-MX"/>
        </w:rPr>
        <w:t>)</w:t>
      </w:r>
      <w:r w:rsidR="00197FDF" w:rsidRPr="00D66B27">
        <w:rPr>
          <w:rFonts w:ascii="Verdana" w:eastAsia="Batang" w:hAnsi="Verdana"/>
          <w:sz w:val="20"/>
          <w:szCs w:val="20"/>
          <w:lang w:eastAsia="es-MX"/>
        </w:rPr>
        <w:t>, de modo que el daño moral “queda enteramente entregado a la regulación prudencial de los jueces, tomando en consideración aspectos como las circunstancias en que se produjo y todas aquellas que influyeron en la intensidad del dolor y sufrimiento experimentado</w:t>
      </w:r>
      <w:r w:rsidR="00A56DF9" w:rsidRPr="00D66B27">
        <w:rPr>
          <w:rFonts w:ascii="Verdana" w:eastAsia="Batang" w:hAnsi="Verdana"/>
          <w:sz w:val="20"/>
          <w:szCs w:val="20"/>
          <w:lang w:eastAsia="es-MX"/>
        </w:rPr>
        <w:t xml:space="preserve"> […] y no podría ser de otro modo porque materialmente es difícil, sino imposible, medir con exactitud la intensidad del sufrimiento que provoca la muerte o intento de homicidio de un familiar en tan repudiables circunstancias”</w:t>
      </w:r>
      <w:r w:rsidR="00B44168">
        <w:rPr>
          <w:rStyle w:val="Refdenotaalpie"/>
          <w:rFonts w:ascii="Verdana" w:eastAsia="Batang" w:hAnsi="Verdana"/>
          <w:sz w:val="20"/>
          <w:szCs w:val="20"/>
          <w:lang w:eastAsia="es-MX"/>
        </w:rPr>
        <w:footnoteReference w:id="89"/>
      </w:r>
      <w:r w:rsidR="00A56DF9" w:rsidRPr="00D66B27">
        <w:rPr>
          <w:rFonts w:ascii="Verdana" w:eastAsia="Batang" w:hAnsi="Verdana"/>
          <w:sz w:val="20"/>
          <w:szCs w:val="20"/>
          <w:lang w:eastAsia="es-MX"/>
        </w:rPr>
        <w:t>. Es decir, la propia jurisprudencia nacional reconoce la dificultad probatoria que implica la determinación y cuantificación del daño moral</w:t>
      </w:r>
      <w:r w:rsidR="006E0ABF" w:rsidRPr="00D66B27">
        <w:rPr>
          <w:rFonts w:ascii="Verdana" w:eastAsia="Batang" w:hAnsi="Verdana"/>
          <w:sz w:val="20"/>
          <w:szCs w:val="20"/>
          <w:lang w:eastAsia="es-MX"/>
        </w:rPr>
        <w:t xml:space="preserve"> en este tipo de casos</w:t>
      </w:r>
      <w:r w:rsidR="002B2C41" w:rsidRPr="00D66B27">
        <w:rPr>
          <w:rFonts w:ascii="Verdana" w:eastAsia="Batang" w:hAnsi="Verdana"/>
          <w:sz w:val="20"/>
          <w:szCs w:val="20"/>
          <w:lang w:eastAsia="es-MX"/>
        </w:rPr>
        <w:t xml:space="preserve">. </w:t>
      </w:r>
    </w:p>
    <w:p w14:paraId="529FF134" w14:textId="0C3B2A00" w:rsidR="002B2C41" w:rsidRPr="00D66B27" w:rsidRDefault="002B2C41" w:rsidP="00364C6E">
      <w:pPr>
        <w:pBdr>
          <w:top w:val="nil"/>
        </w:pBdr>
        <w:autoSpaceDE w:val="0"/>
        <w:autoSpaceDN w:val="0"/>
        <w:adjustRightInd w:val="0"/>
        <w:spacing w:after="0" w:line="240" w:lineRule="auto"/>
        <w:jc w:val="both"/>
        <w:rPr>
          <w:rFonts w:ascii="Verdana" w:eastAsia="Batang" w:hAnsi="Verdana"/>
          <w:sz w:val="20"/>
          <w:szCs w:val="20"/>
          <w:lang w:eastAsia="es-MX"/>
        </w:rPr>
      </w:pPr>
    </w:p>
    <w:p w14:paraId="423DD350" w14:textId="6D860E3B" w:rsidR="00FD7571" w:rsidRPr="00D66B27" w:rsidRDefault="002B2C41" w:rsidP="00364C6E">
      <w:pPr>
        <w:numPr>
          <w:ilvl w:val="0"/>
          <w:numId w:val="2"/>
        </w:numPr>
        <w:pBdr>
          <w:top w:val="nil"/>
        </w:pBdr>
        <w:autoSpaceDE w:val="0"/>
        <w:autoSpaceDN w:val="0"/>
        <w:adjustRightInd w:val="0"/>
        <w:spacing w:after="0" w:line="240" w:lineRule="auto"/>
        <w:ind w:left="0" w:firstLine="0"/>
        <w:jc w:val="both"/>
        <w:rPr>
          <w:rFonts w:ascii="Verdana" w:eastAsia="Batang" w:hAnsi="Verdana"/>
          <w:sz w:val="20"/>
          <w:szCs w:val="20"/>
          <w:lang w:eastAsia="es-MX"/>
        </w:rPr>
      </w:pPr>
      <w:r w:rsidRPr="00D66B27">
        <w:rPr>
          <w:rFonts w:ascii="Verdana" w:eastAsia="Batang" w:hAnsi="Verdana"/>
          <w:sz w:val="20"/>
          <w:szCs w:val="20"/>
          <w:lang w:eastAsia="es-MX"/>
        </w:rPr>
        <w:t xml:space="preserve">En relación con ello, </w:t>
      </w:r>
      <w:r w:rsidR="00A620D6" w:rsidRPr="00D66B27">
        <w:rPr>
          <w:rFonts w:ascii="Verdana" w:eastAsia="Batang" w:hAnsi="Verdana"/>
          <w:sz w:val="20"/>
          <w:szCs w:val="20"/>
          <w:lang w:eastAsia="es-MX"/>
        </w:rPr>
        <w:t xml:space="preserve">en cuanto a </w:t>
      </w:r>
      <w:r w:rsidRPr="00D66B27">
        <w:rPr>
          <w:rFonts w:ascii="Verdana" w:eastAsia="Batang" w:hAnsi="Verdana"/>
          <w:sz w:val="20"/>
          <w:szCs w:val="20"/>
          <w:lang w:eastAsia="es-MX"/>
        </w:rPr>
        <w:t>reparaciones o indemnizaciones que las víctimas ya han</w:t>
      </w:r>
      <w:r w:rsidR="00A620D6" w:rsidRPr="00D66B27">
        <w:rPr>
          <w:rFonts w:ascii="Verdana" w:eastAsia="Batang" w:hAnsi="Verdana"/>
          <w:sz w:val="20"/>
          <w:szCs w:val="20"/>
          <w:lang w:eastAsia="es-MX"/>
        </w:rPr>
        <w:t xml:space="preserve"> recibido o reciben actualmente</w:t>
      </w:r>
      <w:r w:rsidRPr="00D66B27">
        <w:rPr>
          <w:rFonts w:ascii="Verdana" w:eastAsia="Batang" w:hAnsi="Verdana"/>
          <w:sz w:val="20"/>
          <w:szCs w:val="20"/>
          <w:lang w:eastAsia="es-MX"/>
        </w:rPr>
        <w:t xml:space="preserve"> en los términos de la referida Ley Nº 19</w:t>
      </w:r>
      <w:r w:rsidR="00A620D6" w:rsidRPr="00D66B27">
        <w:rPr>
          <w:rFonts w:ascii="Verdana" w:eastAsia="Batang" w:hAnsi="Verdana"/>
          <w:sz w:val="20"/>
          <w:szCs w:val="20"/>
          <w:lang w:eastAsia="es-MX"/>
        </w:rPr>
        <w:t xml:space="preserve">.123 o por otras disposiciones, </w:t>
      </w:r>
      <w:r w:rsidR="00F822C0" w:rsidRPr="00D66B27">
        <w:rPr>
          <w:rFonts w:ascii="Verdana" w:eastAsia="Batang" w:hAnsi="Verdana"/>
          <w:sz w:val="20"/>
          <w:szCs w:val="20"/>
          <w:lang w:eastAsia="es-MX"/>
        </w:rPr>
        <w:t xml:space="preserve">el criterio de </w:t>
      </w:r>
      <w:r w:rsidRPr="00D66B27">
        <w:rPr>
          <w:rFonts w:ascii="Verdana" w:eastAsia="Batang" w:hAnsi="Verdana"/>
          <w:sz w:val="20"/>
          <w:szCs w:val="20"/>
          <w:lang w:eastAsia="es-MX"/>
        </w:rPr>
        <w:t xml:space="preserve">la Corte Suprema </w:t>
      </w:r>
      <w:r w:rsidR="00F822C0" w:rsidRPr="00D66B27">
        <w:rPr>
          <w:rFonts w:ascii="Verdana" w:eastAsia="Batang" w:hAnsi="Verdana"/>
          <w:sz w:val="20"/>
          <w:szCs w:val="20"/>
          <w:lang w:eastAsia="es-MX"/>
        </w:rPr>
        <w:t>de Justicia chilena, al reconocer</w:t>
      </w:r>
      <w:r w:rsidRPr="00D66B27">
        <w:rPr>
          <w:rFonts w:ascii="Verdana" w:eastAsia="Batang" w:hAnsi="Verdana"/>
          <w:sz w:val="20"/>
          <w:szCs w:val="20"/>
          <w:lang w:eastAsia="es-MX"/>
        </w:rPr>
        <w:t xml:space="preserve"> el carácter complementario y no excluyente que tienen las reparaciones administrativas con </w:t>
      </w:r>
      <w:r w:rsidR="005F3EC8">
        <w:rPr>
          <w:rFonts w:ascii="Verdana" w:eastAsia="Batang" w:hAnsi="Verdana"/>
          <w:sz w:val="20"/>
          <w:szCs w:val="20"/>
          <w:lang w:eastAsia="es-MX"/>
        </w:rPr>
        <w:t xml:space="preserve">respecto a </w:t>
      </w:r>
      <w:r w:rsidRPr="00D66B27">
        <w:rPr>
          <w:rFonts w:ascii="Verdana" w:eastAsia="Batang" w:hAnsi="Verdana"/>
          <w:sz w:val="20"/>
          <w:szCs w:val="20"/>
          <w:lang w:eastAsia="es-MX"/>
        </w:rPr>
        <w:t>las fijadas por vía judicial</w:t>
      </w:r>
      <w:r w:rsidR="00F822C0" w:rsidRPr="00D66B27">
        <w:rPr>
          <w:rFonts w:ascii="Verdana" w:eastAsia="Batang" w:hAnsi="Verdana"/>
          <w:sz w:val="20"/>
          <w:szCs w:val="20"/>
          <w:lang w:eastAsia="es-MX"/>
        </w:rPr>
        <w:t xml:space="preserve"> (</w:t>
      </w:r>
      <w:r w:rsidR="00F822C0" w:rsidRPr="00D66B27">
        <w:rPr>
          <w:rFonts w:ascii="Verdana" w:eastAsia="Batang" w:hAnsi="Verdana"/>
          <w:i/>
          <w:sz w:val="20"/>
          <w:szCs w:val="20"/>
          <w:lang w:eastAsia="es-MX"/>
        </w:rPr>
        <w:t>supra</w:t>
      </w:r>
      <w:r w:rsidR="00F822C0" w:rsidRPr="00D66B27">
        <w:rPr>
          <w:rFonts w:ascii="Verdana" w:eastAsia="Batang" w:hAnsi="Verdana"/>
          <w:sz w:val="20"/>
          <w:szCs w:val="20"/>
          <w:lang w:eastAsia="es-MX"/>
        </w:rPr>
        <w:t xml:space="preserve"> </w:t>
      </w:r>
      <w:r w:rsidR="00030215">
        <w:rPr>
          <w:rFonts w:ascii="Verdana" w:eastAsia="Batang" w:hAnsi="Verdana"/>
          <w:sz w:val="20"/>
          <w:szCs w:val="20"/>
          <w:lang w:eastAsia="es-MX"/>
        </w:rPr>
        <w:t>párr. 97</w:t>
      </w:r>
      <w:r w:rsidR="00F822C0" w:rsidRPr="00D66B27">
        <w:rPr>
          <w:rFonts w:ascii="Verdana" w:eastAsia="Batang" w:hAnsi="Verdana"/>
          <w:sz w:val="20"/>
          <w:szCs w:val="20"/>
          <w:lang w:eastAsia="es-MX"/>
        </w:rPr>
        <w:t>)</w:t>
      </w:r>
      <w:r w:rsidRPr="00D66B27">
        <w:rPr>
          <w:rFonts w:ascii="Verdana" w:eastAsia="Batang" w:hAnsi="Verdana"/>
          <w:sz w:val="20"/>
          <w:szCs w:val="20"/>
          <w:lang w:eastAsia="es-MX"/>
        </w:rPr>
        <w:t xml:space="preserve">, </w:t>
      </w:r>
      <w:r w:rsidR="00546EE7" w:rsidRPr="00D66B27">
        <w:rPr>
          <w:rFonts w:ascii="Verdana" w:eastAsia="Batang" w:hAnsi="Verdana"/>
          <w:sz w:val="20"/>
          <w:szCs w:val="20"/>
          <w:lang w:eastAsia="es-MX"/>
        </w:rPr>
        <w:t>es</w:t>
      </w:r>
      <w:r w:rsidR="00F822C0" w:rsidRPr="00D66B27">
        <w:rPr>
          <w:rFonts w:ascii="Verdana" w:eastAsia="Batang" w:hAnsi="Verdana"/>
          <w:sz w:val="20"/>
          <w:szCs w:val="20"/>
          <w:lang w:eastAsia="es-MX"/>
        </w:rPr>
        <w:t xml:space="preserve"> que </w:t>
      </w:r>
      <w:r w:rsidRPr="00D66B27">
        <w:rPr>
          <w:rFonts w:ascii="Verdana" w:eastAsia="Batang" w:hAnsi="Verdana"/>
          <w:sz w:val="20"/>
          <w:szCs w:val="20"/>
          <w:lang w:eastAsia="es-MX"/>
        </w:rPr>
        <w:t xml:space="preserve">el otorgamiento de </w:t>
      </w:r>
      <w:r w:rsidR="005F3EC8">
        <w:rPr>
          <w:rFonts w:ascii="Verdana" w:eastAsia="Batang" w:hAnsi="Verdana"/>
          <w:sz w:val="20"/>
          <w:szCs w:val="20"/>
          <w:lang w:eastAsia="es-MX"/>
        </w:rPr>
        <w:t>aquéllas</w:t>
      </w:r>
      <w:r w:rsidRPr="00D66B27">
        <w:rPr>
          <w:rFonts w:ascii="Verdana" w:eastAsia="Batang" w:hAnsi="Verdana"/>
          <w:sz w:val="20"/>
          <w:szCs w:val="20"/>
          <w:lang w:eastAsia="es-MX"/>
        </w:rPr>
        <w:t xml:space="preserve"> no impide a las víctimas obtener indemnizaciones por la vía </w:t>
      </w:r>
      <w:r w:rsidR="00A620D6" w:rsidRPr="00D66B27">
        <w:rPr>
          <w:rFonts w:ascii="Verdana" w:eastAsia="Batang" w:hAnsi="Verdana"/>
          <w:sz w:val="20"/>
          <w:szCs w:val="20"/>
          <w:lang w:eastAsia="es-MX"/>
        </w:rPr>
        <w:t>judicial.</w:t>
      </w:r>
    </w:p>
    <w:p w14:paraId="6643B86D" w14:textId="77777777" w:rsidR="00FD7571" w:rsidRPr="00D66B27" w:rsidRDefault="00FD7571" w:rsidP="00364C6E">
      <w:pPr>
        <w:pBdr>
          <w:top w:val="nil"/>
        </w:pBdr>
        <w:autoSpaceDE w:val="0"/>
        <w:autoSpaceDN w:val="0"/>
        <w:adjustRightInd w:val="0"/>
        <w:spacing w:after="0" w:line="240" w:lineRule="auto"/>
        <w:jc w:val="both"/>
        <w:rPr>
          <w:rFonts w:ascii="Verdana" w:eastAsia="Batang" w:hAnsi="Verdana"/>
          <w:sz w:val="20"/>
          <w:szCs w:val="20"/>
          <w:lang w:eastAsia="es-MX"/>
        </w:rPr>
      </w:pPr>
    </w:p>
    <w:p w14:paraId="0A7E71DC" w14:textId="06A26588" w:rsidR="00623205" w:rsidRPr="00D66B27" w:rsidRDefault="006E0ABF" w:rsidP="00364C6E">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eastAsia="Batang" w:hAnsi="Verdana"/>
          <w:sz w:val="20"/>
          <w:szCs w:val="20"/>
          <w:lang w:eastAsia="es-MX"/>
        </w:rPr>
        <w:t>En consecuencia, d</w:t>
      </w:r>
      <w:r w:rsidR="001E7AD9" w:rsidRPr="00D66B27">
        <w:rPr>
          <w:rFonts w:ascii="Verdana" w:eastAsia="Batang" w:hAnsi="Verdana"/>
          <w:sz w:val="20"/>
          <w:szCs w:val="20"/>
          <w:lang w:eastAsia="es-MX"/>
        </w:rPr>
        <w:t xml:space="preserve">adas las particulares circunstancias del presente caso, </w:t>
      </w:r>
      <w:r w:rsidR="00F822C0" w:rsidRPr="00D66B27">
        <w:rPr>
          <w:rFonts w:ascii="Verdana" w:eastAsia="Batang" w:hAnsi="Verdana"/>
          <w:sz w:val="20"/>
          <w:szCs w:val="20"/>
          <w:lang w:eastAsia="es-MX"/>
        </w:rPr>
        <w:t>en aplicación del principio de</w:t>
      </w:r>
      <w:r w:rsidR="00F822C0" w:rsidRPr="00D66B27">
        <w:rPr>
          <w:rFonts w:ascii="Verdana" w:hAnsi="Verdana"/>
          <w:sz w:val="20"/>
          <w:szCs w:val="20"/>
        </w:rPr>
        <w:t xml:space="preserve"> complementariedad </w:t>
      </w:r>
      <w:r w:rsidR="001E7AD9" w:rsidRPr="00D66B27">
        <w:rPr>
          <w:rFonts w:ascii="Verdana" w:hAnsi="Verdana"/>
          <w:sz w:val="20"/>
          <w:szCs w:val="20"/>
        </w:rPr>
        <w:t xml:space="preserve">y sin que ello implique un precedente jurisprudencial </w:t>
      </w:r>
      <w:r w:rsidR="00DB260C">
        <w:rPr>
          <w:rFonts w:ascii="Verdana" w:hAnsi="Verdana"/>
          <w:sz w:val="20"/>
          <w:szCs w:val="20"/>
        </w:rPr>
        <w:t xml:space="preserve">necesariamente </w:t>
      </w:r>
      <w:r w:rsidR="00CC2C26" w:rsidRPr="00D66B27">
        <w:rPr>
          <w:rFonts w:ascii="Verdana" w:hAnsi="Verdana"/>
          <w:sz w:val="20"/>
          <w:szCs w:val="20"/>
        </w:rPr>
        <w:t xml:space="preserve">aplicable a </w:t>
      </w:r>
      <w:r w:rsidR="009F46A5">
        <w:rPr>
          <w:rFonts w:ascii="Verdana" w:hAnsi="Verdana"/>
          <w:sz w:val="20"/>
          <w:szCs w:val="20"/>
        </w:rPr>
        <w:t xml:space="preserve">otros </w:t>
      </w:r>
      <w:r w:rsidR="00CC2C26" w:rsidRPr="00D66B27">
        <w:rPr>
          <w:rFonts w:ascii="Verdana" w:hAnsi="Verdana"/>
          <w:sz w:val="20"/>
          <w:szCs w:val="20"/>
        </w:rPr>
        <w:t>caso</w:t>
      </w:r>
      <w:r w:rsidR="009F46A5">
        <w:rPr>
          <w:rFonts w:ascii="Verdana" w:hAnsi="Verdana"/>
          <w:sz w:val="20"/>
          <w:szCs w:val="20"/>
        </w:rPr>
        <w:t>s</w:t>
      </w:r>
      <w:r w:rsidR="001E7AD9" w:rsidRPr="00D66B27">
        <w:rPr>
          <w:rFonts w:ascii="Verdana" w:hAnsi="Verdana"/>
          <w:sz w:val="20"/>
          <w:szCs w:val="20"/>
        </w:rPr>
        <w:t>,</w:t>
      </w:r>
      <w:r w:rsidR="00CC2C26" w:rsidRPr="00D66B27">
        <w:rPr>
          <w:rFonts w:ascii="Verdana" w:hAnsi="Verdana"/>
          <w:sz w:val="20"/>
          <w:szCs w:val="20"/>
        </w:rPr>
        <w:t xml:space="preserve"> el</w:t>
      </w:r>
      <w:r w:rsidR="001E7AD9" w:rsidRPr="00D66B27">
        <w:rPr>
          <w:rFonts w:ascii="Verdana" w:hAnsi="Verdana"/>
          <w:sz w:val="20"/>
          <w:szCs w:val="20"/>
        </w:rPr>
        <w:t xml:space="preserve"> Tribunal considera pertinente </w:t>
      </w:r>
      <w:r w:rsidR="003B5279" w:rsidRPr="00D66B27">
        <w:rPr>
          <w:rFonts w:ascii="Verdana" w:hAnsi="Verdana"/>
          <w:sz w:val="20"/>
          <w:szCs w:val="20"/>
        </w:rPr>
        <w:t>definir</w:t>
      </w:r>
      <w:r w:rsidR="001E7AD9" w:rsidRPr="00D66B27">
        <w:rPr>
          <w:rFonts w:ascii="Verdana" w:hAnsi="Verdana"/>
          <w:sz w:val="20"/>
          <w:szCs w:val="20"/>
        </w:rPr>
        <w:t xml:space="preserve"> </w:t>
      </w:r>
      <w:r w:rsidR="003B5279" w:rsidRPr="00D66B27">
        <w:rPr>
          <w:rFonts w:ascii="Verdana" w:hAnsi="Verdana"/>
          <w:sz w:val="20"/>
          <w:szCs w:val="20"/>
        </w:rPr>
        <w:t xml:space="preserve">los </w:t>
      </w:r>
      <w:r w:rsidR="00CB760D" w:rsidRPr="00D66B27">
        <w:rPr>
          <w:rFonts w:ascii="Verdana" w:hAnsi="Verdana"/>
          <w:sz w:val="20"/>
          <w:szCs w:val="20"/>
        </w:rPr>
        <w:t xml:space="preserve">montos </w:t>
      </w:r>
      <w:r w:rsidR="001E7AD9" w:rsidRPr="00D66B27">
        <w:rPr>
          <w:rFonts w:ascii="Verdana" w:hAnsi="Verdana"/>
          <w:sz w:val="20"/>
          <w:szCs w:val="20"/>
        </w:rPr>
        <w:t xml:space="preserve">de </w:t>
      </w:r>
      <w:r w:rsidR="00F822C0" w:rsidRPr="00D66B27">
        <w:rPr>
          <w:rFonts w:ascii="Verdana" w:hAnsi="Verdana"/>
          <w:sz w:val="20"/>
          <w:szCs w:val="20"/>
        </w:rPr>
        <w:t>compensaciones</w:t>
      </w:r>
      <w:r w:rsidR="001E7AD9" w:rsidRPr="00D66B27">
        <w:rPr>
          <w:rFonts w:ascii="Verdana" w:hAnsi="Verdana"/>
          <w:sz w:val="20"/>
          <w:szCs w:val="20"/>
        </w:rPr>
        <w:t xml:space="preserve"> </w:t>
      </w:r>
      <w:r w:rsidR="00546EE7" w:rsidRPr="00D66B27">
        <w:rPr>
          <w:rFonts w:ascii="Verdana" w:hAnsi="Verdana"/>
          <w:sz w:val="20"/>
          <w:szCs w:val="20"/>
        </w:rPr>
        <w:t>en atención a</w:t>
      </w:r>
      <w:r w:rsidR="00CB760D" w:rsidRPr="00D66B27">
        <w:rPr>
          <w:rFonts w:ascii="Verdana" w:hAnsi="Verdana"/>
          <w:sz w:val="20"/>
          <w:szCs w:val="20"/>
        </w:rPr>
        <w:t xml:space="preserve"> los criterios razonables </w:t>
      </w:r>
      <w:r w:rsidR="001E7AD9" w:rsidRPr="00D66B27">
        <w:rPr>
          <w:rFonts w:ascii="Verdana" w:hAnsi="Verdana"/>
          <w:sz w:val="20"/>
          <w:szCs w:val="20"/>
        </w:rPr>
        <w:t xml:space="preserve">y prudenciales </w:t>
      </w:r>
      <w:r w:rsidR="00CB760D" w:rsidRPr="00D66B27">
        <w:rPr>
          <w:rFonts w:ascii="Verdana" w:hAnsi="Verdana"/>
          <w:sz w:val="20"/>
          <w:szCs w:val="20"/>
        </w:rPr>
        <w:t xml:space="preserve">de la </w:t>
      </w:r>
      <w:r w:rsidR="00A011BF" w:rsidRPr="00D66B27">
        <w:rPr>
          <w:rFonts w:ascii="Verdana" w:hAnsi="Verdana"/>
          <w:sz w:val="20"/>
          <w:szCs w:val="20"/>
        </w:rPr>
        <w:t>jurisprudencia de la Corte Suprema de Justicia chilena</w:t>
      </w:r>
      <w:r w:rsidR="001E7AD9" w:rsidRPr="00D66B27">
        <w:rPr>
          <w:rFonts w:ascii="Verdana" w:hAnsi="Verdana"/>
          <w:sz w:val="20"/>
          <w:szCs w:val="20"/>
        </w:rPr>
        <w:t xml:space="preserve"> </w:t>
      </w:r>
      <w:r w:rsidR="00546EE7" w:rsidRPr="00D66B27">
        <w:rPr>
          <w:rFonts w:ascii="Verdana" w:hAnsi="Verdana"/>
          <w:sz w:val="20"/>
          <w:szCs w:val="20"/>
        </w:rPr>
        <w:t xml:space="preserve">adoptada en los últimos años </w:t>
      </w:r>
      <w:r w:rsidR="001E7AD9" w:rsidRPr="00D66B27">
        <w:rPr>
          <w:rFonts w:ascii="Verdana" w:hAnsi="Verdana"/>
          <w:sz w:val="20"/>
          <w:szCs w:val="20"/>
        </w:rPr>
        <w:t>en este tipo de casos. En con</w:t>
      </w:r>
      <w:r w:rsidR="005E7931" w:rsidRPr="00D66B27">
        <w:rPr>
          <w:rFonts w:ascii="Verdana" w:hAnsi="Verdana"/>
          <w:sz w:val="20"/>
          <w:szCs w:val="20"/>
        </w:rPr>
        <w:t>secuencia, el Tribunal es</w:t>
      </w:r>
      <w:r w:rsidR="00F822C0" w:rsidRPr="00D66B27">
        <w:rPr>
          <w:rFonts w:ascii="Verdana" w:hAnsi="Verdana"/>
          <w:sz w:val="20"/>
          <w:szCs w:val="20"/>
        </w:rPr>
        <w:t>tima pertinente fijar</w:t>
      </w:r>
      <w:r w:rsidR="005E7931" w:rsidRPr="00D66B27">
        <w:rPr>
          <w:rFonts w:ascii="Verdana" w:hAnsi="Verdana"/>
          <w:sz w:val="20"/>
          <w:szCs w:val="20"/>
        </w:rPr>
        <w:t xml:space="preserve"> la cantidad total de US$ 1</w:t>
      </w:r>
      <w:r w:rsidR="00CC2C26" w:rsidRPr="00D66B27">
        <w:rPr>
          <w:rFonts w:ascii="Verdana" w:hAnsi="Verdana"/>
          <w:sz w:val="20"/>
          <w:szCs w:val="20"/>
        </w:rPr>
        <w:t>8</w:t>
      </w:r>
      <w:r w:rsidR="005E7931" w:rsidRPr="00D66B27">
        <w:rPr>
          <w:rFonts w:ascii="Verdana" w:hAnsi="Verdana"/>
          <w:sz w:val="20"/>
          <w:szCs w:val="20"/>
        </w:rPr>
        <w:t xml:space="preserve">0.000,00 (ciento </w:t>
      </w:r>
      <w:r w:rsidR="00CC2C26" w:rsidRPr="00D66B27">
        <w:rPr>
          <w:rFonts w:ascii="Verdana" w:hAnsi="Verdana"/>
          <w:sz w:val="20"/>
          <w:szCs w:val="20"/>
        </w:rPr>
        <w:t xml:space="preserve">ochenta </w:t>
      </w:r>
      <w:r w:rsidR="005E7931" w:rsidRPr="00D66B27">
        <w:rPr>
          <w:rFonts w:ascii="Verdana" w:hAnsi="Verdana"/>
          <w:sz w:val="20"/>
          <w:szCs w:val="20"/>
        </w:rPr>
        <w:t>mil dólares de los Estados Unidos de América) a favor de cada una de las víctimas</w:t>
      </w:r>
      <w:r w:rsidR="00F822C0" w:rsidRPr="00D66B27">
        <w:rPr>
          <w:rFonts w:ascii="Verdana" w:hAnsi="Verdana"/>
          <w:sz w:val="20"/>
          <w:szCs w:val="20"/>
        </w:rPr>
        <w:t>,</w:t>
      </w:r>
      <w:r w:rsidR="005E7931" w:rsidRPr="00D66B27">
        <w:rPr>
          <w:rFonts w:ascii="Verdana" w:hAnsi="Verdana"/>
          <w:sz w:val="20"/>
          <w:szCs w:val="20"/>
        </w:rPr>
        <w:t xml:space="preserve"> por concepto de</w:t>
      </w:r>
      <w:r w:rsidR="00F822C0" w:rsidRPr="00D66B27">
        <w:rPr>
          <w:rFonts w:ascii="Verdana" w:hAnsi="Verdana"/>
          <w:sz w:val="20"/>
          <w:szCs w:val="20"/>
        </w:rPr>
        <w:t xml:space="preserve"> comp</w:t>
      </w:r>
      <w:r w:rsidR="00B10C2C">
        <w:rPr>
          <w:rFonts w:ascii="Verdana" w:hAnsi="Verdana"/>
          <w:sz w:val="20"/>
          <w:szCs w:val="20"/>
        </w:rPr>
        <w:t>ensación</w:t>
      </w:r>
      <w:r w:rsidR="005E7931" w:rsidRPr="00D66B27">
        <w:rPr>
          <w:rFonts w:ascii="Verdana" w:hAnsi="Verdana"/>
          <w:sz w:val="20"/>
          <w:szCs w:val="20"/>
        </w:rPr>
        <w:t>. Los montos dispuestos a favor de cada una de esas personas deben</w:t>
      </w:r>
      <w:r w:rsidR="00422629">
        <w:rPr>
          <w:rFonts w:ascii="Verdana" w:hAnsi="Verdana"/>
          <w:sz w:val="20"/>
          <w:szCs w:val="20"/>
        </w:rPr>
        <w:t xml:space="preserve"> ser pagados directamente a ella</w:t>
      </w:r>
      <w:r w:rsidR="005E7931" w:rsidRPr="00D66B27">
        <w:rPr>
          <w:rFonts w:ascii="Verdana" w:hAnsi="Verdana"/>
          <w:sz w:val="20"/>
          <w:szCs w:val="20"/>
        </w:rPr>
        <w:t>s, en el plazo establecido al efecto (</w:t>
      </w:r>
      <w:r w:rsidR="005E7931" w:rsidRPr="00D66B27">
        <w:rPr>
          <w:rFonts w:ascii="Verdana" w:hAnsi="Verdana"/>
          <w:i/>
          <w:sz w:val="20"/>
          <w:szCs w:val="20"/>
        </w:rPr>
        <w:t>infra</w:t>
      </w:r>
      <w:r w:rsidR="005E7931" w:rsidRPr="00D66B27">
        <w:rPr>
          <w:rFonts w:ascii="Verdana" w:hAnsi="Verdana"/>
          <w:sz w:val="20"/>
          <w:szCs w:val="20"/>
        </w:rPr>
        <w:t xml:space="preserve"> párr. </w:t>
      </w:r>
      <w:r w:rsidR="00422629">
        <w:rPr>
          <w:rFonts w:ascii="Verdana" w:hAnsi="Verdana"/>
          <w:sz w:val="20"/>
          <w:szCs w:val="20"/>
        </w:rPr>
        <w:t>141</w:t>
      </w:r>
      <w:r w:rsidR="005E7931" w:rsidRPr="00D66B27">
        <w:rPr>
          <w:rFonts w:ascii="Verdana" w:hAnsi="Verdana"/>
          <w:sz w:val="20"/>
          <w:szCs w:val="20"/>
        </w:rPr>
        <w:t>).</w:t>
      </w:r>
    </w:p>
    <w:bookmarkEnd w:id="27"/>
    <w:bookmarkEnd w:id="28"/>
    <w:p w14:paraId="76D38560" w14:textId="77777777" w:rsidR="00593FD2" w:rsidRDefault="00593FD2" w:rsidP="003B5279">
      <w:pPr>
        <w:pStyle w:val="Prrafodelista"/>
        <w:spacing w:after="0" w:line="240" w:lineRule="auto"/>
        <w:ind w:left="0"/>
        <w:jc w:val="both"/>
        <w:rPr>
          <w:rFonts w:ascii="Verdana" w:hAnsi="Verdana"/>
          <w:sz w:val="20"/>
          <w:szCs w:val="20"/>
        </w:rPr>
      </w:pPr>
    </w:p>
    <w:p w14:paraId="579757BA" w14:textId="77777777" w:rsidR="00FF3C8E" w:rsidRPr="00D66B27" w:rsidRDefault="00FF3C8E" w:rsidP="003B5279">
      <w:pPr>
        <w:pStyle w:val="Prrafodelista"/>
        <w:spacing w:after="0" w:line="240" w:lineRule="auto"/>
        <w:ind w:left="0"/>
        <w:jc w:val="both"/>
        <w:rPr>
          <w:rFonts w:ascii="Verdana" w:hAnsi="Verdana"/>
          <w:sz w:val="20"/>
          <w:szCs w:val="20"/>
        </w:rPr>
      </w:pPr>
    </w:p>
    <w:p w14:paraId="348D77AD" w14:textId="77777777" w:rsidR="003B5279" w:rsidRPr="00D66B27" w:rsidRDefault="003B5279" w:rsidP="003B5279">
      <w:pPr>
        <w:pStyle w:val="Ttulo2"/>
        <w:keepLines w:val="0"/>
        <w:numPr>
          <w:ilvl w:val="0"/>
          <w:numId w:val="12"/>
        </w:numPr>
        <w:spacing w:before="0" w:line="240" w:lineRule="auto"/>
        <w:ind w:left="1134"/>
        <w:jc w:val="both"/>
        <w:rPr>
          <w:rFonts w:ascii="Verdana" w:eastAsia="Times New Roman" w:hAnsi="Verdana" w:cs="Times New Roman"/>
          <w:bCs w:val="0"/>
          <w:i/>
          <w:color w:val="auto"/>
          <w:sz w:val="20"/>
          <w:szCs w:val="20"/>
        </w:rPr>
      </w:pPr>
      <w:bookmarkStart w:id="29" w:name="_Toc528084366"/>
      <w:r w:rsidRPr="00D66B27">
        <w:rPr>
          <w:rFonts w:ascii="Verdana" w:eastAsia="Times New Roman" w:hAnsi="Verdana" w:cs="Times New Roman"/>
          <w:bCs w:val="0"/>
          <w:i/>
          <w:color w:val="auto"/>
          <w:sz w:val="20"/>
          <w:szCs w:val="20"/>
        </w:rPr>
        <w:lastRenderedPageBreak/>
        <w:t xml:space="preserve">Medida de satisfacción </w:t>
      </w:r>
      <w:r w:rsidRPr="00D66B27">
        <w:rPr>
          <w:rFonts w:ascii="Verdana" w:eastAsia="Times New Roman" w:hAnsi="Verdana" w:cs="Times New Roman"/>
          <w:b w:val="0"/>
          <w:bCs w:val="0"/>
          <w:i/>
          <w:color w:val="auto"/>
          <w:sz w:val="20"/>
          <w:szCs w:val="20"/>
        </w:rPr>
        <w:t>(publicación y difusión de la sentencia)</w:t>
      </w:r>
      <w:bookmarkEnd w:id="29"/>
    </w:p>
    <w:p w14:paraId="3234E9B6" w14:textId="77777777" w:rsidR="003B5279" w:rsidRPr="00D66B27" w:rsidRDefault="003B5279" w:rsidP="003B5279">
      <w:pPr>
        <w:pBdr>
          <w:top w:val="nil"/>
        </w:pBdr>
        <w:autoSpaceDE w:val="0"/>
        <w:autoSpaceDN w:val="0"/>
        <w:adjustRightInd w:val="0"/>
        <w:spacing w:after="0" w:line="240" w:lineRule="auto"/>
        <w:jc w:val="both"/>
        <w:rPr>
          <w:rFonts w:ascii="Verdana" w:hAnsi="Verdana"/>
          <w:sz w:val="20"/>
          <w:szCs w:val="20"/>
        </w:rPr>
      </w:pPr>
    </w:p>
    <w:p w14:paraId="3F338327" w14:textId="5EC35663" w:rsidR="003B5279" w:rsidRPr="00D66B27" w:rsidRDefault="003B5279" w:rsidP="00364C6E">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La Corte dispone, como lo ha hecho en otros casos</w:t>
      </w:r>
      <w:r w:rsidRPr="00422629">
        <w:rPr>
          <w:rFonts w:ascii="Verdana" w:hAnsi="Verdana"/>
          <w:sz w:val="20"/>
          <w:szCs w:val="20"/>
          <w:vertAlign w:val="superscript"/>
        </w:rPr>
        <w:footnoteReference w:id="90"/>
      </w:r>
      <w:r w:rsidRPr="00D66B27">
        <w:rPr>
          <w:rFonts w:ascii="Verdana" w:hAnsi="Verdana"/>
          <w:sz w:val="20"/>
          <w:szCs w:val="20"/>
        </w:rPr>
        <w:t>, que el Estado publique, en el plazo de seis meses, contado a partir de la notificación de la presente Sentencia: a) el resumen oficial de esta Sentencia elaborado por la Corte, por una sola vez, en el diario oficial en un tamaño de letra legible y adecuado; b) el mismo resumen oficial, por una sola vez, en un diario de amplia circulación a nivel nacional en un tamaño de letra legible y adecuado; y c) la presente Sentencia en su integridad, disponible al menos por un período de un año, en un sitio web oficial, de manera accesible al público y desde la página de inicio del sitio web.</w:t>
      </w:r>
      <w:r w:rsidR="00364C6E" w:rsidRPr="00D66B27">
        <w:rPr>
          <w:rFonts w:ascii="Verdana" w:hAnsi="Verdana"/>
          <w:sz w:val="20"/>
          <w:szCs w:val="20"/>
        </w:rPr>
        <w:t xml:space="preserve"> </w:t>
      </w:r>
      <w:r w:rsidRPr="00D66B27">
        <w:rPr>
          <w:rFonts w:ascii="Verdana" w:hAnsi="Verdana"/>
          <w:sz w:val="20"/>
          <w:szCs w:val="20"/>
        </w:rPr>
        <w:t>El Estado deberá informar de forma inmediata a este Tribunal una vez que proceda a realizar cada una de las publicaciones dispuestas, independientemente del plazo de un año para presentar su primer informe dispuesto en la parte resolutiva de la Sentencia.</w:t>
      </w:r>
    </w:p>
    <w:p w14:paraId="126DCFAE" w14:textId="77777777" w:rsidR="00D272A1" w:rsidRDefault="00D272A1">
      <w:pPr>
        <w:autoSpaceDE w:val="0"/>
        <w:autoSpaceDN w:val="0"/>
        <w:adjustRightInd w:val="0"/>
        <w:spacing w:after="0" w:line="240" w:lineRule="auto"/>
        <w:ind w:right="49"/>
        <w:contextualSpacing/>
        <w:jc w:val="both"/>
        <w:rPr>
          <w:rFonts w:ascii="Verdana" w:eastAsia="Calibri" w:hAnsi="Verdana" w:cs="Times New Roman"/>
          <w:b/>
          <w:sz w:val="20"/>
          <w:szCs w:val="20"/>
        </w:rPr>
      </w:pPr>
    </w:p>
    <w:p w14:paraId="1B8E839B" w14:textId="77777777" w:rsidR="00B26AA3" w:rsidRPr="00D66B27" w:rsidRDefault="00B26AA3">
      <w:pPr>
        <w:autoSpaceDE w:val="0"/>
        <w:autoSpaceDN w:val="0"/>
        <w:adjustRightInd w:val="0"/>
        <w:spacing w:after="0" w:line="240" w:lineRule="auto"/>
        <w:ind w:right="49"/>
        <w:contextualSpacing/>
        <w:jc w:val="both"/>
        <w:rPr>
          <w:rFonts w:ascii="Verdana" w:eastAsia="Calibri" w:hAnsi="Verdana" w:cs="Times New Roman"/>
          <w:b/>
          <w:sz w:val="20"/>
          <w:szCs w:val="20"/>
        </w:rPr>
      </w:pPr>
    </w:p>
    <w:p w14:paraId="19C4EF80" w14:textId="6FEBBBA8" w:rsidR="00607AFC" w:rsidRPr="00D66B27" w:rsidRDefault="003B5279" w:rsidP="001D6943">
      <w:pPr>
        <w:pStyle w:val="Ttulo2"/>
        <w:keepLines w:val="0"/>
        <w:numPr>
          <w:ilvl w:val="0"/>
          <w:numId w:val="12"/>
        </w:numPr>
        <w:spacing w:before="0" w:line="240" w:lineRule="auto"/>
        <w:ind w:left="1134"/>
        <w:jc w:val="both"/>
        <w:rPr>
          <w:rFonts w:ascii="Verdana" w:hAnsi="Verdana"/>
          <w:i/>
          <w:color w:val="auto"/>
          <w:sz w:val="20"/>
          <w:szCs w:val="20"/>
        </w:rPr>
      </w:pPr>
      <w:bookmarkStart w:id="30" w:name="_Toc528084367"/>
      <w:r w:rsidRPr="00D66B27">
        <w:rPr>
          <w:rFonts w:ascii="Verdana" w:eastAsia="Times New Roman" w:hAnsi="Verdana" w:cs="Times New Roman"/>
          <w:bCs w:val="0"/>
          <w:i/>
          <w:color w:val="auto"/>
          <w:sz w:val="20"/>
          <w:szCs w:val="20"/>
        </w:rPr>
        <w:t>Otras medidas solicitadas</w:t>
      </w:r>
      <w:bookmarkEnd w:id="30"/>
    </w:p>
    <w:p w14:paraId="3231325B" w14:textId="77777777" w:rsidR="00545651" w:rsidRPr="00D66B27" w:rsidRDefault="00545651" w:rsidP="00545651">
      <w:pPr>
        <w:pStyle w:val="Prrafodelista"/>
        <w:spacing w:after="0" w:line="240" w:lineRule="auto"/>
        <w:ind w:left="0"/>
        <w:jc w:val="both"/>
        <w:rPr>
          <w:rFonts w:ascii="Verdana" w:hAnsi="Verdana"/>
          <w:sz w:val="20"/>
          <w:szCs w:val="20"/>
        </w:rPr>
      </w:pPr>
    </w:p>
    <w:p w14:paraId="28D8B840" w14:textId="121098C2" w:rsidR="0061212B" w:rsidRPr="00D66B27" w:rsidRDefault="00545651" w:rsidP="00D97DE5">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 xml:space="preserve">La </w:t>
      </w:r>
      <w:r w:rsidRPr="00D66B27">
        <w:rPr>
          <w:rFonts w:ascii="Verdana" w:hAnsi="Verdana"/>
          <w:b/>
          <w:i/>
          <w:sz w:val="20"/>
          <w:szCs w:val="20"/>
        </w:rPr>
        <w:t>Comisión</w:t>
      </w:r>
      <w:r w:rsidR="00AB7954" w:rsidRPr="00D66B27">
        <w:rPr>
          <w:rFonts w:ascii="Verdana" w:hAnsi="Verdana"/>
          <w:sz w:val="20"/>
          <w:szCs w:val="20"/>
        </w:rPr>
        <w:t xml:space="preserve"> recomendó al Estado, como medidas de no repetición, que adopte medidas legislativas, administrativas y de cualquier otra índole, con el objeto de adecuar la legislación y las </w:t>
      </w:r>
      <w:r w:rsidR="00FA7429" w:rsidRPr="00D66B27">
        <w:rPr>
          <w:rFonts w:ascii="Verdana" w:hAnsi="Verdana"/>
          <w:sz w:val="20"/>
          <w:szCs w:val="20"/>
        </w:rPr>
        <w:t xml:space="preserve">prácticas judiciales chilenas </w:t>
      </w:r>
      <w:r w:rsidR="00AB7954" w:rsidRPr="00D66B27">
        <w:rPr>
          <w:rFonts w:ascii="Verdana" w:hAnsi="Verdana"/>
          <w:sz w:val="20"/>
          <w:szCs w:val="20"/>
        </w:rPr>
        <w:t>respecto de la prohibición de aplicar la prescripción a las acciones civiles de reparaciones en casos como el presente</w:t>
      </w:r>
      <w:r w:rsidR="00FA7429" w:rsidRPr="00D66B27">
        <w:rPr>
          <w:rFonts w:ascii="Verdana" w:hAnsi="Verdana"/>
          <w:sz w:val="20"/>
          <w:szCs w:val="20"/>
        </w:rPr>
        <w:t>.</w:t>
      </w:r>
    </w:p>
    <w:p w14:paraId="4174D09E" w14:textId="5910D202" w:rsidR="00EC5821" w:rsidRPr="00D66B27" w:rsidRDefault="00EC5821" w:rsidP="00EC5821">
      <w:pPr>
        <w:pStyle w:val="Prrafodelista"/>
        <w:spacing w:after="0" w:line="240" w:lineRule="auto"/>
        <w:ind w:left="0"/>
        <w:jc w:val="both"/>
        <w:rPr>
          <w:rFonts w:ascii="Verdana" w:hAnsi="Verdana"/>
          <w:sz w:val="20"/>
          <w:szCs w:val="20"/>
        </w:rPr>
      </w:pPr>
    </w:p>
    <w:p w14:paraId="3C7F8E23" w14:textId="654EA268" w:rsidR="0061212B" w:rsidRPr="00D66B27" w:rsidRDefault="00DB75B9" w:rsidP="00D97DE5">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E</w:t>
      </w:r>
      <w:r w:rsidR="0061212B" w:rsidRPr="00D66B27">
        <w:rPr>
          <w:rFonts w:ascii="Verdana" w:hAnsi="Verdana"/>
          <w:sz w:val="20"/>
          <w:szCs w:val="20"/>
        </w:rPr>
        <w:t xml:space="preserve">l </w:t>
      </w:r>
      <w:r w:rsidR="0061212B" w:rsidRPr="00D66B27">
        <w:rPr>
          <w:rFonts w:ascii="Verdana" w:hAnsi="Verdana"/>
          <w:b/>
          <w:i/>
          <w:sz w:val="20"/>
          <w:szCs w:val="20"/>
        </w:rPr>
        <w:t>Estado</w:t>
      </w:r>
      <w:r w:rsidR="0061212B" w:rsidRPr="00D66B27">
        <w:rPr>
          <w:rFonts w:ascii="Verdana" w:hAnsi="Verdana"/>
          <w:sz w:val="20"/>
          <w:szCs w:val="20"/>
        </w:rPr>
        <w:t xml:space="preserve"> </w:t>
      </w:r>
      <w:r w:rsidR="008578A1" w:rsidRPr="00D66B27">
        <w:rPr>
          <w:rFonts w:ascii="Verdana" w:hAnsi="Verdana"/>
          <w:sz w:val="20"/>
          <w:szCs w:val="20"/>
        </w:rPr>
        <w:t>reiteró que</w:t>
      </w:r>
      <w:r w:rsidR="0061212B" w:rsidRPr="00D66B27">
        <w:rPr>
          <w:rFonts w:ascii="Verdana" w:hAnsi="Verdana"/>
          <w:sz w:val="20"/>
          <w:szCs w:val="20"/>
        </w:rPr>
        <w:t xml:space="preserve"> la jurisprudencia del tribunal superior del país</w:t>
      </w:r>
      <w:r w:rsidR="008578A1" w:rsidRPr="00D66B27">
        <w:rPr>
          <w:rFonts w:ascii="Verdana" w:hAnsi="Verdana"/>
          <w:sz w:val="20"/>
          <w:szCs w:val="20"/>
        </w:rPr>
        <w:t xml:space="preserve"> ha venido </w:t>
      </w:r>
      <w:r w:rsidR="00A633AF" w:rsidRPr="00D66B27">
        <w:rPr>
          <w:rFonts w:ascii="Verdana" w:hAnsi="Verdana"/>
          <w:sz w:val="20"/>
          <w:szCs w:val="20"/>
        </w:rPr>
        <w:t xml:space="preserve">reconociendo sistemáticamente </w:t>
      </w:r>
      <w:r w:rsidR="0061212B" w:rsidRPr="00D66B27">
        <w:rPr>
          <w:rFonts w:ascii="Verdana" w:hAnsi="Verdana"/>
          <w:sz w:val="20"/>
          <w:szCs w:val="20"/>
        </w:rPr>
        <w:t xml:space="preserve">la admisibilidad de acciones judiciales de carácter civil </w:t>
      </w:r>
      <w:r w:rsidR="00A633AF" w:rsidRPr="00D66B27">
        <w:rPr>
          <w:rFonts w:ascii="Verdana" w:hAnsi="Verdana"/>
          <w:sz w:val="20"/>
          <w:szCs w:val="20"/>
        </w:rPr>
        <w:t xml:space="preserve">de </w:t>
      </w:r>
      <w:r w:rsidR="0061212B" w:rsidRPr="00D66B27">
        <w:rPr>
          <w:rFonts w:ascii="Verdana" w:hAnsi="Verdana"/>
          <w:sz w:val="20"/>
          <w:szCs w:val="20"/>
        </w:rPr>
        <w:t>indemnización de perjuicios</w:t>
      </w:r>
      <w:r w:rsidR="00A633AF" w:rsidRPr="00D66B27">
        <w:rPr>
          <w:rFonts w:ascii="Verdana" w:hAnsi="Verdana"/>
          <w:sz w:val="20"/>
          <w:szCs w:val="20"/>
        </w:rPr>
        <w:t xml:space="preserve"> en casos similares, por lo cual este</w:t>
      </w:r>
      <w:r w:rsidR="0061212B" w:rsidRPr="00D66B27">
        <w:rPr>
          <w:rFonts w:ascii="Verdana" w:hAnsi="Verdana"/>
          <w:sz w:val="20"/>
          <w:szCs w:val="20"/>
        </w:rPr>
        <w:t xml:space="preserve"> criterio interpretativo constituye una garantía de no repetición tanto para las víctimas como para la sociedad toda</w:t>
      </w:r>
      <w:r w:rsidR="008D45F9" w:rsidRPr="00D66B27">
        <w:rPr>
          <w:rFonts w:ascii="Verdana" w:hAnsi="Verdana"/>
          <w:sz w:val="20"/>
          <w:szCs w:val="20"/>
        </w:rPr>
        <w:t>,</w:t>
      </w:r>
      <w:r w:rsidR="0061212B" w:rsidRPr="00D66B27">
        <w:rPr>
          <w:rFonts w:ascii="Verdana" w:hAnsi="Verdana"/>
          <w:sz w:val="20"/>
          <w:szCs w:val="20"/>
        </w:rPr>
        <w:t xml:space="preserve"> </w:t>
      </w:r>
      <w:r w:rsidR="008D45F9" w:rsidRPr="00D66B27">
        <w:rPr>
          <w:rFonts w:ascii="Verdana" w:hAnsi="Verdana"/>
          <w:sz w:val="20"/>
          <w:szCs w:val="20"/>
        </w:rPr>
        <w:t xml:space="preserve">pues </w:t>
      </w:r>
      <w:r w:rsidR="0061212B" w:rsidRPr="00D66B27">
        <w:rPr>
          <w:rFonts w:ascii="Verdana" w:hAnsi="Verdana"/>
          <w:sz w:val="20"/>
          <w:szCs w:val="20"/>
        </w:rPr>
        <w:t>actualmente se está frente a una posición robusta y consolidada que entiende lo que debe pri</w:t>
      </w:r>
      <w:r w:rsidR="006F220D" w:rsidRPr="00D66B27">
        <w:rPr>
          <w:rFonts w:ascii="Verdana" w:hAnsi="Verdana"/>
          <w:sz w:val="20"/>
          <w:szCs w:val="20"/>
        </w:rPr>
        <w:t>mar es la obligación de reparar</w:t>
      </w:r>
      <w:r w:rsidR="0061212B" w:rsidRPr="00D66B27">
        <w:rPr>
          <w:rFonts w:ascii="Verdana" w:hAnsi="Verdana"/>
          <w:sz w:val="20"/>
          <w:szCs w:val="20"/>
        </w:rPr>
        <w:t xml:space="preserve">. </w:t>
      </w:r>
    </w:p>
    <w:p w14:paraId="047CA5A4" w14:textId="77777777" w:rsidR="0061212B" w:rsidRPr="00D66B27" w:rsidRDefault="0061212B" w:rsidP="0061212B">
      <w:pPr>
        <w:pStyle w:val="Prrafodelista"/>
        <w:spacing w:after="0" w:line="240" w:lineRule="auto"/>
        <w:ind w:left="0"/>
        <w:jc w:val="both"/>
        <w:rPr>
          <w:rFonts w:ascii="Verdana" w:hAnsi="Verdana"/>
          <w:sz w:val="20"/>
          <w:szCs w:val="20"/>
        </w:rPr>
      </w:pPr>
    </w:p>
    <w:p w14:paraId="7CBA15DF" w14:textId="45182CF8" w:rsidR="00EC5821" w:rsidRPr="00D66B27" w:rsidRDefault="00EA6C48" w:rsidP="00D97DE5">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 xml:space="preserve">La </w:t>
      </w:r>
      <w:r w:rsidRPr="00D66B27">
        <w:rPr>
          <w:rFonts w:ascii="Verdana" w:hAnsi="Verdana"/>
          <w:b/>
          <w:i/>
          <w:sz w:val="20"/>
          <w:szCs w:val="20"/>
        </w:rPr>
        <w:t>Corte</w:t>
      </w:r>
      <w:r w:rsidRPr="00D66B27">
        <w:rPr>
          <w:rFonts w:ascii="Verdana" w:hAnsi="Verdana"/>
          <w:sz w:val="20"/>
          <w:szCs w:val="20"/>
        </w:rPr>
        <w:t xml:space="preserve"> hace notar que, en su Informe, la Comisión no identificó o especificó las medidas que el Estado tendría que adoptar para adecuar </w:t>
      </w:r>
      <w:r w:rsidR="005A640F" w:rsidRPr="00D66B27">
        <w:rPr>
          <w:rFonts w:ascii="Verdana" w:hAnsi="Verdana"/>
          <w:sz w:val="20"/>
          <w:szCs w:val="20"/>
        </w:rPr>
        <w:t xml:space="preserve">su ordenamiento </w:t>
      </w:r>
      <w:r w:rsidRPr="00D66B27">
        <w:rPr>
          <w:rFonts w:ascii="Verdana" w:hAnsi="Verdana"/>
          <w:sz w:val="20"/>
          <w:szCs w:val="20"/>
        </w:rPr>
        <w:t xml:space="preserve">a una prohibición de aplicar la prescripción </w:t>
      </w:r>
      <w:r w:rsidR="005A640F" w:rsidRPr="00D66B27">
        <w:rPr>
          <w:rFonts w:ascii="Verdana" w:hAnsi="Verdana"/>
          <w:sz w:val="20"/>
          <w:szCs w:val="20"/>
        </w:rPr>
        <w:t>civil</w:t>
      </w:r>
      <w:r w:rsidRPr="00D66B27">
        <w:rPr>
          <w:rFonts w:ascii="Verdana" w:hAnsi="Verdana"/>
          <w:sz w:val="20"/>
          <w:szCs w:val="20"/>
        </w:rPr>
        <w:t xml:space="preserve"> en acciones de indemnización como las planteadas en este caso. Sin embargo, e</w:t>
      </w:r>
      <w:r w:rsidR="00EC5821" w:rsidRPr="00D66B27">
        <w:rPr>
          <w:rFonts w:ascii="Verdana" w:hAnsi="Verdana"/>
          <w:sz w:val="20"/>
          <w:szCs w:val="20"/>
        </w:rPr>
        <w:t xml:space="preserve">n sus observaciones finales, la Comisión consideró que el Estado no ha adoptado una solución general y duradera para </w:t>
      </w:r>
      <w:r w:rsidR="005A640F" w:rsidRPr="00D66B27">
        <w:rPr>
          <w:rFonts w:ascii="Verdana" w:hAnsi="Verdana"/>
          <w:sz w:val="20"/>
          <w:szCs w:val="20"/>
        </w:rPr>
        <w:t>cumplir con</w:t>
      </w:r>
      <w:r w:rsidR="00EC5821" w:rsidRPr="00D66B27">
        <w:rPr>
          <w:rFonts w:ascii="Verdana" w:hAnsi="Verdana"/>
          <w:sz w:val="20"/>
          <w:szCs w:val="20"/>
        </w:rPr>
        <w:t xml:space="preserve"> las medidas de no repetición recomendadas, pues el propio Estado reconoció que el criterio </w:t>
      </w:r>
      <w:r w:rsidR="009C7B9D" w:rsidRPr="00D66B27">
        <w:rPr>
          <w:rFonts w:ascii="Verdana" w:hAnsi="Verdana"/>
          <w:sz w:val="20"/>
          <w:szCs w:val="20"/>
        </w:rPr>
        <w:t>jurisprudencial</w:t>
      </w:r>
      <w:r w:rsidR="00EC5821" w:rsidRPr="00D66B27">
        <w:rPr>
          <w:rFonts w:ascii="Verdana" w:hAnsi="Verdana"/>
          <w:sz w:val="20"/>
          <w:szCs w:val="20"/>
        </w:rPr>
        <w:t xml:space="preserve"> de la Corte Suprema ha oscilado entre declarar </w:t>
      </w:r>
      <w:r w:rsidR="005A640F" w:rsidRPr="00D66B27">
        <w:rPr>
          <w:rFonts w:ascii="Verdana" w:hAnsi="Verdana"/>
          <w:sz w:val="20"/>
          <w:szCs w:val="20"/>
        </w:rPr>
        <w:t xml:space="preserve">la prescripción y </w:t>
      </w:r>
      <w:r w:rsidR="00EC5821" w:rsidRPr="00D66B27">
        <w:rPr>
          <w:rFonts w:ascii="Verdana" w:hAnsi="Verdana"/>
          <w:sz w:val="20"/>
          <w:szCs w:val="20"/>
        </w:rPr>
        <w:t>afirmar la imprescriptibilidad de tales acciones y</w:t>
      </w:r>
      <w:r w:rsidR="001F22E1" w:rsidRPr="00D66B27">
        <w:rPr>
          <w:rFonts w:ascii="Verdana" w:hAnsi="Verdana"/>
          <w:sz w:val="20"/>
          <w:szCs w:val="20"/>
        </w:rPr>
        <w:t>,</w:t>
      </w:r>
      <w:r w:rsidR="00EC5821" w:rsidRPr="00D66B27">
        <w:rPr>
          <w:rFonts w:ascii="Verdana" w:hAnsi="Verdana"/>
          <w:sz w:val="20"/>
          <w:szCs w:val="20"/>
        </w:rPr>
        <w:t xml:space="preserve"> si bien </w:t>
      </w:r>
      <w:r w:rsidR="000951DD" w:rsidRPr="00D66B27">
        <w:rPr>
          <w:rFonts w:ascii="Verdana" w:hAnsi="Verdana"/>
          <w:sz w:val="20"/>
          <w:szCs w:val="20"/>
        </w:rPr>
        <w:t xml:space="preserve">esto último es </w:t>
      </w:r>
      <w:r w:rsidR="00EC5821" w:rsidRPr="00D66B27">
        <w:rPr>
          <w:rFonts w:ascii="Verdana" w:hAnsi="Verdana"/>
          <w:sz w:val="20"/>
          <w:szCs w:val="20"/>
        </w:rPr>
        <w:t>la tendencia</w:t>
      </w:r>
      <w:r w:rsidR="000951DD" w:rsidRPr="00D66B27">
        <w:rPr>
          <w:rFonts w:ascii="Verdana" w:hAnsi="Verdana"/>
          <w:sz w:val="20"/>
          <w:szCs w:val="20"/>
        </w:rPr>
        <w:t xml:space="preserve"> actual</w:t>
      </w:r>
      <w:r w:rsidR="00EC5821" w:rsidRPr="00D66B27">
        <w:rPr>
          <w:rFonts w:ascii="Verdana" w:hAnsi="Verdana"/>
          <w:sz w:val="20"/>
          <w:szCs w:val="20"/>
        </w:rPr>
        <w:t xml:space="preserve">, este criterio depende de la concentración del conocimiento de las acciones de reparación por la Segunda Sala de la Corte Suprema, por lo que una distribución o composición distintas en el futuro podría significar que se modifique el criterio. Adicionalmente, </w:t>
      </w:r>
      <w:r w:rsidR="001F22E1" w:rsidRPr="00D66B27">
        <w:rPr>
          <w:rFonts w:ascii="Verdana" w:hAnsi="Verdana"/>
          <w:sz w:val="20"/>
          <w:szCs w:val="20"/>
        </w:rPr>
        <w:t xml:space="preserve">señaló que </w:t>
      </w:r>
      <w:r w:rsidR="00EC5821" w:rsidRPr="00D66B27">
        <w:rPr>
          <w:rFonts w:ascii="Verdana" w:hAnsi="Verdana"/>
          <w:sz w:val="20"/>
          <w:szCs w:val="20"/>
        </w:rPr>
        <w:t xml:space="preserve">el Estado reconoció que en Chile las decisiones judiciales, incluyendo las de </w:t>
      </w:r>
      <w:r w:rsidR="001F22E1" w:rsidRPr="00D66B27">
        <w:rPr>
          <w:rFonts w:ascii="Verdana" w:hAnsi="Verdana"/>
          <w:sz w:val="20"/>
          <w:szCs w:val="20"/>
        </w:rPr>
        <w:t>dicha</w:t>
      </w:r>
      <w:r w:rsidR="00EC5821" w:rsidRPr="00D66B27">
        <w:rPr>
          <w:rFonts w:ascii="Verdana" w:hAnsi="Verdana"/>
          <w:sz w:val="20"/>
          <w:szCs w:val="20"/>
        </w:rPr>
        <w:t xml:space="preserve"> Segunda Sala, tienen efectos </w:t>
      </w:r>
      <w:r w:rsidR="00DD2A58" w:rsidRPr="00D66B27">
        <w:rPr>
          <w:rFonts w:ascii="Verdana" w:hAnsi="Verdana"/>
          <w:sz w:val="20"/>
          <w:szCs w:val="20"/>
        </w:rPr>
        <w:t xml:space="preserve">únicamente </w:t>
      </w:r>
      <w:r w:rsidR="00EC5821" w:rsidRPr="00D66B27">
        <w:rPr>
          <w:rFonts w:ascii="Verdana" w:hAnsi="Verdana"/>
          <w:sz w:val="20"/>
          <w:szCs w:val="20"/>
        </w:rPr>
        <w:t>entre las</w:t>
      </w:r>
      <w:r w:rsidR="001F22E1" w:rsidRPr="00D66B27">
        <w:rPr>
          <w:rFonts w:ascii="Verdana" w:hAnsi="Verdana"/>
          <w:sz w:val="20"/>
          <w:szCs w:val="20"/>
        </w:rPr>
        <w:t xml:space="preserve"> </w:t>
      </w:r>
      <w:r w:rsidR="00EC5821" w:rsidRPr="00D66B27">
        <w:rPr>
          <w:rFonts w:ascii="Verdana" w:hAnsi="Verdana"/>
          <w:sz w:val="20"/>
          <w:szCs w:val="20"/>
        </w:rPr>
        <w:t>partes</w:t>
      </w:r>
      <w:r w:rsidR="001F22E1" w:rsidRPr="00D66B27">
        <w:rPr>
          <w:rFonts w:ascii="Verdana" w:hAnsi="Verdana"/>
          <w:sz w:val="20"/>
          <w:szCs w:val="20"/>
        </w:rPr>
        <w:t xml:space="preserve"> y no explicó por qué las instituciones de defensa estatal continúan oponiendo la excepción de prescripción frente a este tipo de acciones</w:t>
      </w:r>
      <w:r w:rsidR="00EC5821" w:rsidRPr="00D66B27">
        <w:rPr>
          <w:rFonts w:ascii="Verdana" w:hAnsi="Verdana"/>
          <w:sz w:val="20"/>
          <w:szCs w:val="20"/>
        </w:rPr>
        <w:t>.</w:t>
      </w:r>
      <w:r w:rsidR="001F22E1" w:rsidRPr="00D66B27">
        <w:rPr>
          <w:rFonts w:ascii="Verdana" w:hAnsi="Verdana"/>
          <w:sz w:val="20"/>
          <w:szCs w:val="20"/>
        </w:rPr>
        <w:t xml:space="preserve"> De ese modo, </w:t>
      </w:r>
      <w:r w:rsidR="00711876" w:rsidRPr="00D66B27">
        <w:rPr>
          <w:rFonts w:ascii="Verdana" w:hAnsi="Verdana"/>
          <w:sz w:val="20"/>
          <w:szCs w:val="20"/>
        </w:rPr>
        <w:t xml:space="preserve">consideró que </w:t>
      </w:r>
      <w:r w:rsidR="00EC5821" w:rsidRPr="00D66B27">
        <w:rPr>
          <w:rFonts w:ascii="Verdana" w:hAnsi="Verdana"/>
          <w:sz w:val="20"/>
          <w:szCs w:val="20"/>
        </w:rPr>
        <w:t xml:space="preserve">la información presentada por el Estado no permite acreditar, en términos de seguridad jurídica, que actualmente </w:t>
      </w:r>
      <w:r w:rsidR="001F22E1" w:rsidRPr="00D66B27">
        <w:rPr>
          <w:rFonts w:ascii="Verdana" w:hAnsi="Verdana"/>
          <w:sz w:val="20"/>
          <w:szCs w:val="20"/>
        </w:rPr>
        <w:t>la imprescriptibilidad de esas acciones resulte</w:t>
      </w:r>
      <w:r w:rsidR="00EC5821" w:rsidRPr="00D66B27">
        <w:rPr>
          <w:rFonts w:ascii="Verdana" w:hAnsi="Verdana"/>
          <w:sz w:val="20"/>
          <w:szCs w:val="20"/>
        </w:rPr>
        <w:t xml:space="preserve"> un criterio obligatorio para </w:t>
      </w:r>
      <w:r w:rsidR="00DC158E" w:rsidRPr="00D66B27">
        <w:rPr>
          <w:rFonts w:ascii="Verdana" w:hAnsi="Verdana"/>
          <w:sz w:val="20"/>
          <w:szCs w:val="20"/>
        </w:rPr>
        <w:t xml:space="preserve">las </w:t>
      </w:r>
      <w:r w:rsidR="00EC5821" w:rsidRPr="00D66B27">
        <w:rPr>
          <w:rFonts w:ascii="Verdana" w:hAnsi="Verdana"/>
          <w:sz w:val="20"/>
          <w:szCs w:val="20"/>
        </w:rPr>
        <w:t xml:space="preserve">autoridades </w:t>
      </w:r>
      <w:r w:rsidR="001F22E1" w:rsidRPr="00D66B27">
        <w:rPr>
          <w:rFonts w:ascii="Verdana" w:hAnsi="Verdana"/>
          <w:sz w:val="20"/>
          <w:szCs w:val="20"/>
        </w:rPr>
        <w:t>judiciales</w:t>
      </w:r>
      <w:r w:rsidR="00DC158E" w:rsidRPr="00D66B27">
        <w:rPr>
          <w:rFonts w:ascii="Verdana" w:hAnsi="Verdana"/>
          <w:sz w:val="20"/>
          <w:szCs w:val="20"/>
        </w:rPr>
        <w:t xml:space="preserve"> y que, en efecto, </w:t>
      </w:r>
      <w:r w:rsidR="00EC5821" w:rsidRPr="00D66B27">
        <w:rPr>
          <w:rFonts w:ascii="Verdana" w:hAnsi="Verdana"/>
          <w:sz w:val="20"/>
          <w:szCs w:val="20"/>
        </w:rPr>
        <w:t xml:space="preserve">ha tomado conocimiento de un fallo reciente de la </w:t>
      </w:r>
      <w:r w:rsidR="009C03F7" w:rsidRPr="00D66B27">
        <w:rPr>
          <w:rFonts w:ascii="Verdana" w:hAnsi="Verdana"/>
          <w:sz w:val="20"/>
          <w:szCs w:val="20"/>
        </w:rPr>
        <w:t>Corte</w:t>
      </w:r>
      <w:r w:rsidR="00EC5821" w:rsidRPr="00D66B27">
        <w:rPr>
          <w:rFonts w:ascii="Verdana" w:hAnsi="Verdana"/>
          <w:sz w:val="20"/>
          <w:szCs w:val="20"/>
        </w:rPr>
        <w:t xml:space="preserve"> de Apelaciones d</w:t>
      </w:r>
      <w:r w:rsidR="002731E1" w:rsidRPr="00D66B27">
        <w:rPr>
          <w:rFonts w:ascii="Verdana" w:hAnsi="Verdana"/>
          <w:sz w:val="20"/>
          <w:szCs w:val="20"/>
        </w:rPr>
        <w:t>e Santiago</w:t>
      </w:r>
      <w:r w:rsidR="00EC5821" w:rsidRPr="00D66B27">
        <w:rPr>
          <w:rFonts w:ascii="Verdana" w:hAnsi="Verdana"/>
          <w:sz w:val="20"/>
          <w:szCs w:val="20"/>
        </w:rPr>
        <w:t xml:space="preserve"> en la que se aplicó la prescripción civil en un asunto similar.</w:t>
      </w:r>
      <w:r w:rsidR="001F22E1" w:rsidRPr="00D66B27">
        <w:rPr>
          <w:rFonts w:ascii="Verdana" w:hAnsi="Verdana"/>
          <w:sz w:val="20"/>
          <w:szCs w:val="20"/>
        </w:rPr>
        <w:t xml:space="preserve"> En razón de lo anterior, la Comisión </w:t>
      </w:r>
      <w:r w:rsidR="00EC5821" w:rsidRPr="00D66B27">
        <w:rPr>
          <w:rFonts w:ascii="Verdana" w:hAnsi="Verdana"/>
          <w:sz w:val="20"/>
          <w:szCs w:val="20"/>
        </w:rPr>
        <w:t xml:space="preserve">estima necesario que la Corte disponga un cambio legislativo en el cual se determine expresamente la inaplicabilidad de </w:t>
      </w:r>
      <w:r w:rsidR="00427A74" w:rsidRPr="00D66B27">
        <w:rPr>
          <w:rFonts w:ascii="Verdana" w:hAnsi="Verdana"/>
          <w:sz w:val="20"/>
          <w:szCs w:val="20"/>
        </w:rPr>
        <w:t>dicha</w:t>
      </w:r>
      <w:r w:rsidR="00EC5821" w:rsidRPr="00D66B27">
        <w:rPr>
          <w:rFonts w:ascii="Verdana" w:hAnsi="Verdana"/>
          <w:sz w:val="20"/>
          <w:szCs w:val="20"/>
        </w:rPr>
        <w:t xml:space="preserve"> figura en el contexto de acciones civiles por crímenes de lesa humanidad </w:t>
      </w:r>
      <w:r w:rsidR="001F22E1" w:rsidRPr="00D66B27">
        <w:rPr>
          <w:rFonts w:ascii="Verdana" w:hAnsi="Verdana"/>
          <w:sz w:val="20"/>
          <w:szCs w:val="20"/>
        </w:rPr>
        <w:t xml:space="preserve">y que </w:t>
      </w:r>
      <w:r w:rsidR="00EC5821" w:rsidRPr="00D66B27">
        <w:rPr>
          <w:rFonts w:ascii="Verdana" w:hAnsi="Verdana"/>
          <w:sz w:val="20"/>
          <w:szCs w:val="20"/>
        </w:rPr>
        <w:t xml:space="preserve">efectúe un llamado a las autoridades judiciales chilenas a realizar un control de convencionalidad </w:t>
      </w:r>
      <w:r w:rsidR="001F22E1" w:rsidRPr="00D66B27">
        <w:rPr>
          <w:rFonts w:ascii="Verdana" w:hAnsi="Verdana"/>
          <w:sz w:val="20"/>
          <w:szCs w:val="20"/>
        </w:rPr>
        <w:t xml:space="preserve">para </w:t>
      </w:r>
      <w:r w:rsidR="00EC5821" w:rsidRPr="00D66B27">
        <w:rPr>
          <w:rFonts w:ascii="Verdana" w:hAnsi="Verdana"/>
          <w:sz w:val="20"/>
          <w:szCs w:val="20"/>
        </w:rPr>
        <w:t>asegurar que, mientras se completa la reforma legislativa, no se aplique</w:t>
      </w:r>
      <w:r w:rsidR="001F22E1" w:rsidRPr="00D66B27">
        <w:rPr>
          <w:rFonts w:ascii="Verdana" w:hAnsi="Verdana"/>
          <w:sz w:val="20"/>
          <w:szCs w:val="20"/>
        </w:rPr>
        <w:t xml:space="preserve"> tal figura</w:t>
      </w:r>
      <w:r w:rsidR="00EC5821" w:rsidRPr="00D66B27">
        <w:rPr>
          <w:rFonts w:ascii="Verdana" w:hAnsi="Verdana"/>
          <w:sz w:val="20"/>
          <w:szCs w:val="20"/>
        </w:rPr>
        <w:t>.</w:t>
      </w:r>
      <w:r w:rsidR="003242F0" w:rsidRPr="00D66B27">
        <w:rPr>
          <w:rFonts w:ascii="Verdana" w:hAnsi="Verdana"/>
          <w:sz w:val="20"/>
          <w:szCs w:val="20"/>
        </w:rPr>
        <w:t xml:space="preserve"> </w:t>
      </w:r>
    </w:p>
    <w:p w14:paraId="781F81C6" w14:textId="77777777" w:rsidR="00EC5821" w:rsidRPr="00D66B27" w:rsidRDefault="00EC5821" w:rsidP="00F83CF4">
      <w:pPr>
        <w:pStyle w:val="Prrafodelista"/>
        <w:spacing w:after="0" w:line="240" w:lineRule="auto"/>
        <w:ind w:left="0"/>
        <w:jc w:val="both"/>
        <w:rPr>
          <w:rFonts w:ascii="Verdana" w:hAnsi="Verdana"/>
          <w:sz w:val="20"/>
          <w:szCs w:val="20"/>
        </w:rPr>
      </w:pPr>
    </w:p>
    <w:p w14:paraId="39B0F20C" w14:textId="645B0D4B" w:rsidR="00536757" w:rsidRPr="00D66B27" w:rsidRDefault="00F83CF4" w:rsidP="00D97DE5">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lastRenderedPageBreak/>
        <w:t xml:space="preserve">Al respecto, en sus alegatos finales el </w:t>
      </w:r>
      <w:r w:rsidRPr="00D66B27">
        <w:rPr>
          <w:rFonts w:ascii="Verdana" w:hAnsi="Verdana"/>
          <w:b/>
          <w:i/>
          <w:sz w:val="20"/>
          <w:szCs w:val="20"/>
        </w:rPr>
        <w:t>Estado</w:t>
      </w:r>
      <w:r w:rsidRPr="00D66B27">
        <w:rPr>
          <w:rFonts w:ascii="Verdana" w:hAnsi="Verdana"/>
          <w:sz w:val="20"/>
          <w:szCs w:val="20"/>
        </w:rPr>
        <w:t xml:space="preserve"> manifestó su rechazo a la solicitud de modificación de la legislación interna, </w:t>
      </w:r>
      <w:r w:rsidR="005C3ED4">
        <w:rPr>
          <w:rFonts w:ascii="Verdana" w:hAnsi="Verdana"/>
          <w:sz w:val="20"/>
          <w:szCs w:val="20"/>
        </w:rPr>
        <w:t>con base en que</w:t>
      </w:r>
      <w:r w:rsidRPr="00D66B27">
        <w:rPr>
          <w:rFonts w:ascii="Verdana" w:hAnsi="Verdana"/>
          <w:sz w:val="20"/>
          <w:szCs w:val="20"/>
        </w:rPr>
        <w:t xml:space="preserve"> ello introduciría graves problemáticas </w:t>
      </w:r>
      <w:r w:rsidR="00353BD3" w:rsidRPr="00D66B27">
        <w:rPr>
          <w:rFonts w:ascii="Verdana" w:hAnsi="Verdana"/>
          <w:sz w:val="20"/>
          <w:szCs w:val="20"/>
        </w:rPr>
        <w:t xml:space="preserve">en </w:t>
      </w:r>
      <w:r w:rsidR="001B2857" w:rsidRPr="00D66B27">
        <w:rPr>
          <w:rFonts w:ascii="Verdana" w:hAnsi="Verdana"/>
          <w:sz w:val="20"/>
          <w:szCs w:val="20"/>
        </w:rPr>
        <w:t>su</w:t>
      </w:r>
      <w:r w:rsidRPr="00D66B27">
        <w:rPr>
          <w:rFonts w:ascii="Verdana" w:hAnsi="Verdana"/>
          <w:sz w:val="20"/>
          <w:szCs w:val="20"/>
        </w:rPr>
        <w:t xml:space="preserve"> sistema jurídico</w:t>
      </w:r>
      <w:r w:rsidR="001B2857" w:rsidRPr="00D66B27">
        <w:rPr>
          <w:rFonts w:ascii="Verdana" w:hAnsi="Verdana"/>
          <w:sz w:val="20"/>
          <w:szCs w:val="20"/>
        </w:rPr>
        <w:t xml:space="preserve"> y porque tal</w:t>
      </w:r>
      <w:r w:rsidRPr="00D66B27">
        <w:rPr>
          <w:rFonts w:ascii="Verdana" w:hAnsi="Verdana"/>
          <w:sz w:val="20"/>
          <w:szCs w:val="20"/>
        </w:rPr>
        <w:t xml:space="preserve"> modificación es abiertamente innecesaria.</w:t>
      </w:r>
      <w:r w:rsidR="001B2857" w:rsidRPr="00D66B27">
        <w:rPr>
          <w:rFonts w:ascii="Verdana" w:hAnsi="Verdana"/>
          <w:sz w:val="20"/>
          <w:szCs w:val="20"/>
        </w:rPr>
        <w:t xml:space="preserve"> </w:t>
      </w:r>
      <w:r w:rsidR="00353BD3" w:rsidRPr="00D66B27">
        <w:rPr>
          <w:rFonts w:ascii="Verdana" w:hAnsi="Verdana"/>
          <w:sz w:val="20"/>
          <w:szCs w:val="20"/>
        </w:rPr>
        <w:t xml:space="preserve">Consideró que </w:t>
      </w:r>
      <w:r w:rsidR="00DA1593" w:rsidRPr="00D66B27">
        <w:rPr>
          <w:rFonts w:ascii="Verdana" w:hAnsi="Verdana"/>
          <w:sz w:val="20"/>
          <w:szCs w:val="20"/>
        </w:rPr>
        <w:t xml:space="preserve">la adopción de una medida legislativa que busca la reapertura de causas civiles cerradas con autoridad de cosa juzgada </w:t>
      </w:r>
      <w:r w:rsidR="00353BD3" w:rsidRPr="00D66B27">
        <w:rPr>
          <w:rFonts w:ascii="Verdana" w:hAnsi="Verdana"/>
          <w:sz w:val="20"/>
          <w:szCs w:val="20"/>
        </w:rPr>
        <w:t>crearía</w:t>
      </w:r>
      <w:r w:rsidR="00DA1593" w:rsidRPr="00D66B27">
        <w:rPr>
          <w:rFonts w:ascii="Verdana" w:hAnsi="Verdana"/>
          <w:sz w:val="20"/>
          <w:szCs w:val="20"/>
        </w:rPr>
        <w:t xml:space="preserve"> espacios graves y serios de incertidumbre al interior del ordenamiento jurídico chileno, cuestión que no es admisible desde una perspectiva de estado de derecho.</w:t>
      </w:r>
      <w:r w:rsidR="009873E7" w:rsidRPr="00D66B27">
        <w:rPr>
          <w:rFonts w:ascii="Verdana" w:hAnsi="Verdana"/>
          <w:sz w:val="20"/>
          <w:szCs w:val="20"/>
        </w:rPr>
        <w:t xml:space="preserve"> </w:t>
      </w:r>
      <w:r w:rsidR="00AC7D3C" w:rsidRPr="00D66B27">
        <w:rPr>
          <w:rFonts w:ascii="Verdana" w:hAnsi="Verdana"/>
          <w:sz w:val="20"/>
          <w:szCs w:val="20"/>
        </w:rPr>
        <w:t xml:space="preserve">Manifestó que cuando este Tribunal </w:t>
      </w:r>
      <w:r w:rsidR="007E2F89" w:rsidRPr="00D66B27">
        <w:rPr>
          <w:rFonts w:ascii="Verdana" w:hAnsi="Verdana"/>
          <w:sz w:val="20"/>
          <w:szCs w:val="20"/>
        </w:rPr>
        <w:t xml:space="preserve">ha ordenado la reapertura de causas judiciales cerradas con autoridad de cosa juzgada, lo ha hecho </w:t>
      </w:r>
      <w:r w:rsidR="00AC7D3C" w:rsidRPr="00D66B27">
        <w:rPr>
          <w:rFonts w:ascii="Verdana" w:hAnsi="Verdana"/>
          <w:sz w:val="20"/>
          <w:szCs w:val="20"/>
        </w:rPr>
        <w:t xml:space="preserve">como medida de reparación excepcional y no común, </w:t>
      </w:r>
      <w:r w:rsidR="007E2F89" w:rsidRPr="00D66B27">
        <w:rPr>
          <w:rFonts w:ascii="Verdana" w:hAnsi="Verdana"/>
          <w:sz w:val="20"/>
          <w:szCs w:val="20"/>
        </w:rPr>
        <w:t xml:space="preserve">en </w:t>
      </w:r>
      <w:r w:rsidR="00AC7D3C" w:rsidRPr="00D66B27">
        <w:rPr>
          <w:rFonts w:ascii="Verdana" w:hAnsi="Verdana"/>
          <w:sz w:val="20"/>
          <w:szCs w:val="20"/>
        </w:rPr>
        <w:t xml:space="preserve">casos relacionados con </w:t>
      </w:r>
      <w:r w:rsidR="007E2F89" w:rsidRPr="00D66B27">
        <w:rPr>
          <w:rFonts w:ascii="Verdana" w:hAnsi="Verdana"/>
          <w:sz w:val="20"/>
          <w:szCs w:val="20"/>
        </w:rPr>
        <w:t xml:space="preserve">causas criminales </w:t>
      </w:r>
      <w:r w:rsidR="006A0984" w:rsidRPr="00D66B27">
        <w:rPr>
          <w:rFonts w:ascii="Verdana" w:hAnsi="Verdana"/>
          <w:sz w:val="20"/>
          <w:szCs w:val="20"/>
        </w:rPr>
        <w:t xml:space="preserve">a efectos </w:t>
      </w:r>
      <w:r w:rsidR="007E2F89" w:rsidRPr="00D66B27">
        <w:rPr>
          <w:rFonts w:ascii="Verdana" w:hAnsi="Verdana"/>
          <w:sz w:val="20"/>
          <w:szCs w:val="20"/>
        </w:rPr>
        <w:t xml:space="preserve">de que se sancione de forma efectiva a partícipes en delitos de lesa humanidad, cuyo carácter es imprescriptible, </w:t>
      </w:r>
      <w:r w:rsidR="00AC7D3C" w:rsidRPr="00D66B27">
        <w:rPr>
          <w:rFonts w:ascii="Verdana" w:hAnsi="Verdana"/>
          <w:sz w:val="20"/>
          <w:szCs w:val="20"/>
        </w:rPr>
        <w:t>privando</w:t>
      </w:r>
      <w:r w:rsidR="007E2F89" w:rsidRPr="00D66B27">
        <w:rPr>
          <w:rFonts w:ascii="Verdana" w:hAnsi="Verdana"/>
          <w:sz w:val="20"/>
          <w:szCs w:val="20"/>
        </w:rPr>
        <w:t xml:space="preserve"> de efectos jurídicos a amnistías dictadas de forma fraudulenta. </w:t>
      </w:r>
      <w:r w:rsidR="00236403" w:rsidRPr="00D66B27">
        <w:rPr>
          <w:rFonts w:ascii="Verdana" w:hAnsi="Verdana"/>
          <w:sz w:val="20"/>
          <w:szCs w:val="20"/>
        </w:rPr>
        <w:t>No obstante,</w:t>
      </w:r>
      <w:r w:rsidR="006A0984" w:rsidRPr="00D66B27">
        <w:rPr>
          <w:rFonts w:ascii="Verdana" w:hAnsi="Verdana"/>
          <w:sz w:val="20"/>
          <w:szCs w:val="20"/>
        </w:rPr>
        <w:t xml:space="preserve"> la</w:t>
      </w:r>
      <w:r w:rsidR="00DA1593" w:rsidRPr="00D66B27">
        <w:rPr>
          <w:rFonts w:ascii="Verdana" w:hAnsi="Verdana"/>
          <w:sz w:val="20"/>
          <w:szCs w:val="20"/>
        </w:rPr>
        <w:t xml:space="preserve"> situación </w:t>
      </w:r>
      <w:r w:rsidR="007E2F89" w:rsidRPr="00D66B27">
        <w:rPr>
          <w:rFonts w:ascii="Verdana" w:hAnsi="Verdana"/>
          <w:sz w:val="20"/>
          <w:szCs w:val="20"/>
        </w:rPr>
        <w:t xml:space="preserve">de este </w:t>
      </w:r>
      <w:r w:rsidR="00DA1593" w:rsidRPr="00D66B27">
        <w:rPr>
          <w:rFonts w:ascii="Verdana" w:hAnsi="Verdana"/>
          <w:sz w:val="20"/>
          <w:szCs w:val="20"/>
        </w:rPr>
        <w:t>caso es completamente distinta</w:t>
      </w:r>
      <w:r w:rsidR="007E2F89" w:rsidRPr="00D66B27">
        <w:rPr>
          <w:rFonts w:ascii="Verdana" w:hAnsi="Verdana"/>
          <w:sz w:val="20"/>
          <w:szCs w:val="20"/>
        </w:rPr>
        <w:t xml:space="preserve">, pues </w:t>
      </w:r>
      <w:r w:rsidR="00DA1593" w:rsidRPr="00D66B27">
        <w:rPr>
          <w:rFonts w:ascii="Verdana" w:hAnsi="Verdana"/>
          <w:sz w:val="20"/>
          <w:szCs w:val="20"/>
        </w:rPr>
        <w:t>lo que está en discusión no es la responsabilidad personal de part</w:t>
      </w:r>
      <w:r w:rsidR="00AC7D3C" w:rsidRPr="00D66B27">
        <w:rPr>
          <w:rFonts w:ascii="Verdana" w:hAnsi="Verdana"/>
          <w:sz w:val="20"/>
          <w:szCs w:val="20"/>
        </w:rPr>
        <w:t>ícipes</w:t>
      </w:r>
      <w:r w:rsidR="00DA1593" w:rsidRPr="00D66B27">
        <w:rPr>
          <w:rFonts w:ascii="Verdana" w:hAnsi="Verdana"/>
          <w:sz w:val="20"/>
          <w:szCs w:val="20"/>
        </w:rPr>
        <w:t xml:space="preserve"> en </w:t>
      </w:r>
      <w:r w:rsidR="006A0984" w:rsidRPr="00D66B27">
        <w:rPr>
          <w:rFonts w:ascii="Verdana" w:hAnsi="Verdana"/>
          <w:sz w:val="20"/>
          <w:szCs w:val="20"/>
        </w:rPr>
        <w:t xml:space="preserve">esos </w:t>
      </w:r>
      <w:r w:rsidR="00DA1593" w:rsidRPr="00D66B27">
        <w:rPr>
          <w:rFonts w:ascii="Verdana" w:hAnsi="Verdana"/>
          <w:sz w:val="20"/>
          <w:szCs w:val="20"/>
        </w:rPr>
        <w:t>delitos, sino la responsabilidad pat</w:t>
      </w:r>
      <w:r w:rsidR="007E2F89" w:rsidRPr="00D66B27">
        <w:rPr>
          <w:rFonts w:ascii="Verdana" w:hAnsi="Verdana"/>
          <w:sz w:val="20"/>
          <w:szCs w:val="20"/>
        </w:rPr>
        <w:t xml:space="preserve">rimonial y abstracta del Estado y </w:t>
      </w:r>
      <w:r w:rsidR="00DA1593" w:rsidRPr="00D66B27">
        <w:rPr>
          <w:rFonts w:ascii="Verdana" w:hAnsi="Verdana"/>
          <w:sz w:val="20"/>
          <w:szCs w:val="20"/>
        </w:rPr>
        <w:t xml:space="preserve">la </w:t>
      </w:r>
      <w:r w:rsidR="007E2F89" w:rsidRPr="00D66B27">
        <w:rPr>
          <w:rFonts w:ascii="Verdana" w:hAnsi="Verdana"/>
          <w:sz w:val="20"/>
          <w:szCs w:val="20"/>
        </w:rPr>
        <w:t xml:space="preserve">Comisión lo que </w:t>
      </w:r>
      <w:r w:rsidR="00DA1593" w:rsidRPr="00D66B27">
        <w:rPr>
          <w:rFonts w:ascii="Verdana" w:hAnsi="Verdana"/>
          <w:sz w:val="20"/>
          <w:szCs w:val="20"/>
        </w:rPr>
        <w:t xml:space="preserve">busca </w:t>
      </w:r>
      <w:r w:rsidR="00AC7D3C" w:rsidRPr="00D66B27">
        <w:rPr>
          <w:rFonts w:ascii="Verdana" w:hAnsi="Verdana"/>
          <w:sz w:val="20"/>
          <w:szCs w:val="20"/>
        </w:rPr>
        <w:t xml:space="preserve">es </w:t>
      </w:r>
      <w:r w:rsidR="00DA1593" w:rsidRPr="00D66B27">
        <w:rPr>
          <w:rFonts w:ascii="Verdana" w:hAnsi="Verdana"/>
          <w:sz w:val="20"/>
          <w:szCs w:val="20"/>
        </w:rPr>
        <w:t>dejar sin efectos la aplicación de una regla de prescripción ordinaria, de alcance general, dictada sin ninguna intención directa o indirecta de infringir derechos humanos.</w:t>
      </w:r>
      <w:r w:rsidR="00FA1F87" w:rsidRPr="00D66B27">
        <w:rPr>
          <w:rFonts w:ascii="Verdana" w:hAnsi="Verdana"/>
          <w:sz w:val="20"/>
          <w:szCs w:val="20"/>
        </w:rPr>
        <w:t xml:space="preserve"> Además, el Estado alegó que </w:t>
      </w:r>
      <w:r w:rsidR="001A0D09" w:rsidRPr="00D66B27">
        <w:rPr>
          <w:rFonts w:ascii="Verdana" w:hAnsi="Verdana"/>
          <w:sz w:val="20"/>
          <w:szCs w:val="20"/>
        </w:rPr>
        <w:t>dicha</w:t>
      </w:r>
      <w:r w:rsidR="00DA1593" w:rsidRPr="00D66B27">
        <w:rPr>
          <w:rFonts w:ascii="Verdana" w:hAnsi="Verdana"/>
          <w:sz w:val="20"/>
          <w:szCs w:val="20"/>
        </w:rPr>
        <w:t xml:space="preserve"> propuesta de reparación </w:t>
      </w:r>
      <w:r w:rsidR="00FA1F87" w:rsidRPr="00D66B27">
        <w:rPr>
          <w:rFonts w:ascii="Verdana" w:hAnsi="Verdana"/>
          <w:sz w:val="20"/>
          <w:szCs w:val="20"/>
        </w:rPr>
        <w:t xml:space="preserve">es abiertamente innecesaria, </w:t>
      </w:r>
      <w:r w:rsidR="00DA1593" w:rsidRPr="00D66B27">
        <w:rPr>
          <w:rFonts w:ascii="Verdana" w:hAnsi="Verdana"/>
          <w:sz w:val="20"/>
          <w:szCs w:val="20"/>
        </w:rPr>
        <w:t xml:space="preserve">en la medida que los más altos tribunales de justicia chilenos desde el año 2015 han resuelto de forma sostenida y permanente </w:t>
      </w:r>
      <w:r w:rsidR="001A0D09" w:rsidRPr="00D66B27">
        <w:rPr>
          <w:rFonts w:ascii="Verdana" w:hAnsi="Verdana"/>
          <w:sz w:val="20"/>
          <w:szCs w:val="20"/>
        </w:rPr>
        <w:t xml:space="preserve">la imprescriptibilidad de tales </w:t>
      </w:r>
      <w:r w:rsidR="00DA1593" w:rsidRPr="00D66B27">
        <w:rPr>
          <w:rFonts w:ascii="Verdana" w:hAnsi="Verdana"/>
          <w:sz w:val="20"/>
          <w:szCs w:val="20"/>
        </w:rPr>
        <w:t>acciones civiles</w:t>
      </w:r>
      <w:r w:rsidR="00920729" w:rsidRPr="00D66B27">
        <w:rPr>
          <w:rFonts w:ascii="Verdana" w:hAnsi="Verdana"/>
          <w:sz w:val="20"/>
          <w:szCs w:val="20"/>
        </w:rPr>
        <w:t xml:space="preserve">, siendo </w:t>
      </w:r>
      <w:r w:rsidR="00DA1593" w:rsidRPr="00D66B27">
        <w:rPr>
          <w:rFonts w:ascii="Verdana" w:hAnsi="Verdana"/>
          <w:sz w:val="20"/>
          <w:szCs w:val="20"/>
        </w:rPr>
        <w:t>la última decisión de la Corte Suprema en este sentido del 19 de marzo de 2018</w:t>
      </w:r>
      <w:r w:rsidR="001A0D09" w:rsidRPr="00D66B27">
        <w:rPr>
          <w:rFonts w:ascii="Verdana" w:hAnsi="Verdana"/>
          <w:sz w:val="20"/>
          <w:szCs w:val="20"/>
        </w:rPr>
        <w:t xml:space="preserve">, lo cual, sumado a </w:t>
      </w:r>
      <w:r w:rsidR="00536757" w:rsidRPr="00D66B27">
        <w:rPr>
          <w:rFonts w:ascii="Verdana" w:hAnsi="Verdana"/>
          <w:sz w:val="20"/>
          <w:szCs w:val="20"/>
        </w:rPr>
        <w:t xml:space="preserve">los cambios </w:t>
      </w:r>
      <w:r w:rsidR="0081006C" w:rsidRPr="00D66B27">
        <w:rPr>
          <w:rFonts w:ascii="Verdana" w:hAnsi="Verdana"/>
          <w:sz w:val="20"/>
          <w:szCs w:val="20"/>
        </w:rPr>
        <w:t xml:space="preserve">administrativos realizados </w:t>
      </w:r>
      <w:r w:rsidR="00536757" w:rsidRPr="00D66B27">
        <w:rPr>
          <w:rFonts w:ascii="Verdana" w:hAnsi="Verdana"/>
          <w:sz w:val="20"/>
          <w:szCs w:val="20"/>
        </w:rPr>
        <w:t>por el mismo tribunal</w:t>
      </w:r>
      <w:r w:rsidR="001A0D09" w:rsidRPr="00D66B27">
        <w:rPr>
          <w:rFonts w:ascii="Verdana" w:hAnsi="Verdana"/>
          <w:sz w:val="20"/>
          <w:szCs w:val="20"/>
        </w:rPr>
        <w:t>,</w:t>
      </w:r>
      <w:r w:rsidR="00536757" w:rsidRPr="00D66B27">
        <w:rPr>
          <w:rFonts w:ascii="Verdana" w:hAnsi="Verdana"/>
          <w:sz w:val="20"/>
          <w:szCs w:val="20"/>
        </w:rPr>
        <w:t xml:space="preserve"> constituyen una garantía real de no </w:t>
      </w:r>
      <w:r w:rsidR="00236403" w:rsidRPr="00D66B27">
        <w:rPr>
          <w:rFonts w:ascii="Verdana" w:hAnsi="Verdana"/>
          <w:sz w:val="20"/>
          <w:szCs w:val="20"/>
        </w:rPr>
        <w:t>repetición</w:t>
      </w:r>
      <w:r w:rsidR="006B3C71" w:rsidRPr="00D66B27">
        <w:rPr>
          <w:rFonts w:ascii="Verdana" w:hAnsi="Verdana"/>
          <w:sz w:val="20"/>
          <w:szCs w:val="20"/>
        </w:rPr>
        <w:t xml:space="preserve">. </w:t>
      </w:r>
    </w:p>
    <w:p w14:paraId="2E67BAF0" w14:textId="77777777" w:rsidR="00DA1593" w:rsidRPr="00D66B27" w:rsidRDefault="00DA1593" w:rsidP="00F83CF4">
      <w:pPr>
        <w:pStyle w:val="Prrafodelista"/>
        <w:spacing w:after="0" w:line="240" w:lineRule="auto"/>
        <w:ind w:left="0"/>
        <w:jc w:val="both"/>
        <w:rPr>
          <w:rFonts w:ascii="Verdana" w:hAnsi="Verdana"/>
          <w:sz w:val="20"/>
          <w:szCs w:val="20"/>
        </w:rPr>
      </w:pPr>
    </w:p>
    <w:p w14:paraId="3D59EBFF" w14:textId="10062CBC" w:rsidR="00DA1593" w:rsidRPr="00D66B27" w:rsidRDefault="00545651" w:rsidP="00D97DE5">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 xml:space="preserve">En este sentido, la </w:t>
      </w:r>
      <w:r w:rsidRPr="00D66B27">
        <w:rPr>
          <w:rFonts w:ascii="Verdana" w:hAnsi="Verdana"/>
          <w:b/>
          <w:i/>
          <w:sz w:val="20"/>
          <w:szCs w:val="20"/>
        </w:rPr>
        <w:t>Corte</w:t>
      </w:r>
      <w:r w:rsidRPr="00D66B27">
        <w:rPr>
          <w:rFonts w:ascii="Verdana" w:hAnsi="Verdana"/>
          <w:sz w:val="20"/>
          <w:szCs w:val="20"/>
        </w:rPr>
        <w:t xml:space="preserve"> concuerda con el Estado en cuanto a que “el problema que surgió en el presente caso no se debe a la ausencia de normativa, sino más bien a la falta de una interpretación acorde a los principios internacionales de derechos </w:t>
      </w:r>
      <w:r w:rsidR="007450B4" w:rsidRPr="00D66B27">
        <w:rPr>
          <w:rFonts w:ascii="Verdana" w:hAnsi="Verdana"/>
          <w:sz w:val="20"/>
          <w:szCs w:val="20"/>
        </w:rPr>
        <w:t>humanos que rigen en la materia</w:t>
      </w:r>
      <w:r w:rsidRPr="00D66B27">
        <w:rPr>
          <w:rFonts w:ascii="Verdana" w:hAnsi="Verdana"/>
          <w:sz w:val="20"/>
          <w:szCs w:val="20"/>
        </w:rPr>
        <w:t xml:space="preserve">”. </w:t>
      </w:r>
      <w:r w:rsidR="00B4271A" w:rsidRPr="00D66B27">
        <w:rPr>
          <w:rFonts w:ascii="Verdana" w:hAnsi="Verdana"/>
          <w:sz w:val="20"/>
          <w:szCs w:val="20"/>
        </w:rPr>
        <w:t>Tal como reconoció el Estado, el hecho ilícito que generó su responsabilidad internacional se configuró por la aplicación, por parte de los tribunales naciona</w:t>
      </w:r>
      <w:r w:rsidR="008A5FAE" w:rsidRPr="00D66B27">
        <w:rPr>
          <w:rFonts w:ascii="Verdana" w:hAnsi="Verdana"/>
          <w:sz w:val="20"/>
          <w:szCs w:val="20"/>
        </w:rPr>
        <w:t xml:space="preserve">les, del </w:t>
      </w:r>
      <w:r w:rsidR="008216DA" w:rsidRPr="00D66B27">
        <w:rPr>
          <w:rFonts w:ascii="Verdana" w:hAnsi="Verdana"/>
          <w:sz w:val="20"/>
          <w:szCs w:val="20"/>
        </w:rPr>
        <w:t xml:space="preserve">instituto jurídico </w:t>
      </w:r>
      <w:r w:rsidR="00B4271A" w:rsidRPr="00D66B27">
        <w:rPr>
          <w:rFonts w:ascii="Verdana" w:hAnsi="Verdana"/>
          <w:sz w:val="20"/>
          <w:szCs w:val="20"/>
        </w:rPr>
        <w:t xml:space="preserve">de la prescripción, lo que implicó que </w:t>
      </w:r>
      <w:r w:rsidR="008A5FAE" w:rsidRPr="00D66B27">
        <w:rPr>
          <w:rFonts w:ascii="Verdana" w:hAnsi="Verdana"/>
          <w:sz w:val="20"/>
          <w:szCs w:val="20"/>
        </w:rPr>
        <w:t xml:space="preserve">éstos </w:t>
      </w:r>
      <w:r w:rsidR="00B4271A" w:rsidRPr="00D66B27">
        <w:rPr>
          <w:rFonts w:ascii="Verdana" w:hAnsi="Verdana"/>
          <w:sz w:val="20"/>
          <w:szCs w:val="20"/>
        </w:rPr>
        <w:t>no ana</w:t>
      </w:r>
      <w:r w:rsidR="008A5FAE" w:rsidRPr="00D66B27">
        <w:rPr>
          <w:rFonts w:ascii="Verdana" w:hAnsi="Verdana"/>
          <w:sz w:val="20"/>
          <w:szCs w:val="20"/>
        </w:rPr>
        <w:t>lizaran el mérito de las causas</w:t>
      </w:r>
      <w:r w:rsidR="005C3ED4">
        <w:rPr>
          <w:rFonts w:ascii="Verdana" w:hAnsi="Verdana"/>
          <w:sz w:val="20"/>
          <w:szCs w:val="20"/>
        </w:rPr>
        <w:t xml:space="preserve">. </w:t>
      </w:r>
      <w:r w:rsidR="004762C9" w:rsidRPr="00D66B27">
        <w:rPr>
          <w:rFonts w:ascii="Verdana" w:hAnsi="Verdana"/>
          <w:sz w:val="20"/>
          <w:szCs w:val="20"/>
        </w:rPr>
        <w:t>Es decir</w:t>
      </w:r>
      <w:r w:rsidR="00536757" w:rsidRPr="00D66B27">
        <w:rPr>
          <w:rFonts w:ascii="Verdana" w:hAnsi="Verdana"/>
          <w:sz w:val="20"/>
          <w:szCs w:val="20"/>
        </w:rPr>
        <w:t>, tal como enfatizó el Estado, “la infracción de derechos humanos en este caso reconocida [</w:t>
      </w:r>
      <w:r w:rsidR="00B4271A" w:rsidRPr="00D66B27">
        <w:rPr>
          <w:rFonts w:ascii="Verdana" w:hAnsi="Verdana"/>
          <w:sz w:val="20"/>
          <w:szCs w:val="20"/>
        </w:rPr>
        <w:t>…</w:t>
      </w:r>
      <w:r w:rsidR="00536757" w:rsidRPr="00D66B27">
        <w:rPr>
          <w:rFonts w:ascii="Verdana" w:hAnsi="Verdana"/>
          <w:sz w:val="20"/>
          <w:szCs w:val="20"/>
        </w:rPr>
        <w:t xml:space="preserve">] no se origina en disposiciones específicas del derecho interno chileno, sino en la interpretación que del mismo hicieron los tribunales”. </w:t>
      </w:r>
    </w:p>
    <w:p w14:paraId="1789A0EC" w14:textId="77777777" w:rsidR="00536757" w:rsidRPr="00D66B27" w:rsidRDefault="00536757" w:rsidP="00B4271A">
      <w:pPr>
        <w:pStyle w:val="Prrafodelista"/>
        <w:spacing w:after="0" w:line="240" w:lineRule="auto"/>
        <w:ind w:left="0"/>
        <w:jc w:val="both"/>
        <w:rPr>
          <w:rFonts w:ascii="Verdana" w:hAnsi="Verdana"/>
          <w:sz w:val="20"/>
          <w:szCs w:val="20"/>
        </w:rPr>
      </w:pPr>
    </w:p>
    <w:p w14:paraId="64D41A35" w14:textId="790EB855" w:rsidR="00CC156D" w:rsidRPr="00D66B27" w:rsidRDefault="003B5279" w:rsidP="00D97DE5">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Según fue considerado</w:t>
      </w:r>
      <w:r w:rsidR="005C3ED4">
        <w:rPr>
          <w:rFonts w:ascii="Verdana" w:hAnsi="Verdana"/>
          <w:sz w:val="20"/>
          <w:szCs w:val="20"/>
        </w:rPr>
        <w:t xml:space="preserve"> (</w:t>
      </w:r>
      <w:r w:rsidR="005C3ED4">
        <w:rPr>
          <w:rFonts w:ascii="Verdana" w:hAnsi="Verdana"/>
          <w:i/>
          <w:sz w:val="20"/>
          <w:szCs w:val="20"/>
        </w:rPr>
        <w:t xml:space="preserve">supra </w:t>
      </w:r>
      <w:r w:rsidR="000A1430">
        <w:rPr>
          <w:rFonts w:ascii="Verdana" w:hAnsi="Verdana"/>
          <w:sz w:val="20"/>
          <w:szCs w:val="20"/>
        </w:rPr>
        <w:t>párr. 101</w:t>
      </w:r>
      <w:r w:rsidR="005C3ED4">
        <w:rPr>
          <w:rFonts w:ascii="Verdana" w:hAnsi="Verdana"/>
          <w:sz w:val="20"/>
          <w:szCs w:val="20"/>
        </w:rPr>
        <w:t>)</w:t>
      </w:r>
      <w:r w:rsidR="00B4271A" w:rsidRPr="00D66B27">
        <w:rPr>
          <w:rFonts w:ascii="Verdana" w:hAnsi="Verdana"/>
          <w:sz w:val="20"/>
          <w:szCs w:val="20"/>
        </w:rPr>
        <w:t>, c</w:t>
      </w:r>
      <w:r w:rsidR="00536757" w:rsidRPr="00D66B27">
        <w:rPr>
          <w:rFonts w:ascii="Verdana" w:hAnsi="Verdana"/>
          <w:sz w:val="20"/>
          <w:szCs w:val="20"/>
        </w:rPr>
        <w:t>iertamente la jurisprudencia de los últimos años de la Corte Suprema</w:t>
      </w:r>
      <w:r w:rsidR="0030446C" w:rsidRPr="00D66B27">
        <w:rPr>
          <w:rFonts w:ascii="Verdana" w:hAnsi="Verdana"/>
          <w:sz w:val="20"/>
          <w:szCs w:val="20"/>
        </w:rPr>
        <w:t xml:space="preserve"> de Justicia </w:t>
      </w:r>
      <w:r w:rsidR="004B4711" w:rsidRPr="00D66B27">
        <w:rPr>
          <w:rFonts w:ascii="Verdana" w:hAnsi="Verdana"/>
          <w:sz w:val="20"/>
          <w:szCs w:val="20"/>
        </w:rPr>
        <w:t xml:space="preserve">chilena </w:t>
      </w:r>
      <w:r w:rsidR="0030446C" w:rsidRPr="00D66B27">
        <w:rPr>
          <w:rFonts w:ascii="Verdana" w:hAnsi="Verdana"/>
          <w:sz w:val="20"/>
          <w:szCs w:val="20"/>
        </w:rPr>
        <w:t xml:space="preserve">ha variado notablemente hacia una interpretación consecuente y adecuada con su deber de ejercer un efectivo control de convencionalidad. </w:t>
      </w:r>
    </w:p>
    <w:p w14:paraId="682CB945" w14:textId="77777777" w:rsidR="00CC156D" w:rsidRPr="00D66B27" w:rsidRDefault="00CC156D" w:rsidP="00CC156D">
      <w:pPr>
        <w:pStyle w:val="Prrafodelista"/>
        <w:spacing w:after="0" w:line="240" w:lineRule="auto"/>
        <w:ind w:left="0"/>
        <w:jc w:val="both"/>
        <w:rPr>
          <w:rFonts w:ascii="Verdana" w:hAnsi="Verdana"/>
          <w:sz w:val="20"/>
          <w:szCs w:val="20"/>
        </w:rPr>
      </w:pPr>
    </w:p>
    <w:p w14:paraId="21AFC22B" w14:textId="0C0847D3" w:rsidR="0030446C" w:rsidRPr="00D66B27" w:rsidRDefault="005B5E14" w:rsidP="00D97DE5">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 xml:space="preserve">A la vez, </w:t>
      </w:r>
      <w:r w:rsidR="008E6DA9" w:rsidRPr="00D66B27">
        <w:rPr>
          <w:rFonts w:ascii="Verdana" w:hAnsi="Verdana"/>
          <w:sz w:val="20"/>
          <w:szCs w:val="20"/>
        </w:rPr>
        <w:t xml:space="preserve">según informó el Estado, en Chile las sentencias judiciales tienen efectos </w:t>
      </w:r>
      <w:r w:rsidR="008E6DA9" w:rsidRPr="00D66B27">
        <w:rPr>
          <w:rFonts w:ascii="Verdana" w:hAnsi="Verdana"/>
          <w:i/>
          <w:sz w:val="20"/>
          <w:szCs w:val="20"/>
        </w:rPr>
        <w:t>inter partes</w:t>
      </w:r>
      <w:r w:rsidR="008E6DA9" w:rsidRPr="00D66B27">
        <w:rPr>
          <w:rFonts w:ascii="Verdana" w:hAnsi="Verdana"/>
          <w:sz w:val="20"/>
          <w:szCs w:val="20"/>
        </w:rPr>
        <w:t xml:space="preserve"> y no </w:t>
      </w:r>
      <w:r w:rsidR="008E6DA9" w:rsidRPr="00D66B27">
        <w:rPr>
          <w:rFonts w:ascii="Verdana" w:hAnsi="Verdana"/>
          <w:i/>
          <w:sz w:val="20"/>
          <w:szCs w:val="20"/>
        </w:rPr>
        <w:t>erga omnes</w:t>
      </w:r>
      <w:r w:rsidR="008E6DA9" w:rsidRPr="00D66B27">
        <w:rPr>
          <w:rFonts w:ascii="Verdana" w:hAnsi="Verdana"/>
          <w:sz w:val="20"/>
          <w:szCs w:val="20"/>
        </w:rPr>
        <w:t xml:space="preserve">, </w:t>
      </w:r>
      <w:r w:rsidR="00FC575C" w:rsidRPr="00D66B27">
        <w:rPr>
          <w:rFonts w:ascii="Verdana" w:hAnsi="Verdana"/>
          <w:sz w:val="20"/>
          <w:szCs w:val="20"/>
        </w:rPr>
        <w:t>pues no</w:t>
      </w:r>
      <w:r w:rsidR="008E6DA9" w:rsidRPr="00D66B27">
        <w:rPr>
          <w:rFonts w:ascii="Verdana" w:hAnsi="Verdana"/>
          <w:sz w:val="20"/>
          <w:szCs w:val="20"/>
        </w:rPr>
        <w:t xml:space="preserve"> se está sujeto a un sistema tipo “</w:t>
      </w:r>
      <w:r w:rsidR="008E6DA9" w:rsidRPr="00D66B27">
        <w:rPr>
          <w:rFonts w:ascii="Verdana" w:hAnsi="Verdana"/>
          <w:i/>
          <w:sz w:val="20"/>
          <w:szCs w:val="20"/>
        </w:rPr>
        <w:t>stare decisis</w:t>
      </w:r>
      <w:r w:rsidR="008E6DA9" w:rsidRPr="00D66B27">
        <w:rPr>
          <w:rFonts w:ascii="Verdana" w:hAnsi="Verdana"/>
          <w:sz w:val="20"/>
          <w:szCs w:val="20"/>
        </w:rPr>
        <w:t>” donde una resolución judicial constituya una fuente formal y general de derecho</w:t>
      </w:r>
      <w:r w:rsidR="00CC156D" w:rsidRPr="00D66B27">
        <w:rPr>
          <w:rFonts w:ascii="Verdana" w:hAnsi="Verdana"/>
          <w:sz w:val="20"/>
          <w:szCs w:val="20"/>
        </w:rPr>
        <w:t xml:space="preserve">. </w:t>
      </w:r>
      <w:r w:rsidR="008E6DA9" w:rsidRPr="00D66B27">
        <w:rPr>
          <w:rFonts w:ascii="Verdana" w:hAnsi="Verdana"/>
          <w:sz w:val="20"/>
          <w:szCs w:val="20"/>
        </w:rPr>
        <w:t>Por su parte, el representante ha informado que</w:t>
      </w:r>
      <w:r w:rsidRPr="00D66B27">
        <w:rPr>
          <w:rFonts w:ascii="Verdana" w:hAnsi="Verdana"/>
          <w:sz w:val="20"/>
          <w:szCs w:val="20"/>
        </w:rPr>
        <w:t xml:space="preserve"> tribunales de instancia o apelación continúan sosteniendo interpretaciones discon</w:t>
      </w:r>
      <w:r w:rsidR="008E6DA9" w:rsidRPr="00D66B27">
        <w:rPr>
          <w:rFonts w:ascii="Verdana" w:hAnsi="Verdana"/>
          <w:sz w:val="20"/>
          <w:szCs w:val="20"/>
        </w:rPr>
        <w:t>formes con el criterio anterior y</w:t>
      </w:r>
      <w:r w:rsidRPr="00D66B27">
        <w:rPr>
          <w:rFonts w:ascii="Verdana" w:hAnsi="Verdana"/>
          <w:sz w:val="20"/>
          <w:szCs w:val="20"/>
        </w:rPr>
        <w:t xml:space="preserve"> que el Consejo de Defensa del Estado continúa presenta</w:t>
      </w:r>
      <w:r w:rsidR="008E6DA9" w:rsidRPr="00D66B27">
        <w:rPr>
          <w:rFonts w:ascii="Verdana" w:hAnsi="Verdana"/>
          <w:sz w:val="20"/>
          <w:szCs w:val="20"/>
        </w:rPr>
        <w:t>ndo excepciones de prescripción</w:t>
      </w:r>
      <w:r w:rsidR="00CC156D" w:rsidRPr="00D66B27">
        <w:rPr>
          <w:rFonts w:ascii="Verdana" w:hAnsi="Verdana"/>
          <w:sz w:val="20"/>
          <w:szCs w:val="20"/>
        </w:rPr>
        <w:t xml:space="preserve"> (</w:t>
      </w:r>
      <w:r w:rsidR="00CC156D" w:rsidRPr="00D66B27">
        <w:rPr>
          <w:rFonts w:ascii="Verdana" w:hAnsi="Verdana"/>
          <w:i/>
          <w:sz w:val="20"/>
          <w:szCs w:val="20"/>
        </w:rPr>
        <w:t xml:space="preserve">supra </w:t>
      </w:r>
      <w:r w:rsidR="00422629">
        <w:rPr>
          <w:rFonts w:ascii="Verdana" w:hAnsi="Verdana"/>
          <w:sz w:val="20"/>
          <w:szCs w:val="20"/>
        </w:rPr>
        <w:t>párr. 22</w:t>
      </w:r>
      <w:r w:rsidR="00CC156D" w:rsidRPr="00D66B27">
        <w:rPr>
          <w:rFonts w:ascii="Verdana" w:hAnsi="Verdana"/>
          <w:sz w:val="20"/>
          <w:szCs w:val="20"/>
        </w:rPr>
        <w:t>)</w:t>
      </w:r>
      <w:r w:rsidR="008E6DA9" w:rsidRPr="00D66B27">
        <w:rPr>
          <w:rFonts w:ascii="Verdana" w:hAnsi="Verdana"/>
          <w:sz w:val="20"/>
          <w:szCs w:val="20"/>
        </w:rPr>
        <w:t xml:space="preserve">. Asimismo, según hizo notar la Comisión, </w:t>
      </w:r>
      <w:r w:rsidRPr="00D66B27">
        <w:rPr>
          <w:rFonts w:ascii="Verdana" w:hAnsi="Verdana"/>
          <w:sz w:val="20"/>
          <w:szCs w:val="20"/>
        </w:rPr>
        <w:t xml:space="preserve">la uniformidad del criterio de la Corte Suprema </w:t>
      </w:r>
      <w:r w:rsidR="00E6264C" w:rsidRPr="00D66B27">
        <w:rPr>
          <w:rFonts w:ascii="Verdana" w:hAnsi="Verdana"/>
          <w:sz w:val="20"/>
          <w:szCs w:val="20"/>
        </w:rPr>
        <w:t xml:space="preserve">puede </w:t>
      </w:r>
      <w:r w:rsidRPr="00D66B27">
        <w:rPr>
          <w:rFonts w:ascii="Verdana" w:hAnsi="Verdana"/>
          <w:sz w:val="20"/>
          <w:szCs w:val="20"/>
        </w:rPr>
        <w:t>depende</w:t>
      </w:r>
      <w:r w:rsidR="00E6264C" w:rsidRPr="00D66B27">
        <w:rPr>
          <w:rFonts w:ascii="Verdana" w:hAnsi="Verdana"/>
          <w:sz w:val="20"/>
          <w:szCs w:val="20"/>
        </w:rPr>
        <w:t>r</w:t>
      </w:r>
      <w:r w:rsidRPr="00D66B27">
        <w:rPr>
          <w:rFonts w:ascii="Verdana" w:hAnsi="Verdana"/>
          <w:sz w:val="20"/>
          <w:szCs w:val="20"/>
        </w:rPr>
        <w:t xml:space="preserve"> de su decisión administrativa de concentrar el conocimiento de las acciones de reparación en su Segunda Sala</w:t>
      </w:r>
      <w:r w:rsidR="00CC156D" w:rsidRPr="00D66B27">
        <w:rPr>
          <w:rFonts w:ascii="Verdana" w:hAnsi="Verdana"/>
          <w:sz w:val="20"/>
          <w:szCs w:val="20"/>
        </w:rPr>
        <w:t xml:space="preserve">. </w:t>
      </w:r>
      <w:r w:rsidR="008F7E1A" w:rsidRPr="00D66B27">
        <w:rPr>
          <w:rFonts w:ascii="Verdana" w:hAnsi="Verdana"/>
          <w:sz w:val="20"/>
          <w:szCs w:val="20"/>
        </w:rPr>
        <w:t>En este sentido, la Corte es consciente de que la jurisprudencia puede variar en el futuro.</w:t>
      </w:r>
    </w:p>
    <w:p w14:paraId="0012AB79" w14:textId="77777777" w:rsidR="005B5E14" w:rsidRPr="00D66B27" w:rsidRDefault="005B5E14" w:rsidP="00545651">
      <w:pPr>
        <w:pStyle w:val="Prrafodelista"/>
        <w:spacing w:after="0" w:line="240" w:lineRule="auto"/>
        <w:ind w:left="0"/>
        <w:jc w:val="both"/>
        <w:rPr>
          <w:rFonts w:ascii="Verdana" w:hAnsi="Verdana"/>
          <w:sz w:val="20"/>
          <w:szCs w:val="20"/>
        </w:rPr>
      </w:pPr>
    </w:p>
    <w:p w14:paraId="299DA6DF" w14:textId="6ABB8FDD" w:rsidR="00FC575C" w:rsidRPr="00D66B27" w:rsidRDefault="003B5279" w:rsidP="00D97DE5">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A la vez</w:t>
      </w:r>
      <w:r w:rsidR="005B5E14" w:rsidRPr="00D66B27">
        <w:rPr>
          <w:rFonts w:ascii="Verdana" w:hAnsi="Verdana"/>
          <w:sz w:val="20"/>
          <w:szCs w:val="20"/>
        </w:rPr>
        <w:t>, si el hecho ilícito internacional reconocido se originó en incorrectas interpretaciones judiciales de la norma civil de prescripción y no en la norma en sí misma, un cambio sustancial en la jurisprudencia de la máxima autoridad judicial del Estado</w:t>
      </w:r>
      <w:r w:rsidR="00E6264C" w:rsidRPr="00D66B27">
        <w:rPr>
          <w:rFonts w:ascii="Verdana" w:hAnsi="Verdana"/>
          <w:sz w:val="20"/>
          <w:szCs w:val="20"/>
        </w:rPr>
        <w:t>,</w:t>
      </w:r>
      <w:r w:rsidR="005B5E14" w:rsidRPr="00D66B27">
        <w:rPr>
          <w:rFonts w:ascii="Verdana" w:hAnsi="Verdana"/>
          <w:sz w:val="20"/>
          <w:szCs w:val="20"/>
        </w:rPr>
        <w:t xml:space="preserve"> que controla </w:t>
      </w:r>
      <w:r w:rsidR="00E6264C" w:rsidRPr="00D66B27">
        <w:rPr>
          <w:rFonts w:ascii="Verdana" w:hAnsi="Verdana"/>
          <w:sz w:val="20"/>
          <w:szCs w:val="20"/>
        </w:rPr>
        <w:t>–</w:t>
      </w:r>
      <w:r w:rsidR="008F7E1A">
        <w:rPr>
          <w:rFonts w:ascii="Verdana" w:hAnsi="Verdana"/>
          <w:sz w:val="20"/>
          <w:szCs w:val="20"/>
        </w:rPr>
        <w:t>e</w:t>
      </w:r>
      <w:r w:rsidR="005B5E14" w:rsidRPr="00D66B27">
        <w:rPr>
          <w:rFonts w:ascii="Verdana" w:hAnsi="Verdana"/>
          <w:sz w:val="20"/>
          <w:szCs w:val="20"/>
        </w:rPr>
        <w:t>n última instancia</w:t>
      </w:r>
      <w:r w:rsidR="00E6264C" w:rsidRPr="00D66B27">
        <w:rPr>
          <w:rFonts w:ascii="Verdana" w:hAnsi="Verdana"/>
          <w:sz w:val="20"/>
          <w:szCs w:val="20"/>
        </w:rPr>
        <w:t>–</w:t>
      </w:r>
      <w:r w:rsidR="005B5E14" w:rsidRPr="00D66B27">
        <w:rPr>
          <w:rFonts w:ascii="Verdana" w:hAnsi="Verdana"/>
          <w:sz w:val="20"/>
          <w:szCs w:val="20"/>
        </w:rPr>
        <w:t xml:space="preserve"> la constitucionalidad y convencionalidad de las normas e interpretaciones de las demás instancias judiciales</w:t>
      </w:r>
      <w:r w:rsidR="00E6264C" w:rsidRPr="00D66B27">
        <w:rPr>
          <w:rFonts w:ascii="Verdana" w:hAnsi="Verdana"/>
          <w:sz w:val="20"/>
          <w:szCs w:val="20"/>
        </w:rPr>
        <w:t>, brinda seguridad jurídica suficiente respecto de situaciones jurídicas como las presentadas en este caso y</w:t>
      </w:r>
      <w:r w:rsidR="005B5E14" w:rsidRPr="00D66B27">
        <w:rPr>
          <w:rFonts w:ascii="Verdana" w:hAnsi="Verdana"/>
          <w:sz w:val="20"/>
          <w:szCs w:val="20"/>
        </w:rPr>
        <w:t xml:space="preserve"> constituye</w:t>
      </w:r>
      <w:r w:rsidR="00A86C9C" w:rsidRPr="00D66B27">
        <w:rPr>
          <w:rFonts w:ascii="Verdana" w:hAnsi="Verdana"/>
          <w:sz w:val="20"/>
          <w:szCs w:val="20"/>
        </w:rPr>
        <w:t>,</w:t>
      </w:r>
      <w:r w:rsidR="005B5E14" w:rsidRPr="00D66B27">
        <w:rPr>
          <w:rFonts w:ascii="Verdana" w:hAnsi="Verdana"/>
          <w:sz w:val="20"/>
          <w:szCs w:val="20"/>
        </w:rPr>
        <w:t xml:space="preserve"> efectivamente</w:t>
      </w:r>
      <w:r w:rsidR="00A86C9C" w:rsidRPr="00D66B27">
        <w:rPr>
          <w:rFonts w:ascii="Verdana" w:hAnsi="Verdana"/>
          <w:sz w:val="20"/>
          <w:szCs w:val="20"/>
        </w:rPr>
        <w:t>,</w:t>
      </w:r>
      <w:r w:rsidR="005B5E14" w:rsidRPr="00D66B27">
        <w:rPr>
          <w:rFonts w:ascii="Verdana" w:hAnsi="Verdana"/>
          <w:sz w:val="20"/>
          <w:szCs w:val="20"/>
        </w:rPr>
        <w:t xml:space="preserve"> una garantía de no repetición</w:t>
      </w:r>
      <w:r w:rsidR="00E6264C" w:rsidRPr="00D66B27">
        <w:rPr>
          <w:rStyle w:val="Refdenotaalpie"/>
          <w:rFonts w:ascii="Verdana" w:hAnsi="Verdana"/>
          <w:sz w:val="20"/>
          <w:szCs w:val="20"/>
        </w:rPr>
        <w:footnoteReference w:id="91"/>
      </w:r>
      <w:r w:rsidR="00BE2146" w:rsidRPr="00D66B27">
        <w:rPr>
          <w:rFonts w:ascii="Verdana" w:hAnsi="Verdana"/>
          <w:sz w:val="20"/>
          <w:szCs w:val="20"/>
        </w:rPr>
        <w:t>.</w:t>
      </w:r>
      <w:r w:rsidR="00F3694F" w:rsidRPr="00D66B27">
        <w:rPr>
          <w:rFonts w:ascii="Verdana" w:hAnsi="Verdana"/>
          <w:sz w:val="20"/>
          <w:szCs w:val="20"/>
        </w:rPr>
        <w:t xml:space="preserve"> </w:t>
      </w:r>
      <w:r w:rsidR="00BE2146" w:rsidRPr="00D66B27">
        <w:rPr>
          <w:rFonts w:ascii="Verdana" w:hAnsi="Verdana"/>
          <w:sz w:val="20"/>
          <w:szCs w:val="20"/>
        </w:rPr>
        <w:t xml:space="preserve">El Estado ha reconocido ante esta instancia internacional que una interpretación </w:t>
      </w:r>
      <w:r w:rsidR="00BE2146" w:rsidRPr="00D66B27">
        <w:rPr>
          <w:rFonts w:ascii="Verdana" w:hAnsi="Verdana"/>
          <w:sz w:val="20"/>
          <w:szCs w:val="20"/>
        </w:rPr>
        <w:lastRenderedPageBreak/>
        <w:t>diferente de la figura de la prescripción en acciones civiles de reparación en casos de crímenes de lesa humanidad constituye</w:t>
      </w:r>
      <w:r w:rsidR="006310C6" w:rsidRPr="00D66B27">
        <w:rPr>
          <w:rFonts w:ascii="Verdana" w:hAnsi="Verdana"/>
          <w:sz w:val="20"/>
          <w:szCs w:val="20"/>
        </w:rPr>
        <w:t xml:space="preserve"> una violación de</w:t>
      </w:r>
      <w:r w:rsidR="00BE2146" w:rsidRPr="00D66B27">
        <w:rPr>
          <w:rFonts w:ascii="Verdana" w:hAnsi="Verdana"/>
          <w:sz w:val="20"/>
          <w:szCs w:val="20"/>
        </w:rPr>
        <w:t xml:space="preserve"> derechos reconocidos en la Convención.</w:t>
      </w:r>
      <w:r w:rsidR="00A86C9C" w:rsidRPr="00D66B27">
        <w:rPr>
          <w:rFonts w:ascii="Verdana" w:hAnsi="Verdana"/>
          <w:sz w:val="20"/>
          <w:szCs w:val="20"/>
        </w:rPr>
        <w:t xml:space="preserve"> L</w:t>
      </w:r>
      <w:r w:rsidR="00BE2146" w:rsidRPr="00D66B27">
        <w:rPr>
          <w:rFonts w:ascii="Verdana" w:hAnsi="Verdana"/>
          <w:sz w:val="20"/>
          <w:szCs w:val="20"/>
        </w:rPr>
        <w:t xml:space="preserve">a consecuencia necesaria </w:t>
      </w:r>
      <w:r w:rsidR="00A86C9C" w:rsidRPr="00D66B27">
        <w:rPr>
          <w:rFonts w:ascii="Verdana" w:hAnsi="Verdana"/>
          <w:sz w:val="20"/>
          <w:szCs w:val="20"/>
        </w:rPr>
        <w:t xml:space="preserve">de la posición del Estado </w:t>
      </w:r>
      <w:r w:rsidR="00BE2146" w:rsidRPr="00D66B27">
        <w:rPr>
          <w:rFonts w:ascii="Verdana" w:hAnsi="Verdana"/>
          <w:sz w:val="20"/>
          <w:szCs w:val="20"/>
        </w:rPr>
        <w:t xml:space="preserve">es que interpretaciones judiciales actuales o futuras </w:t>
      </w:r>
      <w:r w:rsidR="00A86C9C" w:rsidRPr="00D66B27">
        <w:rPr>
          <w:rFonts w:ascii="Verdana" w:hAnsi="Verdana"/>
          <w:sz w:val="20"/>
          <w:szCs w:val="20"/>
        </w:rPr>
        <w:t>inconsecuentes con ese criterio</w:t>
      </w:r>
      <w:r w:rsidR="00BE2146" w:rsidRPr="00D66B27">
        <w:rPr>
          <w:rFonts w:ascii="Verdana" w:hAnsi="Verdana"/>
          <w:sz w:val="20"/>
          <w:szCs w:val="20"/>
        </w:rPr>
        <w:t xml:space="preserve"> serían contrarias a la Convención y, por ende, comprometerían la responsabilidad del Estado. </w:t>
      </w:r>
    </w:p>
    <w:p w14:paraId="1DA6FF0E" w14:textId="77777777" w:rsidR="00FC575C" w:rsidRPr="00D66B27" w:rsidRDefault="00FC575C" w:rsidP="00D97DE5">
      <w:pPr>
        <w:pBdr>
          <w:top w:val="nil"/>
        </w:pBdr>
        <w:autoSpaceDE w:val="0"/>
        <w:autoSpaceDN w:val="0"/>
        <w:adjustRightInd w:val="0"/>
        <w:spacing w:after="0" w:line="240" w:lineRule="auto"/>
        <w:jc w:val="both"/>
        <w:rPr>
          <w:rFonts w:ascii="Verdana" w:hAnsi="Verdana"/>
          <w:sz w:val="20"/>
          <w:szCs w:val="20"/>
        </w:rPr>
      </w:pPr>
    </w:p>
    <w:p w14:paraId="69A21A99" w14:textId="6D35C0CB" w:rsidR="00E6264C" w:rsidRPr="00D66B27" w:rsidRDefault="00E6264C" w:rsidP="00D97DE5">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De tal modo, este Tribunal parte de que, en atención a la buena fe del Estado en el cumplimiento de sus obligaciones, la referida línea jurisprudencial se mantendrá en posteriores acciones que tenga que resolver la Corte Suprema, a efecto de garantizar que las circunstancias del presente caso no se vuelvan a repetir. Esta consideración no precluye la posibilidad de este Tribunal para pronunciarse en el futuro si se le llegare a someter otro caso contencioso por hechos similares</w:t>
      </w:r>
      <w:r w:rsidRPr="00D66B27">
        <w:rPr>
          <w:rStyle w:val="Refdenotaalpie"/>
          <w:rFonts w:ascii="Verdana" w:hAnsi="Verdana"/>
          <w:sz w:val="20"/>
          <w:szCs w:val="20"/>
        </w:rPr>
        <w:footnoteReference w:id="92"/>
      </w:r>
      <w:r w:rsidRPr="00D66B27">
        <w:rPr>
          <w:rFonts w:ascii="Verdana" w:hAnsi="Verdana"/>
          <w:sz w:val="20"/>
          <w:szCs w:val="20"/>
        </w:rPr>
        <w:t>.</w:t>
      </w:r>
    </w:p>
    <w:p w14:paraId="05055D46" w14:textId="77777777" w:rsidR="00E6264C" w:rsidRPr="00D66B27" w:rsidRDefault="00E6264C" w:rsidP="00FC575C">
      <w:pPr>
        <w:pStyle w:val="Prrafodelista"/>
        <w:spacing w:after="0" w:line="240" w:lineRule="auto"/>
        <w:ind w:left="0"/>
        <w:jc w:val="both"/>
        <w:rPr>
          <w:rFonts w:ascii="Verdana" w:hAnsi="Verdana"/>
          <w:sz w:val="20"/>
          <w:szCs w:val="20"/>
        </w:rPr>
      </w:pPr>
    </w:p>
    <w:p w14:paraId="4FDC83FC" w14:textId="413AD93A" w:rsidR="00BE2146" w:rsidRPr="00D66B27" w:rsidRDefault="00BD376D" w:rsidP="00D97DE5">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Sin perjuicio de lo anterior</w:t>
      </w:r>
      <w:r w:rsidR="00BE2146" w:rsidRPr="00D66B27">
        <w:rPr>
          <w:rFonts w:ascii="Verdana" w:hAnsi="Verdana"/>
          <w:sz w:val="20"/>
          <w:szCs w:val="20"/>
        </w:rPr>
        <w:t xml:space="preserve">, es también necesario recordar que </w:t>
      </w:r>
      <w:r w:rsidR="0068080F" w:rsidRPr="00D66B27">
        <w:rPr>
          <w:rFonts w:ascii="Verdana" w:hAnsi="Verdana"/>
          <w:sz w:val="20"/>
          <w:szCs w:val="20"/>
        </w:rPr>
        <w:t xml:space="preserve">la obligación de ejercer un “control de convencionalidad” entre las normas internas o los actos estatales y la Convención Americana, incumbe a todos los jueces y órganos vinculados a la administración de justicia, en todos los niveles, y debe ser realizada </w:t>
      </w:r>
      <w:r w:rsidR="0068080F" w:rsidRPr="00D66B27">
        <w:rPr>
          <w:rFonts w:ascii="Verdana" w:hAnsi="Verdana"/>
          <w:i/>
          <w:sz w:val="20"/>
          <w:szCs w:val="20"/>
        </w:rPr>
        <w:t>ex officio</w:t>
      </w:r>
      <w:r w:rsidR="0068080F" w:rsidRPr="00D66B27">
        <w:rPr>
          <w:rFonts w:ascii="Verdana" w:hAnsi="Verdana"/>
          <w:sz w:val="20"/>
          <w:szCs w:val="20"/>
        </w:rPr>
        <w:t xml:space="preserve"> en el marco de sus respectivas competencias y de las regulaciones procesales correspondientes</w:t>
      </w:r>
      <w:r w:rsidR="0068080F" w:rsidRPr="00D66B27">
        <w:rPr>
          <w:rStyle w:val="FootnoteAnchor"/>
          <w:rFonts w:ascii="Verdana" w:hAnsi="Verdana"/>
          <w:sz w:val="20"/>
          <w:szCs w:val="20"/>
        </w:rPr>
        <w:footnoteReference w:id="93"/>
      </w:r>
      <w:r w:rsidR="0068080F" w:rsidRPr="00D66B27">
        <w:rPr>
          <w:rFonts w:ascii="Verdana" w:hAnsi="Verdana" w:cs="Arial"/>
          <w:sz w:val="20"/>
          <w:szCs w:val="20"/>
        </w:rPr>
        <w:t>.</w:t>
      </w:r>
      <w:r w:rsidR="0068080F" w:rsidRPr="00D66B27">
        <w:rPr>
          <w:rFonts w:ascii="Verdana" w:hAnsi="Verdana"/>
          <w:sz w:val="20"/>
          <w:szCs w:val="20"/>
        </w:rPr>
        <w:t xml:space="preserve"> En consecuencia, sin duda corresponde también a </w:t>
      </w:r>
      <w:r w:rsidR="00CC156D" w:rsidRPr="00D66B27">
        <w:rPr>
          <w:rFonts w:ascii="Verdana" w:hAnsi="Verdana"/>
          <w:sz w:val="20"/>
          <w:szCs w:val="20"/>
        </w:rPr>
        <w:t xml:space="preserve">todas las </w:t>
      </w:r>
      <w:r w:rsidR="0068080F" w:rsidRPr="00D66B27">
        <w:rPr>
          <w:rFonts w:ascii="Verdana" w:hAnsi="Verdana"/>
          <w:sz w:val="20"/>
          <w:szCs w:val="20"/>
        </w:rPr>
        <w:t>instancias judiciales</w:t>
      </w:r>
      <w:r w:rsidR="00CC156D" w:rsidRPr="00D66B27">
        <w:rPr>
          <w:rFonts w:ascii="Verdana" w:hAnsi="Verdana"/>
          <w:sz w:val="20"/>
          <w:szCs w:val="20"/>
        </w:rPr>
        <w:t>,</w:t>
      </w:r>
      <w:r w:rsidR="00ED5C22" w:rsidRPr="00D66B27">
        <w:rPr>
          <w:rFonts w:ascii="Verdana" w:hAnsi="Verdana"/>
          <w:sz w:val="20"/>
          <w:szCs w:val="20"/>
        </w:rPr>
        <w:t xml:space="preserve"> en todos los niveles,</w:t>
      </w:r>
      <w:r w:rsidR="00CC156D" w:rsidRPr="00D66B27">
        <w:rPr>
          <w:rFonts w:ascii="Verdana" w:hAnsi="Verdana"/>
          <w:sz w:val="20"/>
          <w:szCs w:val="20"/>
        </w:rPr>
        <w:t xml:space="preserve"> y no sólo a la Corte Suprema,</w:t>
      </w:r>
      <w:r w:rsidR="0068080F" w:rsidRPr="00D66B27">
        <w:rPr>
          <w:rFonts w:ascii="Verdana" w:hAnsi="Verdana"/>
          <w:sz w:val="20"/>
          <w:szCs w:val="20"/>
        </w:rPr>
        <w:t xml:space="preserve"> mantener </w:t>
      </w:r>
      <w:r w:rsidR="008F7E1A">
        <w:rPr>
          <w:rFonts w:ascii="Verdana" w:hAnsi="Verdana"/>
          <w:sz w:val="20"/>
          <w:szCs w:val="20"/>
        </w:rPr>
        <w:t>coherencia</w:t>
      </w:r>
      <w:r w:rsidR="0068080F" w:rsidRPr="00D66B27">
        <w:rPr>
          <w:rFonts w:ascii="Verdana" w:hAnsi="Verdana"/>
          <w:sz w:val="20"/>
          <w:szCs w:val="20"/>
        </w:rPr>
        <w:t xml:space="preserve"> de criterio respecto de un tema que, en atención al referido cambio jurisprudencial</w:t>
      </w:r>
      <w:r w:rsidR="0052349E" w:rsidRPr="00D66B27">
        <w:rPr>
          <w:rFonts w:ascii="Verdana" w:hAnsi="Verdana"/>
          <w:sz w:val="20"/>
          <w:szCs w:val="20"/>
        </w:rPr>
        <w:t>, al reconocimiento de responsabilidad efectuado por el Estado</w:t>
      </w:r>
      <w:r w:rsidR="0068080F" w:rsidRPr="00D66B27">
        <w:rPr>
          <w:rFonts w:ascii="Verdana" w:hAnsi="Verdana"/>
          <w:sz w:val="20"/>
          <w:szCs w:val="20"/>
        </w:rPr>
        <w:t xml:space="preserve"> y a la evolución de las políticas públicas chilenas en materia de justicia, verdad y reparaciones para víctimas de graves violaciones de derechos humanos, en este momento se encuentra resuelto.</w:t>
      </w:r>
    </w:p>
    <w:p w14:paraId="7D0B143E" w14:textId="77777777" w:rsidR="0068080F" w:rsidRPr="00D66B27" w:rsidRDefault="0068080F" w:rsidP="00D97DE5">
      <w:pPr>
        <w:pBdr>
          <w:top w:val="nil"/>
        </w:pBdr>
        <w:autoSpaceDE w:val="0"/>
        <w:autoSpaceDN w:val="0"/>
        <w:adjustRightInd w:val="0"/>
        <w:spacing w:after="0" w:line="240" w:lineRule="auto"/>
        <w:jc w:val="both"/>
        <w:rPr>
          <w:rFonts w:ascii="Verdana" w:hAnsi="Verdana"/>
          <w:sz w:val="20"/>
          <w:szCs w:val="20"/>
        </w:rPr>
      </w:pPr>
    </w:p>
    <w:p w14:paraId="390DEA2D" w14:textId="0CFD6ABE" w:rsidR="00BE2146" w:rsidRPr="00D66B27" w:rsidRDefault="0068080F" w:rsidP="00D97DE5">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 xml:space="preserve">En virtud de lo anterior, </w:t>
      </w:r>
      <w:r w:rsidR="006E3C04" w:rsidRPr="00D66B27">
        <w:rPr>
          <w:rFonts w:ascii="Verdana" w:hAnsi="Verdana"/>
          <w:sz w:val="20"/>
          <w:szCs w:val="20"/>
        </w:rPr>
        <w:t xml:space="preserve">si bien </w:t>
      </w:r>
      <w:r w:rsidRPr="00D66B27">
        <w:rPr>
          <w:rFonts w:ascii="Verdana" w:hAnsi="Verdana"/>
          <w:sz w:val="20"/>
          <w:szCs w:val="20"/>
        </w:rPr>
        <w:t xml:space="preserve">la emisión de una ley que </w:t>
      </w:r>
      <w:r w:rsidR="00BE2146" w:rsidRPr="00D66B27">
        <w:rPr>
          <w:rFonts w:ascii="Verdana" w:hAnsi="Verdana"/>
          <w:sz w:val="20"/>
          <w:szCs w:val="20"/>
        </w:rPr>
        <w:t xml:space="preserve">determine expresamente la inaplicabilidad de la figura de la prescripción en </w:t>
      </w:r>
      <w:r w:rsidR="00CC156D" w:rsidRPr="00D66B27">
        <w:rPr>
          <w:rFonts w:ascii="Verdana" w:hAnsi="Verdana"/>
          <w:sz w:val="20"/>
          <w:szCs w:val="20"/>
        </w:rPr>
        <w:t xml:space="preserve">ese tipo de </w:t>
      </w:r>
      <w:r w:rsidR="00BE2146" w:rsidRPr="00D66B27">
        <w:rPr>
          <w:rFonts w:ascii="Verdana" w:hAnsi="Verdana"/>
          <w:sz w:val="20"/>
          <w:szCs w:val="20"/>
        </w:rPr>
        <w:t>acciones civiles</w:t>
      </w:r>
      <w:r w:rsidR="006E3C04" w:rsidRPr="00D66B27">
        <w:rPr>
          <w:rFonts w:ascii="Verdana" w:hAnsi="Verdana"/>
          <w:sz w:val="20"/>
          <w:szCs w:val="20"/>
        </w:rPr>
        <w:t>, podría ser una vía pertinente para cerrar en definitiva futuras interpretaciones contrarias a la Convención en ese sentido, la Corte considera que no han sido aportad</w:t>
      </w:r>
      <w:r w:rsidR="00D66C01" w:rsidRPr="00D66B27">
        <w:rPr>
          <w:rFonts w:ascii="Verdana" w:hAnsi="Verdana"/>
          <w:sz w:val="20"/>
          <w:szCs w:val="20"/>
        </w:rPr>
        <w:t>a</w:t>
      </w:r>
      <w:r w:rsidR="006E3C04" w:rsidRPr="00D66B27">
        <w:rPr>
          <w:rFonts w:ascii="Verdana" w:hAnsi="Verdana"/>
          <w:sz w:val="20"/>
          <w:szCs w:val="20"/>
        </w:rPr>
        <w:t>s suficientes razones para considerar que ello sea una medida absolutamente indispensable para garantizar la no repetición de los hechos</w:t>
      </w:r>
      <w:r w:rsidR="004D080D" w:rsidRPr="00D66B27">
        <w:rPr>
          <w:rFonts w:ascii="Verdana" w:hAnsi="Verdana"/>
          <w:sz w:val="20"/>
          <w:szCs w:val="20"/>
        </w:rPr>
        <w:t xml:space="preserve">, por </w:t>
      </w:r>
      <w:r w:rsidR="00AE5316" w:rsidRPr="00D66B27">
        <w:rPr>
          <w:rFonts w:ascii="Verdana" w:hAnsi="Verdana"/>
          <w:sz w:val="20"/>
          <w:szCs w:val="20"/>
        </w:rPr>
        <w:t>lo cual no corresponde ordenarlo</w:t>
      </w:r>
      <w:r w:rsidR="006E3C04" w:rsidRPr="00D66B27">
        <w:rPr>
          <w:rFonts w:ascii="Verdana" w:hAnsi="Verdana"/>
          <w:sz w:val="20"/>
          <w:szCs w:val="20"/>
        </w:rPr>
        <w:t xml:space="preserve">. Corresponderá a las autoridades legislativas del Estado determinar la viabilidad y pertinencia de ello en el marco de sus competencias. </w:t>
      </w:r>
      <w:r w:rsidR="0052349E" w:rsidRPr="00D66B27">
        <w:rPr>
          <w:rFonts w:ascii="Verdana" w:hAnsi="Verdana"/>
          <w:sz w:val="20"/>
          <w:szCs w:val="20"/>
        </w:rPr>
        <w:t xml:space="preserve">Sin perjuicio de ello, es función </w:t>
      </w:r>
      <w:r w:rsidR="00AE5316" w:rsidRPr="00D66B27">
        <w:rPr>
          <w:rFonts w:ascii="Verdana" w:hAnsi="Verdana"/>
          <w:sz w:val="20"/>
          <w:szCs w:val="20"/>
        </w:rPr>
        <w:t xml:space="preserve">actual y futura </w:t>
      </w:r>
      <w:r w:rsidR="0052349E" w:rsidRPr="00D66B27">
        <w:rPr>
          <w:rFonts w:ascii="Verdana" w:hAnsi="Verdana"/>
          <w:sz w:val="20"/>
          <w:szCs w:val="20"/>
        </w:rPr>
        <w:t xml:space="preserve">de todos los órganos </w:t>
      </w:r>
      <w:r w:rsidR="005D235B">
        <w:rPr>
          <w:rFonts w:ascii="Verdana" w:hAnsi="Verdana"/>
          <w:sz w:val="20"/>
          <w:szCs w:val="20"/>
        </w:rPr>
        <w:t xml:space="preserve">vinculados a la </w:t>
      </w:r>
      <w:r w:rsidR="0052349E" w:rsidRPr="00D66B27">
        <w:rPr>
          <w:rFonts w:ascii="Verdana" w:hAnsi="Verdana"/>
          <w:sz w:val="20"/>
          <w:szCs w:val="20"/>
        </w:rPr>
        <w:t xml:space="preserve">administración de justicia </w:t>
      </w:r>
      <w:r w:rsidR="00AE5316" w:rsidRPr="00D66B27">
        <w:rPr>
          <w:rFonts w:ascii="Verdana" w:hAnsi="Verdana"/>
          <w:sz w:val="20"/>
          <w:szCs w:val="20"/>
        </w:rPr>
        <w:t>del Estado</w:t>
      </w:r>
      <w:r w:rsidR="0052349E" w:rsidRPr="00D66B27">
        <w:rPr>
          <w:rFonts w:ascii="Verdana" w:hAnsi="Verdana"/>
          <w:sz w:val="20"/>
          <w:szCs w:val="20"/>
        </w:rPr>
        <w:t xml:space="preserve">, en todos los niveles, ejercer un adecuado control de convencionalidad </w:t>
      </w:r>
      <w:r w:rsidR="009D1286" w:rsidRPr="00D66B27">
        <w:rPr>
          <w:rFonts w:ascii="Verdana" w:hAnsi="Verdana"/>
          <w:sz w:val="20"/>
          <w:szCs w:val="20"/>
        </w:rPr>
        <w:t>en causas similares a las presentadas en este caso.</w:t>
      </w:r>
    </w:p>
    <w:p w14:paraId="13A2388C" w14:textId="77777777" w:rsidR="00CA58AC" w:rsidRPr="00D66B27" w:rsidRDefault="00CA58AC" w:rsidP="00D97DE5">
      <w:pPr>
        <w:pBdr>
          <w:top w:val="nil"/>
        </w:pBdr>
        <w:autoSpaceDE w:val="0"/>
        <w:autoSpaceDN w:val="0"/>
        <w:adjustRightInd w:val="0"/>
        <w:spacing w:after="0" w:line="240" w:lineRule="auto"/>
        <w:jc w:val="both"/>
        <w:rPr>
          <w:rFonts w:ascii="Verdana" w:hAnsi="Verdana"/>
          <w:sz w:val="20"/>
          <w:szCs w:val="20"/>
        </w:rPr>
      </w:pPr>
    </w:p>
    <w:p w14:paraId="3C7C7C9F" w14:textId="111A7F53" w:rsidR="00CA58AC" w:rsidRPr="00D66B27" w:rsidRDefault="00A51A2B" w:rsidP="00D97DE5">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Al respecto</w:t>
      </w:r>
      <w:r w:rsidR="00CA58AC" w:rsidRPr="00D66B27">
        <w:rPr>
          <w:rFonts w:ascii="Verdana" w:hAnsi="Verdana"/>
          <w:sz w:val="20"/>
          <w:szCs w:val="20"/>
        </w:rPr>
        <w:t xml:space="preserve">, el Tribunal ha sido informado acerca de otras personas que se encontrarían en similares situaciones a las de las víctimas del presente caso, ya sea a nivel interno o como peticionarios ante la Comisión. Es decir, personas familiares de víctimas de graves violaciones de derechos humanos que tampoco habrían podido acceder materialmente a la justicia porque tribunales internos consideraron que en sus casos era aplicable la prescripción civil y cuyas causas se </w:t>
      </w:r>
      <w:r w:rsidR="005D235B">
        <w:rPr>
          <w:rFonts w:ascii="Verdana" w:hAnsi="Verdana"/>
          <w:sz w:val="20"/>
          <w:szCs w:val="20"/>
        </w:rPr>
        <w:t>encontrarían</w:t>
      </w:r>
      <w:r w:rsidR="00CA58AC" w:rsidRPr="00D66B27">
        <w:rPr>
          <w:rFonts w:ascii="Verdana" w:hAnsi="Verdana"/>
          <w:sz w:val="20"/>
          <w:szCs w:val="20"/>
        </w:rPr>
        <w:t xml:space="preserve"> cerradas por decisiones con autoridad de cosa juzgada. Si bien el Tribunal ha considerado innecesario ordenar las medidas solicitadas, es previsible que tales casos presenten dificultades similares a las verificadas en el presente caso. Por ello, la Corte insta al Estado a encontrar una pronta solución para</w:t>
      </w:r>
      <w:r w:rsidR="00AC5C40">
        <w:rPr>
          <w:rFonts w:ascii="Verdana" w:hAnsi="Verdana"/>
          <w:sz w:val="20"/>
          <w:szCs w:val="20"/>
        </w:rPr>
        <w:t xml:space="preserve"> esas</w:t>
      </w:r>
      <w:r w:rsidR="00CA58AC" w:rsidRPr="00D66B27">
        <w:rPr>
          <w:rFonts w:ascii="Verdana" w:hAnsi="Verdana"/>
          <w:sz w:val="20"/>
          <w:szCs w:val="20"/>
        </w:rPr>
        <w:t xml:space="preserve"> otras personas, de modo que puedan acceder a las indemnizaciones que les correspondan. </w:t>
      </w:r>
    </w:p>
    <w:p w14:paraId="74CB9C5D" w14:textId="77777777" w:rsidR="00CA58AC" w:rsidRPr="00D66B27" w:rsidRDefault="00CA58AC" w:rsidP="00D97DE5">
      <w:pPr>
        <w:pBdr>
          <w:top w:val="nil"/>
        </w:pBdr>
        <w:autoSpaceDE w:val="0"/>
        <w:autoSpaceDN w:val="0"/>
        <w:adjustRightInd w:val="0"/>
        <w:spacing w:after="0" w:line="240" w:lineRule="auto"/>
        <w:jc w:val="both"/>
        <w:rPr>
          <w:rFonts w:ascii="Verdana" w:hAnsi="Verdana"/>
          <w:sz w:val="20"/>
          <w:szCs w:val="20"/>
        </w:rPr>
      </w:pPr>
    </w:p>
    <w:p w14:paraId="44981196" w14:textId="4F78BDAA" w:rsidR="00545651" w:rsidRPr="00D66B27" w:rsidRDefault="00A51A2B" w:rsidP="00D97DE5">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lastRenderedPageBreak/>
        <w:t>Finalmente, e</w:t>
      </w:r>
      <w:r w:rsidR="00545651" w:rsidRPr="00D66B27">
        <w:rPr>
          <w:rFonts w:ascii="Verdana" w:hAnsi="Verdana"/>
          <w:sz w:val="20"/>
          <w:szCs w:val="20"/>
        </w:rPr>
        <w:t xml:space="preserve">n cuanto a </w:t>
      </w:r>
      <w:r w:rsidR="009C77B3" w:rsidRPr="00D66B27">
        <w:rPr>
          <w:rFonts w:ascii="Verdana" w:hAnsi="Verdana"/>
          <w:sz w:val="20"/>
          <w:szCs w:val="20"/>
        </w:rPr>
        <w:t>“</w:t>
      </w:r>
      <w:r w:rsidR="00545651" w:rsidRPr="00D66B27">
        <w:rPr>
          <w:rFonts w:ascii="Verdana" w:hAnsi="Verdana"/>
          <w:sz w:val="20"/>
          <w:szCs w:val="20"/>
        </w:rPr>
        <w:t>medidas administrativas</w:t>
      </w:r>
      <w:r w:rsidR="009C77B3" w:rsidRPr="00D66B27">
        <w:rPr>
          <w:rFonts w:ascii="Verdana" w:hAnsi="Verdana"/>
          <w:sz w:val="20"/>
          <w:szCs w:val="20"/>
        </w:rPr>
        <w:t>” para adecuar las prácticas judiciales chilenas a los estándares internacionales referidos</w:t>
      </w:r>
      <w:r w:rsidR="00545651" w:rsidRPr="00D66B27">
        <w:rPr>
          <w:rFonts w:ascii="Verdana" w:hAnsi="Verdana"/>
          <w:sz w:val="20"/>
          <w:szCs w:val="20"/>
        </w:rPr>
        <w:t>,</w:t>
      </w:r>
      <w:r w:rsidR="009C77B3" w:rsidRPr="00D66B27">
        <w:rPr>
          <w:rFonts w:ascii="Verdana" w:hAnsi="Verdana"/>
          <w:sz w:val="20"/>
          <w:szCs w:val="20"/>
        </w:rPr>
        <w:t xml:space="preserve"> se hace notar que</w:t>
      </w:r>
      <w:r w:rsidR="00545651" w:rsidRPr="00D66B27">
        <w:rPr>
          <w:rFonts w:ascii="Verdana" w:hAnsi="Verdana"/>
          <w:sz w:val="20"/>
          <w:szCs w:val="20"/>
        </w:rPr>
        <w:t xml:space="preserve"> la Comisión </w:t>
      </w:r>
      <w:r w:rsidR="009C77B3" w:rsidRPr="00D66B27">
        <w:rPr>
          <w:rFonts w:ascii="Verdana" w:hAnsi="Verdana"/>
          <w:sz w:val="20"/>
          <w:szCs w:val="20"/>
        </w:rPr>
        <w:t xml:space="preserve">no </w:t>
      </w:r>
      <w:r w:rsidR="00545651" w:rsidRPr="00D66B27">
        <w:rPr>
          <w:rFonts w:ascii="Verdana" w:hAnsi="Verdana"/>
          <w:sz w:val="20"/>
          <w:szCs w:val="20"/>
        </w:rPr>
        <w:t>identificó</w:t>
      </w:r>
      <w:r w:rsidR="009C77B3" w:rsidRPr="00D66B27">
        <w:rPr>
          <w:rFonts w:ascii="Verdana" w:hAnsi="Verdana"/>
          <w:sz w:val="20"/>
          <w:szCs w:val="20"/>
        </w:rPr>
        <w:t xml:space="preserve"> cuáles serían esas medidas</w:t>
      </w:r>
      <w:r w:rsidR="00BC282B" w:rsidRPr="00D66B27">
        <w:rPr>
          <w:rFonts w:ascii="Verdana" w:hAnsi="Verdana"/>
          <w:sz w:val="20"/>
          <w:szCs w:val="20"/>
        </w:rPr>
        <w:t xml:space="preserve"> y que el Estado, p</w:t>
      </w:r>
      <w:r w:rsidR="009C77B3" w:rsidRPr="00D66B27">
        <w:rPr>
          <w:rFonts w:ascii="Verdana" w:hAnsi="Verdana"/>
          <w:sz w:val="20"/>
          <w:szCs w:val="20"/>
        </w:rPr>
        <w:t xml:space="preserve">or su parte, </w:t>
      </w:r>
      <w:r w:rsidR="00545651" w:rsidRPr="00D66B27">
        <w:rPr>
          <w:rFonts w:ascii="Verdana" w:hAnsi="Verdana"/>
          <w:sz w:val="20"/>
          <w:szCs w:val="20"/>
        </w:rPr>
        <w:t xml:space="preserve">solicitó que se reconozca </w:t>
      </w:r>
      <w:r w:rsidR="009C77B3" w:rsidRPr="00D66B27">
        <w:rPr>
          <w:rFonts w:ascii="Verdana" w:hAnsi="Verdana"/>
          <w:sz w:val="20"/>
          <w:szCs w:val="20"/>
        </w:rPr>
        <w:t xml:space="preserve">que ya </w:t>
      </w:r>
      <w:r w:rsidR="00BC282B" w:rsidRPr="00D66B27">
        <w:rPr>
          <w:rFonts w:ascii="Verdana" w:hAnsi="Verdana"/>
          <w:sz w:val="20"/>
          <w:szCs w:val="20"/>
        </w:rPr>
        <w:t xml:space="preserve">las </w:t>
      </w:r>
      <w:r w:rsidR="00545651" w:rsidRPr="00D66B27">
        <w:rPr>
          <w:rFonts w:ascii="Verdana" w:hAnsi="Verdana"/>
          <w:sz w:val="20"/>
          <w:szCs w:val="20"/>
        </w:rPr>
        <w:t>ha adoptado</w:t>
      </w:r>
      <w:r w:rsidR="00545651" w:rsidRPr="00D66B27">
        <w:rPr>
          <w:rStyle w:val="Refdenotaalpie"/>
          <w:rFonts w:ascii="Verdana" w:hAnsi="Verdana"/>
          <w:sz w:val="20"/>
          <w:szCs w:val="20"/>
        </w:rPr>
        <w:footnoteReference w:id="94"/>
      </w:r>
      <w:r w:rsidR="00545651" w:rsidRPr="00D66B27">
        <w:rPr>
          <w:rFonts w:ascii="Verdana" w:hAnsi="Verdana"/>
          <w:sz w:val="20"/>
          <w:szCs w:val="20"/>
        </w:rPr>
        <w:t>.</w:t>
      </w:r>
      <w:r w:rsidR="009C77B3" w:rsidRPr="00D66B27">
        <w:rPr>
          <w:rFonts w:ascii="Verdana" w:hAnsi="Verdana"/>
          <w:sz w:val="20"/>
          <w:szCs w:val="20"/>
        </w:rPr>
        <w:t xml:space="preserve"> </w:t>
      </w:r>
      <w:r w:rsidR="00BC282B" w:rsidRPr="00D66B27">
        <w:rPr>
          <w:rFonts w:ascii="Verdana" w:hAnsi="Verdana"/>
          <w:sz w:val="20"/>
          <w:szCs w:val="20"/>
        </w:rPr>
        <w:t>A falta de identificación de otras medidas administrativas pertinentes</w:t>
      </w:r>
      <w:r w:rsidR="009C77B3" w:rsidRPr="00D66B27">
        <w:rPr>
          <w:rFonts w:ascii="Verdana" w:hAnsi="Verdana"/>
          <w:sz w:val="20"/>
          <w:szCs w:val="20"/>
        </w:rPr>
        <w:t>, la Corte considera que no corresponde disponer que el Estado adopte medidas administrativas</w:t>
      </w:r>
      <w:r w:rsidR="00BC282B" w:rsidRPr="00D66B27">
        <w:rPr>
          <w:rFonts w:ascii="Verdana" w:hAnsi="Verdana"/>
          <w:sz w:val="20"/>
          <w:szCs w:val="20"/>
        </w:rPr>
        <w:t xml:space="preserve"> adicionales</w:t>
      </w:r>
      <w:r w:rsidR="009C77B3" w:rsidRPr="00D66B27">
        <w:rPr>
          <w:rFonts w:ascii="Verdana" w:hAnsi="Verdana"/>
          <w:sz w:val="20"/>
          <w:szCs w:val="20"/>
        </w:rPr>
        <w:t xml:space="preserve">, como tampoco </w:t>
      </w:r>
      <w:r w:rsidR="00545651" w:rsidRPr="00D66B27">
        <w:rPr>
          <w:rFonts w:ascii="Verdana" w:hAnsi="Verdana"/>
          <w:sz w:val="20"/>
          <w:szCs w:val="20"/>
        </w:rPr>
        <w:t xml:space="preserve">medidas “de cualquier </w:t>
      </w:r>
      <w:r w:rsidR="009C77B3" w:rsidRPr="00D66B27">
        <w:rPr>
          <w:rFonts w:ascii="Verdana" w:hAnsi="Verdana"/>
          <w:sz w:val="20"/>
          <w:szCs w:val="20"/>
        </w:rPr>
        <w:t xml:space="preserve">otra </w:t>
      </w:r>
      <w:r w:rsidR="00545651" w:rsidRPr="00D66B27">
        <w:rPr>
          <w:rFonts w:ascii="Verdana" w:hAnsi="Verdana"/>
          <w:sz w:val="20"/>
          <w:szCs w:val="20"/>
        </w:rPr>
        <w:t>índole</w:t>
      </w:r>
      <w:r w:rsidR="009C77B3" w:rsidRPr="00D66B27">
        <w:rPr>
          <w:rFonts w:ascii="Verdana" w:hAnsi="Verdana"/>
          <w:sz w:val="20"/>
          <w:szCs w:val="20"/>
        </w:rPr>
        <w:t xml:space="preserve">”, que </w:t>
      </w:r>
      <w:r w:rsidR="00BC282B" w:rsidRPr="00D66B27">
        <w:rPr>
          <w:rFonts w:ascii="Verdana" w:hAnsi="Verdana"/>
          <w:sz w:val="20"/>
          <w:szCs w:val="20"/>
        </w:rPr>
        <w:t>tampoco</w:t>
      </w:r>
      <w:r w:rsidR="009C77B3" w:rsidRPr="00D66B27">
        <w:rPr>
          <w:rFonts w:ascii="Verdana" w:hAnsi="Verdana"/>
          <w:sz w:val="20"/>
          <w:szCs w:val="20"/>
        </w:rPr>
        <w:t xml:space="preserve"> fueron específicamente </w:t>
      </w:r>
      <w:r w:rsidR="00BC282B" w:rsidRPr="00D66B27">
        <w:rPr>
          <w:rFonts w:ascii="Verdana" w:hAnsi="Verdana"/>
          <w:sz w:val="20"/>
          <w:szCs w:val="20"/>
        </w:rPr>
        <w:t xml:space="preserve">señaladas </w:t>
      </w:r>
      <w:r w:rsidR="009C77B3" w:rsidRPr="00D66B27">
        <w:rPr>
          <w:rFonts w:ascii="Verdana" w:hAnsi="Verdana"/>
          <w:sz w:val="20"/>
          <w:szCs w:val="20"/>
        </w:rPr>
        <w:t>por la Comisión.</w:t>
      </w:r>
    </w:p>
    <w:p w14:paraId="65610BEF" w14:textId="77777777" w:rsidR="00ED5C22" w:rsidRDefault="00ED5C22">
      <w:pPr>
        <w:pBdr>
          <w:top w:val="nil"/>
        </w:pBdr>
        <w:autoSpaceDE w:val="0"/>
        <w:autoSpaceDN w:val="0"/>
        <w:adjustRightInd w:val="0"/>
        <w:spacing w:after="0" w:line="240" w:lineRule="auto"/>
        <w:jc w:val="both"/>
        <w:rPr>
          <w:rFonts w:ascii="Verdana" w:hAnsi="Verdana"/>
          <w:sz w:val="20"/>
          <w:szCs w:val="20"/>
        </w:rPr>
      </w:pPr>
    </w:p>
    <w:p w14:paraId="455B8216" w14:textId="77777777" w:rsidR="00B26AA3" w:rsidRPr="00D66B27" w:rsidRDefault="00B26AA3">
      <w:pPr>
        <w:pBdr>
          <w:top w:val="nil"/>
        </w:pBdr>
        <w:autoSpaceDE w:val="0"/>
        <w:autoSpaceDN w:val="0"/>
        <w:adjustRightInd w:val="0"/>
        <w:spacing w:after="0" w:line="240" w:lineRule="auto"/>
        <w:jc w:val="both"/>
        <w:rPr>
          <w:rFonts w:ascii="Verdana" w:hAnsi="Verdana"/>
          <w:sz w:val="20"/>
          <w:szCs w:val="20"/>
        </w:rPr>
      </w:pPr>
    </w:p>
    <w:p w14:paraId="058AE7D8" w14:textId="77777777" w:rsidR="00607AFC" w:rsidRPr="00D66B27" w:rsidRDefault="00607AFC" w:rsidP="001D6943">
      <w:pPr>
        <w:pStyle w:val="Ttulo2"/>
        <w:keepLines w:val="0"/>
        <w:numPr>
          <w:ilvl w:val="0"/>
          <w:numId w:val="12"/>
        </w:numPr>
        <w:spacing w:before="0" w:line="240" w:lineRule="auto"/>
        <w:ind w:left="1134"/>
        <w:jc w:val="both"/>
        <w:rPr>
          <w:rFonts w:ascii="Verdana" w:eastAsia="Times New Roman" w:hAnsi="Verdana" w:cs="Times New Roman"/>
          <w:bCs w:val="0"/>
          <w:i/>
          <w:color w:val="auto"/>
          <w:sz w:val="20"/>
          <w:szCs w:val="20"/>
        </w:rPr>
      </w:pPr>
      <w:bookmarkStart w:id="31" w:name="_Toc505877010"/>
      <w:bookmarkStart w:id="32" w:name="_Toc528084368"/>
      <w:r w:rsidRPr="00D66B27">
        <w:rPr>
          <w:rFonts w:ascii="Verdana" w:eastAsia="Times New Roman" w:hAnsi="Verdana" w:cs="Times New Roman"/>
          <w:bCs w:val="0"/>
          <w:i/>
          <w:color w:val="auto"/>
          <w:sz w:val="20"/>
          <w:szCs w:val="20"/>
        </w:rPr>
        <w:t>Costas y gastos</w:t>
      </w:r>
      <w:bookmarkEnd w:id="31"/>
      <w:bookmarkEnd w:id="32"/>
    </w:p>
    <w:p w14:paraId="3CECF873" w14:textId="77777777" w:rsidR="00607AFC" w:rsidRPr="00D66B27" w:rsidRDefault="00607AFC" w:rsidP="00D97DE5">
      <w:pPr>
        <w:pBdr>
          <w:top w:val="nil"/>
        </w:pBdr>
        <w:autoSpaceDE w:val="0"/>
        <w:autoSpaceDN w:val="0"/>
        <w:adjustRightInd w:val="0"/>
        <w:spacing w:after="0" w:line="240" w:lineRule="auto"/>
        <w:jc w:val="both"/>
        <w:rPr>
          <w:rFonts w:ascii="Verdana" w:hAnsi="Verdana"/>
          <w:sz w:val="20"/>
          <w:szCs w:val="20"/>
        </w:rPr>
      </w:pPr>
    </w:p>
    <w:p w14:paraId="39FE7029" w14:textId="3A079098" w:rsidR="00607AFC" w:rsidRPr="00D66B27" w:rsidRDefault="00607AFC" w:rsidP="00D97DE5">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La Corte reitera que, conforme a su jurisprudencia, las costas y gastos hacen parte del concepto de reparación establecido en el artículo 63.1 de la Convención, toda vez que las actividades desplegadas por las víctimas con el fin de obtener justicia, tanto a nivel nacional como internacional, implican erogaciones que deben ser compensadas cuando la responsabilidad internacional del Estado es declarada medi</w:t>
      </w:r>
      <w:r w:rsidR="004032CE" w:rsidRPr="00D66B27">
        <w:rPr>
          <w:rFonts w:ascii="Verdana" w:hAnsi="Verdana"/>
          <w:sz w:val="20"/>
          <w:szCs w:val="20"/>
        </w:rPr>
        <w:t>ante una sentencia condenatoria</w:t>
      </w:r>
      <w:r w:rsidRPr="00D66B27">
        <w:rPr>
          <w:rFonts w:ascii="Verdana" w:eastAsia="Verdana" w:hAnsi="Verdana" w:cs="Verdana"/>
          <w:spacing w:val="11"/>
          <w:sz w:val="20"/>
          <w:szCs w:val="20"/>
          <w:vertAlign w:val="superscript"/>
        </w:rPr>
        <w:footnoteReference w:id="95"/>
      </w:r>
      <w:r w:rsidRPr="00D66B27">
        <w:rPr>
          <w:rFonts w:ascii="Verdana" w:hAnsi="Verdana"/>
          <w:sz w:val="20"/>
          <w:szCs w:val="20"/>
        </w:rPr>
        <w:t>.</w:t>
      </w:r>
      <w:r w:rsidR="00D07430" w:rsidRPr="00D66B27">
        <w:rPr>
          <w:rFonts w:ascii="Verdana" w:hAnsi="Verdana"/>
          <w:sz w:val="20"/>
          <w:szCs w:val="20"/>
        </w:rPr>
        <w:t xml:space="preserve"> A la vez, la apreciación sobre el alcance de las costas y gastos puede ser realizada prudentemente con base en el principio de equidad y con base en las pretensiones de las víctimas o sus representantes oportunamente presentadas, según las pruebas que las sustentan</w:t>
      </w:r>
      <w:r w:rsidR="00B71F34">
        <w:rPr>
          <w:rFonts w:ascii="Verdana" w:hAnsi="Verdana"/>
          <w:sz w:val="20"/>
          <w:szCs w:val="20"/>
        </w:rPr>
        <w:t xml:space="preserve">, las cuales </w:t>
      </w:r>
      <w:r w:rsidR="00B71F34" w:rsidRPr="00B71F34">
        <w:rPr>
          <w:rFonts w:ascii="Verdana" w:hAnsi="Verdana"/>
          <w:sz w:val="20"/>
          <w:szCs w:val="20"/>
        </w:rPr>
        <w:t>deben presentarse a la Corte en el primer momento procesal que se les concede, esto es, en el escrito de solicitudes y argumentos, sin perjuicio de que tales pretensiones se actualicen en un momento posterior, conforme a las nuevas costas y gastos en que se haya incurrido con ocasión del procedimiento ante</w:t>
      </w:r>
      <w:r w:rsidR="00B71F34">
        <w:rPr>
          <w:rFonts w:ascii="Verdana" w:hAnsi="Verdana"/>
          <w:sz w:val="20"/>
          <w:szCs w:val="20"/>
        </w:rPr>
        <w:t xml:space="preserve"> el Tribunal</w:t>
      </w:r>
      <w:r w:rsidR="00D07430" w:rsidRPr="00D66B27">
        <w:rPr>
          <w:rFonts w:ascii="Verdana" w:hAnsi="Verdana"/>
          <w:sz w:val="20"/>
          <w:szCs w:val="20"/>
          <w:vertAlign w:val="superscript"/>
        </w:rPr>
        <w:footnoteReference w:id="96"/>
      </w:r>
      <w:r w:rsidR="00D07430" w:rsidRPr="00D66B27">
        <w:rPr>
          <w:rFonts w:ascii="Verdana" w:hAnsi="Verdana"/>
          <w:sz w:val="20"/>
          <w:szCs w:val="20"/>
        </w:rPr>
        <w:t>.</w:t>
      </w:r>
    </w:p>
    <w:p w14:paraId="7121B420" w14:textId="77777777" w:rsidR="00607AFC" w:rsidRPr="00D66B27" w:rsidRDefault="00607AFC" w:rsidP="00D97DE5">
      <w:pPr>
        <w:pBdr>
          <w:top w:val="nil"/>
        </w:pBdr>
        <w:autoSpaceDE w:val="0"/>
        <w:autoSpaceDN w:val="0"/>
        <w:adjustRightInd w:val="0"/>
        <w:spacing w:after="0" w:line="240" w:lineRule="auto"/>
        <w:jc w:val="both"/>
        <w:rPr>
          <w:rFonts w:ascii="Verdana" w:hAnsi="Verdana"/>
          <w:sz w:val="20"/>
          <w:szCs w:val="20"/>
        </w:rPr>
      </w:pPr>
    </w:p>
    <w:p w14:paraId="45F3303F" w14:textId="062D96C9" w:rsidR="00CA2B35" w:rsidRPr="00D66B27" w:rsidRDefault="00690E18" w:rsidP="00D97DE5">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E</w:t>
      </w:r>
      <w:r w:rsidR="00D07430" w:rsidRPr="00D66B27">
        <w:rPr>
          <w:rFonts w:ascii="Verdana" w:hAnsi="Verdana"/>
          <w:sz w:val="20"/>
          <w:szCs w:val="20"/>
        </w:rPr>
        <w:t>n este caso, se recuerda que el representante no presentó un escri</w:t>
      </w:r>
      <w:r w:rsidR="00422629">
        <w:rPr>
          <w:rFonts w:ascii="Verdana" w:hAnsi="Verdana"/>
          <w:sz w:val="20"/>
          <w:szCs w:val="20"/>
        </w:rPr>
        <w:t xml:space="preserve">to de solicitudes y argumentos </w:t>
      </w:r>
      <w:r w:rsidR="00D07430" w:rsidRPr="00D66B27">
        <w:rPr>
          <w:rFonts w:ascii="Verdana" w:hAnsi="Verdana"/>
          <w:sz w:val="20"/>
          <w:szCs w:val="20"/>
        </w:rPr>
        <w:t xml:space="preserve">y, por ende, no hizo solicitudes </w:t>
      </w:r>
      <w:r w:rsidR="00D07430" w:rsidRPr="00D66B27">
        <w:rPr>
          <w:rFonts w:ascii="Verdana" w:eastAsia="Verdana" w:hAnsi="Verdana" w:cs="Verdana"/>
          <w:sz w:val="20"/>
          <w:szCs w:val="20"/>
        </w:rPr>
        <w:t>por concepto de gastos y costas, lo cual tampoco presentó en sus alegatos finales.</w:t>
      </w:r>
      <w:r w:rsidR="00A90A18" w:rsidRPr="00D66B27">
        <w:rPr>
          <w:rFonts w:ascii="Verdana" w:eastAsia="Verdana" w:hAnsi="Verdana" w:cs="Verdana"/>
          <w:sz w:val="20"/>
          <w:szCs w:val="20"/>
        </w:rPr>
        <w:t xml:space="preserve"> </w:t>
      </w:r>
      <w:r w:rsidR="00D07430" w:rsidRPr="00D66B27">
        <w:rPr>
          <w:rFonts w:ascii="Verdana" w:eastAsia="Verdana" w:hAnsi="Verdana" w:cs="Verdana"/>
          <w:sz w:val="20"/>
          <w:szCs w:val="20"/>
        </w:rPr>
        <w:t xml:space="preserve">Sin perjuicio de ello, es razonable </w:t>
      </w:r>
      <w:r w:rsidR="00CA2B35" w:rsidRPr="00D66B27">
        <w:rPr>
          <w:rFonts w:ascii="Verdana" w:hAnsi="Verdana"/>
          <w:sz w:val="20"/>
        </w:rPr>
        <w:t>presumir que el representante incurrió en erogaciones desde que presentó las peticiones ante la Comisión, por lo cual el Tribunal estima pertinente el reembolso de gastos razonables de litigio</w:t>
      </w:r>
      <w:r w:rsidR="00CA2B35" w:rsidRPr="00D66B27">
        <w:rPr>
          <w:rStyle w:val="Refdenotaalpie"/>
          <w:rFonts w:ascii="Verdana" w:hAnsi="Verdana"/>
          <w:sz w:val="20"/>
        </w:rPr>
        <w:footnoteReference w:id="97"/>
      </w:r>
      <w:r w:rsidR="00CA2B35" w:rsidRPr="00D66B27">
        <w:rPr>
          <w:rFonts w:ascii="Verdana" w:hAnsi="Verdana"/>
          <w:sz w:val="20"/>
        </w:rPr>
        <w:t>, lo</w:t>
      </w:r>
      <w:r w:rsidR="00CC156D" w:rsidRPr="00D66B27">
        <w:rPr>
          <w:rFonts w:ascii="Verdana" w:hAnsi="Verdana"/>
          <w:sz w:val="20"/>
        </w:rPr>
        <w:t>s</w:t>
      </w:r>
      <w:r w:rsidR="00CA2B35" w:rsidRPr="00D66B27">
        <w:rPr>
          <w:rFonts w:ascii="Verdana" w:hAnsi="Verdana"/>
          <w:sz w:val="20"/>
        </w:rPr>
        <w:t xml:space="preserve"> cuales fija, en e</w:t>
      </w:r>
      <w:r w:rsidR="001F72BB" w:rsidRPr="00D66B27">
        <w:rPr>
          <w:rFonts w:ascii="Verdana" w:hAnsi="Verdana"/>
          <w:sz w:val="20"/>
        </w:rPr>
        <w:t>quidad, en la cantidad de USD $1</w:t>
      </w:r>
      <w:r w:rsidR="00CA2B35" w:rsidRPr="00D66B27">
        <w:rPr>
          <w:rFonts w:ascii="Verdana" w:hAnsi="Verdana"/>
          <w:sz w:val="20"/>
        </w:rPr>
        <w:t>0.000,00 (</w:t>
      </w:r>
      <w:r w:rsidR="001F72BB" w:rsidRPr="00D66B27">
        <w:rPr>
          <w:rFonts w:ascii="Verdana" w:hAnsi="Verdana"/>
          <w:sz w:val="20"/>
        </w:rPr>
        <w:t xml:space="preserve">diez </w:t>
      </w:r>
      <w:r w:rsidR="00CA2B35" w:rsidRPr="00D66B27">
        <w:rPr>
          <w:rFonts w:ascii="Verdana" w:hAnsi="Verdana"/>
          <w:sz w:val="20"/>
        </w:rPr>
        <w:t>mil dólares de</w:t>
      </w:r>
      <w:r w:rsidR="00E02294" w:rsidRPr="00D66B27">
        <w:rPr>
          <w:rFonts w:ascii="Verdana" w:hAnsi="Verdana"/>
          <w:sz w:val="20"/>
        </w:rPr>
        <w:t xml:space="preserve"> los Estados Unidos de América), la cual </w:t>
      </w:r>
      <w:r w:rsidR="00CA2B35" w:rsidRPr="00D66B27">
        <w:rPr>
          <w:rFonts w:ascii="Verdana" w:hAnsi="Verdana"/>
          <w:sz w:val="20"/>
        </w:rPr>
        <w:t xml:space="preserve">debe </w:t>
      </w:r>
      <w:r w:rsidR="00E02294" w:rsidRPr="00D66B27">
        <w:rPr>
          <w:rFonts w:ascii="Verdana" w:hAnsi="Verdana"/>
          <w:sz w:val="20"/>
        </w:rPr>
        <w:t>ser entregada</w:t>
      </w:r>
      <w:r w:rsidR="00CA2B35" w:rsidRPr="00D66B27">
        <w:rPr>
          <w:rFonts w:ascii="Verdana" w:hAnsi="Verdana"/>
          <w:sz w:val="20"/>
        </w:rPr>
        <w:t xml:space="preserve"> directamente al representante </w:t>
      </w:r>
      <w:r w:rsidR="00E02294" w:rsidRPr="00D66B27">
        <w:rPr>
          <w:rFonts w:ascii="Verdana" w:hAnsi="Verdana"/>
          <w:sz w:val="20"/>
          <w:szCs w:val="20"/>
        </w:rPr>
        <w:t>en el plazo establecido al efecto (</w:t>
      </w:r>
      <w:r w:rsidR="00E02294" w:rsidRPr="00D66B27">
        <w:rPr>
          <w:rFonts w:ascii="Verdana" w:hAnsi="Verdana"/>
          <w:i/>
          <w:sz w:val="20"/>
          <w:szCs w:val="20"/>
        </w:rPr>
        <w:t xml:space="preserve">infra </w:t>
      </w:r>
      <w:r w:rsidR="00422629">
        <w:rPr>
          <w:rFonts w:ascii="Verdana" w:hAnsi="Verdana"/>
          <w:sz w:val="20"/>
          <w:szCs w:val="20"/>
        </w:rPr>
        <w:t>párr. 141</w:t>
      </w:r>
      <w:r w:rsidR="00E02294" w:rsidRPr="00D66B27">
        <w:rPr>
          <w:rFonts w:ascii="Verdana" w:hAnsi="Verdana"/>
          <w:sz w:val="20"/>
          <w:szCs w:val="20"/>
        </w:rPr>
        <w:t>)</w:t>
      </w:r>
      <w:r w:rsidR="00A90A18" w:rsidRPr="00D66B27">
        <w:rPr>
          <w:rFonts w:ascii="Verdana" w:hAnsi="Verdana"/>
          <w:sz w:val="20"/>
          <w:szCs w:val="20"/>
        </w:rPr>
        <w:t>. En la etapa de supervisión de cumplimiento de la presente Sentencia, la Corte podrá disponer el reembolso por parte del Estado a las víctimas o a sus representantes de gastos posteriores razonables y debidamente comprobados.</w:t>
      </w:r>
    </w:p>
    <w:p w14:paraId="4FB96D76" w14:textId="77777777" w:rsidR="006C0CEC" w:rsidRDefault="006C0CEC" w:rsidP="006C0CEC">
      <w:pPr>
        <w:pBdr>
          <w:top w:val="nil"/>
        </w:pBdr>
        <w:autoSpaceDE w:val="0"/>
        <w:autoSpaceDN w:val="0"/>
        <w:adjustRightInd w:val="0"/>
        <w:spacing w:after="0" w:line="240" w:lineRule="auto"/>
        <w:jc w:val="both"/>
        <w:rPr>
          <w:rFonts w:ascii="Verdana" w:hAnsi="Verdana"/>
          <w:sz w:val="20"/>
          <w:szCs w:val="20"/>
        </w:rPr>
      </w:pPr>
      <w:bookmarkStart w:id="33" w:name="__RefHeading___Toc11862_2005225395"/>
      <w:bookmarkStart w:id="34" w:name="_Toc375560986"/>
      <w:bookmarkEnd w:id="33"/>
      <w:bookmarkEnd w:id="34"/>
    </w:p>
    <w:p w14:paraId="629A6958" w14:textId="77777777" w:rsidR="00B26AA3" w:rsidRPr="00D66B27" w:rsidRDefault="00B26AA3" w:rsidP="006C0CEC">
      <w:pPr>
        <w:pBdr>
          <w:top w:val="nil"/>
        </w:pBdr>
        <w:autoSpaceDE w:val="0"/>
        <w:autoSpaceDN w:val="0"/>
        <w:adjustRightInd w:val="0"/>
        <w:spacing w:after="0" w:line="240" w:lineRule="auto"/>
        <w:jc w:val="both"/>
        <w:rPr>
          <w:rFonts w:ascii="Verdana" w:hAnsi="Verdana"/>
          <w:sz w:val="20"/>
          <w:szCs w:val="20"/>
        </w:rPr>
      </w:pPr>
    </w:p>
    <w:p w14:paraId="17A9260E" w14:textId="77777777" w:rsidR="006C0CEC" w:rsidRPr="00D66B27" w:rsidRDefault="006C0CEC" w:rsidP="006C0CEC">
      <w:pPr>
        <w:pStyle w:val="Ttulo2"/>
        <w:keepLines w:val="0"/>
        <w:numPr>
          <w:ilvl w:val="0"/>
          <w:numId w:val="12"/>
        </w:numPr>
        <w:spacing w:before="0" w:line="240" w:lineRule="auto"/>
        <w:ind w:left="1134"/>
        <w:jc w:val="both"/>
        <w:rPr>
          <w:rFonts w:ascii="Verdana" w:eastAsia="Times New Roman" w:hAnsi="Verdana" w:cs="Times New Roman"/>
          <w:bCs w:val="0"/>
          <w:i/>
          <w:color w:val="auto"/>
          <w:sz w:val="20"/>
          <w:szCs w:val="20"/>
        </w:rPr>
      </w:pPr>
      <w:bookmarkStart w:id="35" w:name="_Toc519276852"/>
      <w:bookmarkStart w:id="36" w:name="_Toc528084369"/>
      <w:r w:rsidRPr="00D66B27">
        <w:rPr>
          <w:rFonts w:ascii="Verdana" w:eastAsia="Times New Roman" w:hAnsi="Verdana" w:cs="Times New Roman"/>
          <w:bCs w:val="0"/>
          <w:i/>
          <w:color w:val="auto"/>
          <w:sz w:val="20"/>
          <w:szCs w:val="20"/>
        </w:rPr>
        <w:t>Modalidades de cumplimiento de los pagos ordenados</w:t>
      </w:r>
      <w:bookmarkEnd w:id="35"/>
      <w:bookmarkEnd w:id="36"/>
    </w:p>
    <w:p w14:paraId="4F25A6ED" w14:textId="77777777" w:rsidR="006C0CEC" w:rsidRPr="00D66B27" w:rsidRDefault="006C0CEC" w:rsidP="006C0CEC">
      <w:pPr>
        <w:pBdr>
          <w:top w:val="nil"/>
        </w:pBdr>
        <w:tabs>
          <w:tab w:val="left" w:pos="5398"/>
        </w:tabs>
        <w:autoSpaceDE w:val="0"/>
        <w:autoSpaceDN w:val="0"/>
        <w:adjustRightInd w:val="0"/>
        <w:spacing w:after="0" w:line="240" w:lineRule="auto"/>
        <w:jc w:val="both"/>
        <w:rPr>
          <w:rFonts w:ascii="Verdana" w:hAnsi="Verdana"/>
          <w:sz w:val="20"/>
          <w:szCs w:val="20"/>
        </w:rPr>
      </w:pPr>
    </w:p>
    <w:p w14:paraId="7281A2A5" w14:textId="55718645" w:rsidR="006C0CEC" w:rsidRPr="00D66B27" w:rsidRDefault="006C0CEC" w:rsidP="006C0CEC">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 xml:space="preserve">El Estado deberá efectuar el pago de las indemnizaciones dispuestas en la presente Sentencia, </w:t>
      </w:r>
      <w:r w:rsidRPr="00EE094E">
        <w:rPr>
          <w:rFonts w:ascii="Verdana" w:hAnsi="Verdana"/>
          <w:sz w:val="20"/>
          <w:szCs w:val="20"/>
        </w:rPr>
        <w:t>así como el reintegro de gastos,</w:t>
      </w:r>
      <w:r w:rsidRPr="00D66B27">
        <w:rPr>
          <w:rFonts w:ascii="Verdana" w:hAnsi="Verdana"/>
          <w:sz w:val="20"/>
          <w:szCs w:val="20"/>
        </w:rPr>
        <w:t xml:space="preserve"> directamente a las personas indicadas en esta </w:t>
      </w:r>
      <w:r w:rsidRPr="00D66B27">
        <w:rPr>
          <w:rFonts w:ascii="Verdana" w:hAnsi="Verdana"/>
          <w:sz w:val="20"/>
          <w:szCs w:val="20"/>
        </w:rPr>
        <w:lastRenderedPageBreak/>
        <w:t>Sentencia, dentro del plazo de un año, contado a partir de la notificación de la misma, sin perjuicio de que pueda desarrollar el pago completo en un plazo menor.</w:t>
      </w:r>
    </w:p>
    <w:p w14:paraId="724977E5" w14:textId="77777777" w:rsidR="006C0CEC" w:rsidRPr="00D66B27" w:rsidRDefault="006C0CEC" w:rsidP="006C0CEC">
      <w:pPr>
        <w:pBdr>
          <w:top w:val="nil"/>
        </w:pBdr>
        <w:autoSpaceDE w:val="0"/>
        <w:autoSpaceDN w:val="0"/>
        <w:adjustRightInd w:val="0"/>
        <w:spacing w:after="0" w:line="240" w:lineRule="auto"/>
        <w:jc w:val="both"/>
        <w:rPr>
          <w:rFonts w:ascii="Verdana" w:hAnsi="Verdana"/>
          <w:sz w:val="20"/>
          <w:szCs w:val="20"/>
        </w:rPr>
      </w:pPr>
    </w:p>
    <w:p w14:paraId="07897206" w14:textId="77777777" w:rsidR="006C0CEC" w:rsidRPr="00D66B27" w:rsidRDefault="006C0CEC" w:rsidP="006C0CEC">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 xml:space="preserve">En caso de que los beneficiarios hayan fallecido o fallezcan antes de que les sea entregada la indemnización respectiva, ésta se efectuará directamente a sus derechohabientes, conforme al derecho interno aplicable. </w:t>
      </w:r>
    </w:p>
    <w:p w14:paraId="3EE7FDF6" w14:textId="77777777" w:rsidR="006C0CEC" w:rsidRPr="00D66B27" w:rsidRDefault="006C0CEC" w:rsidP="006C0CEC">
      <w:pPr>
        <w:pBdr>
          <w:top w:val="nil"/>
        </w:pBdr>
        <w:autoSpaceDE w:val="0"/>
        <w:autoSpaceDN w:val="0"/>
        <w:adjustRightInd w:val="0"/>
        <w:spacing w:after="0" w:line="240" w:lineRule="auto"/>
        <w:jc w:val="both"/>
        <w:rPr>
          <w:rFonts w:ascii="Verdana" w:hAnsi="Verdana"/>
          <w:sz w:val="20"/>
          <w:szCs w:val="20"/>
        </w:rPr>
      </w:pPr>
    </w:p>
    <w:p w14:paraId="65069F88" w14:textId="1E44C6C7" w:rsidR="006C0CEC" w:rsidRPr="00D66B27" w:rsidRDefault="00561C1D" w:rsidP="006C0CEC">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En relación con</w:t>
      </w:r>
      <w:r w:rsidR="006C0CEC" w:rsidRPr="00D66B27">
        <w:rPr>
          <w:rFonts w:ascii="Verdana" w:hAnsi="Verdana"/>
          <w:sz w:val="20"/>
          <w:szCs w:val="20"/>
        </w:rPr>
        <w:t xml:space="preserve"> lo anterior, </w:t>
      </w:r>
      <w:r w:rsidRPr="00D66B27">
        <w:rPr>
          <w:rFonts w:ascii="Verdana" w:hAnsi="Verdana"/>
          <w:sz w:val="20"/>
          <w:szCs w:val="20"/>
        </w:rPr>
        <w:t xml:space="preserve">y sin perjuicio de ello, </w:t>
      </w:r>
      <w:r w:rsidR="006C0CEC" w:rsidRPr="00D66B27">
        <w:rPr>
          <w:rFonts w:ascii="Verdana" w:hAnsi="Verdana"/>
          <w:sz w:val="20"/>
          <w:szCs w:val="20"/>
        </w:rPr>
        <w:t xml:space="preserve">la Corte ya ha sido informada </w:t>
      </w:r>
      <w:r w:rsidR="005D235B">
        <w:rPr>
          <w:rFonts w:ascii="Verdana" w:hAnsi="Verdana"/>
          <w:sz w:val="20"/>
          <w:szCs w:val="20"/>
        </w:rPr>
        <w:t>acerca de</w:t>
      </w:r>
      <w:r w:rsidR="006C0CEC" w:rsidRPr="00D66B27">
        <w:rPr>
          <w:rFonts w:ascii="Verdana" w:hAnsi="Verdana"/>
          <w:sz w:val="20"/>
          <w:szCs w:val="20"/>
        </w:rPr>
        <w:t xml:space="preserve"> dos beneficiarios </w:t>
      </w:r>
      <w:r w:rsidR="005D235B">
        <w:rPr>
          <w:rFonts w:ascii="Verdana" w:hAnsi="Verdana"/>
          <w:sz w:val="20"/>
          <w:szCs w:val="20"/>
        </w:rPr>
        <w:t xml:space="preserve">que </w:t>
      </w:r>
      <w:r w:rsidR="006C0CEC" w:rsidRPr="00D66B27">
        <w:rPr>
          <w:rFonts w:ascii="Verdana" w:hAnsi="Verdana"/>
          <w:sz w:val="20"/>
          <w:szCs w:val="20"/>
        </w:rPr>
        <w:t>han fallecido, a saber, la señora María Laura Órdenes Guerra y el señor Mario Melo Acuña. Por ello, la Corte dispone que las indemnizaciones que les correspond</w:t>
      </w:r>
      <w:r w:rsidR="00AF2E54">
        <w:rPr>
          <w:rFonts w:ascii="Verdana" w:hAnsi="Verdana"/>
          <w:sz w:val="20"/>
          <w:szCs w:val="20"/>
        </w:rPr>
        <w:t>e</w:t>
      </w:r>
      <w:r w:rsidR="006C0CEC" w:rsidRPr="00D66B27">
        <w:rPr>
          <w:rFonts w:ascii="Verdana" w:hAnsi="Verdana"/>
          <w:sz w:val="20"/>
          <w:szCs w:val="20"/>
        </w:rPr>
        <w:t xml:space="preserve">n deberán ser entregadas directamente a sus familiares víctimas en el presente caso. Es decir, el monto </w:t>
      </w:r>
      <w:r w:rsidR="005D235B">
        <w:rPr>
          <w:rFonts w:ascii="Verdana" w:hAnsi="Verdana"/>
          <w:sz w:val="20"/>
          <w:szCs w:val="20"/>
        </w:rPr>
        <w:t>dispuesto</w:t>
      </w:r>
      <w:r w:rsidR="006C0CEC" w:rsidRPr="00D66B27">
        <w:rPr>
          <w:rFonts w:ascii="Verdana" w:hAnsi="Verdana"/>
          <w:sz w:val="20"/>
          <w:szCs w:val="20"/>
        </w:rPr>
        <w:t xml:space="preserve"> a favor de la señora Órdenes Guerra deberá ser distribuido en partes iguales entre sus hijos y, en el caso del señor Melo Acuña, el monto </w:t>
      </w:r>
      <w:r w:rsidR="005D235B">
        <w:rPr>
          <w:rFonts w:ascii="Verdana" w:hAnsi="Verdana"/>
          <w:sz w:val="20"/>
          <w:szCs w:val="20"/>
        </w:rPr>
        <w:t xml:space="preserve">dispuesto </w:t>
      </w:r>
      <w:r w:rsidR="006C0CEC" w:rsidRPr="00D66B27">
        <w:rPr>
          <w:rFonts w:ascii="Verdana" w:hAnsi="Verdana"/>
          <w:sz w:val="20"/>
          <w:szCs w:val="20"/>
        </w:rPr>
        <w:t xml:space="preserve">a su favor deberá ser </w:t>
      </w:r>
      <w:r w:rsidR="00EE094E">
        <w:rPr>
          <w:rFonts w:ascii="Verdana" w:hAnsi="Verdana"/>
          <w:sz w:val="20"/>
          <w:szCs w:val="20"/>
        </w:rPr>
        <w:t>distribuido</w:t>
      </w:r>
      <w:r w:rsidR="006C0CEC" w:rsidRPr="00D66B27">
        <w:rPr>
          <w:rFonts w:ascii="Verdana" w:hAnsi="Verdana"/>
          <w:sz w:val="20"/>
          <w:szCs w:val="20"/>
        </w:rPr>
        <w:t xml:space="preserve"> por partes iguales </w:t>
      </w:r>
      <w:r w:rsidR="00EE094E">
        <w:rPr>
          <w:rFonts w:ascii="Verdana" w:hAnsi="Verdana"/>
          <w:sz w:val="20"/>
          <w:szCs w:val="20"/>
        </w:rPr>
        <w:t xml:space="preserve">entre </w:t>
      </w:r>
      <w:r w:rsidR="006C0CEC" w:rsidRPr="00D66B27">
        <w:rPr>
          <w:rFonts w:ascii="Verdana" w:hAnsi="Verdana"/>
          <w:sz w:val="20"/>
          <w:szCs w:val="20"/>
        </w:rPr>
        <w:t xml:space="preserve">la señora Ilia María Prádenas Pérez y </w:t>
      </w:r>
      <w:r w:rsidR="00EE094E">
        <w:rPr>
          <w:rFonts w:ascii="Verdana" w:hAnsi="Verdana"/>
          <w:sz w:val="20"/>
          <w:szCs w:val="20"/>
        </w:rPr>
        <w:t>e</w:t>
      </w:r>
      <w:r w:rsidR="006C0CEC" w:rsidRPr="00D66B27">
        <w:rPr>
          <w:rFonts w:ascii="Verdana" w:hAnsi="Verdana"/>
          <w:sz w:val="20"/>
          <w:szCs w:val="20"/>
        </w:rPr>
        <w:t>l señor Carlos Gustavo Melo Prádenas.</w:t>
      </w:r>
    </w:p>
    <w:p w14:paraId="4A230417" w14:textId="77777777" w:rsidR="006C0CEC" w:rsidRPr="00D66B27" w:rsidRDefault="006C0CEC" w:rsidP="006C0CEC">
      <w:pPr>
        <w:pBdr>
          <w:top w:val="nil"/>
        </w:pBdr>
        <w:autoSpaceDE w:val="0"/>
        <w:autoSpaceDN w:val="0"/>
        <w:adjustRightInd w:val="0"/>
        <w:spacing w:after="0" w:line="240" w:lineRule="auto"/>
        <w:jc w:val="both"/>
        <w:rPr>
          <w:rFonts w:ascii="Verdana" w:hAnsi="Verdana"/>
          <w:sz w:val="20"/>
          <w:szCs w:val="20"/>
        </w:rPr>
      </w:pPr>
    </w:p>
    <w:p w14:paraId="3C60BE79" w14:textId="77777777" w:rsidR="006C0CEC" w:rsidRPr="00D66B27" w:rsidRDefault="006C0CEC" w:rsidP="006C0CEC">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 xml:space="preserve">El Estado debe cumplir sus obligaciones monetarias mediante el pago en dólares de los Estados Unidos de América o su equivalente en moneda nacional, utilizando para el cálculo respectivo el tipo de cambio que se encuentre vigente en la bolsa de Nueva York, Estados Unidos de América, el día anterior al pago. </w:t>
      </w:r>
    </w:p>
    <w:p w14:paraId="6677F2CF" w14:textId="77777777" w:rsidR="006C0CEC" w:rsidRPr="00D66B27" w:rsidRDefault="006C0CEC" w:rsidP="00D97DE5">
      <w:pPr>
        <w:pBdr>
          <w:top w:val="nil"/>
        </w:pBdr>
        <w:autoSpaceDE w:val="0"/>
        <w:autoSpaceDN w:val="0"/>
        <w:adjustRightInd w:val="0"/>
        <w:spacing w:after="0" w:line="240" w:lineRule="auto"/>
        <w:jc w:val="both"/>
        <w:rPr>
          <w:rFonts w:ascii="Verdana" w:hAnsi="Verdana"/>
          <w:sz w:val="20"/>
          <w:szCs w:val="20"/>
        </w:rPr>
      </w:pPr>
    </w:p>
    <w:p w14:paraId="22AADAA6" w14:textId="77037058" w:rsidR="006C0CEC" w:rsidRPr="00D66B27" w:rsidRDefault="006C0CEC" w:rsidP="00D97DE5">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 xml:space="preserve">Si por causas atribuibles a los beneficiarios de las indemnizaciones </w:t>
      </w:r>
      <w:r w:rsidR="00AF2E54">
        <w:rPr>
          <w:rFonts w:ascii="Verdana" w:hAnsi="Verdana"/>
          <w:sz w:val="20"/>
          <w:szCs w:val="20"/>
        </w:rPr>
        <w:t>establecidas</w:t>
      </w:r>
      <w:r w:rsidRPr="00D66B27">
        <w:rPr>
          <w:rFonts w:ascii="Verdana" w:hAnsi="Verdana"/>
          <w:sz w:val="20"/>
          <w:szCs w:val="20"/>
        </w:rPr>
        <w:t xml:space="preserve">, o en su caso a sus derechohabientes, no fuese posible el pago de las cantidades determinadas dentro del plazo indicado, el Estado consignará dichos montos a su favor en una cuenta o certificado de depósito en una institución financiera chilena solvente, en dólares estadounidenses y en las condiciones financieras más favorables que permitan la legislación y la práctica bancaria. Si no se reclama la indemnización correspondiente una vez transcurridos diez años, las cantidades serán devueltas al Estado con los intereses devengados. </w:t>
      </w:r>
    </w:p>
    <w:p w14:paraId="0F92D7EB" w14:textId="77777777" w:rsidR="006C0CEC" w:rsidRPr="00D66B27" w:rsidRDefault="006C0CEC" w:rsidP="006C0CEC">
      <w:pPr>
        <w:pBdr>
          <w:top w:val="nil"/>
        </w:pBdr>
        <w:autoSpaceDE w:val="0"/>
        <w:autoSpaceDN w:val="0"/>
        <w:adjustRightInd w:val="0"/>
        <w:spacing w:after="0" w:line="240" w:lineRule="auto"/>
        <w:jc w:val="both"/>
        <w:rPr>
          <w:rFonts w:ascii="Verdana" w:hAnsi="Verdana"/>
          <w:sz w:val="20"/>
          <w:szCs w:val="20"/>
        </w:rPr>
      </w:pPr>
    </w:p>
    <w:p w14:paraId="0F71FC09" w14:textId="59F9D8AD" w:rsidR="006C0CEC" w:rsidRPr="00D66B27" w:rsidRDefault="006C0CEC" w:rsidP="006C0CEC">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Las cantidades asignadas en la presente Sentencia como indemnizaciones y como reintegro de gastos deberán ser entregadas a las personas indicadas en forma íntegra conforme a lo establecido en este Fallo, sin reducciones derivadas de eventuales cargas fiscales.</w:t>
      </w:r>
    </w:p>
    <w:p w14:paraId="22DE9873" w14:textId="77777777" w:rsidR="006C0CEC" w:rsidRPr="00D66B27" w:rsidRDefault="006C0CEC" w:rsidP="006C0CEC">
      <w:pPr>
        <w:pBdr>
          <w:top w:val="nil"/>
        </w:pBdr>
        <w:autoSpaceDE w:val="0"/>
        <w:autoSpaceDN w:val="0"/>
        <w:adjustRightInd w:val="0"/>
        <w:spacing w:after="0" w:line="240" w:lineRule="auto"/>
        <w:jc w:val="both"/>
        <w:rPr>
          <w:rFonts w:ascii="Verdana" w:hAnsi="Verdana"/>
          <w:sz w:val="20"/>
          <w:szCs w:val="20"/>
        </w:rPr>
      </w:pPr>
    </w:p>
    <w:p w14:paraId="508B2993" w14:textId="18687707" w:rsidR="006C0CEC" w:rsidRPr="00D66B27" w:rsidRDefault="006C0CEC" w:rsidP="006C0CEC">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 xml:space="preserve">En caso de que el Estado incurriera en mora, deberá pagar un interés sobre la cantidad adeudada correspondiente al interés bancario moratorio en </w:t>
      </w:r>
      <w:r w:rsidR="00E02294" w:rsidRPr="00D66B27">
        <w:rPr>
          <w:rFonts w:ascii="Verdana" w:hAnsi="Verdana"/>
          <w:sz w:val="20"/>
          <w:szCs w:val="20"/>
        </w:rPr>
        <w:t>Chile</w:t>
      </w:r>
      <w:r w:rsidRPr="00D66B27">
        <w:rPr>
          <w:rFonts w:ascii="Verdana" w:hAnsi="Verdana"/>
          <w:sz w:val="20"/>
          <w:szCs w:val="20"/>
        </w:rPr>
        <w:t>.</w:t>
      </w:r>
    </w:p>
    <w:p w14:paraId="6CED3578" w14:textId="77777777" w:rsidR="006C0CEC" w:rsidRDefault="006C0CEC">
      <w:pPr>
        <w:pBdr>
          <w:top w:val="nil"/>
        </w:pBdr>
        <w:autoSpaceDE w:val="0"/>
        <w:autoSpaceDN w:val="0"/>
        <w:adjustRightInd w:val="0"/>
        <w:spacing w:after="0" w:line="240" w:lineRule="auto"/>
        <w:jc w:val="both"/>
        <w:rPr>
          <w:rFonts w:ascii="Verdana" w:hAnsi="Verdana"/>
          <w:sz w:val="20"/>
          <w:szCs w:val="20"/>
        </w:rPr>
      </w:pPr>
    </w:p>
    <w:p w14:paraId="58C84FA0" w14:textId="77777777" w:rsidR="00B26AA3" w:rsidRPr="00D66B27" w:rsidRDefault="00B26AA3">
      <w:pPr>
        <w:pBdr>
          <w:top w:val="nil"/>
        </w:pBdr>
        <w:autoSpaceDE w:val="0"/>
        <w:autoSpaceDN w:val="0"/>
        <w:adjustRightInd w:val="0"/>
        <w:spacing w:after="0" w:line="240" w:lineRule="auto"/>
        <w:jc w:val="both"/>
        <w:rPr>
          <w:rFonts w:ascii="Verdana" w:hAnsi="Verdana"/>
          <w:sz w:val="20"/>
          <w:szCs w:val="20"/>
        </w:rPr>
      </w:pPr>
    </w:p>
    <w:p w14:paraId="3BF6F1CD" w14:textId="2C9B9E9C" w:rsidR="00607AFC" w:rsidRPr="00D66B27" w:rsidRDefault="00E043B4">
      <w:pPr>
        <w:pStyle w:val="Ttulo1"/>
      </w:pPr>
      <w:bookmarkStart w:id="37" w:name="_Toc442987398"/>
      <w:bookmarkStart w:id="38" w:name="_Toc476251472"/>
      <w:bookmarkStart w:id="39" w:name="_Toc528084370"/>
      <w:r w:rsidRPr="00D66B27">
        <w:t>VIII</w:t>
      </w:r>
      <w:r w:rsidR="00607AFC" w:rsidRPr="00D66B27">
        <w:br/>
        <w:t>PUNTOS RESOLUTIVOS</w:t>
      </w:r>
      <w:bookmarkEnd w:id="37"/>
      <w:bookmarkEnd w:id="38"/>
      <w:bookmarkEnd w:id="39"/>
    </w:p>
    <w:p w14:paraId="17A3943B" w14:textId="77777777" w:rsidR="00B26AA3" w:rsidRDefault="00B26AA3" w:rsidP="00B26AA3">
      <w:pPr>
        <w:pBdr>
          <w:top w:val="nil"/>
        </w:pBdr>
        <w:autoSpaceDE w:val="0"/>
        <w:autoSpaceDN w:val="0"/>
        <w:adjustRightInd w:val="0"/>
        <w:spacing w:after="0" w:line="240" w:lineRule="auto"/>
        <w:jc w:val="both"/>
        <w:rPr>
          <w:rFonts w:ascii="Verdana" w:hAnsi="Verdana"/>
          <w:sz w:val="20"/>
          <w:szCs w:val="20"/>
        </w:rPr>
      </w:pPr>
    </w:p>
    <w:p w14:paraId="0BA72B01" w14:textId="77777777" w:rsidR="00607AFC" w:rsidRPr="00D66B27" w:rsidRDefault="00607AFC" w:rsidP="00D97DE5">
      <w:pPr>
        <w:numPr>
          <w:ilvl w:val="0"/>
          <w:numId w:val="2"/>
        </w:numPr>
        <w:pBdr>
          <w:top w:val="nil"/>
        </w:pBdr>
        <w:autoSpaceDE w:val="0"/>
        <w:autoSpaceDN w:val="0"/>
        <w:adjustRightInd w:val="0"/>
        <w:spacing w:after="0" w:line="240" w:lineRule="auto"/>
        <w:ind w:left="0" w:firstLine="0"/>
        <w:jc w:val="both"/>
        <w:rPr>
          <w:rFonts w:ascii="Verdana" w:hAnsi="Verdana"/>
          <w:sz w:val="20"/>
          <w:szCs w:val="20"/>
        </w:rPr>
      </w:pPr>
      <w:r w:rsidRPr="00D66B27">
        <w:rPr>
          <w:rFonts w:ascii="Verdana" w:hAnsi="Verdana"/>
          <w:sz w:val="20"/>
          <w:szCs w:val="20"/>
        </w:rPr>
        <w:t>Por tanto,</w:t>
      </w:r>
    </w:p>
    <w:p w14:paraId="27297D90" w14:textId="77777777" w:rsidR="00607AFC" w:rsidRDefault="00607AFC">
      <w:pPr>
        <w:spacing w:after="0" w:line="240" w:lineRule="auto"/>
        <w:jc w:val="both"/>
        <w:rPr>
          <w:rFonts w:ascii="Verdana" w:hAnsi="Verdana"/>
          <w:b/>
          <w:smallCaps/>
          <w:sz w:val="20"/>
          <w:szCs w:val="20"/>
        </w:rPr>
      </w:pPr>
    </w:p>
    <w:p w14:paraId="797A4C82" w14:textId="77777777" w:rsidR="00B26AA3" w:rsidRDefault="00B26AA3">
      <w:pPr>
        <w:spacing w:after="0" w:line="240" w:lineRule="auto"/>
        <w:jc w:val="both"/>
        <w:rPr>
          <w:rFonts w:ascii="Verdana" w:hAnsi="Verdana"/>
          <w:b/>
          <w:smallCaps/>
          <w:sz w:val="20"/>
          <w:szCs w:val="20"/>
        </w:rPr>
      </w:pPr>
    </w:p>
    <w:p w14:paraId="7DC2B9A0" w14:textId="77777777" w:rsidR="00607AFC" w:rsidRPr="00D66B27" w:rsidRDefault="00607AFC">
      <w:pPr>
        <w:spacing w:after="0" w:line="240" w:lineRule="auto"/>
        <w:jc w:val="both"/>
        <w:rPr>
          <w:rFonts w:ascii="Verdana" w:hAnsi="Verdana"/>
          <w:b/>
          <w:smallCaps/>
          <w:sz w:val="20"/>
          <w:szCs w:val="20"/>
        </w:rPr>
      </w:pPr>
      <w:r w:rsidRPr="00D66B27">
        <w:rPr>
          <w:rFonts w:ascii="Verdana" w:hAnsi="Verdana"/>
          <w:b/>
          <w:smallCaps/>
          <w:sz w:val="20"/>
          <w:szCs w:val="20"/>
        </w:rPr>
        <w:t>LA CORTE</w:t>
      </w:r>
    </w:p>
    <w:p w14:paraId="1C536959" w14:textId="77777777" w:rsidR="0026645B" w:rsidRDefault="0026645B">
      <w:pPr>
        <w:spacing w:after="0" w:line="240" w:lineRule="auto"/>
        <w:jc w:val="both"/>
        <w:rPr>
          <w:rFonts w:ascii="Verdana" w:hAnsi="Verdana"/>
          <w:b/>
          <w:smallCaps/>
          <w:sz w:val="20"/>
          <w:szCs w:val="20"/>
        </w:rPr>
      </w:pPr>
      <w:bookmarkStart w:id="40" w:name="_Toc368399874"/>
    </w:p>
    <w:p w14:paraId="63D61674" w14:textId="77777777" w:rsidR="00B26AA3" w:rsidRPr="00D66B27" w:rsidRDefault="00B26AA3">
      <w:pPr>
        <w:spacing w:after="0" w:line="240" w:lineRule="auto"/>
        <w:jc w:val="both"/>
        <w:rPr>
          <w:rFonts w:ascii="Verdana" w:hAnsi="Verdana"/>
          <w:b/>
          <w:smallCaps/>
          <w:sz w:val="20"/>
          <w:szCs w:val="20"/>
        </w:rPr>
      </w:pPr>
    </w:p>
    <w:p w14:paraId="573F1C90" w14:textId="53C5176B" w:rsidR="003940E3" w:rsidRDefault="003940E3">
      <w:pPr>
        <w:spacing w:after="0" w:line="240" w:lineRule="auto"/>
        <w:jc w:val="both"/>
        <w:rPr>
          <w:rFonts w:ascii="Verdana" w:hAnsi="Verdana"/>
          <w:b/>
          <w:smallCaps/>
          <w:sz w:val="20"/>
          <w:szCs w:val="20"/>
        </w:rPr>
      </w:pPr>
      <w:r>
        <w:rPr>
          <w:rFonts w:ascii="Verdana" w:hAnsi="Verdana"/>
          <w:b/>
          <w:smallCaps/>
          <w:sz w:val="20"/>
          <w:szCs w:val="20"/>
        </w:rPr>
        <w:t>DECIDE,</w:t>
      </w:r>
    </w:p>
    <w:p w14:paraId="26837605" w14:textId="77777777" w:rsidR="0026645B" w:rsidRPr="00D66B27" w:rsidRDefault="0026645B" w:rsidP="003940E3">
      <w:pPr>
        <w:spacing w:after="0" w:line="240" w:lineRule="auto"/>
        <w:ind w:right="11"/>
        <w:jc w:val="both"/>
        <w:rPr>
          <w:rFonts w:ascii="Verdana" w:hAnsi="Verdana"/>
          <w:sz w:val="20"/>
          <w:szCs w:val="20"/>
        </w:rPr>
      </w:pPr>
    </w:p>
    <w:p w14:paraId="458AC619" w14:textId="56D59B4C" w:rsidR="003940E3" w:rsidRPr="00D66B27" w:rsidRDefault="003940E3" w:rsidP="003940E3">
      <w:pPr>
        <w:spacing w:after="0" w:line="240" w:lineRule="auto"/>
        <w:ind w:right="11"/>
        <w:jc w:val="both"/>
        <w:rPr>
          <w:rFonts w:ascii="Verdana" w:hAnsi="Verdana"/>
          <w:sz w:val="20"/>
          <w:szCs w:val="20"/>
        </w:rPr>
      </w:pPr>
      <w:r w:rsidRPr="00D66B27">
        <w:rPr>
          <w:rFonts w:ascii="Verdana" w:hAnsi="Verdana"/>
          <w:sz w:val="20"/>
          <w:szCs w:val="20"/>
        </w:rPr>
        <w:t xml:space="preserve">Por </w:t>
      </w:r>
      <w:r>
        <w:rPr>
          <w:rFonts w:ascii="Verdana" w:hAnsi="Verdana"/>
          <w:sz w:val="20"/>
          <w:szCs w:val="20"/>
        </w:rPr>
        <w:t>unanimidad</w:t>
      </w:r>
      <w:r w:rsidRPr="00D66B27">
        <w:rPr>
          <w:rFonts w:ascii="Verdana" w:hAnsi="Verdana"/>
          <w:sz w:val="20"/>
          <w:szCs w:val="20"/>
        </w:rPr>
        <w:t xml:space="preserve">: </w:t>
      </w:r>
    </w:p>
    <w:p w14:paraId="77DE8D49" w14:textId="77777777" w:rsidR="003940E3" w:rsidRPr="00D66B27" w:rsidRDefault="003940E3" w:rsidP="003940E3">
      <w:pPr>
        <w:spacing w:after="0" w:line="240" w:lineRule="auto"/>
        <w:jc w:val="both"/>
        <w:rPr>
          <w:rFonts w:ascii="Verdana" w:hAnsi="Verdana"/>
          <w:sz w:val="20"/>
          <w:szCs w:val="20"/>
        </w:rPr>
      </w:pPr>
    </w:p>
    <w:p w14:paraId="064D1FDA" w14:textId="47EC1213" w:rsidR="003940E3" w:rsidRDefault="003940E3" w:rsidP="003940E3">
      <w:pPr>
        <w:spacing w:after="0" w:line="240" w:lineRule="auto"/>
        <w:jc w:val="both"/>
        <w:rPr>
          <w:rFonts w:ascii="Verdana" w:hAnsi="Verdana"/>
          <w:b/>
          <w:smallCaps/>
          <w:sz w:val="20"/>
          <w:szCs w:val="20"/>
        </w:rPr>
      </w:pPr>
      <w:r w:rsidRPr="00D66B27">
        <w:rPr>
          <w:rFonts w:ascii="Verdana" w:eastAsia="Calibri" w:hAnsi="Verdana"/>
          <w:spacing w:val="-2"/>
          <w:sz w:val="20"/>
          <w:szCs w:val="20"/>
        </w:rPr>
        <w:t xml:space="preserve">1. </w:t>
      </w:r>
      <w:r w:rsidRPr="00D66B27">
        <w:rPr>
          <w:rFonts w:ascii="Verdana" w:eastAsia="Calibri" w:hAnsi="Verdana"/>
          <w:spacing w:val="-2"/>
          <w:sz w:val="20"/>
          <w:szCs w:val="20"/>
        </w:rPr>
        <w:tab/>
      </w:r>
      <w:r>
        <w:rPr>
          <w:rFonts w:ascii="Verdana" w:eastAsia="Calibri" w:hAnsi="Verdana"/>
          <w:spacing w:val="-2"/>
          <w:sz w:val="20"/>
          <w:szCs w:val="20"/>
        </w:rPr>
        <w:t xml:space="preserve">Aceptar el reconocimiento de responsabilidad internacional efectuado por el Estado, en los términos de los párrafos </w:t>
      </w:r>
      <w:r w:rsidR="00AF2E54">
        <w:rPr>
          <w:rFonts w:ascii="Verdana" w:eastAsia="Calibri" w:hAnsi="Verdana"/>
          <w:spacing w:val="-2"/>
          <w:sz w:val="20"/>
          <w:szCs w:val="20"/>
        </w:rPr>
        <w:t>23 a 31</w:t>
      </w:r>
      <w:r>
        <w:rPr>
          <w:rFonts w:ascii="Verdana" w:eastAsia="Calibri" w:hAnsi="Verdana"/>
          <w:spacing w:val="-2"/>
          <w:sz w:val="20"/>
          <w:szCs w:val="20"/>
        </w:rPr>
        <w:t xml:space="preserve"> de esta Sentencia.</w:t>
      </w:r>
    </w:p>
    <w:p w14:paraId="7FE4F122" w14:textId="77777777" w:rsidR="00AF2E54" w:rsidRDefault="00AF2E54">
      <w:pPr>
        <w:spacing w:after="0" w:line="240" w:lineRule="auto"/>
        <w:jc w:val="both"/>
        <w:rPr>
          <w:rFonts w:ascii="Verdana" w:hAnsi="Verdana"/>
          <w:b/>
          <w:smallCaps/>
          <w:sz w:val="20"/>
          <w:szCs w:val="20"/>
        </w:rPr>
      </w:pPr>
    </w:p>
    <w:p w14:paraId="27284A77" w14:textId="77777777" w:rsidR="00B26AA3" w:rsidRDefault="00B26AA3">
      <w:pPr>
        <w:spacing w:after="0" w:line="240" w:lineRule="auto"/>
        <w:jc w:val="both"/>
        <w:rPr>
          <w:rFonts w:ascii="Verdana" w:hAnsi="Verdana"/>
          <w:b/>
          <w:smallCaps/>
          <w:sz w:val="20"/>
          <w:szCs w:val="20"/>
        </w:rPr>
      </w:pPr>
    </w:p>
    <w:p w14:paraId="7D614C92" w14:textId="77777777" w:rsidR="00607AFC" w:rsidRPr="00D66B27" w:rsidRDefault="00607AFC">
      <w:pPr>
        <w:spacing w:after="0" w:line="240" w:lineRule="auto"/>
        <w:jc w:val="both"/>
        <w:rPr>
          <w:rFonts w:ascii="Verdana" w:hAnsi="Verdana"/>
          <w:sz w:val="20"/>
          <w:szCs w:val="20"/>
        </w:rPr>
      </w:pPr>
      <w:r w:rsidRPr="00D66B27">
        <w:rPr>
          <w:rFonts w:ascii="Verdana" w:hAnsi="Verdana"/>
          <w:b/>
          <w:smallCaps/>
          <w:sz w:val="20"/>
          <w:szCs w:val="20"/>
        </w:rPr>
        <w:t>DECLARA</w:t>
      </w:r>
      <w:bookmarkEnd w:id="40"/>
      <w:r w:rsidRPr="00D66B27">
        <w:rPr>
          <w:rFonts w:ascii="Verdana" w:hAnsi="Verdana"/>
          <w:b/>
          <w:sz w:val="20"/>
          <w:szCs w:val="20"/>
        </w:rPr>
        <w:t>,</w:t>
      </w:r>
    </w:p>
    <w:p w14:paraId="18C3777A" w14:textId="77777777" w:rsidR="00607AFC" w:rsidRPr="00D66B27" w:rsidRDefault="00607AFC">
      <w:pPr>
        <w:spacing w:after="0" w:line="240" w:lineRule="auto"/>
        <w:ind w:right="11"/>
        <w:jc w:val="both"/>
        <w:rPr>
          <w:rFonts w:ascii="Verdana" w:hAnsi="Verdana"/>
          <w:sz w:val="20"/>
          <w:szCs w:val="20"/>
        </w:rPr>
      </w:pPr>
    </w:p>
    <w:p w14:paraId="1DCB2F4E" w14:textId="4585B28F" w:rsidR="00607AFC" w:rsidRPr="00D66B27" w:rsidRDefault="00607AFC">
      <w:pPr>
        <w:spacing w:after="0" w:line="240" w:lineRule="auto"/>
        <w:ind w:right="11"/>
        <w:jc w:val="both"/>
        <w:rPr>
          <w:rFonts w:ascii="Verdana" w:hAnsi="Verdana"/>
          <w:sz w:val="20"/>
          <w:szCs w:val="20"/>
        </w:rPr>
      </w:pPr>
      <w:r w:rsidRPr="00D66B27">
        <w:rPr>
          <w:rFonts w:ascii="Verdana" w:hAnsi="Verdana"/>
          <w:sz w:val="20"/>
          <w:szCs w:val="20"/>
        </w:rPr>
        <w:t xml:space="preserve">Por </w:t>
      </w:r>
      <w:r w:rsidR="003940E3">
        <w:rPr>
          <w:rFonts w:ascii="Verdana" w:hAnsi="Verdana"/>
          <w:sz w:val="20"/>
          <w:szCs w:val="20"/>
        </w:rPr>
        <w:t>unanimidad</w:t>
      </w:r>
      <w:r w:rsidRPr="00D66B27">
        <w:rPr>
          <w:rFonts w:ascii="Verdana" w:hAnsi="Verdana"/>
          <w:sz w:val="20"/>
          <w:szCs w:val="20"/>
        </w:rPr>
        <w:t xml:space="preserve">, que: </w:t>
      </w:r>
    </w:p>
    <w:p w14:paraId="16E28EB7" w14:textId="77777777" w:rsidR="00607AFC" w:rsidRPr="00D66B27" w:rsidRDefault="00607AFC">
      <w:pPr>
        <w:spacing w:after="0" w:line="240" w:lineRule="auto"/>
        <w:jc w:val="both"/>
        <w:rPr>
          <w:rFonts w:ascii="Verdana" w:hAnsi="Verdana"/>
          <w:sz w:val="20"/>
          <w:szCs w:val="20"/>
        </w:rPr>
      </w:pPr>
    </w:p>
    <w:p w14:paraId="0C89D1FC" w14:textId="5E22797A" w:rsidR="00C34B70" w:rsidRPr="00D66B27" w:rsidRDefault="003940E3">
      <w:pPr>
        <w:tabs>
          <w:tab w:val="left" w:pos="0"/>
        </w:tabs>
        <w:spacing w:after="0" w:line="240" w:lineRule="auto"/>
        <w:jc w:val="both"/>
        <w:rPr>
          <w:rFonts w:ascii="Verdana" w:hAnsi="Verdana"/>
          <w:sz w:val="20"/>
          <w:szCs w:val="20"/>
          <w:lang w:eastAsia="es-ES"/>
        </w:rPr>
      </w:pPr>
      <w:r>
        <w:rPr>
          <w:rFonts w:ascii="Verdana" w:eastAsia="Calibri" w:hAnsi="Verdana"/>
          <w:spacing w:val="-2"/>
          <w:sz w:val="20"/>
          <w:szCs w:val="20"/>
        </w:rPr>
        <w:t>2</w:t>
      </w:r>
      <w:r w:rsidR="00607AFC" w:rsidRPr="00D66B27">
        <w:rPr>
          <w:rFonts w:ascii="Verdana" w:eastAsia="Calibri" w:hAnsi="Verdana"/>
          <w:spacing w:val="-2"/>
          <w:sz w:val="20"/>
          <w:szCs w:val="20"/>
        </w:rPr>
        <w:t xml:space="preserve">. </w:t>
      </w:r>
      <w:r w:rsidR="00607AFC" w:rsidRPr="00D66B27">
        <w:rPr>
          <w:rFonts w:ascii="Verdana" w:eastAsia="Calibri" w:hAnsi="Verdana"/>
          <w:spacing w:val="-2"/>
          <w:sz w:val="20"/>
          <w:szCs w:val="20"/>
        </w:rPr>
        <w:tab/>
      </w:r>
      <w:r w:rsidR="00D96BFD" w:rsidRPr="00D66B27">
        <w:rPr>
          <w:rFonts w:ascii="Verdana" w:eastAsia="Calibri" w:hAnsi="Verdana"/>
          <w:spacing w:val="-2"/>
          <w:sz w:val="20"/>
          <w:szCs w:val="20"/>
        </w:rPr>
        <w:t>E</w:t>
      </w:r>
      <w:r w:rsidR="002A4031" w:rsidRPr="00D66B27">
        <w:rPr>
          <w:rFonts w:ascii="Verdana" w:hAnsi="Verdana"/>
          <w:sz w:val="20"/>
          <w:szCs w:val="20"/>
        </w:rPr>
        <w:t>l Estado es responsable por la violación del derecho de acceso a la justicia, en los término</w:t>
      </w:r>
      <w:r w:rsidR="00D96BFD" w:rsidRPr="00D66B27">
        <w:rPr>
          <w:rFonts w:ascii="Verdana" w:hAnsi="Verdana"/>
          <w:sz w:val="20"/>
          <w:szCs w:val="20"/>
        </w:rPr>
        <w:t>s</w:t>
      </w:r>
      <w:r w:rsidR="002A4031" w:rsidRPr="00D66B27">
        <w:rPr>
          <w:rFonts w:ascii="Verdana" w:hAnsi="Verdana"/>
          <w:sz w:val="20"/>
          <w:szCs w:val="20"/>
        </w:rPr>
        <w:t xml:space="preserve"> de los derechos a las garantías judiciales y a la protección judicial, reconocidos en los artículos 8.1 y 25.1 de la Convención Americana, en relación con los artículos 1.1 y 2 de la misma, en perjuicio de María Laura Órdenes Guerra, Ariel Luis Antonio Alcayaga Órdenes, Marta Elizabeth Alcayaga Órdenes, Augusto Oscar Amador Alcayaga Órdenes, Gloria Laura Astris Alcayaga Órdenes y María Laura Elena Alcayaga Órdenes; de Lucía Morales Compagnon, Jorge Roberto </w:t>
      </w:r>
      <w:r w:rsidR="00BF0956" w:rsidRPr="00D66B27">
        <w:rPr>
          <w:rFonts w:ascii="Verdana" w:hAnsi="Verdana"/>
          <w:sz w:val="20"/>
          <w:szCs w:val="20"/>
        </w:rPr>
        <w:t xml:space="preserve">Osorio </w:t>
      </w:r>
      <w:r w:rsidR="002A4031" w:rsidRPr="00D66B27">
        <w:rPr>
          <w:rFonts w:ascii="Verdana" w:hAnsi="Verdana"/>
          <w:sz w:val="20"/>
          <w:szCs w:val="20"/>
        </w:rPr>
        <w:t xml:space="preserve">Morales, Carolina Andrea </w:t>
      </w:r>
      <w:r w:rsidR="00BF0956" w:rsidRPr="00D66B27">
        <w:rPr>
          <w:rFonts w:ascii="Verdana" w:hAnsi="Verdana"/>
          <w:sz w:val="20"/>
          <w:szCs w:val="20"/>
        </w:rPr>
        <w:t>Osorio Morales</w:t>
      </w:r>
      <w:r w:rsidR="002A4031" w:rsidRPr="00D66B27">
        <w:rPr>
          <w:rFonts w:ascii="Verdana" w:hAnsi="Verdana"/>
          <w:sz w:val="20"/>
          <w:szCs w:val="20"/>
        </w:rPr>
        <w:t xml:space="preserve">, Lucía Odette </w:t>
      </w:r>
      <w:r w:rsidR="00BF0956" w:rsidRPr="00D66B27">
        <w:rPr>
          <w:rFonts w:ascii="Verdana" w:hAnsi="Verdana"/>
          <w:sz w:val="20"/>
          <w:szCs w:val="20"/>
        </w:rPr>
        <w:t xml:space="preserve">Osorio Morales </w:t>
      </w:r>
      <w:r w:rsidR="002A4031" w:rsidRPr="00D66B27">
        <w:rPr>
          <w:rFonts w:ascii="Verdana" w:hAnsi="Verdana"/>
          <w:sz w:val="20"/>
          <w:szCs w:val="20"/>
        </w:rPr>
        <w:t xml:space="preserve">y María Teresa </w:t>
      </w:r>
      <w:r w:rsidR="00BF0956" w:rsidRPr="00D66B27">
        <w:rPr>
          <w:rFonts w:ascii="Verdana" w:hAnsi="Verdana"/>
          <w:sz w:val="20"/>
          <w:szCs w:val="20"/>
        </w:rPr>
        <w:t>Osorio Morales</w:t>
      </w:r>
      <w:r w:rsidR="002A4031" w:rsidRPr="00D66B27">
        <w:rPr>
          <w:rFonts w:ascii="Verdana" w:hAnsi="Verdana"/>
          <w:sz w:val="20"/>
          <w:szCs w:val="20"/>
        </w:rPr>
        <w:t>; de Alina María Barraza Codoceo, Eduardo Patricio Cortés Barraza, Marcia Alejandra Cortés Barraza, Patricia Auristela Cortés Barraza, Nora Isabel Cortés Barraza y Hernán Alejandro Cortés Barraza; de Mario Melo Acuña, Ilia María Prádenas Pérez y Carlos Gustavo Melo Prádenas; de Pamela Adriana Vivando</w:t>
      </w:r>
      <w:r w:rsidR="00C9421F">
        <w:rPr>
          <w:rFonts w:ascii="Verdana" w:hAnsi="Verdana"/>
          <w:sz w:val="20"/>
          <w:szCs w:val="20"/>
        </w:rPr>
        <w:t xml:space="preserve"> Medina</w:t>
      </w:r>
      <w:r w:rsidR="002A4031" w:rsidRPr="00D66B27">
        <w:rPr>
          <w:rFonts w:ascii="Verdana" w:hAnsi="Verdana"/>
          <w:sz w:val="20"/>
          <w:szCs w:val="20"/>
        </w:rPr>
        <w:t xml:space="preserve">; de </w:t>
      </w:r>
      <w:r w:rsidR="002A4031" w:rsidRPr="00BE3FC7">
        <w:rPr>
          <w:rFonts w:ascii="Verdana" w:hAnsi="Verdana"/>
          <w:sz w:val="20"/>
          <w:szCs w:val="20"/>
        </w:rPr>
        <w:t>Elena Alejandrina</w:t>
      </w:r>
      <w:r w:rsidR="00BE3FC7" w:rsidRPr="00BE3FC7">
        <w:rPr>
          <w:rFonts w:ascii="Verdana" w:hAnsi="Verdana"/>
          <w:sz w:val="20"/>
          <w:szCs w:val="20"/>
        </w:rPr>
        <w:t xml:space="preserve"> Gómez</w:t>
      </w:r>
      <w:r w:rsidR="002A4031" w:rsidRPr="00BE3FC7">
        <w:rPr>
          <w:rFonts w:ascii="Verdana" w:hAnsi="Verdana"/>
          <w:sz w:val="20"/>
          <w:szCs w:val="20"/>
        </w:rPr>
        <w:t xml:space="preserve"> Vargas y </w:t>
      </w:r>
      <w:r w:rsidR="00BE3FC7" w:rsidRPr="00BE3FC7">
        <w:rPr>
          <w:rFonts w:ascii="Verdana" w:hAnsi="Verdana"/>
          <w:sz w:val="20"/>
          <w:szCs w:val="20"/>
        </w:rPr>
        <w:t>Katia Ximena Espejo Gómez</w:t>
      </w:r>
      <w:r w:rsidR="002A4031" w:rsidRPr="00D66B27">
        <w:rPr>
          <w:rFonts w:ascii="Verdana" w:hAnsi="Verdana"/>
          <w:sz w:val="20"/>
          <w:szCs w:val="20"/>
        </w:rPr>
        <w:t>; y de Magdalena Mercedes Navarrete</w:t>
      </w:r>
      <w:r w:rsidR="00BE3FC7">
        <w:rPr>
          <w:rFonts w:ascii="Verdana" w:hAnsi="Verdana"/>
          <w:sz w:val="20"/>
          <w:szCs w:val="20"/>
        </w:rPr>
        <w:t xml:space="preserve"> Faraldo</w:t>
      </w:r>
      <w:r w:rsidR="002A4031" w:rsidRPr="00D66B27">
        <w:rPr>
          <w:rFonts w:ascii="Verdana" w:hAnsi="Verdana"/>
          <w:sz w:val="20"/>
          <w:szCs w:val="20"/>
        </w:rPr>
        <w:t>, Jorge Alberto Reyes Navarrete, Patricio Hernán Reyes Navarrete y Víctor Eduardo Reyes Navarrete</w:t>
      </w:r>
      <w:r w:rsidR="005D235B">
        <w:rPr>
          <w:rFonts w:ascii="Verdana" w:hAnsi="Verdana"/>
          <w:sz w:val="20"/>
          <w:szCs w:val="20"/>
        </w:rPr>
        <w:t>, en los términos de los párrafos 76 a 102 de esta Sentencia</w:t>
      </w:r>
      <w:r w:rsidR="002A4031" w:rsidRPr="00D66B27">
        <w:rPr>
          <w:rFonts w:ascii="Verdana" w:hAnsi="Verdana"/>
          <w:sz w:val="20"/>
          <w:szCs w:val="20"/>
        </w:rPr>
        <w:t>.</w:t>
      </w:r>
    </w:p>
    <w:p w14:paraId="7A8386A9" w14:textId="77777777" w:rsidR="0026645B" w:rsidRDefault="0026645B">
      <w:pPr>
        <w:spacing w:after="0" w:line="240" w:lineRule="auto"/>
        <w:jc w:val="both"/>
        <w:rPr>
          <w:rFonts w:ascii="Verdana" w:hAnsi="Verdana"/>
          <w:sz w:val="20"/>
          <w:szCs w:val="20"/>
        </w:rPr>
      </w:pPr>
    </w:p>
    <w:p w14:paraId="4FBD8767" w14:textId="77777777" w:rsidR="00B26AA3" w:rsidRPr="00D66B27" w:rsidRDefault="00B26AA3">
      <w:pPr>
        <w:spacing w:after="0" w:line="240" w:lineRule="auto"/>
        <w:jc w:val="both"/>
        <w:rPr>
          <w:rFonts w:ascii="Verdana" w:hAnsi="Verdana"/>
          <w:sz w:val="20"/>
          <w:szCs w:val="20"/>
        </w:rPr>
      </w:pPr>
    </w:p>
    <w:p w14:paraId="17C23E97" w14:textId="77777777" w:rsidR="00607AFC" w:rsidRPr="00D66B27" w:rsidRDefault="00607AFC">
      <w:pPr>
        <w:spacing w:after="0" w:line="240" w:lineRule="auto"/>
        <w:jc w:val="both"/>
        <w:rPr>
          <w:rFonts w:ascii="Verdana" w:hAnsi="Verdana"/>
          <w:sz w:val="20"/>
          <w:szCs w:val="20"/>
        </w:rPr>
      </w:pPr>
      <w:r w:rsidRPr="00D66B27">
        <w:rPr>
          <w:rFonts w:ascii="Verdana" w:hAnsi="Verdana"/>
          <w:b/>
          <w:sz w:val="20"/>
          <w:szCs w:val="20"/>
        </w:rPr>
        <w:t xml:space="preserve">Y </w:t>
      </w:r>
      <w:r w:rsidRPr="00D66B27">
        <w:rPr>
          <w:rFonts w:ascii="Verdana" w:hAnsi="Verdana"/>
          <w:b/>
          <w:smallCaps/>
          <w:sz w:val="20"/>
          <w:szCs w:val="20"/>
        </w:rPr>
        <w:t>DISPONE,</w:t>
      </w:r>
    </w:p>
    <w:p w14:paraId="3728F7AD" w14:textId="77777777" w:rsidR="005D235B" w:rsidRPr="00D66B27" w:rsidRDefault="005D235B">
      <w:pPr>
        <w:spacing w:after="0" w:line="240" w:lineRule="auto"/>
        <w:ind w:right="11"/>
        <w:jc w:val="both"/>
        <w:rPr>
          <w:rFonts w:ascii="Verdana" w:hAnsi="Verdana"/>
          <w:sz w:val="20"/>
          <w:szCs w:val="20"/>
        </w:rPr>
      </w:pPr>
    </w:p>
    <w:p w14:paraId="081150A6" w14:textId="69EA18B1" w:rsidR="00607AFC" w:rsidRPr="00D66B27" w:rsidRDefault="00607AFC">
      <w:pPr>
        <w:spacing w:after="0" w:line="240" w:lineRule="auto"/>
        <w:ind w:right="11"/>
        <w:jc w:val="both"/>
        <w:rPr>
          <w:rFonts w:ascii="Verdana" w:hAnsi="Verdana"/>
          <w:sz w:val="20"/>
          <w:szCs w:val="20"/>
        </w:rPr>
      </w:pPr>
      <w:r w:rsidRPr="00D66B27">
        <w:rPr>
          <w:rFonts w:ascii="Verdana" w:hAnsi="Verdana"/>
          <w:sz w:val="20"/>
          <w:szCs w:val="20"/>
        </w:rPr>
        <w:t xml:space="preserve">Por </w:t>
      </w:r>
      <w:r w:rsidR="003940E3">
        <w:rPr>
          <w:rFonts w:ascii="Verdana" w:hAnsi="Verdana"/>
          <w:sz w:val="20"/>
          <w:szCs w:val="20"/>
        </w:rPr>
        <w:t>unanimidad</w:t>
      </w:r>
      <w:r w:rsidRPr="00D66B27">
        <w:rPr>
          <w:rFonts w:ascii="Verdana" w:hAnsi="Verdana"/>
          <w:sz w:val="20"/>
          <w:szCs w:val="20"/>
        </w:rPr>
        <w:t xml:space="preserve">, que: </w:t>
      </w:r>
    </w:p>
    <w:p w14:paraId="1B4F9B2B" w14:textId="77777777" w:rsidR="00607AFC" w:rsidRPr="00D66B27" w:rsidRDefault="00607AFC">
      <w:pPr>
        <w:spacing w:after="0" w:line="240" w:lineRule="auto"/>
        <w:jc w:val="both"/>
        <w:rPr>
          <w:rFonts w:ascii="Verdana" w:hAnsi="Verdana"/>
          <w:sz w:val="20"/>
          <w:szCs w:val="20"/>
        </w:rPr>
      </w:pPr>
    </w:p>
    <w:p w14:paraId="58007033" w14:textId="43233C74" w:rsidR="00607AFC" w:rsidRPr="00D66B27" w:rsidRDefault="003940E3">
      <w:pPr>
        <w:spacing w:after="0" w:line="240" w:lineRule="auto"/>
        <w:contextualSpacing/>
        <w:jc w:val="both"/>
        <w:rPr>
          <w:rFonts w:ascii="Verdana" w:hAnsi="Verdana"/>
          <w:sz w:val="20"/>
          <w:szCs w:val="20"/>
        </w:rPr>
      </w:pPr>
      <w:r>
        <w:rPr>
          <w:rFonts w:ascii="Verdana" w:hAnsi="Verdana"/>
          <w:sz w:val="20"/>
          <w:szCs w:val="20"/>
        </w:rPr>
        <w:t>3</w:t>
      </w:r>
      <w:r w:rsidR="00607AFC" w:rsidRPr="00D66B27">
        <w:rPr>
          <w:rFonts w:ascii="Verdana" w:hAnsi="Verdana"/>
          <w:sz w:val="20"/>
          <w:szCs w:val="20"/>
        </w:rPr>
        <w:t xml:space="preserve">. </w:t>
      </w:r>
      <w:r w:rsidR="00607AFC" w:rsidRPr="00D66B27">
        <w:rPr>
          <w:rFonts w:ascii="Verdana" w:hAnsi="Verdana"/>
          <w:sz w:val="20"/>
          <w:szCs w:val="20"/>
        </w:rPr>
        <w:tab/>
        <w:t xml:space="preserve">Esta Sentencia constituye, por sí misma, una forma de reparación. </w:t>
      </w:r>
    </w:p>
    <w:p w14:paraId="22D1FB28" w14:textId="77777777" w:rsidR="0026645B" w:rsidRPr="00D66B27" w:rsidRDefault="0026645B">
      <w:pPr>
        <w:spacing w:after="0" w:line="240" w:lineRule="auto"/>
        <w:contextualSpacing/>
        <w:jc w:val="both"/>
        <w:rPr>
          <w:rStyle w:val="apple-style-span"/>
          <w:rFonts w:ascii="Verdana" w:eastAsia="MS Mincho" w:hAnsi="Verdana"/>
          <w:sz w:val="20"/>
          <w:szCs w:val="20"/>
        </w:rPr>
      </w:pPr>
    </w:p>
    <w:p w14:paraId="3A443E20" w14:textId="0FF1B9AE" w:rsidR="00574F38" w:rsidRPr="00D66B27" w:rsidRDefault="003940E3" w:rsidP="00574F38">
      <w:pPr>
        <w:spacing w:after="0" w:line="240" w:lineRule="auto"/>
        <w:contextualSpacing/>
        <w:jc w:val="both"/>
        <w:rPr>
          <w:rFonts w:ascii="Verdana" w:hAnsi="Verdana" w:cs="Verdana"/>
          <w:sz w:val="20"/>
          <w:szCs w:val="20"/>
        </w:rPr>
      </w:pPr>
      <w:r>
        <w:rPr>
          <w:rFonts w:ascii="Verdana" w:hAnsi="Verdana" w:cs="Verdana"/>
          <w:sz w:val="20"/>
          <w:szCs w:val="20"/>
        </w:rPr>
        <w:t>4</w:t>
      </w:r>
      <w:r w:rsidR="00574F38" w:rsidRPr="00D66B27">
        <w:rPr>
          <w:rFonts w:ascii="Verdana" w:hAnsi="Verdana" w:cs="Verdana"/>
          <w:sz w:val="20"/>
          <w:szCs w:val="20"/>
        </w:rPr>
        <w:t>.</w:t>
      </w:r>
      <w:r w:rsidR="00574F38" w:rsidRPr="00D66B27">
        <w:rPr>
          <w:rFonts w:ascii="Verdana" w:hAnsi="Verdana" w:cs="Verdana"/>
          <w:sz w:val="20"/>
          <w:szCs w:val="20"/>
        </w:rPr>
        <w:tab/>
        <w:t xml:space="preserve">El Estado </w:t>
      </w:r>
      <w:r w:rsidR="00574F38" w:rsidRPr="00D66B27">
        <w:rPr>
          <w:rFonts w:ascii="Verdana" w:hAnsi="Verdana"/>
          <w:sz w:val="20"/>
          <w:szCs w:val="20"/>
        </w:rPr>
        <w:t>debe</w:t>
      </w:r>
      <w:r w:rsidR="00574F38" w:rsidRPr="00D66B27">
        <w:rPr>
          <w:rFonts w:ascii="Verdana" w:hAnsi="Verdana" w:cs="Verdana"/>
          <w:sz w:val="20"/>
          <w:szCs w:val="20"/>
        </w:rPr>
        <w:t xml:space="preserve"> pagar las cantidades fijadas en los párrafos </w:t>
      </w:r>
      <w:r w:rsidR="005D235B">
        <w:rPr>
          <w:rFonts w:ascii="Verdana" w:hAnsi="Verdana" w:cs="Verdana"/>
          <w:sz w:val="20"/>
          <w:szCs w:val="20"/>
        </w:rPr>
        <w:t xml:space="preserve">124 </w:t>
      </w:r>
      <w:r w:rsidR="005D235B" w:rsidRPr="003940E3">
        <w:rPr>
          <w:rFonts w:ascii="Verdana" w:hAnsi="Verdana" w:cs="Verdana"/>
          <w:sz w:val="20"/>
          <w:szCs w:val="20"/>
        </w:rPr>
        <w:t>y 140</w:t>
      </w:r>
      <w:r w:rsidR="00574F38" w:rsidRPr="003940E3">
        <w:rPr>
          <w:rFonts w:ascii="Verdana" w:hAnsi="Verdana" w:cs="Verdana"/>
          <w:sz w:val="20"/>
          <w:szCs w:val="20"/>
        </w:rPr>
        <w:t xml:space="preserve"> de la presente Sentencia por concepto de indemnizaciones compensatorias</w:t>
      </w:r>
      <w:r w:rsidR="00574F38" w:rsidRPr="003940E3">
        <w:rPr>
          <w:rFonts w:ascii="Verdana" w:hAnsi="Verdana"/>
          <w:sz w:val="20"/>
          <w:szCs w:val="20"/>
        </w:rPr>
        <w:t>, así como por el reintegro de gastos</w:t>
      </w:r>
      <w:r w:rsidR="00574F38" w:rsidRPr="00D66B27">
        <w:rPr>
          <w:rFonts w:ascii="Verdana" w:hAnsi="Verdana"/>
          <w:sz w:val="20"/>
          <w:szCs w:val="20"/>
        </w:rPr>
        <w:t>,</w:t>
      </w:r>
      <w:r w:rsidR="00574F38" w:rsidRPr="00D66B27">
        <w:rPr>
          <w:rFonts w:ascii="Verdana" w:hAnsi="Verdana" w:cs="Verdana"/>
          <w:sz w:val="20"/>
          <w:szCs w:val="20"/>
        </w:rPr>
        <w:t xml:space="preserve"> en los términos de los referidos párrafos y de los párrafos </w:t>
      </w:r>
      <w:r w:rsidR="005D235B">
        <w:rPr>
          <w:rFonts w:ascii="Verdana" w:hAnsi="Verdana" w:cs="Verdana"/>
          <w:sz w:val="20"/>
          <w:szCs w:val="20"/>
        </w:rPr>
        <w:t>141 a 147</w:t>
      </w:r>
      <w:r w:rsidR="00574F38" w:rsidRPr="00D66B27">
        <w:rPr>
          <w:rFonts w:ascii="Verdana" w:hAnsi="Verdana" w:cs="Verdana"/>
          <w:sz w:val="20"/>
          <w:szCs w:val="20"/>
        </w:rPr>
        <w:t xml:space="preserve"> del presente Fallo.  </w:t>
      </w:r>
    </w:p>
    <w:p w14:paraId="6C9CE773" w14:textId="77777777" w:rsidR="0026645B" w:rsidRPr="00D66B27" w:rsidRDefault="0026645B" w:rsidP="00574F38">
      <w:pPr>
        <w:spacing w:after="0" w:line="240" w:lineRule="auto"/>
        <w:contextualSpacing/>
        <w:jc w:val="both"/>
        <w:rPr>
          <w:rFonts w:ascii="Verdana" w:hAnsi="Verdana"/>
          <w:sz w:val="20"/>
          <w:szCs w:val="20"/>
        </w:rPr>
      </w:pPr>
    </w:p>
    <w:p w14:paraId="2E6F28EA" w14:textId="7E3B7743" w:rsidR="00574F38" w:rsidRPr="00D66B27" w:rsidRDefault="003940E3" w:rsidP="00574F38">
      <w:pPr>
        <w:spacing w:after="0" w:line="240" w:lineRule="auto"/>
        <w:contextualSpacing/>
        <w:jc w:val="both"/>
        <w:rPr>
          <w:rFonts w:ascii="Verdana" w:hAnsi="Verdana"/>
          <w:sz w:val="20"/>
          <w:szCs w:val="20"/>
        </w:rPr>
      </w:pPr>
      <w:r>
        <w:rPr>
          <w:rFonts w:ascii="Verdana" w:hAnsi="Verdana"/>
          <w:sz w:val="20"/>
          <w:szCs w:val="20"/>
        </w:rPr>
        <w:t>5</w:t>
      </w:r>
      <w:r w:rsidR="00607AFC" w:rsidRPr="00D66B27">
        <w:rPr>
          <w:rFonts w:ascii="Verdana" w:hAnsi="Verdana"/>
          <w:sz w:val="20"/>
          <w:szCs w:val="20"/>
        </w:rPr>
        <w:t>.</w:t>
      </w:r>
      <w:r w:rsidR="00607AFC" w:rsidRPr="00D66B27">
        <w:rPr>
          <w:rFonts w:ascii="Verdana" w:hAnsi="Verdana"/>
          <w:sz w:val="20"/>
          <w:szCs w:val="20"/>
        </w:rPr>
        <w:tab/>
      </w:r>
      <w:r w:rsidR="00574F38" w:rsidRPr="00D66B27">
        <w:rPr>
          <w:rStyle w:val="apple-style-span"/>
          <w:rFonts w:ascii="Verdana" w:eastAsia="MS Mincho" w:hAnsi="Verdana"/>
          <w:sz w:val="20"/>
          <w:szCs w:val="20"/>
        </w:rPr>
        <w:t xml:space="preserve">El Estado </w:t>
      </w:r>
      <w:r w:rsidR="00574F38" w:rsidRPr="00D66B27">
        <w:rPr>
          <w:rFonts w:ascii="Verdana" w:hAnsi="Verdana"/>
          <w:sz w:val="20"/>
          <w:szCs w:val="20"/>
        </w:rPr>
        <w:t>debe</w:t>
      </w:r>
      <w:r w:rsidR="00574F38" w:rsidRPr="00D66B27">
        <w:rPr>
          <w:rStyle w:val="apple-style-span"/>
          <w:rFonts w:ascii="Verdana" w:eastAsia="MS Mincho" w:hAnsi="Verdana"/>
          <w:sz w:val="20"/>
          <w:szCs w:val="20"/>
        </w:rPr>
        <w:t xml:space="preserve"> realizar las publicaciones que se indican en el párrafo </w:t>
      </w:r>
      <w:r w:rsidR="005D235B">
        <w:rPr>
          <w:rStyle w:val="apple-style-span"/>
          <w:rFonts w:ascii="Verdana" w:eastAsia="MS Mincho" w:hAnsi="Verdana"/>
          <w:sz w:val="20"/>
          <w:szCs w:val="20"/>
        </w:rPr>
        <w:t>125</w:t>
      </w:r>
      <w:r w:rsidR="00574F38" w:rsidRPr="00D66B27">
        <w:rPr>
          <w:rStyle w:val="apple-style-span"/>
          <w:rFonts w:ascii="Verdana" w:eastAsia="MS Mincho" w:hAnsi="Verdana"/>
          <w:sz w:val="20"/>
          <w:szCs w:val="20"/>
        </w:rPr>
        <w:t xml:space="preserve"> del presente Fallo, </w:t>
      </w:r>
      <w:r w:rsidR="00574F38" w:rsidRPr="00D66B27">
        <w:rPr>
          <w:rFonts w:ascii="Verdana" w:hAnsi="Verdana"/>
          <w:sz w:val="20"/>
          <w:szCs w:val="20"/>
        </w:rPr>
        <w:t xml:space="preserve">en los términos de ese </w:t>
      </w:r>
      <w:r w:rsidR="00364C6E" w:rsidRPr="00D66B27">
        <w:rPr>
          <w:rFonts w:ascii="Verdana" w:hAnsi="Verdana"/>
          <w:sz w:val="20"/>
          <w:szCs w:val="20"/>
        </w:rPr>
        <w:t xml:space="preserve">mismo </w:t>
      </w:r>
      <w:r w:rsidR="00574F38" w:rsidRPr="00D66B27">
        <w:rPr>
          <w:rFonts w:ascii="Verdana" w:hAnsi="Verdana"/>
          <w:sz w:val="20"/>
          <w:szCs w:val="20"/>
        </w:rPr>
        <w:t>párrafo.</w:t>
      </w:r>
      <w:r w:rsidR="00574F38" w:rsidRPr="00D66B27">
        <w:rPr>
          <w:rStyle w:val="apple-style-span"/>
          <w:rFonts w:ascii="Verdana" w:eastAsia="MS Mincho" w:hAnsi="Verdana"/>
          <w:sz w:val="20"/>
          <w:szCs w:val="20"/>
        </w:rPr>
        <w:t xml:space="preserve"> </w:t>
      </w:r>
    </w:p>
    <w:p w14:paraId="5A681046" w14:textId="77777777" w:rsidR="0026645B" w:rsidRPr="00D66B27" w:rsidRDefault="0026645B">
      <w:pPr>
        <w:spacing w:after="0" w:line="240" w:lineRule="auto"/>
        <w:contextualSpacing/>
        <w:jc w:val="both"/>
        <w:rPr>
          <w:rFonts w:ascii="Verdana" w:hAnsi="Verdana"/>
          <w:sz w:val="20"/>
          <w:szCs w:val="20"/>
        </w:rPr>
      </w:pPr>
    </w:p>
    <w:p w14:paraId="719B1089" w14:textId="7002A8DB" w:rsidR="00607AFC" w:rsidRPr="00D66B27" w:rsidRDefault="003940E3">
      <w:pPr>
        <w:spacing w:after="0" w:line="240" w:lineRule="auto"/>
        <w:contextualSpacing/>
        <w:jc w:val="both"/>
        <w:rPr>
          <w:rFonts w:ascii="Verdana" w:hAnsi="Verdana"/>
          <w:sz w:val="20"/>
          <w:szCs w:val="20"/>
        </w:rPr>
      </w:pPr>
      <w:r>
        <w:rPr>
          <w:rFonts w:ascii="Verdana" w:hAnsi="Verdana"/>
          <w:sz w:val="20"/>
          <w:szCs w:val="20"/>
        </w:rPr>
        <w:t>6</w:t>
      </w:r>
      <w:r w:rsidR="00607AFC" w:rsidRPr="00D66B27">
        <w:rPr>
          <w:rFonts w:ascii="Verdana" w:hAnsi="Verdana"/>
          <w:sz w:val="20"/>
          <w:szCs w:val="20"/>
        </w:rPr>
        <w:t>.</w:t>
      </w:r>
      <w:r w:rsidR="00607AFC" w:rsidRPr="00D66B27">
        <w:rPr>
          <w:rFonts w:ascii="Verdana" w:hAnsi="Verdana"/>
          <w:sz w:val="20"/>
          <w:szCs w:val="20"/>
        </w:rPr>
        <w:tab/>
        <w:t xml:space="preserve">El Estado debe </w:t>
      </w:r>
      <w:r w:rsidR="00607AFC" w:rsidRPr="00D66B27">
        <w:rPr>
          <w:rFonts w:ascii="Verdana" w:hAnsi="Verdana" w:cs="Verdana"/>
          <w:sz w:val="20"/>
          <w:szCs w:val="20"/>
        </w:rPr>
        <w:t>rendir</w:t>
      </w:r>
      <w:r w:rsidR="00607AFC" w:rsidRPr="00D66B27">
        <w:rPr>
          <w:rFonts w:ascii="Verdana" w:hAnsi="Verdana"/>
          <w:sz w:val="20"/>
          <w:szCs w:val="20"/>
        </w:rPr>
        <w:t xml:space="preserve"> al Tribunal un informe sobre las medidas adoptadas para cumplir con </w:t>
      </w:r>
      <w:r w:rsidR="00607AFC" w:rsidRPr="00D66B27">
        <w:rPr>
          <w:rFonts w:ascii="Verdana" w:hAnsi="Verdana" w:cs="Verdana"/>
          <w:sz w:val="20"/>
          <w:szCs w:val="20"/>
        </w:rPr>
        <w:t>la presente Sentencia</w:t>
      </w:r>
      <w:r w:rsidR="00607AFC" w:rsidRPr="00D66B27">
        <w:rPr>
          <w:rFonts w:ascii="Verdana" w:hAnsi="Verdana"/>
          <w:sz w:val="20"/>
          <w:szCs w:val="20"/>
        </w:rPr>
        <w:t>,</w:t>
      </w:r>
      <w:r w:rsidR="00607AFC" w:rsidRPr="00D66B27">
        <w:rPr>
          <w:rFonts w:ascii="Verdana" w:hAnsi="Verdana" w:cs="Verdana"/>
          <w:sz w:val="20"/>
          <w:szCs w:val="20"/>
        </w:rPr>
        <w:t xml:space="preserve"> dentro del plazo de un año contado a partir de la notificación de </w:t>
      </w:r>
      <w:r w:rsidR="00607AFC" w:rsidRPr="00D66B27">
        <w:rPr>
          <w:rFonts w:ascii="Verdana" w:hAnsi="Verdana"/>
          <w:sz w:val="20"/>
          <w:szCs w:val="20"/>
        </w:rPr>
        <w:t xml:space="preserve">la misma, y además debe presentar un informe, en el plazo de seis meses </w:t>
      </w:r>
      <w:r w:rsidR="00607AFC" w:rsidRPr="00D66B27">
        <w:rPr>
          <w:rFonts w:ascii="Verdana" w:hAnsi="Verdana" w:cs="Verdana"/>
          <w:sz w:val="20"/>
          <w:szCs w:val="20"/>
        </w:rPr>
        <w:t xml:space="preserve">contado a partir de la notificación de </w:t>
      </w:r>
      <w:r w:rsidR="00607AFC" w:rsidRPr="00D66B27">
        <w:rPr>
          <w:rFonts w:ascii="Verdana" w:hAnsi="Verdana"/>
          <w:sz w:val="20"/>
          <w:szCs w:val="20"/>
        </w:rPr>
        <w:t>la misma, en el cual indique –para cada una de las medidas de reparación ordenadas– cuáles son los órganos, instituciones o autoridades estatales encargadas o responsables de implementarlas, que incluya un cronograma de trabajo para su cumplimiento total.</w:t>
      </w:r>
    </w:p>
    <w:p w14:paraId="6545440A" w14:textId="77777777" w:rsidR="0026645B" w:rsidRPr="00D66B27" w:rsidRDefault="0026645B">
      <w:pPr>
        <w:spacing w:after="0" w:line="240" w:lineRule="auto"/>
        <w:contextualSpacing/>
        <w:jc w:val="both"/>
        <w:rPr>
          <w:rFonts w:ascii="Verdana" w:hAnsi="Verdana"/>
          <w:sz w:val="20"/>
          <w:szCs w:val="20"/>
        </w:rPr>
      </w:pPr>
    </w:p>
    <w:p w14:paraId="0B5BFB6A" w14:textId="5007F7C0" w:rsidR="00607AFC" w:rsidRPr="00D66B27" w:rsidRDefault="003940E3">
      <w:pPr>
        <w:spacing w:after="0" w:line="240" w:lineRule="auto"/>
        <w:contextualSpacing/>
        <w:jc w:val="both"/>
        <w:rPr>
          <w:rFonts w:ascii="Verdana" w:hAnsi="Verdana"/>
          <w:sz w:val="20"/>
          <w:szCs w:val="20"/>
        </w:rPr>
      </w:pPr>
      <w:r>
        <w:rPr>
          <w:rFonts w:ascii="Verdana" w:hAnsi="Verdana"/>
          <w:sz w:val="20"/>
          <w:szCs w:val="20"/>
        </w:rPr>
        <w:t>7</w:t>
      </w:r>
      <w:r w:rsidR="00607AFC" w:rsidRPr="00D66B27">
        <w:rPr>
          <w:rFonts w:ascii="Verdana" w:hAnsi="Verdana"/>
          <w:sz w:val="20"/>
          <w:szCs w:val="20"/>
        </w:rPr>
        <w:t>.</w:t>
      </w:r>
      <w:r w:rsidR="00607AFC" w:rsidRPr="00D66B27">
        <w:rPr>
          <w:rFonts w:ascii="Verdana" w:hAnsi="Verdana"/>
          <w:sz w:val="20"/>
          <w:szCs w:val="20"/>
        </w:rPr>
        <w:tab/>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14:paraId="62C8D398" w14:textId="77777777" w:rsidR="00B201AB" w:rsidRDefault="00B201AB">
      <w:pPr>
        <w:spacing w:after="0" w:line="240" w:lineRule="auto"/>
        <w:jc w:val="both"/>
        <w:rPr>
          <w:rFonts w:ascii="Verdana" w:hAnsi="Verdana"/>
          <w:sz w:val="20"/>
          <w:szCs w:val="20"/>
          <w:u w:val="single"/>
        </w:rPr>
      </w:pPr>
    </w:p>
    <w:p w14:paraId="4D6A5000" w14:textId="77777777" w:rsidR="00A92240" w:rsidRPr="003940E3" w:rsidRDefault="00A92240">
      <w:pPr>
        <w:spacing w:after="0" w:line="240" w:lineRule="auto"/>
        <w:jc w:val="both"/>
        <w:rPr>
          <w:rFonts w:ascii="Verdana" w:hAnsi="Verdana"/>
          <w:sz w:val="20"/>
          <w:szCs w:val="20"/>
        </w:rPr>
      </w:pPr>
    </w:p>
    <w:p w14:paraId="028BEB6B" w14:textId="6AC6416F" w:rsidR="00607AFC" w:rsidRPr="003940E3" w:rsidRDefault="00D30421">
      <w:pPr>
        <w:spacing w:after="0" w:line="240" w:lineRule="auto"/>
        <w:jc w:val="both"/>
        <w:rPr>
          <w:rFonts w:ascii="Verdana" w:hAnsi="Verdana"/>
          <w:sz w:val="20"/>
          <w:szCs w:val="20"/>
        </w:rPr>
      </w:pPr>
      <w:r>
        <w:rPr>
          <w:rFonts w:ascii="Verdana" w:hAnsi="Verdana"/>
          <w:sz w:val="20"/>
          <w:szCs w:val="20"/>
        </w:rPr>
        <w:t>El J</w:t>
      </w:r>
      <w:r w:rsidR="003940E3" w:rsidRPr="003940E3">
        <w:rPr>
          <w:rFonts w:ascii="Verdana" w:hAnsi="Verdana"/>
          <w:sz w:val="20"/>
          <w:szCs w:val="20"/>
        </w:rPr>
        <w:t>uez Humberto Antonio Sierra Porto hizo conocer a la Corte su voto concurrente</w:t>
      </w:r>
      <w:r w:rsidR="00607AFC" w:rsidRPr="003940E3">
        <w:rPr>
          <w:rFonts w:ascii="Verdana" w:hAnsi="Verdana"/>
          <w:sz w:val="20"/>
          <w:szCs w:val="20"/>
        </w:rPr>
        <w:t xml:space="preserve">, </w:t>
      </w:r>
      <w:r w:rsidR="003940E3" w:rsidRPr="003940E3">
        <w:rPr>
          <w:rFonts w:ascii="Verdana" w:hAnsi="Verdana"/>
          <w:sz w:val="20"/>
          <w:szCs w:val="20"/>
        </w:rPr>
        <w:t>el cual acompaña</w:t>
      </w:r>
      <w:r w:rsidR="00607AFC" w:rsidRPr="003940E3">
        <w:rPr>
          <w:rFonts w:ascii="Verdana" w:hAnsi="Verdana"/>
          <w:sz w:val="20"/>
          <w:szCs w:val="20"/>
        </w:rPr>
        <w:t xml:space="preserve"> esta Sentencia.</w:t>
      </w:r>
    </w:p>
    <w:p w14:paraId="4CD30C10" w14:textId="77777777" w:rsidR="00780BBA" w:rsidRDefault="00780BBA">
      <w:pPr>
        <w:spacing w:after="0" w:line="240" w:lineRule="auto"/>
        <w:jc w:val="both"/>
        <w:rPr>
          <w:rFonts w:ascii="Verdana" w:hAnsi="Verdana"/>
          <w:sz w:val="20"/>
          <w:szCs w:val="20"/>
        </w:rPr>
      </w:pPr>
    </w:p>
    <w:p w14:paraId="638C35CF" w14:textId="77777777" w:rsidR="0026645B" w:rsidRDefault="0026645B">
      <w:pPr>
        <w:spacing w:after="0" w:line="240" w:lineRule="auto"/>
        <w:jc w:val="both"/>
        <w:rPr>
          <w:rFonts w:ascii="Verdana" w:hAnsi="Verdana"/>
          <w:sz w:val="20"/>
          <w:szCs w:val="20"/>
        </w:rPr>
      </w:pPr>
    </w:p>
    <w:p w14:paraId="14F92EBA" w14:textId="77777777" w:rsidR="0026645B" w:rsidRPr="00D66B27" w:rsidRDefault="0026645B">
      <w:pPr>
        <w:spacing w:after="0" w:line="240" w:lineRule="auto"/>
        <w:jc w:val="both"/>
        <w:rPr>
          <w:rFonts w:ascii="Verdana" w:hAnsi="Verdana"/>
          <w:sz w:val="20"/>
          <w:szCs w:val="20"/>
        </w:rPr>
      </w:pPr>
    </w:p>
    <w:p w14:paraId="2E93CE85" w14:textId="3494D393" w:rsidR="00B201AB" w:rsidRPr="00D66B27" w:rsidRDefault="00780BBA">
      <w:pPr>
        <w:spacing w:after="0" w:line="240" w:lineRule="auto"/>
        <w:jc w:val="both"/>
        <w:rPr>
          <w:rFonts w:ascii="Verdana" w:eastAsia="Times" w:hAnsi="Verdana"/>
          <w:sz w:val="20"/>
          <w:szCs w:val="20"/>
        </w:rPr>
      </w:pPr>
      <w:r w:rsidRPr="00D66B27">
        <w:rPr>
          <w:rFonts w:ascii="Verdana" w:hAnsi="Verdana"/>
          <w:sz w:val="20"/>
          <w:szCs w:val="20"/>
        </w:rPr>
        <w:t xml:space="preserve">Redactada en español en San José, Costa Rica, el </w:t>
      </w:r>
      <w:r w:rsidR="00D96BFD" w:rsidRPr="003940E3">
        <w:rPr>
          <w:rFonts w:ascii="Verdana" w:hAnsi="Verdana"/>
          <w:sz w:val="20"/>
          <w:szCs w:val="20"/>
        </w:rPr>
        <w:t>29</w:t>
      </w:r>
      <w:r w:rsidRPr="003940E3">
        <w:rPr>
          <w:rFonts w:ascii="Verdana" w:hAnsi="Verdana"/>
          <w:sz w:val="20"/>
          <w:szCs w:val="20"/>
        </w:rPr>
        <w:t xml:space="preserve"> de </w:t>
      </w:r>
      <w:r w:rsidR="00D96BFD" w:rsidRPr="003940E3">
        <w:rPr>
          <w:rFonts w:ascii="Verdana" w:hAnsi="Verdana"/>
          <w:sz w:val="20"/>
          <w:szCs w:val="20"/>
        </w:rPr>
        <w:t>noviembre</w:t>
      </w:r>
      <w:r w:rsidR="003940E3">
        <w:rPr>
          <w:rFonts w:ascii="Verdana" w:hAnsi="Verdana"/>
          <w:sz w:val="20"/>
          <w:szCs w:val="20"/>
        </w:rPr>
        <w:t xml:space="preserve"> </w:t>
      </w:r>
      <w:r w:rsidRPr="003940E3">
        <w:rPr>
          <w:rFonts w:ascii="Verdana" w:hAnsi="Verdana"/>
          <w:sz w:val="20"/>
          <w:szCs w:val="20"/>
        </w:rPr>
        <w:t>d</w:t>
      </w:r>
      <w:r w:rsidRPr="00D66B27">
        <w:rPr>
          <w:rFonts w:ascii="Verdana" w:hAnsi="Verdana"/>
          <w:sz w:val="20"/>
          <w:szCs w:val="20"/>
        </w:rPr>
        <w:t>e 2018.</w:t>
      </w:r>
    </w:p>
    <w:p w14:paraId="03F5ED9E" w14:textId="476CF997" w:rsidR="00EE094E" w:rsidRDefault="00EE094E">
      <w:pPr>
        <w:rPr>
          <w:rFonts w:ascii="Verdana" w:eastAsia="Times" w:hAnsi="Verdana"/>
          <w:sz w:val="20"/>
          <w:szCs w:val="20"/>
        </w:rPr>
      </w:pPr>
      <w:r>
        <w:rPr>
          <w:rFonts w:ascii="Verdana" w:eastAsia="Times" w:hAnsi="Verdana"/>
          <w:sz w:val="20"/>
          <w:szCs w:val="20"/>
        </w:rPr>
        <w:br w:type="page"/>
      </w:r>
    </w:p>
    <w:p w14:paraId="3AAFE43B" w14:textId="77777777" w:rsidR="00A92240" w:rsidRPr="00D66B27" w:rsidRDefault="00A92240">
      <w:pPr>
        <w:spacing w:after="0" w:line="240" w:lineRule="auto"/>
        <w:jc w:val="both"/>
        <w:rPr>
          <w:rFonts w:ascii="Verdana" w:eastAsia="Times" w:hAnsi="Verdana"/>
          <w:sz w:val="20"/>
          <w:szCs w:val="20"/>
        </w:rPr>
      </w:pPr>
    </w:p>
    <w:p w14:paraId="323F2AB6" w14:textId="4AAD3CF1" w:rsidR="00780BBA" w:rsidRPr="00D66B27" w:rsidRDefault="00780BBA">
      <w:pPr>
        <w:spacing w:after="0" w:line="240" w:lineRule="auto"/>
        <w:jc w:val="both"/>
        <w:rPr>
          <w:rFonts w:ascii="Verdana" w:eastAsia="Times" w:hAnsi="Verdana"/>
          <w:sz w:val="20"/>
          <w:szCs w:val="20"/>
        </w:rPr>
      </w:pPr>
      <w:r w:rsidRPr="00D66B27">
        <w:rPr>
          <w:rFonts w:ascii="Verdana" w:eastAsia="Times" w:hAnsi="Verdana"/>
          <w:sz w:val="20"/>
          <w:szCs w:val="20"/>
        </w:rPr>
        <w:t xml:space="preserve">Corte </w:t>
      </w:r>
      <w:r w:rsidR="00B201AB" w:rsidRPr="00D66B27">
        <w:rPr>
          <w:rFonts w:ascii="Verdana" w:eastAsia="Times" w:hAnsi="Verdana"/>
          <w:sz w:val="20"/>
          <w:szCs w:val="20"/>
        </w:rPr>
        <w:t>IDH</w:t>
      </w:r>
      <w:r w:rsidRPr="00D66B27">
        <w:rPr>
          <w:rFonts w:ascii="Verdana" w:eastAsia="Times" w:hAnsi="Verdana"/>
          <w:sz w:val="20"/>
          <w:szCs w:val="20"/>
        </w:rPr>
        <w:t xml:space="preserve">. </w:t>
      </w:r>
      <w:r w:rsidRPr="00D66B27">
        <w:rPr>
          <w:rFonts w:ascii="Verdana" w:eastAsia="Times" w:hAnsi="Verdana"/>
          <w:i/>
          <w:sz w:val="20"/>
          <w:szCs w:val="20"/>
        </w:rPr>
        <w:t xml:space="preserve">Caso </w:t>
      </w:r>
      <w:r w:rsidR="00D96BFD" w:rsidRPr="00D66B27">
        <w:rPr>
          <w:rFonts w:ascii="Verdana" w:eastAsia="Times" w:hAnsi="Verdana"/>
          <w:i/>
          <w:sz w:val="20"/>
          <w:szCs w:val="20"/>
        </w:rPr>
        <w:t>Órdenes Guerra</w:t>
      </w:r>
      <w:r w:rsidRPr="00D66B27">
        <w:rPr>
          <w:rFonts w:ascii="Verdana" w:eastAsia="Times" w:hAnsi="Verdana"/>
          <w:i/>
          <w:sz w:val="20"/>
          <w:szCs w:val="20"/>
        </w:rPr>
        <w:t xml:space="preserve"> y otros vs. </w:t>
      </w:r>
      <w:r w:rsidR="00D96BFD" w:rsidRPr="00D66B27">
        <w:rPr>
          <w:rFonts w:ascii="Verdana" w:eastAsia="Times" w:hAnsi="Verdana"/>
          <w:i/>
          <w:sz w:val="20"/>
          <w:szCs w:val="20"/>
        </w:rPr>
        <w:t>Chile</w:t>
      </w:r>
      <w:r w:rsidR="00D96BFD" w:rsidRPr="00D66B27">
        <w:rPr>
          <w:rFonts w:ascii="Verdana" w:eastAsia="Times" w:hAnsi="Verdana"/>
          <w:sz w:val="20"/>
          <w:szCs w:val="20"/>
        </w:rPr>
        <w:t>, Fondo y</w:t>
      </w:r>
      <w:r w:rsidRPr="00D66B27">
        <w:rPr>
          <w:rFonts w:ascii="Verdana" w:eastAsia="Times" w:hAnsi="Verdana"/>
          <w:sz w:val="20"/>
          <w:szCs w:val="20"/>
        </w:rPr>
        <w:t xml:space="preserve"> Reparaciones.</w:t>
      </w:r>
    </w:p>
    <w:p w14:paraId="52FAC36B" w14:textId="77777777" w:rsidR="00213F04" w:rsidRPr="00D66B27" w:rsidRDefault="00213F04">
      <w:pPr>
        <w:spacing w:after="0" w:line="240" w:lineRule="auto"/>
        <w:jc w:val="both"/>
        <w:rPr>
          <w:rFonts w:ascii="Verdana" w:hAnsi="Verdana"/>
          <w:sz w:val="20"/>
          <w:szCs w:val="20"/>
        </w:rPr>
      </w:pPr>
    </w:p>
    <w:p w14:paraId="1883A406" w14:textId="77777777" w:rsidR="00A92240" w:rsidRPr="00D66B27" w:rsidRDefault="00A92240">
      <w:pPr>
        <w:spacing w:after="0" w:line="240" w:lineRule="auto"/>
        <w:jc w:val="both"/>
        <w:rPr>
          <w:rFonts w:ascii="Verdana" w:hAnsi="Verdana"/>
          <w:sz w:val="20"/>
          <w:szCs w:val="20"/>
        </w:rPr>
      </w:pPr>
    </w:p>
    <w:p w14:paraId="664431D7" w14:textId="77777777" w:rsidR="00BA51CA" w:rsidRPr="00D66B27" w:rsidRDefault="00BA51CA">
      <w:pPr>
        <w:spacing w:after="0" w:line="240" w:lineRule="auto"/>
        <w:jc w:val="both"/>
        <w:rPr>
          <w:rFonts w:ascii="Verdana" w:hAnsi="Verdana"/>
          <w:sz w:val="20"/>
          <w:szCs w:val="20"/>
        </w:rPr>
      </w:pPr>
    </w:p>
    <w:p w14:paraId="26FAC2BB" w14:textId="77777777" w:rsidR="00BA51CA" w:rsidRPr="00D66B27" w:rsidRDefault="00BA51CA">
      <w:pPr>
        <w:spacing w:after="0" w:line="240" w:lineRule="auto"/>
        <w:jc w:val="both"/>
        <w:rPr>
          <w:rFonts w:ascii="Verdana" w:hAnsi="Verdana"/>
          <w:sz w:val="20"/>
          <w:szCs w:val="20"/>
        </w:rPr>
      </w:pPr>
    </w:p>
    <w:p w14:paraId="112F6009" w14:textId="77777777" w:rsidR="00BA51CA" w:rsidRPr="00D66B27" w:rsidRDefault="00BA51CA">
      <w:pPr>
        <w:spacing w:after="0" w:line="240" w:lineRule="auto"/>
        <w:jc w:val="both"/>
        <w:rPr>
          <w:rFonts w:ascii="Verdana" w:hAnsi="Verdana"/>
          <w:sz w:val="20"/>
          <w:szCs w:val="20"/>
        </w:rPr>
      </w:pPr>
    </w:p>
    <w:p w14:paraId="6AB7D98E" w14:textId="77777777" w:rsidR="00BA51CA" w:rsidRPr="00D66B27" w:rsidRDefault="00BA51CA">
      <w:pPr>
        <w:spacing w:after="0" w:line="240" w:lineRule="auto"/>
        <w:jc w:val="both"/>
        <w:rPr>
          <w:rFonts w:ascii="Verdana" w:hAnsi="Verdana"/>
          <w:sz w:val="20"/>
          <w:szCs w:val="20"/>
        </w:rPr>
      </w:pPr>
    </w:p>
    <w:p w14:paraId="0D383B72" w14:textId="77777777" w:rsidR="00780BBA" w:rsidRPr="00D66B27" w:rsidRDefault="00780BBA">
      <w:pPr>
        <w:spacing w:after="0" w:line="240" w:lineRule="auto"/>
        <w:jc w:val="center"/>
        <w:rPr>
          <w:rFonts w:ascii="Verdana" w:hAnsi="Verdana"/>
          <w:sz w:val="20"/>
          <w:szCs w:val="20"/>
        </w:rPr>
      </w:pPr>
      <w:r w:rsidRPr="00D66B27">
        <w:rPr>
          <w:rFonts w:ascii="Verdana" w:hAnsi="Verdana"/>
          <w:sz w:val="20"/>
          <w:szCs w:val="20"/>
        </w:rPr>
        <w:t xml:space="preserve">Eduardo Ferrer Mac-Gregor Poisot </w:t>
      </w:r>
    </w:p>
    <w:p w14:paraId="414D3FE8" w14:textId="77777777" w:rsidR="00780BBA" w:rsidRPr="00D66B27" w:rsidRDefault="00780BBA">
      <w:pPr>
        <w:spacing w:after="0" w:line="240" w:lineRule="auto"/>
        <w:jc w:val="center"/>
        <w:rPr>
          <w:rFonts w:ascii="Verdana" w:hAnsi="Verdana"/>
          <w:sz w:val="20"/>
          <w:szCs w:val="20"/>
        </w:rPr>
      </w:pPr>
      <w:r w:rsidRPr="00D66B27">
        <w:rPr>
          <w:rFonts w:ascii="Verdana" w:hAnsi="Verdana"/>
          <w:sz w:val="20"/>
          <w:szCs w:val="20"/>
        </w:rPr>
        <w:t>Presidente</w:t>
      </w:r>
    </w:p>
    <w:p w14:paraId="198DCFD7" w14:textId="77777777" w:rsidR="00213F04" w:rsidRPr="00D66B27" w:rsidRDefault="00213F04">
      <w:pPr>
        <w:spacing w:after="0" w:line="240" w:lineRule="auto"/>
        <w:jc w:val="both"/>
        <w:rPr>
          <w:rFonts w:ascii="Verdana" w:hAnsi="Verdana"/>
          <w:sz w:val="20"/>
          <w:szCs w:val="20"/>
        </w:rPr>
      </w:pPr>
    </w:p>
    <w:p w14:paraId="5D684FA1" w14:textId="77777777" w:rsidR="00BA51CA" w:rsidRPr="00D66B27" w:rsidRDefault="00BA51CA">
      <w:pPr>
        <w:spacing w:after="0" w:line="240" w:lineRule="auto"/>
        <w:jc w:val="both"/>
        <w:rPr>
          <w:rFonts w:ascii="Verdana" w:hAnsi="Verdana"/>
          <w:sz w:val="20"/>
          <w:szCs w:val="20"/>
        </w:rPr>
      </w:pPr>
    </w:p>
    <w:p w14:paraId="66656F33" w14:textId="77777777" w:rsidR="00BA51CA" w:rsidRPr="00D66B27" w:rsidRDefault="00BA51CA">
      <w:pPr>
        <w:spacing w:after="0" w:line="240" w:lineRule="auto"/>
        <w:jc w:val="both"/>
        <w:rPr>
          <w:rFonts w:ascii="Verdana" w:hAnsi="Verdana"/>
          <w:sz w:val="20"/>
          <w:szCs w:val="20"/>
        </w:rPr>
      </w:pPr>
    </w:p>
    <w:p w14:paraId="3DED934B" w14:textId="77777777" w:rsidR="00BA51CA" w:rsidRPr="00D66B27" w:rsidRDefault="00BA51CA">
      <w:pPr>
        <w:spacing w:after="0" w:line="240" w:lineRule="auto"/>
        <w:jc w:val="both"/>
        <w:rPr>
          <w:rFonts w:ascii="Verdana" w:hAnsi="Verdana"/>
          <w:sz w:val="20"/>
          <w:szCs w:val="20"/>
        </w:rPr>
      </w:pPr>
    </w:p>
    <w:p w14:paraId="1595B053" w14:textId="753DDAEE" w:rsidR="00780BBA" w:rsidRPr="00D66B27" w:rsidRDefault="00D96BFD">
      <w:pPr>
        <w:spacing w:after="0" w:line="240" w:lineRule="auto"/>
        <w:jc w:val="both"/>
        <w:rPr>
          <w:rFonts w:ascii="Verdana" w:hAnsi="Verdana"/>
          <w:sz w:val="20"/>
          <w:szCs w:val="20"/>
        </w:rPr>
      </w:pPr>
      <w:r w:rsidRPr="00D66B27">
        <w:rPr>
          <w:rFonts w:ascii="Verdana" w:hAnsi="Verdana"/>
          <w:sz w:val="20"/>
          <w:szCs w:val="20"/>
        </w:rPr>
        <w:t>Humberto A. Sierra Porto</w:t>
      </w:r>
      <w:r w:rsidR="00780BBA" w:rsidRPr="00D66B27">
        <w:rPr>
          <w:rFonts w:ascii="Verdana" w:hAnsi="Verdana"/>
          <w:sz w:val="20"/>
          <w:szCs w:val="20"/>
        </w:rPr>
        <w:tab/>
      </w:r>
      <w:r w:rsidR="00780BBA" w:rsidRPr="00D66B27">
        <w:rPr>
          <w:rFonts w:ascii="Verdana" w:hAnsi="Verdana"/>
          <w:sz w:val="20"/>
          <w:szCs w:val="20"/>
        </w:rPr>
        <w:tab/>
      </w:r>
      <w:r w:rsidR="00780BBA" w:rsidRPr="00D66B27">
        <w:rPr>
          <w:rFonts w:ascii="Verdana" w:hAnsi="Verdana"/>
          <w:sz w:val="20"/>
          <w:szCs w:val="20"/>
        </w:rPr>
        <w:tab/>
      </w:r>
      <w:r w:rsidR="00780BBA" w:rsidRPr="00D66B27">
        <w:rPr>
          <w:rFonts w:ascii="Verdana" w:hAnsi="Verdana"/>
          <w:sz w:val="20"/>
          <w:szCs w:val="20"/>
        </w:rPr>
        <w:tab/>
      </w:r>
      <w:r w:rsidR="00780BBA" w:rsidRPr="00D66B27">
        <w:rPr>
          <w:rFonts w:ascii="Verdana" w:hAnsi="Verdana"/>
          <w:sz w:val="20"/>
          <w:szCs w:val="20"/>
        </w:rPr>
        <w:tab/>
      </w:r>
      <w:r w:rsidR="00780BBA" w:rsidRPr="00D66B27">
        <w:rPr>
          <w:rFonts w:ascii="Verdana" w:hAnsi="Verdana"/>
          <w:sz w:val="20"/>
          <w:szCs w:val="20"/>
        </w:rPr>
        <w:tab/>
      </w:r>
      <w:r w:rsidR="00780BBA" w:rsidRPr="00D66B27">
        <w:rPr>
          <w:rFonts w:ascii="Verdana" w:hAnsi="Verdana"/>
          <w:sz w:val="20"/>
          <w:szCs w:val="20"/>
        </w:rPr>
        <w:tab/>
      </w:r>
      <w:r w:rsidRPr="00D66B27">
        <w:rPr>
          <w:rFonts w:ascii="Verdana" w:hAnsi="Verdana"/>
          <w:sz w:val="20"/>
          <w:szCs w:val="20"/>
        </w:rPr>
        <w:t xml:space="preserve">         </w:t>
      </w:r>
      <w:r w:rsidR="00BC4EFE" w:rsidRPr="00D66B27">
        <w:rPr>
          <w:rFonts w:ascii="Verdana" w:hAnsi="Verdana"/>
          <w:sz w:val="20"/>
          <w:szCs w:val="20"/>
        </w:rPr>
        <w:t>Elizabeth Odio Benito</w:t>
      </w:r>
      <w:r w:rsidR="00BC4EFE" w:rsidRPr="00D66B27" w:rsidDel="00BC4EFE">
        <w:rPr>
          <w:rFonts w:ascii="Verdana" w:hAnsi="Verdana"/>
          <w:strike/>
          <w:sz w:val="20"/>
          <w:szCs w:val="20"/>
        </w:rPr>
        <w:t xml:space="preserve"> </w:t>
      </w:r>
    </w:p>
    <w:p w14:paraId="665E6C71" w14:textId="77777777" w:rsidR="00D96BFD" w:rsidRPr="00D66B27" w:rsidRDefault="00D96BFD">
      <w:pPr>
        <w:spacing w:after="0" w:line="240" w:lineRule="auto"/>
        <w:jc w:val="both"/>
        <w:rPr>
          <w:rFonts w:ascii="Verdana" w:hAnsi="Verdana"/>
          <w:sz w:val="20"/>
          <w:szCs w:val="20"/>
        </w:rPr>
      </w:pPr>
    </w:p>
    <w:p w14:paraId="04A49F25" w14:textId="77777777" w:rsidR="00BA51CA" w:rsidRPr="00D66B27" w:rsidRDefault="00BA51CA">
      <w:pPr>
        <w:spacing w:after="0" w:line="240" w:lineRule="auto"/>
        <w:jc w:val="both"/>
        <w:rPr>
          <w:rFonts w:ascii="Verdana" w:hAnsi="Verdana"/>
          <w:sz w:val="20"/>
          <w:szCs w:val="20"/>
        </w:rPr>
      </w:pPr>
    </w:p>
    <w:p w14:paraId="3C85D6A6" w14:textId="77777777" w:rsidR="00BA51CA" w:rsidRPr="00D66B27" w:rsidRDefault="00BA51CA">
      <w:pPr>
        <w:spacing w:after="0" w:line="240" w:lineRule="auto"/>
        <w:jc w:val="both"/>
        <w:rPr>
          <w:rFonts w:ascii="Verdana" w:hAnsi="Verdana"/>
          <w:sz w:val="20"/>
          <w:szCs w:val="20"/>
        </w:rPr>
      </w:pPr>
    </w:p>
    <w:p w14:paraId="7D6C1843" w14:textId="77777777" w:rsidR="00BA51CA" w:rsidRPr="00D66B27" w:rsidRDefault="00BA51CA">
      <w:pPr>
        <w:spacing w:after="0" w:line="240" w:lineRule="auto"/>
        <w:jc w:val="both"/>
        <w:rPr>
          <w:rFonts w:ascii="Verdana" w:hAnsi="Verdana"/>
          <w:sz w:val="20"/>
          <w:szCs w:val="20"/>
        </w:rPr>
      </w:pPr>
    </w:p>
    <w:p w14:paraId="5F1265E1" w14:textId="77777777" w:rsidR="00780BBA" w:rsidRPr="00D66B27" w:rsidRDefault="00780BBA">
      <w:pPr>
        <w:spacing w:after="0" w:line="240" w:lineRule="auto"/>
        <w:jc w:val="both"/>
        <w:rPr>
          <w:rFonts w:ascii="Verdana" w:hAnsi="Verdana"/>
          <w:sz w:val="20"/>
          <w:szCs w:val="20"/>
        </w:rPr>
      </w:pPr>
      <w:r w:rsidRPr="00D66B27">
        <w:rPr>
          <w:rFonts w:ascii="Verdana" w:hAnsi="Verdana"/>
          <w:sz w:val="20"/>
          <w:szCs w:val="20"/>
        </w:rPr>
        <w:t>Eugenio Raúl Zaffaroni</w:t>
      </w:r>
      <w:r w:rsidR="00BC4EFE" w:rsidRPr="00D66B27">
        <w:rPr>
          <w:rFonts w:ascii="Verdana" w:hAnsi="Verdana"/>
          <w:sz w:val="20"/>
          <w:szCs w:val="20"/>
        </w:rPr>
        <w:tab/>
      </w:r>
      <w:r w:rsidR="00BC4EFE" w:rsidRPr="00D66B27">
        <w:rPr>
          <w:rFonts w:ascii="Verdana" w:hAnsi="Verdana"/>
          <w:sz w:val="20"/>
          <w:szCs w:val="20"/>
        </w:rPr>
        <w:tab/>
      </w:r>
      <w:r w:rsidR="00BC4EFE" w:rsidRPr="00D66B27">
        <w:rPr>
          <w:rFonts w:ascii="Verdana" w:hAnsi="Verdana"/>
          <w:sz w:val="20"/>
          <w:szCs w:val="20"/>
        </w:rPr>
        <w:tab/>
      </w:r>
      <w:r w:rsidR="00BC4EFE" w:rsidRPr="00D66B27">
        <w:rPr>
          <w:rFonts w:ascii="Verdana" w:hAnsi="Verdana"/>
          <w:sz w:val="20"/>
          <w:szCs w:val="20"/>
        </w:rPr>
        <w:tab/>
      </w:r>
      <w:r w:rsidR="00BC4EFE" w:rsidRPr="00D66B27">
        <w:rPr>
          <w:rFonts w:ascii="Verdana" w:hAnsi="Verdana"/>
          <w:sz w:val="20"/>
          <w:szCs w:val="20"/>
        </w:rPr>
        <w:tab/>
      </w:r>
      <w:r w:rsidR="00BC4EFE" w:rsidRPr="00D66B27">
        <w:rPr>
          <w:rFonts w:ascii="Verdana" w:hAnsi="Verdana"/>
          <w:sz w:val="20"/>
          <w:szCs w:val="20"/>
        </w:rPr>
        <w:tab/>
      </w:r>
      <w:r w:rsidR="00BC4EFE" w:rsidRPr="00D66B27">
        <w:rPr>
          <w:rFonts w:ascii="Verdana" w:hAnsi="Verdana"/>
          <w:sz w:val="20"/>
          <w:szCs w:val="20"/>
        </w:rPr>
        <w:tab/>
      </w:r>
      <w:r w:rsidR="000F067E" w:rsidRPr="00D66B27">
        <w:rPr>
          <w:rFonts w:ascii="Verdana" w:hAnsi="Verdana"/>
          <w:sz w:val="20"/>
          <w:szCs w:val="20"/>
        </w:rPr>
        <w:t xml:space="preserve">    </w:t>
      </w:r>
      <w:r w:rsidR="00BC4EFE" w:rsidRPr="00D66B27">
        <w:rPr>
          <w:rFonts w:ascii="Verdana" w:hAnsi="Verdana"/>
          <w:sz w:val="20"/>
          <w:szCs w:val="20"/>
        </w:rPr>
        <w:t>L. Patricio Pazmiño Freire</w:t>
      </w:r>
    </w:p>
    <w:p w14:paraId="5FBBA087" w14:textId="77777777" w:rsidR="000F067E" w:rsidRPr="00D66B27" w:rsidRDefault="000F067E">
      <w:pPr>
        <w:spacing w:after="0" w:line="240" w:lineRule="auto"/>
        <w:jc w:val="both"/>
        <w:rPr>
          <w:rFonts w:ascii="Verdana" w:hAnsi="Verdana"/>
          <w:sz w:val="20"/>
          <w:szCs w:val="20"/>
        </w:rPr>
      </w:pPr>
    </w:p>
    <w:p w14:paraId="4218C925" w14:textId="77777777" w:rsidR="00BA51CA" w:rsidRPr="00D66B27" w:rsidRDefault="00BA51CA">
      <w:pPr>
        <w:spacing w:after="0" w:line="240" w:lineRule="auto"/>
        <w:jc w:val="both"/>
        <w:rPr>
          <w:rFonts w:ascii="Verdana" w:hAnsi="Verdana"/>
          <w:sz w:val="20"/>
          <w:szCs w:val="20"/>
        </w:rPr>
      </w:pPr>
    </w:p>
    <w:p w14:paraId="50760668" w14:textId="77777777" w:rsidR="00BA51CA" w:rsidRPr="00D66B27" w:rsidRDefault="00BA51CA">
      <w:pPr>
        <w:spacing w:after="0" w:line="240" w:lineRule="auto"/>
        <w:jc w:val="both"/>
        <w:rPr>
          <w:rFonts w:ascii="Verdana" w:hAnsi="Verdana"/>
          <w:sz w:val="20"/>
          <w:szCs w:val="20"/>
        </w:rPr>
      </w:pPr>
    </w:p>
    <w:p w14:paraId="2E2E6C01" w14:textId="77777777" w:rsidR="00BA51CA" w:rsidRPr="00D66B27" w:rsidRDefault="00BA51CA">
      <w:pPr>
        <w:spacing w:after="0" w:line="240" w:lineRule="auto"/>
        <w:jc w:val="both"/>
        <w:rPr>
          <w:rFonts w:ascii="Verdana" w:hAnsi="Verdana"/>
          <w:sz w:val="20"/>
          <w:szCs w:val="20"/>
        </w:rPr>
      </w:pPr>
    </w:p>
    <w:p w14:paraId="03B6DF19" w14:textId="77777777" w:rsidR="00BA51CA" w:rsidRPr="00D66B27" w:rsidRDefault="00BA51CA">
      <w:pPr>
        <w:spacing w:after="0" w:line="240" w:lineRule="auto"/>
        <w:jc w:val="both"/>
        <w:rPr>
          <w:rFonts w:ascii="Verdana" w:hAnsi="Verdana"/>
          <w:sz w:val="20"/>
          <w:szCs w:val="20"/>
        </w:rPr>
      </w:pPr>
    </w:p>
    <w:p w14:paraId="3C0A4751" w14:textId="5DFA0B0D" w:rsidR="00780BBA" w:rsidRPr="00D66B27" w:rsidRDefault="00EE094E">
      <w:pPr>
        <w:spacing w:after="0" w:line="240" w:lineRule="auto"/>
        <w:jc w:val="center"/>
        <w:rPr>
          <w:rFonts w:ascii="Verdana" w:hAnsi="Verdana"/>
          <w:sz w:val="20"/>
          <w:szCs w:val="20"/>
        </w:rPr>
      </w:pPr>
      <w:r>
        <w:rPr>
          <w:rFonts w:ascii="Verdana" w:hAnsi="Verdana"/>
          <w:sz w:val="20"/>
          <w:szCs w:val="20"/>
        </w:rPr>
        <w:t>Pablo Saavedra Alessandri</w:t>
      </w:r>
    </w:p>
    <w:p w14:paraId="715EB3F5" w14:textId="1220DA01" w:rsidR="00780BBA" w:rsidRPr="00D66B27" w:rsidRDefault="00EE094E">
      <w:pPr>
        <w:spacing w:after="0" w:line="240" w:lineRule="auto"/>
        <w:jc w:val="center"/>
        <w:rPr>
          <w:rFonts w:ascii="Verdana" w:hAnsi="Verdana"/>
          <w:sz w:val="20"/>
          <w:szCs w:val="20"/>
        </w:rPr>
      </w:pPr>
      <w:r>
        <w:rPr>
          <w:rFonts w:ascii="Verdana" w:hAnsi="Verdana"/>
          <w:sz w:val="20"/>
          <w:szCs w:val="20"/>
        </w:rPr>
        <w:t>Secretario</w:t>
      </w:r>
    </w:p>
    <w:p w14:paraId="09EF95CE" w14:textId="77777777" w:rsidR="00213F04" w:rsidRPr="00D66B27" w:rsidRDefault="00213F04">
      <w:pPr>
        <w:spacing w:after="0" w:line="240" w:lineRule="auto"/>
        <w:jc w:val="both"/>
        <w:rPr>
          <w:rFonts w:ascii="Verdana" w:hAnsi="Verdana"/>
          <w:sz w:val="20"/>
          <w:szCs w:val="20"/>
        </w:rPr>
      </w:pPr>
    </w:p>
    <w:p w14:paraId="7E3EF236" w14:textId="77777777" w:rsidR="00561C1D" w:rsidRPr="00D66B27" w:rsidRDefault="00561C1D">
      <w:pPr>
        <w:spacing w:after="0" w:line="240" w:lineRule="auto"/>
        <w:jc w:val="both"/>
        <w:rPr>
          <w:rFonts w:ascii="Verdana" w:hAnsi="Verdana"/>
          <w:sz w:val="20"/>
          <w:szCs w:val="20"/>
        </w:rPr>
      </w:pPr>
    </w:p>
    <w:p w14:paraId="58F23B44" w14:textId="77777777" w:rsidR="00BA51CA" w:rsidRPr="00D66B27" w:rsidRDefault="00BA51CA">
      <w:pPr>
        <w:spacing w:after="0" w:line="240" w:lineRule="auto"/>
        <w:jc w:val="both"/>
        <w:rPr>
          <w:rFonts w:ascii="Verdana" w:hAnsi="Verdana"/>
          <w:sz w:val="20"/>
          <w:szCs w:val="20"/>
        </w:rPr>
      </w:pPr>
    </w:p>
    <w:p w14:paraId="7FE2559A" w14:textId="77777777" w:rsidR="00BA51CA" w:rsidRPr="00D66B27" w:rsidRDefault="00BA51CA">
      <w:pPr>
        <w:spacing w:after="0" w:line="240" w:lineRule="auto"/>
        <w:jc w:val="both"/>
        <w:rPr>
          <w:rFonts w:ascii="Verdana" w:hAnsi="Verdana"/>
          <w:sz w:val="20"/>
          <w:szCs w:val="20"/>
        </w:rPr>
      </w:pPr>
    </w:p>
    <w:p w14:paraId="2F3F95F6" w14:textId="77777777" w:rsidR="00BA51CA" w:rsidRPr="00D66B27" w:rsidRDefault="00BA51CA">
      <w:pPr>
        <w:spacing w:after="0" w:line="240" w:lineRule="auto"/>
        <w:jc w:val="both"/>
        <w:rPr>
          <w:rFonts w:ascii="Verdana" w:hAnsi="Verdana"/>
          <w:sz w:val="20"/>
          <w:szCs w:val="20"/>
        </w:rPr>
      </w:pPr>
    </w:p>
    <w:p w14:paraId="3D0FAD33" w14:textId="77777777" w:rsidR="00BA51CA" w:rsidRPr="00D66B27" w:rsidRDefault="00BA51CA">
      <w:pPr>
        <w:spacing w:after="0" w:line="240" w:lineRule="auto"/>
        <w:jc w:val="both"/>
        <w:rPr>
          <w:rFonts w:ascii="Verdana" w:hAnsi="Verdana"/>
          <w:sz w:val="20"/>
          <w:szCs w:val="20"/>
        </w:rPr>
      </w:pPr>
    </w:p>
    <w:p w14:paraId="45CB971B" w14:textId="77777777" w:rsidR="00780BBA" w:rsidRPr="00D66B27" w:rsidRDefault="00780BBA">
      <w:pPr>
        <w:spacing w:after="0" w:line="240" w:lineRule="auto"/>
        <w:jc w:val="both"/>
        <w:rPr>
          <w:rFonts w:ascii="Verdana" w:hAnsi="Verdana"/>
          <w:sz w:val="20"/>
          <w:szCs w:val="20"/>
        </w:rPr>
      </w:pPr>
      <w:r w:rsidRPr="00D66B27">
        <w:rPr>
          <w:rFonts w:ascii="Verdana" w:hAnsi="Verdana"/>
          <w:sz w:val="20"/>
          <w:szCs w:val="20"/>
        </w:rPr>
        <w:t>Comuníquese y ejecútese,</w:t>
      </w:r>
    </w:p>
    <w:p w14:paraId="5A3B8B0F" w14:textId="77777777" w:rsidR="00213F04" w:rsidRPr="00D66B27" w:rsidRDefault="00213F04">
      <w:pPr>
        <w:spacing w:after="0" w:line="240" w:lineRule="auto"/>
        <w:ind w:left="5664"/>
        <w:jc w:val="both"/>
        <w:rPr>
          <w:rFonts w:ascii="Verdana" w:hAnsi="Verdana"/>
          <w:sz w:val="20"/>
          <w:szCs w:val="20"/>
        </w:rPr>
      </w:pPr>
    </w:p>
    <w:p w14:paraId="32228A18" w14:textId="77777777" w:rsidR="00213F04" w:rsidRPr="00D66B27" w:rsidRDefault="00213F04">
      <w:pPr>
        <w:spacing w:after="0" w:line="240" w:lineRule="auto"/>
        <w:ind w:left="5664"/>
        <w:jc w:val="both"/>
        <w:rPr>
          <w:rFonts w:ascii="Verdana" w:hAnsi="Verdana"/>
          <w:sz w:val="20"/>
          <w:szCs w:val="20"/>
        </w:rPr>
      </w:pPr>
    </w:p>
    <w:p w14:paraId="2725239E" w14:textId="77777777" w:rsidR="00BA51CA" w:rsidRPr="00D66B27" w:rsidRDefault="00BA51CA">
      <w:pPr>
        <w:spacing w:after="0" w:line="240" w:lineRule="auto"/>
        <w:ind w:left="5664"/>
        <w:jc w:val="both"/>
        <w:rPr>
          <w:rFonts w:ascii="Verdana" w:hAnsi="Verdana"/>
          <w:sz w:val="20"/>
          <w:szCs w:val="20"/>
        </w:rPr>
      </w:pPr>
    </w:p>
    <w:p w14:paraId="5A3EFBCC" w14:textId="77777777" w:rsidR="00BA51CA" w:rsidRPr="00D66B27" w:rsidRDefault="00BA51CA">
      <w:pPr>
        <w:spacing w:after="0" w:line="240" w:lineRule="auto"/>
        <w:ind w:left="5664"/>
        <w:jc w:val="both"/>
        <w:rPr>
          <w:rFonts w:ascii="Verdana" w:hAnsi="Verdana"/>
          <w:sz w:val="20"/>
          <w:szCs w:val="20"/>
        </w:rPr>
      </w:pPr>
    </w:p>
    <w:p w14:paraId="3F51CBBB" w14:textId="77777777" w:rsidR="00780BBA" w:rsidRPr="00D66B27" w:rsidRDefault="00780BBA">
      <w:pPr>
        <w:spacing w:after="0" w:line="240" w:lineRule="auto"/>
        <w:ind w:left="5664"/>
        <w:jc w:val="both"/>
        <w:rPr>
          <w:rFonts w:ascii="Verdana" w:hAnsi="Verdana"/>
          <w:sz w:val="20"/>
          <w:szCs w:val="20"/>
        </w:rPr>
      </w:pPr>
      <w:r w:rsidRPr="00D66B27">
        <w:rPr>
          <w:rFonts w:ascii="Verdana" w:hAnsi="Verdana"/>
          <w:sz w:val="20"/>
          <w:szCs w:val="20"/>
        </w:rPr>
        <w:t>Eduardo Ferrer Mac-Gregor Poisot</w:t>
      </w:r>
    </w:p>
    <w:p w14:paraId="40019422" w14:textId="77777777" w:rsidR="00780BBA" w:rsidRPr="00D66B27" w:rsidRDefault="00780BBA">
      <w:pPr>
        <w:spacing w:after="0" w:line="240" w:lineRule="auto"/>
        <w:ind w:left="6360" w:firstLine="720"/>
        <w:jc w:val="both"/>
        <w:rPr>
          <w:rFonts w:ascii="Verdana" w:hAnsi="Verdana"/>
          <w:sz w:val="20"/>
          <w:szCs w:val="20"/>
        </w:rPr>
      </w:pPr>
      <w:r w:rsidRPr="00D66B27">
        <w:rPr>
          <w:rFonts w:ascii="Verdana" w:hAnsi="Verdana"/>
          <w:sz w:val="20"/>
          <w:szCs w:val="20"/>
        </w:rPr>
        <w:t>Presidente</w:t>
      </w:r>
    </w:p>
    <w:p w14:paraId="71FDA7DC" w14:textId="77777777" w:rsidR="00A92240" w:rsidRPr="00D66B27" w:rsidRDefault="00A92240">
      <w:pPr>
        <w:spacing w:after="0" w:line="240" w:lineRule="auto"/>
        <w:jc w:val="both"/>
        <w:rPr>
          <w:rFonts w:ascii="Verdana" w:hAnsi="Verdana"/>
          <w:sz w:val="20"/>
          <w:szCs w:val="20"/>
        </w:rPr>
      </w:pPr>
    </w:p>
    <w:p w14:paraId="02474267" w14:textId="77777777" w:rsidR="00BA51CA" w:rsidRPr="00D66B27" w:rsidRDefault="00BA51CA">
      <w:pPr>
        <w:spacing w:after="0" w:line="240" w:lineRule="auto"/>
        <w:jc w:val="both"/>
        <w:rPr>
          <w:rFonts w:ascii="Verdana" w:hAnsi="Verdana"/>
          <w:sz w:val="20"/>
          <w:szCs w:val="20"/>
        </w:rPr>
      </w:pPr>
    </w:p>
    <w:p w14:paraId="29D9673D" w14:textId="77777777" w:rsidR="00BA51CA" w:rsidRPr="00D66B27" w:rsidRDefault="00BA51CA">
      <w:pPr>
        <w:spacing w:after="0" w:line="240" w:lineRule="auto"/>
        <w:jc w:val="both"/>
        <w:rPr>
          <w:rFonts w:ascii="Verdana" w:hAnsi="Verdana"/>
          <w:sz w:val="20"/>
          <w:szCs w:val="20"/>
        </w:rPr>
      </w:pPr>
    </w:p>
    <w:p w14:paraId="1E33DAC2" w14:textId="77777777" w:rsidR="00774BDD" w:rsidRPr="00D66B27" w:rsidRDefault="00774BDD" w:rsidP="00774BDD">
      <w:pPr>
        <w:spacing w:after="0" w:line="240" w:lineRule="auto"/>
        <w:jc w:val="both"/>
        <w:rPr>
          <w:rFonts w:ascii="Verdana" w:hAnsi="Verdana"/>
          <w:sz w:val="20"/>
          <w:szCs w:val="20"/>
        </w:rPr>
      </w:pPr>
    </w:p>
    <w:p w14:paraId="465C0AFC" w14:textId="082D11B3" w:rsidR="00774BDD" w:rsidRPr="00D66B27" w:rsidRDefault="00EE094E" w:rsidP="00774BDD">
      <w:pPr>
        <w:spacing w:after="0" w:line="240" w:lineRule="auto"/>
        <w:rPr>
          <w:rFonts w:ascii="Verdana" w:hAnsi="Verdana"/>
          <w:sz w:val="20"/>
          <w:szCs w:val="20"/>
        </w:rPr>
      </w:pPr>
      <w:r>
        <w:rPr>
          <w:rFonts w:ascii="Verdana" w:hAnsi="Verdana"/>
          <w:sz w:val="20"/>
          <w:szCs w:val="20"/>
        </w:rPr>
        <w:t>Pablo Saavedra Alessandri</w:t>
      </w:r>
    </w:p>
    <w:p w14:paraId="541E3C76" w14:textId="34FD7F90" w:rsidR="00774BDD" w:rsidRPr="00D66B27" w:rsidRDefault="00EE094E" w:rsidP="00EE094E">
      <w:pPr>
        <w:spacing w:after="0" w:line="240" w:lineRule="auto"/>
        <w:ind w:firstLine="708"/>
        <w:rPr>
          <w:rFonts w:ascii="Verdana" w:hAnsi="Verdana"/>
          <w:sz w:val="20"/>
          <w:szCs w:val="20"/>
        </w:rPr>
      </w:pPr>
      <w:r>
        <w:rPr>
          <w:rFonts w:ascii="Verdana" w:hAnsi="Verdana"/>
          <w:sz w:val="20"/>
          <w:szCs w:val="20"/>
        </w:rPr>
        <w:t>Secretario</w:t>
      </w:r>
    </w:p>
    <w:p w14:paraId="27026FAF" w14:textId="77777777" w:rsidR="00774BDD" w:rsidRPr="00D66B27" w:rsidRDefault="00774BDD" w:rsidP="00774BDD">
      <w:pPr>
        <w:spacing w:after="0" w:line="240" w:lineRule="auto"/>
        <w:jc w:val="both"/>
        <w:rPr>
          <w:rFonts w:ascii="Verdana" w:hAnsi="Verdana"/>
          <w:sz w:val="20"/>
          <w:szCs w:val="20"/>
        </w:rPr>
      </w:pPr>
    </w:p>
    <w:p w14:paraId="2711221A" w14:textId="384084CF" w:rsidR="00780BBA" w:rsidRPr="00D66B27" w:rsidRDefault="00780BBA" w:rsidP="00774BDD">
      <w:pPr>
        <w:spacing w:after="0" w:line="240" w:lineRule="auto"/>
        <w:jc w:val="both"/>
        <w:rPr>
          <w:rFonts w:ascii="Verdana" w:hAnsi="Verdana"/>
          <w:bCs/>
          <w:sz w:val="20"/>
          <w:szCs w:val="20"/>
        </w:rPr>
      </w:pPr>
    </w:p>
    <w:sectPr w:rsidR="00780BBA" w:rsidRPr="00D66B27" w:rsidSect="00B26AA3">
      <w:headerReference w:type="default" r:id="rId8"/>
      <w:footerReference w:type="default" r:id="rId9"/>
      <w:pgSz w:w="12240" w:h="15840"/>
      <w:pgMar w:top="993" w:right="1183" w:bottom="851" w:left="1134" w:header="708"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96AE" w14:textId="77777777" w:rsidR="00C81829" w:rsidRDefault="00C81829" w:rsidP="00F1377A">
      <w:pPr>
        <w:spacing w:after="0" w:line="240" w:lineRule="auto"/>
      </w:pPr>
      <w:r>
        <w:separator/>
      </w:r>
    </w:p>
  </w:endnote>
  <w:endnote w:type="continuationSeparator" w:id="0">
    <w:p w14:paraId="6B70E2AC" w14:textId="77777777" w:rsidR="00C81829" w:rsidRDefault="00C81829" w:rsidP="00F1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alatino-Italic">
    <w:altName w:val="Palatino Linotype"/>
    <w:charset w:val="00"/>
    <w:family w:val="auto"/>
    <w:pitch w:val="variable"/>
    <w:sig w:usb0="00000001"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Bold">
    <w:altName w:val="Times New Roman"/>
    <w:charset w:val="00"/>
    <w:family w:val="auto"/>
    <w:pitch w:val="variable"/>
    <w:sig w:usb0="00000001" w:usb1="4000205B" w:usb2="00000010" w:usb3="00000000" w:csb0="0000019F" w:csb1="00000000"/>
  </w:font>
  <w:font w:name="Century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71D7" w14:textId="7C4209D1" w:rsidR="00FE2511" w:rsidRPr="008C4AB8" w:rsidRDefault="00FE2511" w:rsidP="008C4AB8">
    <w:pPr>
      <w:pStyle w:val="Piedepgina"/>
      <w:jc w:val="cen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A7547" w14:textId="77777777" w:rsidR="00C81829" w:rsidRDefault="00C81829" w:rsidP="00F1377A">
      <w:pPr>
        <w:spacing w:after="0" w:line="240" w:lineRule="auto"/>
      </w:pPr>
      <w:r>
        <w:separator/>
      </w:r>
    </w:p>
  </w:footnote>
  <w:footnote w:type="continuationSeparator" w:id="0">
    <w:p w14:paraId="21333814" w14:textId="77777777" w:rsidR="00C81829" w:rsidRDefault="00C81829" w:rsidP="00F1377A">
      <w:pPr>
        <w:spacing w:after="0" w:line="240" w:lineRule="auto"/>
      </w:pPr>
      <w:r>
        <w:continuationSeparator/>
      </w:r>
    </w:p>
  </w:footnote>
  <w:footnote w:id="1">
    <w:p w14:paraId="3D6C84B4" w14:textId="77777777" w:rsidR="00FE2511" w:rsidRPr="00A87F14" w:rsidRDefault="00FE2511" w:rsidP="00062EAE">
      <w:pPr>
        <w:pStyle w:val="Textonotapie"/>
        <w:spacing w:before="120" w:after="120"/>
        <w:jc w:val="both"/>
        <w:rPr>
          <w:rFonts w:ascii="Verdana" w:hAnsi="Verdana"/>
          <w:sz w:val="16"/>
          <w:szCs w:val="16"/>
        </w:rPr>
      </w:pPr>
      <w:r w:rsidRPr="00A87F14">
        <w:rPr>
          <w:rStyle w:val="Refdenotaalpie"/>
          <w:rFonts w:ascii="Verdana" w:hAnsi="Verdana"/>
          <w:sz w:val="16"/>
          <w:szCs w:val="16"/>
        </w:rPr>
        <w:t>*</w:t>
      </w:r>
      <w:r w:rsidRPr="00A87F14">
        <w:rPr>
          <w:rFonts w:ascii="Verdana" w:eastAsia="Times New Roman" w:hAnsi="Verdana" w:cs="Times New Roman"/>
          <w:spacing w:val="-12"/>
          <w:sz w:val="16"/>
          <w:szCs w:val="16"/>
        </w:rPr>
        <w:tab/>
        <w:t>El Juez Eduardo Vio Grossi, de nacionalidad chilena, no participó en la deliberación y firma de la presente Sentencia, de conformidad con lo dispuesto en los artículos 19.2 del Estatuto y 19.1 del Reglamento de la Corte.</w:t>
      </w:r>
    </w:p>
  </w:footnote>
  <w:footnote w:id="2">
    <w:p w14:paraId="1B043564" w14:textId="607ED9FD" w:rsidR="00FE2511" w:rsidRPr="00A87F14" w:rsidRDefault="00FE2511" w:rsidP="00221603">
      <w:pPr>
        <w:tabs>
          <w:tab w:val="left" w:pos="567"/>
        </w:tabs>
        <w:spacing w:before="120" w:after="120" w:line="240" w:lineRule="auto"/>
        <w:jc w:val="both"/>
        <w:rPr>
          <w:rFonts w:ascii="Verdana" w:eastAsia="Times New Roman" w:hAnsi="Verdana" w:cs="Times New Roman"/>
          <w:spacing w:val="-12"/>
          <w:sz w:val="16"/>
          <w:szCs w:val="16"/>
        </w:rPr>
      </w:pPr>
      <w:r w:rsidRPr="00A87F14">
        <w:rPr>
          <w:rStyle w:val="Refdenotaalpie"/>
          <w:rFonts w:ascii="Verdana" w:hAnsi="Verdana"/>
          <w:sz w:val="16"/>
          <w:szCs w:val="16"/>
        </w:rPr>
        <w:footnoteRef/>
      </w:r>
      <w:r w:rsidRPr="00A87F14">
        <w:rPr>
          <w:rFonts w:ascii="Verdana" w:hAnsi="Verdana"/>
          <w:sz w:val="16"/>
          <w:szCs w:val="16"/>
        </w:rPr>
        <w:t xml:space="preserve"> </w:t>
      </w:r>
      <w:r w:rsidRPr="00A87F14">
        <w:rPr>
          <w:rFonts w:ascii="Verdana" w:eastAsia="Times New Roman" w:hAnsi="Verdana" w:cs="Times New Roman"/>
          <w:spacing w:val="-12"/>
          <w:sz w:val="16"/>
          <w:szCs w:val="16"/>
        </w:rPr>
        <w:tab/>
      </w:r>
      <w:r w:rsidRPr="00BB113F">
        <w:rPr>
          <w:rFonts w:ascii="Verdana" w:eastAsia="Times New Roman" w:hAnsi="Verdana" w:cs="Times New Roman"/>
          <w:spacing w:val="-12"/>
          <w:sz w:val="16"/>
          <w:szCs w:val="16"/>
        </w:rPr>
        <w:t xml:space="preserve">Las presuntas víctimas son los siguientes señoras y señores: Familiares del señor Augusto Andino Alcayaga Aldunate: María Laura Órdenes Guerra (esposa), Ariel Luis Antonio Alcayaga Órdenes (hijo), Marta Elizabeth Alcayaga Órdenes (hija), Augusto Oscar Amador Alcayaga Órdenes (hijo), Gloria Laura Astris Alcayaga Órdenes (hija) y María Laura Elena Alcayaga Órdenes (hija). El 14 de julio de 2017 el representante comunicó que la señora María Laura Órdenes Guerra había fallecido y que sus solicitudes “seguir[ían] adelante pero por su sucesión, específicamente por sus hijos”, tres de los cuales le confirieron mandato judicial, a saber: Gloria Laura Astrid, Augusto Óscar Amador y María Laura Elena. Familiares del señor Jorge Ovidio Osorio Zamora: Lucía Morales Compagnon (esposa), Jorge Roberto </w:t>
      </w:r>
      <w:r w:rsidRPr="00BF0956">
        <w:rPr>
          <w:rFonts w:ascii="Verdana" w:eastAsia="Times New Roman" w:hAnsi="Verdana" w:cs="Times New Roman"/>
          <w:spacing w:val="-12"/>
          <w:sz w:val="16"/>
          <w:szCs w:val="16"/>
        </w:rPr>
        <w:t>Osorio Morales</w:t>
      </w:r>
      <w:r w:rsidRPr="00BB113F">
        <w:rPr>
          <w:rFonts w:ascii="Verdana" w:eastAsia="Times New Roman" w:hAnsi="Verdana" w:cs="Times New Roman"/>
          <w:spacing w:val="-12"/>
          <w:sz w:val="16"/>
          <w:szCs w:val="16"/>
        </w:rPr>
        <w:t xml:space="preserve"> (hijo), Carolina Andrea </w:t>
      </w:r>
      <w:r w:rsidRPr="00BF0956">
        <w:rPr>
          <w:rFonts w:ascii="Verdana" w:eastAsia="Times New Roman" w:hAnsi="Verdana" w:cs="Times New Roman"/>
          <w:spacing w:val="-12"/>
          <w:sz w:val="16"/>
          <w:szCs w:val="16"/>
        </w:rPr>
        <w:t>Osorio Morales</w:t>
      </w:r>
      <w:r w:rsidRPr="00BB113F">
        <w:rPr>
          <w:rFonts w:ascii="Verdana" w:eastAsia="Times New Roman" w:hAnsi="Verdana" w:cs="Times New Roman"/>
          <w:spacing w:val="-12"/>
          <w:sz w:val="16"/>
          <w:szCs w:val="16"/>
        </w:rPr>
        <w:t xml:space="preserve"> (hija), Lucía Odette </w:t>
      </w:r>
      <w:r w:rsidRPr="00BF0956">
        <w:rPr>
          <w:rFonts w:ascii="Verdana" w:eastAsia="Times New Roman" w:hAnsi="Verdana" w:cs="Times New Roman"/>
          <w:spacing w:val="-12"/>
          <w:sz w:val="16"/>
          <w:szCs w:val="16"/>
        </w:rPr>
        <w:t>Osorio Morales</w:t>
      </w:r>
      <w:r w:rsidRPr="00BB113F">
        <w:rPr>
          <w:rFonts w:ascii="Verdana" w:eastAsia="Times New Roman" w:hAnsi="Verdana" w:cs="Times New Roman"/>
          <w:spacing w:val="-12"/>
          <w:sz w:val="16"/>
          <w:szCs w:val="16"/>
        </w:rPr>
        <w:t xml:space="preserve"> (hija) y María Teresa </w:t>
      </w:r>
      <w:r w:rsidRPr="00BF0956">
        <w:rPr>
          <w:rFonts w:ascii="Verdana" w:eastAsia="Times New Roman" w:hAnsi="Verdana" w:cs="Times New Roman"/>
          <w:spacing w:val="-12"/>
          <w:sz w:val="16"/>
          <w:szCs w:val="16"/>
        </w:rPr>
        <w:t>Osorio Morales</w:t>
      </w:r>
      <w:r w:rsidRPr="00BB113F">
        <w:rPr>
          <w:rFonts w:ascii="Verdana" w:eastAsia="Times New Roman" w:hAnsi="Verdana" w:cs="Times New Roman"/>
          <w:spacing w:val="-12"/>
          <w:sz w:val="16"/>
          <w:szCs w:val="16"/>
        </w:rPr>
        <w:t xml:space="preserve"> (hija). Familiares del señor Hipólito Pedro Cortés Alvarez: Alina María Barraza Codoceo (esposa), Eduardo Patricio Cortés Barraza (hijo), Marcia Alejandra Cortés Barraza (hija), Patricia Auristela Cortés Barraza (hija), Nora Isabel Cortés Barraza (hija) y Hernán Alejandro Cortés Barraza (hijo). Familiares del señor Mario Ramiro Melo Prádenas: Mario Melo Acuña (padre), Ilia María Prádenas Pérez (madre) y Carlos Gustavo Melo Prádenas (hermano). El representante informó que los padres del señor Melo Prádenas habían fallecido y que las solicitudes serían continuadas por su hermano. Familiar del señor Ramón Luis Vivanco Díaz: Pamela Adriana Vivando</w:t>
      </w:r>
      <w:r w:rsidR="00C9421F">
        <w:rPr>
          <w:rFonts w:ascii="Verdana" w:eastAsia="Times New Roman" w:hAnsi="Verdana" w:cs="Times New Roman"/>
          <w:spacing w:val="-12"/>
          <w:sz w:val="16"/>
          <w:szCs w:val="16"/>
        </w:rPr>
        <w:t xml:space="preserve"> Medina</w:t>
      </w:r>
      <w:r w:rsidRPr="00BB113F">
        <w:rPr>
          <w:rFonts w:ascii="Verdana" w:eastAsia="Times New Roman" w:hAnsi="Verdana" w:cs="Times New Roman"/>
          <w:spacing w:val="-12"/>
          <w:sz w:val="16"/>
          <w:szCs w:val="16"/>
        </w:rPr>
        <w:t xml:space="preserve"> (hija). Familiares del señor Rodolfo Alejandro Espejo Gómez: Elena Alejandrina </w:t>
      </w:r>
      <w:r>
        <w:rPr>
          <w:rFonts w:ascii="Verdana" w:eastAsia="Times New Roman" w:hAnsi="Verdana" w:cs="Times New Roman"/>
          <w:spacing w:val="-12"/>
          <w:sz w:val="16"/>
          <w:szCs w:val="16"/>
        </w:rPr>
        <w:t xml:space="preserve">Gómez </w:t>
      </w:r>
      <w:r w:rsidRPr="00BB113F">
        <w:rPr>
          <w:rFonts w:ascii="Verdana" w:eastAsia="Times New Roman" w:hAnsi="Verdana" w:cs="Times New Roman"/>
          <w:spacing w:val="-12"/>
          <w:sz w:val="16"/>
          <w:szCs w:val="16"/>
        </w:rPr>
        <w:t xml:space="preserve">Vargas (madre) y </w:t>
      </w:r>
      <w:r w:rsidR="00BE3FC7" w:rsidRPr="00BE3FC7">
        <w:rPr>
          <w:rFonts w:ascii="Verdana" w:eastAsia="Times New Roman" w:hAnsi="Verdana" w:cs="Times New Roman"/>
          <w:spacing w:val="-12"/>
          <w:sz w:val="16"/>
          <w:szCs w:val="16"/>
        </w:rPr>
        <w:t>Katia Ximena Espejo Gómez</w:t>
      </w:r>
      <w:r w:rsidR="00BE3FC7" w:rsidRPr="00BB113F">
        <w:rPr>
          <w:rFonts w:ascii="Verdana" w:eastAsia="Times New Roman" w:hAnsi="Verdana" w:cs="Times New Roman"/>
          <w:spacing w:val="-12"/>
          <w:sz w:val="16"/>
          <w:szCs w:val="16"/>
        </w:rPr>
        <w:t xml:space="preserve"> </w:t>
      </w:r>
      <w:r w:rsidRPr="00BB113F">
        <w:rPr>
          <w:rFonts w:ascii="Verdana" w:eastAsia="Times New Roman" w:hAnsi="Verdana" w:cs="Times New Roman"/>
          <w:spacing w:val="-12"/>
          <w:sz w:val="16"/>
          <w:szCs w:val="16"/>
        </w:rPr>
        <w:t xml:space="preserve">(hermana). Familiares del señor Sergio Alfonso Reyes Navarrete: Magdalena Mercedes Navarrete (madre), Jorge Alberto Reyes Navarrete (hermano), Patricio Hernán Reyes Navarrete (hermano) y Víctor Eduardo Reyes Navarrete (hermano). </w:t>
      </w:r>
      <w:r w:rsidRPr="00EB796C">
        <w:rPr>
          <w:rFonts w:ascii="Verdana" w:eastAsia="Times New Roman" w:hAnsi="Verdana" w:cs="Times New Roman"/>
          <w:spacing w:val="-12"/>
          <w:sz w:val="16"/>
          <w:szCs w:val="16"/>
        </w:rPr>
        <w:t>El representante informó que la madre y dos de sus hermanos (Jorge Alberto y Víctor Eduardo) continuarían con las solicitudes</w:t>
      </w:r>
      <w:r w:rsidRPr="00BB113F">
        <w:rPr>
          <w:rFonts w:ascii="Verdana" w:eastAsia="Times New Roman" w:hAnsi="Verdana" w:cs="Times New Roman"/>
          <w:spacing w:val="-12"/>
          <w:sz w:val="16"/>
          <w:szCs w:val="16"/>
        </w:rPr>
        <w:t>.</w:t>
      </w:r>
    </w:p>
  </w:footnote>
  <w:footnote w:id="3">
    <w:p w14:paraId="0B810DA8" w14:textId="77777777" w:rsidR="00FE2511" w:rsidRPr="00A87F14" w:rsidRDefault="00FE2511" w:rsidP="00221603">
      <w:pPr>
        <w:spacing w:before="120" w:after="120" w:line="240" w:lineRule="auto"/>
        <w:jc w:val="both"/>
        <w:rPr>
          <w:rFonts w:ascii="Verdana" w:hAnsi="Verdana"/>
          <w:sz w:val="16"/>
          <w:szCs w:val="16"/>
          <w:lang w:val="es-ES"/>
        </w:rPr>
      </w:pPr>
      <w:r w:rsidRPr="00A87F14">
        <w:rPr>
          <w:rStyle w:val="Refdenotaalpie"/>
          <w:rFonts w:ascii="Verdana" w:hAnsi="Verdana"/>
          <w:spacing w:val="-12"/>
          <w:sz w:val="16"/>
          <w:szCs w:val="16"/>
        </w:rPr>
        <w:footnoteRef/>
      </w:r>
      <w:r w:rsidRPr="00A87F14">
        <w:rPr>
          <w:rFonts w:ascii="Verdana" w:hAnsi="Verdana"/>
          <w:sz w:val="16"/>
          <w:szCs w:val="16"/>
          <w:lang w:val="es-ES"/>
        </w:rPr>
        <w:t xml:space="preserve"> </w:t>
      </w:r>
      <w:r w:rsidRPr="00A87F14">
        <w:rPr>
          <w:rFonts w:ascii="Verdana" w:hAnsi="Verdana"/>
          <w:sz w:val="16"/>
          <w:szCs w:val="16"/>
          <w:lang w:val="es-ES"/>
        </w:rPr>
        <w:tab/>
      </w:r>
      <w:r w:rsidRPr="00A87F14">
        <w:rPr>
          <w:rFonts w:ascii="Verdana" w:eastAsia="Times New Roman" w:hAnsi="Verdana" w:cs="Times New Roman"/>
          <w:i/>
          <w:spacing w:val="-12"/>
          <w:sz w:val="16"/>
          <w:szCs w:val="16"/>
        </w:rPr>
        <w:t>Cfr</w:t>
      </w:r>
      <w:r w:rsidRPr="00A87F14">
        <w:rPr>
          <w:rFonts w:ascii="Verdana" w:eastAsia="Times New Roman" w:hAnsi="Verdana" w:cs="Times New Roman"/>
          <w:spacing w:val="-12"/>
          <w:sz w:val="16"/>
          <w:szCs w:val="16"/>
        </w:rPr>
        <w:t xml:space="preserve">. CIDH, Informe No. 60/05 (Admisibilidad), Petición 511-03, María Ordenes Guerra; Chile, 12 de octubre de 2005. Disponible en: </w:t>
      </w:r>
      <w:hyperlink r:id="rId1" w:history="1">
        <w:r w:rsidRPr="00A87F14">
          <w:rPr>
            <w:rStyle w:val="Hipervnculo"/>
            <w:rFonts w:ascii="Verdana" w:eastAsia="Times New Roman" w:hAnsi="Verdana" w:cs="Times New Roman"/>
            <w:spacing w:val="-12"/>
            <w:sz w:val="16"/>
            <w:szCs w:val="16"/>
          </w:rPr>
          <w:t>http://www.cidh.oas.org/annualrep/2005sp/Chile511.03sp.htm</w:t>
        </w:r>
      </w:hyperlink>
      <w:r w:rsidRPr="00A87F14">
        <w:rPr>
          <w:rFonts w:ascii="Verdana" w:eastAsia="Times New Roman" w:hAnsi="Verdana" w:cs="Times New Roman"/>
          <w:spacing w:val="-12"/>
          <w:sz w:val="16"/>
          <w:szCs w:val="16"/>
        </w:rPr>
        <w:t xml:space="preserve"> </w:t>
      </w:r>
    </w:p>
  </w:footnote>
  <w:footnote w:id="4">
    <w:p w14:paraId="70F58EB7" w14:textId="77777777" w:rsidR="00FE2511" w:rsidRPr="00A87F14" w:rsidRDefault="00FE2511" w:rsidP="00221603">
      <w:pPr>
        <w:spacing w:before="120" w:after="120" w:line="240" w:lineRule="auto"/>
        <w:jc w:val="both"/>
        <w:rPr>
          <w:rFonts w:ascii="Verdana" w:eastAsia="Times New Roman" w:hAnsi="Verdana" w:cs="Times New Roman"/>
          <w:spacing w:val="-12"/>
          <w:sz w:val="16"/>
          <w:szCs w:val="16"/>
        </w:rPr>
      </w:pPr>
      <w:r w:rsidRPr="00A87F14">
        <w:rPr>
          <w:rStyle w:val="Refdenotaalpie"/>
          <w:rFonts w:ascii="Verdana" w:hAnsi="Verdana"/>
          <w:spacing w:val="-12"/>
          <w:sz w:val="16"/>
          <w:szCs w:val="16"/>
        </w:rPr>
        <w:footnoteRef/>
      </w:r>
      <w:r w:rsidRPr="00A87F14">
        <w:rPr>
          <w:rFonts w:ascii="Verdana" w:hAnsi="Verdana"/>
          <w:sz w:val="16"/>
          <w:szCs w:val="16"/>
          <w:lang w:val="es-ES"/>
        </w:rPr>
        <w:t xml:space="preserve"> </w:t>
      </w:r>
      <w:r w:rsidRPr="00A87F14">
        <w:rPr>
          <w:rFonts w:ascii="Verdana" w:hAnsi="Verdana"/>
          <w:sz w:val="16"/>
          <w:szCs w:val="16"/>
          <w:lang w:val="es-ES"/>
        </w:rPr>
        <w:tab/>
      </w:r>
      <w:r w:rsidRPr="00A87F14">
        <w:rPr>
          <w:rFonts w:ascii="Verdana" w:eastAsia="Times New Roman" w:hAnsi="Verdana" w:cs="Times New Roman"/>
          <w:i/>
          <w:spacing w:val="-12"/>
          <w:sz w:val="16"/>
          <w:szCs w:val="16"/>
        </w:rPr>
        <w:t>Cfr</w:t>
      </w:r>
      <w:r w:rsidRPr="00A87F14">
        <w:rPr>
          <w:rFonts w:ascii="Verdana" w:eastAsia="Times New Roman" w:hAnsi="Verdana" w:cs="Times New Roman"/>
          <w:spacing w:val="-12"/>
          <w:sz w:val="16"/>
          <w:szCs w:val="16"/>
        </w:rPr>
        <w:t xml:space="preserve">. CIDH, Informe No. 61/05 (Admisibilidad), Petición 698-03, Lucía Morales Compagnon y otros; Chile, 12 de octubre de 2005. Disponible en: </w:t>
      </w:r>
      <w:hyperlink r:id="rId2" w:history="1">
        <w:r w:rsidRPr="00A87F14">
          <w:rPr>
            <w:rStyle w:val="Hipervnculo"/>
            <w:rFonts w:ascii="Verdana" w:eastAsia="Times New Roman" w:hAnsi="Verdana" w:cs="Times New Roman"/>
            <w:spacing w:val="-12"/>
            <w:sz w:val="16"/>
            <w:szCs w:val="16"/>
          </w:rPr>
          <w:t>http://www.cidh.oas.org/annualrep/2005sp/Chile698.03sp.htm</w:t>
        </w:r>
      </w:hyperlink>
      <w:r w:rsidRPr="00A87F14">
        <w:rPr>
          <w:rFonts w:ascii="Verdana" w:eastAsia="Times New Roman" w:hAnsi="Verdana" w:cs="Times New Roman"/>
          <w:spacing w:val="-12"/>
          <w:sz w:val="16"/>
          <w:szCs w:val="16"/>
        </w:rPr>
        <w:t xml:space="preserve"> </w:t>
      </w:r>
    </w:p>
  </w:footnote>
  <w:footnote w:id="5">
    <w:p w14:paraId="1770F486" w14:textId="77777777" w:rsidR="00FE2511" w:rsidRPr="00A87F14" w:rsidRDefault="00FE2511" w:rsidP="00221603">
      <w:pPr>
        <w:spacing w:before="120" w:after="120" w:line="240" w:lineRule="auto"/>
        <w:jc w:val="both"/>
        <w:rPr>
          <w:rFonts w:ascii="Verdana" w:eastAsia="Times New Roman" w:hAnsi="Verdana" w:cs="Times New Roman"/>
          <w:spacing w:val="-12"/>
          <w:sz w:val="16"/>
          <w:szCs w:val="16"/>
        </w:rPr>
      </w:pPr>
      <w:r w:rsidRPr="00A87F14">
        <w:rPr>
          <w:rStyle w:val="Refdenotaalpie"/>
          <w:rFonts w:ascii="Verdana" w:hAnsi="Verdana"/>
          <w:spacing w:val="-12"/>
          <w:sz w:val="16"/>
          <w:szCs w:val="16"/>
        </w:rPr>
        <w:footnoteRef/>
      </w:r>
      <w:r w:rsidRPr="00A87F14">
        <w:rPr>
          <w:rFonts w:ascii="Verdana" w:hAnsi="Verdana"/>
          <w:sz w:val="16"/>
          <w:szCs w:val="16"/>
          <w:lang w:val="es-ES"/>
        </w:rPr>
        <w:t xml:space="preserve"> </w:t>
      </w:r>
      <w:r w:rsidRPr="00A87F14">
        <w:rPr>
          <w:rFonts w:ascii="Verdana" w:eastAsia="Times New Roman" w:hAnsi="Verdana" w:cs="Times New Roman"/>
          <w:spacing w:val="-12"/>
          <w:sz w:val="16"/>
          <w:szCs w:val="16"/>
        </w:rPr>
        <w:tab/>
      </w:r>
      <w:r w:rsidRPr="00A87F14">
        <w:rPr>
          <w:rFonts w:ascii="Verdana" w:eastAsia="Times New Roman" w:hAnsi="Verdana" w:cs="Times New Roman"/>
          <w:i/>
          <w:spacing w:val="-12"/>
          <w:sz w:val="16"/>
          <w:szCs w:val="16"/>
        </w:rPr>
        <w:t>Cfr</w:t>
      </w:r>
      <w:r w:rsidRPr="00A87F14">
        <w:rPr>
          <w:rFonts w:ascii="Verdana" w:eastAsia="Times New Roman" w:hAnsi="Verdana" w:cs="Times New Roman"/>
          <w:spacing w:val="-12"/>
          <w:sz w:val="16"/>
          <w:szCs w:val="16"/>
        </w:rPr>
        <w:t xml:space="preserve">. CIDH, Informe No. 62/05 (Admisibilidad), Petición 862-03, Alina María Barraza Codoceo y otros; Chile, 12 de octubre de 2005. Disponible en: </w:t>
      </w:r>
      <w:hyperlink r:id="rId3" w:history="1">
        <w:r w:rsidRPr="00A87F14">
          <w:rPr>
            <w:rStyle w:val="Hipervnculo"/>
            <w:rFonts w:ascii="Verdana" w:eastAsia="Times New Roman" w:hAnsi="Verdana" w:cs="Times New Roman"/>
            <w:spacing w:val="-12"/>
            <w:sz w:val="16"/>
            <w:szCs w:val="16"/>
          </w:rPr>
          <w:t>http://www.cidh.oas.org/annualrep/2005sp/Chile862.03sp.htm</w:t>
        </w:r>
      </w:hyperlink>
      <w:r w:rsidRPr="00A87F14">
        <w:rPr>
          <w:rFonts w:ascii="Verdana" w:eastAsia="Times New Roman" w:hAnsi="Verdana" w:cs="Times New Roman"/>
          <w:spacing w:val="-12"/>
          <w:sz w:val="16"/>
          <w:szCs w:val="16"/>
        </w:rPr>
        <w:t xml:space="preserve"> </w:t>
      </w:r>
    </w:p>
  </w:footnote>
  <w:footnote w:id="6">
    <w:p w14:paraId="63617DD6" w14:textId="4569E226" w:rsidR="00FE2511" w:rsidRPr="00A87F14" w:rsidRDefault="00FE2511" w:rsidP="00221603">
      <w:pPr>
        <w:spacing w:before="120" w:after="120" w:line="240" w:lineRule="auto"/>
        <w:jc w:val="both"/>
        <w:rPr>
          <w:rFonts w:ascii="Verdana" w:hAnsi="Verdana"/>
          <w:sz w:val="16"/>
          <w:szCs w:val="16"/>
          <w:lang w:val="es-ES"/>
        </w:rPr>
      </w:pPr>
      <w:r w:rsidRPr="00A87F14">
        <w:rPr>
          <w:rStyle w:val="Refdenotaalpie"/>
          <w:rFonts w:ascii="Verdana" w:hAnsi="Verdana"/>
          <w:spacing w:val="-12"/>
          <w:sz w:val="16"/>
          <w:szCs w:val="16"/>
        </w:rPr>
        <w:footnoteRef/>
      </w:r>
      <w:r w:rsidRPr="00A87F14">
        <w:rPr>
          <w:rFonts w:ascii="Verdana" w:hAnsi="Verdana"/>
          <w:sz w:val="16"/>
          <w:szCs w:val="16"/>
          <w:lang w:val="es-ES"/>
        </w:rPr>
        <w:t xml:space="preserve"> </w:t>
      </w:r>
      <w:r w:rsidRPr="00A87F14">
        <w:rPr>
          <w:rFonts w:ascii="Verdana" w:eastAsia="Times New Roman" w:hAnsi="Verdana" w:cs="Times New Roman"/>
          <w:spacing w:val="-12"/>
          <w:sz w:val="16"/>
          <w:szCs w:val="16"/>
        </w:rPr>
        <w:tab/>
      </w:r>
      <w:r w:rsidRPr="00A87F14">
        <w:rPr>
          <w:rFonts w:ascii="Verdana" w:eastAsia="Times New Roman" w:hAnsi="Verdana" w:cs="Times New Roman"/>
          <w:i/>
          <w:spacing w:val="-12"/>
          <w:sz w:val="16"/>
          <w:szCs w:val="16"/>
        </w:rPr>
        <w:t>Cfr</w:t>
      </w:r>
      <w:r w:rsidRPr="00A87F14">
        <w:rPr>
          <w:rFonts w:ascii="Verdana" w:eastAsia="Times New Roman" w:hAnsi="Verdana" w:cs="Times New Roman"/>
          <w:spacing w:val="-12"/>
          <w:sz w:val="16"/>
          <w:szCs w:val="16"/>
        </w:rPr>
        <w:t>. CIDH, Informe No. 59/05 (Admisibilidad), Petición 381-04, Magdalena</w:t>
      </w:r>
      <w:r w:rsidR="00BE3FC7">
        <w:rPr>
          <w:rFonts w:ascii="Verdana" w:eastAsia="Times New Roman" w:hAnsi="Verdana" w:cs="Times New Roman"/>
          <w:spacing w:val="-12"/>
          <w:sz w:val="16"/>
          <w:szCs w:val="16"/>
        </w:rPr>
        <w:t xml:space="preserve"> </w:t>
      </w:r>
      <w:r w:rsidR="00BE3FC7" w:rsidRPr="00A87F14">
        <w:rPr>
          <w:rFonts w:ascii="Verdana" w:eastAsia="Times New Roman" w:hAnsi="Verdana" w:cs="Times New Roman"/>
          <w:spacing w:val="-12"/>
          <w:sz w:val="16"/>
          <w:szCs w:val="16"/>
        </w:rPr>
        <w:t>Mercedes</w:t>
      </w:r>
      <w:r w:rsidR="00BE3FC7">
        <w:rPr>
          <w:rFonts w:ascii="Verdana" w:eastAsia="Times New Roman" w:hAnsi="Verdana" w:cs="Times New Roman"/>
          <w:spacing w:val="-12"/>
          <w:sz w:val="16"/>
          <w:szCs w:val="16"/>
        </w:rPr>
        <w:t xml:space="preserve"> </w:t>
      </w:r>
      <w:r w:rsidRPr="00A87F14">
        <w:rPr>
          <w:rFonts w:ascii="Verdana" w:eastAsia="Times New Roman" w:hAnsi="Verdana" w:cs="Times New Roman"/>
          <w:spacing w:val="-12"/>
          <w:sz w:val="16"/>
          <w:szCs w:val="16"/>
        </w:rPr>
        <w:t xml:space="preserve"> Navarrete</w:t>
      </w:r>
      <w:r w:rsidR="00BE3FC7">
        <w:rPr>
          <w:rFonts w:ascii="Verdana" w:eastAsia="Times New Roman" w:hAnsi="Verdana" w:cs="Times New Roman"/>
          <w:spacing w:val="-12"/>
          <w:sz w:val="16"/>
          <w:szCs w:val="16"/>
        </w:rPr>
        <w:t xml:space="preserve"> Faraldo</w:t>
      </w:r>
      <w:r w:rsidRPr="00A87F14">
        <w:rPr>
          <w:rFonts w:ascii="Verdana" w:eastAsia="Times New Roman" w:hAnsi="Verdana" w:cs="Times New Roman"/>
          <w:spacing w:val="-12"/>
          <w:sz w:val="16"/>
          <w:szCs w:val="16"/>
        </w:rPr>
        <w:t xml:space="preserve"> y otros; Chile, 12 de octubre de 2005. Disponible en: </w:t>
      </w:r>
      <w:hyperlink r:id="rId4" w:history="1">
        <w:r w:rsidRPr="00A87F14">
          <w:rPr>
            <w:rStyle w:val="Hipervnculo"/>
            <w:rFonts w:ascii="Verdana" w:eastAsia="Times New Roman" w:hAnsi="Verdana" w:cs="Times New Roman"/>
            <w:spacing w:val="-12"/>
            <w:sz w:val="16"/>
            <w:szCs w:val="16"/>
          </w:rPr>
          <w:t>http://www.cidh.oas.org/annualrep/2005sp/Chile381.04sp.htm</w:t>
        </w:r>
      </w:hyperlink>
      <w:r w:rsidRPr="00A87F14">
        <w:rPr>
          <w:rFonts w:ascii="Verdana" w:eastAsia="Times New Roman" w:hAnsi="Verdana" w:cs="Times New Roman"/>
          <w:spacing w:val="-12"/>
          <w:sz w:val="16"/>
          <w:szCs w:val="16"/>
        </w:rPr>
        <w:t xml:space="preserve"> </w:t>
      </w:r>
    </w:p>
  </w:footnote>
  <w:footnote w:id="7">
    <w:p w14:paraId="6E02B39B" w14:textId="0EC67BD4" w:rsidR="00FE2511" w:rsidRPr="00A87F14" w:rsidRDefault="00FE2511" w:rsidP="00221603">
      <w:pPr>
        <w:spacing w:before="120" w:after="120" w:line="240" w:lineRule="auto"/>
        <w:jc w:val="both"/>
        <w:rPr>
          <w:rFonts w:ascii="Verdana" w:eastAsia="Times New Roman" w:hAnsi="Verdana" w:cs="Times New Roman"/>
          <w:spacing w:val="-12"/>
          <w:sz w:val="16"/>
          <w:szCs w:val="16"/>
        </w:rPr>
      </w:pPr>
      <w:r w:rsidRPr="00A87F14">
        <w:rPr>
          <w:rStyle w:val="Refdenotaalpie"/>
          <w:rFonts w:ascii="Verdana" w:hAnsi="Verdana"/>
          <w:spacing w:val="-12"/>
          <w:sz w:val="16"/>
          <w:szCs w:val="16"/>
        </w:rPr>
        <w:footnoteRef/>
      </w:r>
      <w:r w:rsidRPr="00A87F14">
        <w:rPr>
          <w:rFonts w:ascii="Verdana" w:hAnsi="Verdana"/>
          <w:sz w:val="16"/>
          <w:szCs w:val="16"/>
        </w:rPr>
        <w:t xml:space="preserve"> </w:t>
      </w:r>
      <w:r w:rsidRPr="00A87F14">
        <w:rPr>
          <w:rFonts w:ascii="Verdana" w:eastAsia="Times New Roman" w:hAnsi="Verdana" w:cs="Times New Roman"/>
          <w:spacing w:val="-12"/>
          <w:sz w:val="16"/>
          <w:szCs w:val="16"/>
        </w:rPr>
        <w:tab/>
        <w:t xml:space="preserve">La Comisión concluyó que el Estado de Chile es responsable por la violación de </w:t>
      </w:r>
      <w:r w:rsidRPr="00AD02C2">
        <w:rPr>
          <w:rFonts w:ascii="Verdana" w:eastAsia="Times New Roman" w:hAnsi="Verdana" w:cs="Times New Roman"/>
          <w:spacing w:val="-12"/>
          <w:sz w:val="16"/>
          <w:szCs w:val="16"/>
        </w:rPr>
        <w:t>artículos 8.1 y 25.1 de la Convención Americana, en conexión con la</w:t>
      </w:r>
      <w:r>
        <w:rPr>
          <w:rFonts w:ascii="Verdana" w:eastAsia="Times New Roman" w:hAnsi="Verdana" w:cs="Times New Roman"/>
          <w:spacing w:val="-12"/>
          <w:sz w:val="16"/>
          <w:szCs w:val="16"/>
        </w:rPr>
        <w:t>s obligaciones</w:t>
      </w:r>
      <w:r w:rsidRPr="00AD02C2">
        <w:rPr>
          <w:rFonts w:ascii="Verdana" w:eastAsia="Times New Roman" w:hAnsi="Verdana" w:cs="Times New Roman"/>
          <w:spacing w:val="-12"/>
          <w:sz w:val="16"/>
          <w:szCs w:val="16"/>
        </w:rPr>
        <w:t xml:space="preserve"> general</w:t>
      </w:r>
      <w:r>
        <w:rPr>
          <w:rFonts w:ascii="Verdana" w:eastAsia="Times New Roman" w:hAnsi="Verdana" w:cs="Times New Roman"/>
          <w:spacing w:val="-12"/>
          <w:sz w:val="16"/>
          <w:szCs w:val="16"/>
        </w:rPr>
        <w:t xml:space="preserve">es </w:t>
      </w:r>
      <w:r w:rsidRPr="00AD02C2">
        <w:rPr>
          <w:rFonts w:ascii="Verdana" w:eastAsia="Times New Roman" w:hAnsi="Verdana" w:cs="Times New Roman"/>
          <w:spacing w:val="-12"/>
          <w:sz w:val="16"/>
          <w:szCs w:val="16"/>
        </w:rPr>
        <w:t>establecidas en sus artículos 1.1 y 2</w:t>
      </w:r>
      <w:r>
        <w:rPr>
          <w:rFonts w:ascii="Verdana" w:eastAsia="Times New Roman" w:hAnsi="Verdana" w:cs="Times New Roman"/>
          <w:spacing w:val="-12"/>
          <w:sz w:val="16"/>
          <w:szCs w:val="16"/>
        </w:rPr>
        <w:t xml:space="preserve"> de la misma,</w:t>
      </w:r>
      <w:r w:rsidRPr="00AD02C2">
        <w:rPr>
          <w:rFonts w:ascii="Verdana" w:eastAsia="Times New Roman" w:hAnsi="Verdana" w:cs="Times New Roman"/>
          <w:spacing w:val="-12"/>
          <w:sz w:val="16"/>
          <w:szCs w:val="16"/>
        </w:rPr>
        <w:t xml:space="preserve"> en perjuicio de las víctimas del presente caso. La Comisión recomendó al Estado</w:t>
      </w:r>
      <w:r w:rsidRPr="00A87F14">
        <w:rPr>
          <w:rFonts w:ascii="Verdana" w:eastAsia="Times New Roman" w:hAnsi="Verdana" w:cs="Times New Roman"/>
          <w:spacing w:val="-12"/>
          <w:sz w:val="16"/>
          <w:szCs w:val="16"/>
        </w:rPr>
        <w:t xml:space="preserve">: </w:t>
      </w:r>
      <w:r>
        <w:rPr>
          <w:rFonts w:ascii="Verdana" w:eastAsia="Times New Roman" w:hAnsi="Verdana" w:cs="Times New Roman"/>
          <w:spacing w:val="-12"/>
          <w:sz w:val="16"/>
          <w:szCs w:val="16"/>
        </w:rPr>
        <w:t>“</w:t>
      </w:r>
      <w:r w:rsidRPr="00A87F14">
        <w:rPr>
          <w:rFonts w:ascii="Verdana" w:eastAsia="Times New Roman" w:hAnsi="Verdana" w:cs="Times New Roman"/>
          <w:spacing w:val="-12"/>
          <w:sz w:val="16"/>
          <w:szCs w:val="16"/>
        </w:rPr>
        <w:t>1. Reparar a las víctimas por las violaciones declaradas en el informe. Como parte de esta reparación, el Estado debe adoptar las medidas necesarias para ofrecer un recurso judicial efectivo para que las víctimas puedan presentar sus reclamos y obtener una decisión en materia de reparaciones. El cumplimiento de esta recomendación es independiente del programa de re</w:t>
      </w:r>
      <w:r>
        <w:rPr>
          <w:rFonts w:ascii="Verdana" w:eastAsia="Times New Roman" w:hAnsi="Verdana" w:cs="Times New Roman"/>
          <w:spacing w:val="-12"/>
          <w:sz w:val="16"/>
          <w:szCs w:val="16"/>
        </w:rPr>
        <w:t>paraciones administrativas. 2. A</w:t>
      </w:r>
      <w:r w:rsidRPr="00A87F14">
        <w:rPr>
          <w:rFonts w:ascii="Verdana" w:eastAsia="Times New Roman" w:hAnsi="Verdana" w:cs="Times New Roman"/>
          <w:spacing w:val="-12"/>
          <w:sz w:val="16"/>
          <w:szCs w:val="16"/>
        </w:rPr>
        <w:t>doptar medidas de no repetición. En particular, medidas legislativas, administrativas y de cualquier otra índole, con el objeto de adecuar la legislación y las prácticas judiciales chilenas a los estándares descritos en el presente informe respecto de la prohibición de aplicar la prescripción a las acciones civiles de reparaciones en casos como el presente</w:t>
      </w:r>
      <w:r>
        <w:rPr>
          <w:rFonts w:ascii="Verdana" w:eastAsia="Times New Roman" w:hAnsi="Verdana" w:cs="Times New Roman"/>
          <w:spacing w:val="-12"/>
          <w:sz w:val="16"/>
          <w:szCs w:val="16"/>
        </w:rPr>
        <w:t>”</w:t>
      </w:r>
      <w:r w:rsidRPr="00A87F14">
        <w:rPr>
          <w:rFonts w:ascii="Verdana" w:eastAsia="Times New Roman" w:hAnsi="Verdana" w:cs="Times New Roman"/>
          <w:spacing w:val="-12"/>
          <w:sz w:val="16"/>
          <w:szCs w:val="16"/>
        </w:rPr>
        <w:t xml:space="preserve">. </w:t>
      </w:r>
      <w:r w:rsidRPr="00A87F14">
        <w:rPr>
          <w:rFonts w:ascii="Verdana" w:eastAsia="Times New Roman" w:hAnsi="Verdana" w:cs="Times New Roman"/>
          <w:i/>
          <w:spacing w:val="-12"/>
          <w:sz w:val="16"/>
          <w:szCs w:val="16"/>
        </w:rPr>
        <w:t>Cfr</w:t>
      </w:r>
      <w:r w:rsidRPr="00A87F14">
        <w:rPr>
          <w:rFonts w:ascii="Verdana" w:eastAsia="Times New Roman" w:hAnsi="Verdana" w:cs="Times New Roman"/>
          <w:spacing w:val="-12"/>
          <w:sz w:val="16"/>
          <w:szCs w:val="16"/>
        </w:rPr>
        <w:t xml:space="preserve">. CIDH, Informe No. 52/16 (Fondo), María Ordenes Guerra y otros, Chile, OEA/Ser.L/V/II.159, Doc. 61, 30 de noviembre de 2016. Disponible en: </w:t>
      </w:r>
      <w:hyperlink r:id="rId5" w:history="1">
        <w:r w:rsidRPr="00A87F14">
          <w:rPr>
            <w:rStyle w:val="Hipervnculo"/>
            <w:rFonts w:ascii="Verdana" w:eastAsia="Times New Roman" w:hAnsi="Verdana" w:cs="Times New Roman"/>
            <w:spacing w:val="-12"/>
            <w:sz w:val="16"/>
            <w:szCs w:val="16"/>
          </w:rPr>
          <w:t>http://www.oas.org/es/cidh/decisiones/corte/2017/12521FondoEs.pdf</w:t>
        </w:r>
      </w:hyperlink>
      <w:r w:rsidRPr="00A87F14">
        <w:rPr>
          <w:rFonts w:ascii="Verdana" w:eastAsia="Times New Roman" w:hAnsi="Verdana" w:cs="Times New Roman"/>
          <w:spacing w:val="-12"/>
          <w:sz w:val="16"/>
          <w:szCs w:val="16"/>
        </w:rPr>
        <w:t xml:space="preserve">   </w:t>
      </w:r>
    </w:p>
  </w:footnote>
  <w:footnote w:id="8">
    <w:p w14:paraId="6CED9E79" w14:textId="2AF393F4" w:rsidR="00FE2511" w:rsidRPr="00A87F14" w:rsidRDefault="00FE2511" w:rsidP="00221603">
      <w:pPr>
        <w:pStyle w:val="Textonotapie"/>
        <w:spacing w:before="120" w:after="120"/>
        <w:jc w:val="both"/>
        <w:rPr>
          <w:rFonts w:ascii="Verdana" w:hAnsi="Verdana"/>
          <w:spacing w:val="-12"/>
          <w:sz w:val="16"/>
          <w:szCs w:val="16"/>
        </w:rPr>
      </w:pPr>
      <w:r w:rsidRPr="00A87F14">
        <w:rPr>
          <w:rStyle w:val="Refdenotaalpie"/>
          <w:rFonts w:ascii="Verdana" w:hAnsi="Verdana"/>
          <w:spacing w:val="-12"/>
          <w:sz w:val="16"/>
          <w:szCs w:val="16"/>
        </w:rPr>
        <w:footnoteRef/>
      </w:r>
      <w:r w:rsidRPr="00A87F14">
        <w:rPr>
          <w:rFonts w:ascii="Verdana" w:hAnsi="Verdana"/>
          <w:spacing w:val="-12"/>
          <w:sz w:val="16"/>
          <w:szCs w:val="16"/>
        </w:rPr>
        <w:t xml:space="preserve"> </w:t>
      </w:r>
      <w:r w:rsidRPr="00A87F14">
        <w:rPr>
          <w:rFonts w:ascii="Verdana" w:hAnsi="Verdana"/>
          <w:spacing w:val="-12"/>
          <w:sz w:val="16"/>
          <w:szCs w:val="16"/>
        </w:rPr>
        <w:tab/>
        <w:t>La Comisión designó al entonces Comisionado Paulo Vannuchi y al Secretario Ejecutivo Paulo Abrão como sus delegados, así como a las señoras Elizabeth Abi-Mershed, entonces Secretaria Ejecutiva Adjunta, y Silvia Serrano Guzm</w:t>
      </w:r>
      <w:r>
        <w:rPr>
          <w:rFonts w:ascii="Verdana" w:hAnsi="Verdana"/>
          <w:spacing w:val="-12"/>
          <w:sz w:val="16"/>
          <w:szCs w:val="16"/>
        </w:rPr>
        <w:t>á</w:t>
      </w:r>
      <w:r w:rsidRPr="00A87F14">
        <w:rPr>
          <w:rFonts w:ascii="Verdana" w:hAnsi="Verdana"/>
          <w:spacing w:val="-12"/>
          <w:sz w:val="16"/>
          <w:szCs w:val="16"/>
        </w:rPr>
        <w:t xml:space="preserve">n, abogada de la Secretaría Ejecutiva, como asesoras legales. </w:t>
      </w:r>
    </w:p>
  </w:footnote>
  <w:footnote w:id="9">
    <w:p w14:paraId="72E5883B" w14:textId="35FE9118" w:rsidR="00FE2511" w:rsidRPr="00A87F14" w:rsidRDefault="00FE2511" w:rsidP="00221603">
      <w:pPr>
        <w:autoSpaceDE w:val="0"/>
        <w:autoSpaceDN w:val="0"/>
        <w:adjustRightInd w:val="0"/>
        <w:spacing w:before="120" w:after="120" w:line="240" w:lineRule="auto"/>
        <w:jc w:val="both"/>
        <w:rPr>
          <w:rFonts w:ascii="Verdana" w:hAnsi="Verdana"/>
          <w:spacing w:val="-12"/>
          <w:sz w:val="16"/>
          <w:szCs w:val="16"/>
        </w:rPr>
      </w:pPr>
      <w:r w:rsidRPr="00A87F14">
        <w:rPr>
          <w:rFonts w:ascii="Verdana" w:eastAsia="Times New Roman" w:hAnsi="Verdana" w:cs="Times New Roman"/>
          <w:spacing w:val="-12"/>
          <w:sz w:val="16"/>
          <w:szCs w:val="16"/>
          <w:vertAlign w:val="superscript"/>
        </w:rPr>
        <w:footnoteRef/>
      </w:r>
      <w:r w:rsidRPr="00A87F14">
        <w:rPr>
          <w:rFonts w:ascii="Verdana" w:eastAsia="Times New Roman" w:hAnsi="Verdana" w:cs="Times New Roman"/>
          <w:spacing w:val="-12"/>
          <w:sz w:val="16"/>
          <w:szCs w:val="16"/>
          <w:vertAlign w:val="superscript"/>
        </w:rPr>
        <w:t xml:space="preserve"> </w:t>
      </w:r>
      <w:r w:rsidRPr="00A87F14">
        <w:rPr>
          <w:rFonts w:ascii="Verdana" w:eastAsia="Times New Roman" w:hAnsi="Verdana" w:cs="Times New Roman"/>
          <w:spacing w:val="-12"/>
          <w:sz w:val="16"/>
          <w:szCs w:val="16"/>
        </w:rPr>
        <w:tab/>
      </w:r>
      <w:r w:rsidRPr="00A87F14">
        <w:rPr>
          <w:rFonts w:ascii="Verdana" w:hAnsi="Verdana"/>
          <w:spacing w:val="-12"/>
          <w:sz w:val="16"/>
          <w:szCs w:val="16"/>
        </w:rPr>
        <w:t>El 15 de junio de 2017, siguiendo instrucciones del Presidente del Tribunal, la Secretaría se comunicó con el señor Nelson Caucoto Pereira, indicado como peticionario por la Comisión, y le solicitó que confirmara su representación de las presuntas víctimas y, de ser el caso, aportara un poder o documento en el cual constara tal acreditación y una manifestación clara de voluntad de aquéllas de ser representadas por él. Luego de solicitudes de otorgamiento de plazos adicionales y prórrogas, entre el 17 de julio y 8 de agosto de 2017 el señor Caucoto informó sobre sus comunicaciones con las presuntas víctimas y remitió varios mandatos de representación judicial otorgados por éstas. Al notificar el caso, se indicó, en cuanto a la representación de las presuntas víctimas, q</w:t>
      </w:r>
      <w:r>
        <w:rPr>
          <w:rFonts w:ascii="Verdana" w:hAnsi="Verdana"/>
          <w:spacing w:val="-12"/>
          <w:sz w:val="16"/>
          <w:szCs w:val="16"/>
        </w:rPr>
        <w:t>ue se había decidido notificarle</w:t>
      </w:r>
      <w:r w:rsidRPr="00A87F14">
        <w:rPr>
          <w:rFonts w:ascii="Verdana" w:hAnsi="Verdana"/>
          <w:spacing w:val="-12"/>
          <w:sz w:val="16"/>
          <w:szCs w:val="16"/>
        </w:rPr>
        <w:t xml:space="preserve"> sin perjuicio de que aún no habían sido recibidos algunos mandatos o poderes de representación, en el entendido de que el representante actuó como peticionario en nombre o a favor de todas las presuntas víctimas en el trámite ante la Comisión; que algunas presuntas víctimas han fallecido; que la mayoría de éstas habían otorgado mandatos de representación a favor del representante; y que éste había manifestado su voluntad de continuar con la representación de todas las presuntas víctimas y que aportaría los respectivos documentos a la brevedad posible o, en todo caso, continuaría</w:t>
      </w:r>
      <w:r>
        <w:rPr>
          <w:rFonts w:ascii="Verdana" w:hAnsi="Verdana"/>
          <w:spacing w:val="-12"/>
          <w:sz w:val="16"/>
          <w:szCs w:val="16"/>
        </w:rPr>
        <w:t xml:space="preserve"> actuando como agente oficioso.</w:t>
      </w:r>
      <w:r w:rsidRPr="00A87F14">
        <w:rPr>
          <w:rFonts w:ascii="Verdana" w:hAnsi="Verdana"/>
          <w:spacing w:val="-12"/>
          <w:sz w:val="16"/>
          <w:szCs w:val="16"/>
        </w:rPr>
        <w:t xml:space="preserve"> </w:t>
      </w:r>
    </w:p>
  </w:footnote>
  <w:footnote w:id="10">
    <w:p w14:paraId="6AA83E6F" w14:textId="1D2C816C" w:rsidR="00FE2511" w:rsidRPr="00A87F14" w:rsidRDefault="00FE2511" w:rsidP="00221603">
      <w:pPr>
        <w:autoSpaceDE w:val="0"/>
        <w:autoSpaceDN w:val="0"/>
        <w:adjustRightInd w:val="0"/>
        <w:spacing w:before="120" w:after="120" w:line="240" w:lineRule="auto"/>
        <w:jc w:val="both"/>
        <w:rPr>
          <w:rFonts w:ascii="Verdana" w:eastAsia="Times New Roman" w:hAnsi="Verdana" w:cs="Times New Roman"/>
          <w:spacing w:val="-12"/>
          <w:sz w:val="16"/>
          <w:szCs w:val="16"/>
        </w:rPr>
      </w:pPr>
      <w:r w:rsidRPr="00A87F14">
        <w:rPr>
          <w:rStyle w:val="Refdenotaalpie"/>
          <w:rFonts w:ascii="Verdana" w:hAnsi="Verdana"/>
          <w:spacing w:val="-12"/>
          <w:sz w:val="16"/>
          <w:szCs w:val="16"/>
        </w:rPr>
        <w:footnoteRef/>
      </w:r>
      <w:r w:rsidRPr="00A87F14">
        <w:rPr>
          <w:rFonts w:ascii="Verdana" w:hAnsi="Verdana"/>
          <w:sz w:val="16"/>
          <w:szCs w:val="16"/>
        </w:rPr>
        <w:t xml:space="preserve"> </w:t>
      </w:r>
      <w:r w:rsidRPr="00A87F14">
        <w:rPr>
          <w:rFonts w:ascii="Verdana" w:hAnsi="Verdana"/>
          <w:spacing w:val="-12"/>
          <w:sz w:val="16"/>
          <w:szCs w:val="16"/>
        </w:rPr>
        <w:tab/>
        <w:t xml:space="preserve">Según las constancias respectivas, el escrito de sometimiento del caso fue notificado al representante el 1 de septiembre de 2017 y ese mismo día fue despachado vía </w:t>
      </w:r>
      <w:r w:rsidRPr="00D66B27">
        <w:rPr>
          <w:rFonts w:ascii="Verdana" w:hAnsi="Verdana"/>
          <w:i/>
          <w:spacing w:val="-12"/>
          <w:sz w:val="16"/>
          <w:szCs w:val="16"/>
        </w:rPr>
        <w:t>courier</w:t>
      </w:r>
      <w:r w:rsidRPr="00A87F14">
        <w:rPr>
          <w:rFonts w:ascii="Verdana" w:hAnsi="Verdana"/>
          <w:spacing w:val="-12"/>
          <w:sz w:val="16"/>
          <w:szCs w:val="16"/>
        </w:rPr>
        <w:t xml:space="preserve"> junto con la totalidad de los anexos, los cuales fueron recibidos por aquél el 6 de septiembre siguiente. Es decir, al día siguiente comenzó a correr el plazo improrrogable de dos meses para la presentación del escrito de solicitudes, argumentos y pruebas. El referido escrito del representante fue recibido en la Corte el 10 de noviembre de 2017 y los anexos al mismo fueron recibidos ese día y el 30 de noviembre siguiente, es decir, fue presentado fuera del plazo procesal establecido en el artículo 40 del Reglamento. </w:t>
      </w:r>
    </w:p>
  </w:footnote>
  <w:footnote w:id="11">
    <w:p w14:paraId="53702408" w14:textId="7ED62FEF" w:rsidR="00FE2511" w:rsidRPr="00A87F14" w:rsidRDefault="00FE2511" w:rsidP="00221603">
      <w:pPr>
        <w:pStyle w:val="Textonotapie"/>
        <w:tabs>
          <w:tab w:val="left" w:pos="567"/>
        </w:tabs>
        <w:spacing w:before="120" w:after="120"/>
        <w:jc w:val="both"/>
        <w:rPr>
          <w:rFonts w:ascii="Verdana" w:hAnsi="Verdana"/>
          <w:spacing w:val="-12"/>
          <w:sz w:val="16"/>
          <w:szCs w:val="16"/>
        </w:rPr>
      </w:pPr>
      <w:r w:rsidRPr="00A87F14">
        <w:rPr>
          <w:rStyle w:val="Refdenotaalpie"/>
          <w:rFonts w:ascii="Verdana" w:hAnsi="Verdana"/>
          <w:spacing w:val="-12"/>
          <w:sz w:val="16"/>
          <w:szCs w:val="16"/>
        </w:rPr>
        <w:footnoteRef/>
      </w:r>
      <w:r w:rsidRPr="00A87F14">
        <w:rPr>
          <w:rFonts w:ascii="Verdana" w:hAnsi="Verdana"/>
          <w:spacing w:val="-12"/>
          <w:sz w:val="16"/>
          <w:szCs w:val="16"/>
        </w:rPr>
        <w:t xml:space="preserve"> </w:t>
      </w:r>
      <w:r w:rsidRPr="00A87F14">
        <w:rPr>
          <w:rFonts w:ascii="Verdana" w:hAnsi="Verdana"/>
          <w:spacing w:val="-12"/>
          <w:sz w:val="16"/>
          <w:szCs w:val="16"/>
        </w:rPr>
        <w:tab/>
        <w:t>El 3 de octubre de 2017 el Estado de Chile, a través del señor Ministro de Relaciones Exteriores y según lo dispuesto en los artículos 23 y 39.3 del Reglamento de la Corte, designó a los señores Hernán Quezada Cabrera, Óscar Alcaman Riffo, Sebastián Cabezas Chamorro y a la señora Diana Maquilón Tamayo como Agentes para este caso, así como a las señoritas Beatriz Contreras e Isidora Rojas Fermandois y a los señores Oliver López Serrano y Juan Pablo González Jansana, como Agentes Alternos. Luego de la contestación, el 13 de febrero de 2018 el Estado informó que los señores Quezada Cabrera y Cabezas Chamorro, así como el señor Juan Pablo González Jansana, continuarían como Agentes y que la señora Contreras y el señor López Serrano lo harían como Agentes Alternos.</w:t>
      </w:r>
      <w:r>
        <w:rPr>
          <w:rFonts w:ascii="Verdana" w:hAnsi="Verdana"/>
          <w:spacing w:val="-12"/>
          <w:sz w:val="16"/>
          <w:szCs w:val="16"/>
        </w:rPr>
        <w:t xml:space="preserve"> </w:t>
      </w:r>
      <w:r w:rsidRPr="00A87F14">
        <w:rPr>
          <w:rFonts w:ascii="Verdana" w:hAnsi="Verdana"/>
          <w:spacing w:val="-12"/>
          <w:sz w:val="16"/>
          <w:szCs w:val="16"/>
        </w:rPr>
        <w:t>El 13 de abril de 2018 el Estado comunicó que los señores Juan Pedro Pablo Crisóstomo Merino, Gonzalo Fernando Candia Falcón y Juan Pablo González Jansana actuarían como Agentes y el señor López Serrano y la señorita Consuelo Catalina Kla</w:t>
      </w:r>
      <w:r>
        <w:rPr>
          <w:rFonts w:ascii="Verdana" w:hAnsi="Verdana"/>
          <w:spacing w:val="-12"/>
          <w:sz w:val="16"/>
          <w:szCs w:val="16"/>
        </w:rPr>
        <w:t>a</w:t>
      </w:r>
      <w:r w:rsidRPr="00A87F14">
        <w:rPr>
          <w:rFonts w:ascii="Verdana" w:hAnsi="Verdana"/>
          <w:spacing w:val="-12"/>
          <w:sz w:val="16"/>
          <w:szCs w:val="16"/>
        </w:rPr>
        <w:t>ssen Burdiles como Agentes Alternos.</w:t>
      </w:r>
    </w:p>
  </w:footnote>
  <w:footnote w:id="12">
    <w:p w14:paraId="10231C7A" w14:textId="77777777" w:rsidR="00FE2511" w:rsidRPr="00A87F14" w:rsidRDefault="00FE2511" w:rsidP="00221603">
      <w:pPr>
        <w:pStyle w:val="Textonotapie"/>
        <w:spacing w:before="120" w:after="120"/>
        <w:jc w:val="both"/>
        <w:rPr>
          <w:rFonts w:ascii="Verdana" w:hAnsi="Verdana"/>
          <w:sz w:val="16"/>
          <w:szCs w:val="16"/>
        </w:rPr>
      </w:pPr>
      <w:r w:rsidRPr="00A87F14">
        <w:rPr>
          <w:rStyle w:val="Refdenotaalpie"/>
          <w:rFonts w:ascii="Verdana" w:hAnsi="Verdana"/>
          <w:spacing w:val="-12"/>
          <w:sz w:val="16"/>
          <w:szCs w:val="16"/>
        </w:rPr>
        <w:footnoteRef/>
      </w:r>
      <w:r w:rsidRPr="00A87F14">
        <w:rPr>
          <w:rFonts w:ascii="Verdana" w:hAnsi="Verdana"/>
          <w:sz w:val="16"/>
          <w:szCs w:val="16"/>
        </w:rPr>
        <w:t xml:space="preserve"> </w:t>
      </w:r>
      <w:r w:rsidRPr="00A87F14">
        <w:rPr>
          <w:rFonts w:ascii="Verdana" w:eastAsia="Times New Roman" w:hAnsi="Verdana" w:cs="Times New Roman"/>
          <w:spacing w:val="-12"/>
          <w:sz w:val="16"/>
          <w:szCs w:val="16"/>
        </w:rPr>
        <w:tab/>
        <w:t xml:space="preserve">En la comunicación de la Secretaría se recordó que el artículo 45 del Reglamento expresa una facultad de la Corte o su Presidente para determinar la pertinencia y necesidad de convocar a audiencia en cada caso, que ejercerán motivadamente y de manera consecuente con las características del caso, los requerimientos procesales que deriven de éstas y la debida preservación de los derechos de las partes. </w:t>
      </w:r>
    </w:p>
  </w:footnote>
  <w:footnote w:id="13">
    <w:p w14:paraId="0C69B213" w14:textId="64CEA192" w:rsidR="00FE2511" w:rsidRPr="00A87F14" w:rsidRDefault="00FE2511" w:rsidP="00221603">
      <w:pPr>
        <w:pStyle w:val="Textonotapie"/>
        <w:spacing w:before="120" w:after="120"/>
        <w:jc w:val="both"/>
        <w:rPr>
          <w:rFonts w:ascii="Verdana" w:eastAsia="Times New Roman" w:hAnsi="Verdana" w:cs="Times New Roman"/>
          <w:spacing w:val="-12"/>
          <w:sz w:val="16"/>
          <w:szCs w:val="16"/>
        </w:rPr>
      </w:pPr>
      <w:r w:rsidRPr="00A87F14">
        <w:rPr>
          <w:rStyle w:val="Refdenotaalpie"/>
          <w:rFonts w:ascii="Verdana" w:hAnsi="Verdana"/>
          <w:spacing w:val="-12"/>
          <w:sz w:val="16"/>
          <w:szCs w:val="16"/>
        </w:rPr>
        <w:footnoteRef/>
      </w:r>
      <w:r w:rsidRPr="00A87F14">
        <w:rPr>
          <w:rFonts w:ascii="Verdana" w:hAnsi="Verdana"/>
          <w:sz w:val="16"/>
          <w:szCs w:val="16"/>
        </w:rPr>
        <w:t xml:space="preserve"> </w:t>
      </w:r>
      <w:r w:rsidRPr="00A87F14">
        <w:rPr>
          <w:rFonts w:ascii="Verdana" w:eastAsia="Times New Roman" w:hAnsi="Verdana" w:cs="Times New Roman"/>
          <w:spacing w:val="-12"/>
          <w:sz w:val="16"/>
          <w:szCs w:val="16"/>
        </w:rPr>
        <w:tab/>
        <w:t>Además, se otorgó un plazo para que el representante y la Comisión presentaran observaciones respecto de documentos remitidos por el Estado como anexos a sus alegatos finales escritos. Luego de otorgada una prórroga, la Comisión manifestó que no tenía observaciones. El 2 de mayo de 2018 el representante presentó sus observaciones. El 29 de mayo siguiente el Estado solicitó que no se consideren las observaciones del representante y que no se admita el anexo al mismo. Mediante nota de Secretaría de 31 de mayo de 2018, se informó que la solicitud del Estado sería puesta en conocimiento del Presidente de la Corte y resuelta oportunamente.</w:t>
      </w:r>
    </w:p>
  </w:footnote>
  <w:footnote w:id="14">
    <w:p w14:paraId="7EAF9F8E" w14:textId="0FC80D46" w:rsidR="00FE2511" w:rsidRPr="00A87F14" w:rsidRDefault="00FE2511" w:rsidP="00221603">
      <w:pPr>
        <w:spacing w:before="120" w:after="120" w:line="240" w:lineRule="auto"/>
        <w:jc w:val="both"/>
        <w:rPr>
          <w:rFonts w:ascii="Verdana" w:eastAsia="Times New Roman" w:hAnsi="Verdana" w:cs="Times New Roman"/>
          <w:bCs/>
          <w:spacing w:val="-12"/>
          <w:sz w:val="16"/>
          <w:szCs w:val="16"/>
        </w:rPr>
      </w:pPr>
      <w:r w:rsidRPr="00A87F14">
        <w:rPr>
          <w:rStyle w:val="Refdenotaalpie"/>
          <w:rFonts w:ascii="Verdana" w:eastAsiaTheme="majorEastAsia" w:hAnsi="Verdana" w:cs="Palatino-Italic"/>
          <w:iCs/>
          <w:spacing w:val="-12"/>
          <w:sz w:val="16"/>
          <w:szCs w:val="16"/>
          <w:lang w:bidi="en-US"/>
        </w:rPr>
        <w:footnoteRef/>
      </w:r>
      <w:r w:rsidRPr="00A87F14">
        <w:rPr>
          <w:rFonts w:ascii="Verdana" w:hAnsi="Verdana"/>
          <w:sz w:val="16"/>
          <w:szCs w:val="16"/>
        </w:rPr>
        <w:t xml:space="preserve"> </w:t>
      </w:r>
      <w:r w:rsidRPr="00A87F14">
        <w:rPr>
          <w:rFonts w:ascii="Verdana" w:eastAsia="Times New Roman" w:hAnsi="Verdana" w:cs="Times New Roman"/>
          <w:bCs/>
          <w:spacing w:val="-12"/>
          <w:sz w:val="16"/>
          <w:szCs w:val="16"/>
        </w:rPr>
        <w:tab/>
        <w:t xml:space="preserve">El Estado se refirió a políticas públicas que </w:t>
      </w:r>
      <w:r>
        <w:rPr>
          <w:rFonts w:ascii="Verdana" w:eastAsia="Times New Roman" w:hAnsi="Verdana" w:cs="Times New Roman"/>
          <w:bCs/>
          <w:spacing w:val="-12"/>
          <w:sz w:val="16"/>
          <w:szCs w:val="16"/>
        </w:rPr>
        <w:t>han respondido</w:t>
      </w:r>
      <w:r w:rsidRPr="00A87F14">
        <w:rPr>
          <w:rFonts w:ascii="Verdana" w:eastAsia="Times New Roman" w:hAnsi="Verdana" w:cs="Times New Roman"/>
          <w:bCs/>
          <w:spacing w:val="-12"/>
          <w:sz w:val="16"/>
          <w:szCs w:val="16"/>
        </w:rPr>
        <w:t xml:space="preserve"> a la necesidad de buscar la verdad sobre las violaciones a los derechos humanos durante la dictadura: - la Comisión Nacional de Verdad y Reconciliación (CNVR, conocida como "Comisión Rettig"), establecida en abril de 1990 y que concluyó sus labores en febrero de 1991, que calificó a 2.279 víctimas de desaparición forzada y ejecutadas de 3.550 denuncias recibidas. - Corporación Nacional de Reparación y Reconciliación (CNRR) creada en febrero de 1992 con el propósito de coordinar, ejecutar y promover </w:t>
      </w:r>
      <w:r>
        <w:rPr>
          <w:rFonts w:ascii="Verdana" w:eastAsia="Times New Roman" w:hAnsi="Verdana" w:cs="Times New Roman"/>
          <w:bCs/>
          <w:spacing w:val="-12"/>
          <w:sz w:val="16"/>
          <w:szCs w:val="16"/>
        </w:rPr>
        <w:t xml:space="preserve">las recomendaciones propuestas </w:t>
      </w:r>
      <w:r w:rsidRPr="00A87F14">
        <w:rPr>
          <w:rFonts w:ascii="Verdana" w:eastAsia="Times New Roman" w:hAnsi="Verdana" w:cs="Times New Roman"/>
          <w:bCs/>
          <w:spacing w:val="-12"/>
          <w:sz w:val="16"/>
          <w:szCs w:val="16"/>
        </w:rPr>
        <w:t>por la CNVR, así como revisar los casos que ésta no pudo considerar debido a falta de antecedentes o que no fueron presentados a la instancia, dando cuenta en su informe de 899 víctimas. - Comisión Nacional de Prisión Política y Tortura ("Comisión Valech" o "Comisión Valech I"), creada el 2003 mediante el DS 1.040 y que tuvo por mandato determinar las personas que sufrieron privación de libertad y torturas por razones políticas, por actos de agentes del Estado o de personas a su servicio, en el período comprendido entre el 11 de septiembre de 1973 y el 10 de marzo de 1990 (existe actualmente un proyecto de ley que busca garantizar el acceso a la información recabada por la comisión "Valech I" para los tribunales de justicia). - Comisión Asesora para la Calificación de Detenidos Desaparecidos, Ejecutados Políticos y Víctimas de Prisión Política y Tortura (conocida como Comisión Valech II), creada por ley en diciembre de 2009, para recibir nuevos testimonios y antecedentes acerca de personas detenidas desaparecidas, ejecutadas políticas y víctimas de prisión política y tortura que no habían sido reconocidas en las comisiones anteriores, dando cuenta en su informe final de 2011 de 30 nuevos casos calificados de detenidos desaparecidos y ejecutados políticos y 9.795 prisioneros políticos y torturados (la Ley Nº20.405 extendió los beneficios reparatorios a los familiares de las víctimas calificadas y la Ley Nº 20.874 determinó la creación de un Aporte Único Reparatorio para calificados Valech y sus cónyuges sobrevivientes, que permite a las víctimas de prisión política y tortura solicitar al Instituto de Previsión Social (IPS) el pago de un aporte único de carácter reparatorio).</w:t>
      </w:r>
    </w:p>
    <w:p w14:paraId="32890193" w14:textId="7840AC8F" w:rsidR="00FE2511" w:rsidRPr="00A87F14" w:rsidRDefault="00FE2511" w:rsidP="00221603">
      <w:pPr>
        <w:spacing w:before="120" w:after="120" w:line="240" w:lineRule="auto"/>
        <w:jc w:val="both"/>
        <w:rPr>
          <w:rFonts w:ascii="Verdana" w:eastAsia="Times New Roman" w:hAnsi="Verdana" w:cs="Times New Roman"/>
          <w:bCs/>
          <w:spacing w:val="-12"/>
          <w:sz w:val="16"/>
          <w:szCs w:val="16"/>
        </w:rPr>
      </w:pPr>
      <w:r w:rsidRPr="00A87F14">
        <w:rPr>
          <w:rFonts w:ascii="Verdana" w:eastAsia="Times New Roman" w:hAnsi="Verdana" w:cs="Times New Roman"/>
          <w:bCs/>
          <w:spacing w:val="-12"/>
          <w:sz w:val="16"/>
          <w:szCs w:val="16"/>
        </w:rPr>
        <w:t>En materia de justicia, señaló</w:t>
      </w:r>
      <w:r>
        <w:rPr>
          <w:rFonts w:ascii="Verdana" w:eastAsia="Times New Roman" w:hAnsi="Verdana" w:cs="Times New Roman"/>
          <w:bCs/>
          <w:spacing w:val="-12"/>
          <w:sz w:val="16"/>
          <w:szCs w:val="16"/>
        </w:rPr>
        <w:t>: -</w:t>
      </w:r>
      <w:r w:rsidRPr="00A87F14">
        <w:rPr>
          <w:rFonts w:ascii="Verdana" w:eastAsia="Times New Roman" w:hAnsi="Verdana" w:cs="Times New Roman"/>
          <w:bCs/>
          <w:spacing w:val="-12"/>
          <w:sz w:val="16"/>
          <w:szCs w:val="16"/>
        </w:rPr>
        <w:t xml:space="preserve"> el Programa Continuación Ley 19.123 (Programa de Derechos Humanos), creado en junio de 1997 para prestar asesoría legal y social a los familiares de las víctimas ca</w:t>
      </w:r>
      <w:r>
        <w:rPr>
          <w:rFonts w:ascii="Verdana" w:eastAsia="Times New Roman" w:hAnsi="Verdana" w:cs="Times New Roman"/>
          <w:bCs/>
          <w:spacing w:val="-12"/>
          <w:sz w:val="16"/>
          <w:szCs w:val="16"/>
        </w:rPr>
        <w:t>lificadas por la CNVR y la CNRR, el cual, c</w:t>
      </w:r>
      <w:r w:rsidRPr="00A87F14">
        <w:rPr>
          <w:rFonts w:ascii="Verdana" w:eastAsia="Times New Roman" w:hAnsi="Verdana" w:cs="Times New Roman"/>
          <w:bCs/>
          <w:spacing w:val="-12"/>
          <w:sz w:val="16"/>
          <w:szCs w:val="16"/>
        </w:rPr>
        <w:t xml:space="preserve">on la creación de la Subsecretaría de Derechos Humanos (SDH), dicho Programa (hoy, Unidad Programa de Derechos Humanos - UPDDHH) se trasladó desde el MINSP al Ministerio de Justicia y Derechos Humanos (MINJUDH). </w:t>
      </w:r>
      <w:r>
        <w:rPr>
          <w:rFonts w:ascii="Verdana" w:eastAsia="Times New Roman" w:hAnsi="Verdana" w:cs="Times New Roman"/>
          <w:bCs/>
          <w:spacing w:val="-12"/>
          <w:sz w:val="16"/>
          <w:szCs w:val="16"/>
        </w:rPr>
        <w:t xml:space="preserve">- </w:t>
      </w:r>
      <w:r w:rsidRPr="00A87F14">
        <w:rPr>
          <w:rFonts w:ascii="Verdana" w:eastAsia="Times New Roman" w:hAnsi="Verdana" w:cs="Times New Roman"/>
          <w:bCs/>
          <w:spacing w:val="-12"/>
          <w:sz w:val="16"/>
          <w:szCs w:val="16"/>
        </w:rPr>
        <w:t xml:space="preserve">La Mesa Interinstitucional para auxiliar a la justicia en la búsqueda de víctimas de desaparición forzada funciona desde 2016. </w:t>
      </w:r>
      <w:r>
        <w:rPr>
          <w:rFonts w:ascii="Verdana" w:eastAsia="Times New Roman" w:hAnsi="Verdana" w:cs="Times New Roman"/>
          <w:bCs/>
          <w:spacing w:val="-12"/>
          <w:sz w:val="16"/>
          <w:szCs w:val="16"/>
        </w:rPr>
        <w:t xml:space="preserve">- </w:t>
      </w:r>
      <w:r w:rsidRPr="00A87F14">
        <w:rPr>
          <w:rFonts w:ascii="Verdana" w:eastAsia="Times New Roman" w:hAnsi="Verdana" w:cs="Times New Roman"/>
          <w:bCs/>
          <w:spacing w:val="-12"/>
          <w:sz w:val="16"/>
          <w:szCs w:val="16"/>
        </w:rPr>
        <w:t xml:space="preserve">La Mesa Interinstitucional de Patio 29 funciona desde octubre de 2015. </w:t>
      </w:r>
      <w:r>
        <w:rPr>
          <w:rFonts w:ascii="Verdana" w:eastAsia="Times New Roman" w:hAnsi="Verdana" w:cs="Times New Roman"/>
          <w:bCs/>
          <w:spacing w:val="-12"/>
          <w:sz w:val="16"/>
          <w:szCs w:val="16"/>
        </w:rPr>
        <w:t>-</w:t>
      </w:r>
      <w:r w:rsidRPr="00A87F14">
        <w:rPr>
          <w:rFonts w:ascii="Verdana" w:eastAsia="Times New Roman" w:hAnsi="Verdana" w:cs="Times New Roman"/>
          <w:bCs/>
          <w:spacing w:val="-12"/>
          <w:sz w:val="16"/>
          <w:szCs w:val="16"/>
        </w:rPr>
        <w:t xml:space="preserve"> unidades o departamentos de derechos humanos</w:t>
      </w:r>
      <w:r>
        <w:rPr>
          <w:rFonts w:ascii="Verdana" w:eastAsia="Times New Roman" w:hAnsi="Verdana" w:cs="Times New Roman"/>
          <w:bCs/>
          <w:spacing w:val="-12"/>
          <w:sz w:val="16"/>
          <w:szCs w:val="16"/>
        </w:rPr>
        <w:t xml:space="preserve">, parte del Poder Ejecutivo, </w:t>
      </w:r>
      <w:r w:rsidRPr="00A87F14">
        <w:rPr>
          <w:rFonts w:ascii="Verdana" w:eastAsia="Times New Roman" w:hAnsi="Verdana" w:cs="Times New Roman"/>
          <w:bCs/>
          <w:spacing w:val="-12"/>
          <w:sz w:val="16"/>
          <w:szCs w:val="16"/>
        </w:rPr>
        <w:t xml:space="preserve">que </w:t>
      </w:r>
      <w:r>
        <w:rPr>
          <w:rFonts w:ascii="Verdana" w:eastAsia="Times New Roman" w:hAnsi="Verdana" w:cs="Times New Roman"/>
          <w:bCs/>
          <w:spacing w:val="-12"/>
          <w:sz w:val="16"/>
          <w:szCs w:val="16"/>
        </w:rPr>
        <w:t>ejecutan</w:t>
      </w:r>
      <w:r w:rsidRPr="00A87F14">
        <w:rPr>
          <w:rFonts w:ascii="Verdana" w:eastAsia="Times New Roman" w:hAnsi="Verdana" w:cs="Times New Roman"/>
          <w:bCs/>
          <w:spacing w:val="-12"/>
          <w:sz w:val="16"/>
          <w:szCs w:val="16"/>
        </w:rPr>
        <w:t xml:space="preserve"> órde</w:t>
      </w:r>
      <w:r>
        <w:rPr>
          <w:rFonts w:ascii="Verdana" w:eastAsia="Times New Roman" w:hAnsi="Verdana" w:cs="Times New Roman"/>
          <w:bCs/>
          <w:spacing w:val="-12"/>
          <w:sz w:val="16"/>
          <w:szCs w:val="16"/>
        </w:rPr>
        <w:t>nes judiciales de investigación</w:t>
      </w:r>
      <w:r w:rsidRPr="00A87F14">
        <w:rPr>
          <w:rFonts w:ascii="Verdana" w:eastAsia="Times New Roman" w:hAnsi="Verdana" w:cs="Times New Roman"/>
          <w:bCs/>
          <w:spacing w:val="-12"/>
          <w:sz w:val="16"/>
          <w:szCs w:val="16"/>
        </w:rPr>
        <w:t xml:space="preserve">. </w:t>
      </w:r>
      <w:r>
        <w:rPr>
          <w:rFonts w:ascii="Verdana" w:eastAsia="Times New Roman" w:hAnsi="Verdana" w:cs="Times New Roman"/>
          <w:bCs/>
          <w:spacing w:val="-12"/>
          <w:sz w:val="16"/>
          <w:szCs w:val="16"/>
        </w:rPr>
        <w:t xml:space="preserve">- </w:t>
      </w:r>
      <w:r w:rsidRPr="00A87F14">
        <w:rPr>
          <w:rFonts w:ascii="Verdana" w:eastAsia="Times New Roman" w:hAnsi="Verdana" w:cs="Times New Roman"/>
          <w:bCs/>
          <w:spacing w:val="-12"/>
          <w:sz w:val="16"/>
          <w:szCs w:val="16"/>
        </w:rPr>
        <w:t xml:space="preserve">En los últimos 28 años, el Poder Judicial ha incorporado estándares de derechos humanos en sus sentencias sobre las causas de la dictadura. </w:t>
      </w:r>
      <w:r>
        <w:rPr>
          <w:rFonts w:ascii="Verdana" w:eastAsia="Times New Roman" w:hAnsi="Verdana" w:cs="Times New Roman"/>
          <w:bCs/>
          <w:spacing w:val="-12"/>
          <w:sz w:val="16"/>
          <w:szCs w:val="16"/>
        </w:rPr>
        <w:t xml:space="preserve">- </w:t>
      </w:r>
      <w:r w:rsidRPr="00A87F14">
        <w:rPr>
          <w:rFonts w:ascii="Verdana" w:eastAsia="Times New Roman" w:hAnsi="Verdana" w:cs="Times New Roman"/>
          <w:bCs/>
          <w:spacing w:val="-12"/>
          <w:sz w:val="16"/>
          <w:szCs w:val="16"/>
        </w:rPr>
        <w:t>Respecto de colaboración internacional en materia judicial, la</w:t>
      </w:r>
      <w:r>
        <w:rPr>
          <w:rFonts w:ascii="Verdana" w:eastAsia="Times New Roman" w:hAnsi="Verdana" w:cs="Times New Roman"/>
          <w:bCs/>
          <w:spacing w:val="-12"/>
          <w:sz w:val="16"/>
          <w:szCs w:val="16"/>
        </w:rPr>
        <w:t>s</w:t>
      </w:r>
      <w:r w:rsidRPr="00A87F14">
        <w:rPr>
          <w:rFonts w:ascii="Verdana" w:eastAsia="Times New Roman" w:hAnsi="Verdana" w:cs="Times New Roman"/>
          <w:bCs/>
          <w:spacing w:val="-12"/>
          <w:sz w:val="16"/>
          <w:szCs w:val="16"/>
        </w:rPr>
        <w:t xml:space="preserve"> República</w:t>
      </w:r>
      <w:r>
        <w:rPr>
          <w:rFonts w:ascii="Verdana" w:eastAsia="Times New Roman" w:hAnsi="Verdana" w:cs="Times New Roman"/>
          <w:bCs/>
          <w:spacing w:val="-12"/>
          <w:sz w:val="16"/>
          <w:szCs w:val="16"/>
        </w:rPr>
        <w:t>s</w:t>
      </w:r>
      <w:r w:rsidRPr="00A87F14">
        <w:rPr>
          <w:rFonts w:ascii="Verdana" w:eastAsia="Times New Roman" w:hAnsi="Verdana" w:cs="Times New Roman"/>
          <w:bCs/>
          <w:spacing w:val="-12"/>
          <w:sz w:val="16"/>
          <w:szCs w:val="16"/>
        </w:rPr>
        <w:t xml:space="preserve"> de Chile y Argentina, Brasil y Uruguay </w:t>
      </w:r>
      <w:r>
        <w:rPr>
          <w:rFonts w:ascii="Verdana" w:eastAsia="Times New Roman" w:hAnsi="Verdana" w:cs="Times New Roman"/>
          <w:bCs/>
          <w:spacing w:val="-12"/>
          <w:sz w:val="16"/>
          <w:szCs w:val="16"/>
        </w:rPr>
        <w:t>celebraron</w:t>
      </w:r>
      <w:r w:rsidRPr="00A87F14">
        <w:rPr>
          <w:rFonts w:ascii="Verdana" w:eastAsia="Times New Roman" w:hAnsi="Verdana" w:cs="Times New Roman"/>
          <w:bCs/>
          <w:spacing w:val="-12"/>
          <w:sz w:val="16"/>
          <w:szCs w:val="16"/>
        </w:rPr>
        <w:t xml:space="preserve"> en 2014 un Memorándum de Entendimiento para el intercambio de documentación </w:t>
      </w:r>
      <w:r>
        <w:rPr>
          <w:rFonts w:ascii="Verdana" w:eastAsia="Times New Roman" w:hAnsi="Verdana" w:cs="Times New Roman"/>
          <w:bCs/>
          <w:spacing w:val="-12"/>
          <w:sz w:val="16"/>
          <w:szCs w:val="16"/>
        </w:rPr>
        <w:t xml:space="preserve">y </w:t>
      </w:r>
      <w:r w:rsidRPr="00A87F14">
        <w:rPr>
          <w:rFonts w:ascii="Verdana" w:eastAsia="Times New Roman" w:hAnsi="Verdana" w:cs="Times New Roman"/>
          <w:bCs/>
          <w:spacing w:val="-12"/>
          <w:sz w:val="16"/>
          <w:szCs w:val="16"/>
        </w:rPr>
        <w:t>archivos relativos a graves violaciones a los derechos humanos ocurridas en las di</w:t>
      </w:r>
      <w:r>
        <w:rPr>
          <w:rFonts w:ascii="Verdana" w:eastAsia="Times New Roman" w:hAnsi="Verdana" w:cs="Times New Roman"/>
          <w:bCs/>
          <w:spacing w:val="-12"/>
          <w:sz w:val="16"/>
          <w:szCs w:val="16"/>
        </w:rPr>
        <w:t>ctaduras militares de la región;</w:t>
      </w:r>
      <w:r w:rsidRPr="00A87F14">
        <w:rPr>
          <w:rFonts w:ascii="Verdana" w:eastAsia="Times New Roman" w:hAnsi="Verdana" w:cs="Times New Roman"/>
          <w:bCs/>
          <w:spacing w:val="-12"/>
          <w:sz w:val="16"/>
          <w:szCs w:val="16"/>
        </w:rPr>
        <w:t xml:space="preserve"> </w:t>
      </w:r>
      <w:r>
        <w:rPr>
          <w:rFonts w:ascii="Verdana" w:eastAsia="Times New Roman" w:hAnsi="Verdana" w:cs="Times New Roman"/>
          <w:bCs/>
          <w:spacing w:val="-12"/>
          <w:sz w:val="16"/>
          <w:szCs w:val="16"/>
        </w:rPr>
        <w:t>e</w:t>
      </w:r>
      <w:r w:rsidRPr="00A87F14">
        <w:rPr>
          <w:rFonts w:ascii="Verdana" w:eastAsia="Times New Roman" w:hAnsi="Verdana" w:cs="Times New Roman"/>
          <w:bCs/>
          <w:spacing w:val="-12"/>
          <w:sz w:val="16"/>
          <w:szCs w:val="16"/>
        </w:rPr>
        <w:t>n el marco de la Reunión de Altas Autoridades de Derechos Humanos del MERCOSUR (RAADH), se aprobó el MOU entre los países del MERCOSUR y los países asociados</w:t>
      </w:r>
    </w:p>
    <w:p w14:paraId="4D0E28F6" w14:textId="718A14FE" w:rsidR="00FE2511" w:rsidRPr="00A87F14" w:rsidRDefault="00FE2511" w:rsidP="00221603">
      <w:pPr>
        <w:spacing w:before="120" w:after="120" w:line="240" w:lineRule="auto"/>
        <w:jc w:val="both"/>
        <w:rPr>
          <w:rFonts w:ascii="Verdana" w:eastAsia="Times New Roman" w:hAnsi="Verdana" w:cs="Times New Roman"/>
          <w:bCs/>
          <w:spacing w:val="-12"/>
          <w:sz w:val="16"/>
          <w:szCs w:val="16"/>
        </w:rPr>
      </w:pPr>
      <w:r w:rsidRPr="00A87F14">
        <w:rPr>
          <w:rFonts w:ascii="Verdana" w:eastAsia="Times New Roman" w:hAnsi="Verdana" w:cs="Times New Roman"/>
          <w:bCs/>
          <w:spacing w:val="-12"/>
          <w:sz w:val="16"/>
          <w:szCs w:val="16"/>
        </w:rPr>
        <w:t>En materia de reparaciones, Chile ha desarrollado una política de reparación integral, mediante diversas compensac</w:t>
      </w:r>
      <w:r>
        <w:rPr>
          <w:rFonts w:ascii="Verdana" w:eastAsia="Times New Roman" w:hAnsi="Verdana" w:cs="Times New Roman"/>
          <w:bCs/>
          <w:spacing w:val="-12"/>
          <w:sz w:val="16"/>
          <w:szCs w:val="16"/>
        </w:rPr>
        <w:t>iones materiales e inmateriales</w:t>
      </w:r>
      <w:r w:rsidRPr="00A87F14">
        <w:rPr>
          <w:rFonts w:ascii="Verdana" w:eastAsia="Times New Roman" w:hAnsi="Verdana" w:cs="Times New Roman"/>
          <w:bCs/>
          <w:spacing w:val="-12"/>
          <w:sz w:val="16"/>
          <w:szCs w:val="16"/>
        </w:rPr>
        <w:t>: la Ley Nº19.123, y su modificatoria Ley Nº19.980, que estableció beneficios en favor de los familiares de las víctimas calificadas por la CNVR y la CNRR, extendidos a los casos calificados por la Comisión Valech II (pensión de reparación para familiares; bono de reparación destinado a hijos/as de víctimas mayores de 25 años que no hubiesen accedido al beneficio de pensión; 200 bonificaciones compensatorias para familiares no contemplados en la normativa, situaciones particulares de causantes de pensión pero sin beneficiarios, convivientes, entre otros casos; beneficios educacionales y médicos; exención del cumplimiento obligatorio del servicio militar para hijos/as de víctimas; y creación del PRAIS, bajo dependencia del Ministerio de Salud, para asistencia gratuita en salud a las víctimas y familiares). Se dictó la Ley Nº20.377 sobre Declaración de Ausencia por desaparición forzada. Por último, a través de la UPDDHH, se brinda apoyo psicosocial a los familiares de las víctimas.</w:t>
      </w:r>
    </w:p>
    <w:p w14:paraId="334646ED" w14:textId="77777777" w:rsidR="00FE2511" w:rsidRPr="00A87F14" w:rsidRDefault="00FE2511" w:rsidP="00221603">
      <w:pPr>
        <w:spacing w:before="120" w:after="120" w:line="240" w:lineRule="auto"/>
        <w:jc w:val="both"/>
        <w:rPr>
          <w:rFonts w:ascii="Verdana" w:eastAsia="Times New Roman" w:hAnsi="Verdana" w:cs="Times New Roman"/>
          <w:bCs/>
          <w:spacing w:val="-12"/>
          <w:sz w:val="16"/>
          <w:szCs w:val="16"/>
        </w:rPr>
      </w:pPr>
      <w:r w:rsidRPr="00A87F14">
        <w:rPr>
          <w:rFonts w:ascii="Verdana" w:eastAsia="Times New Roman" w:hAnsi="Verdana" w:cs="Times New Roman"/>
          <w:bCs/>
          <w:spacing w:val="-12"/>
          <w:sz w:val="16"/>
          <w:szCs w:val="16"/>
        </w:rPr>
        <w:t>En cuanto a reparación simbólica, señaló que, hasta el 2002, las manifestaciones de parte del Estado habían sido aisladas (construcción del Memorial del Detenido Desaparecido y Ejecutado Político del Cementerio General (1994), Monumento a Salvador Allende (2000), Parque por la Paz Villa Grimaldi (1997), Monumento Histórico Nacional Hornos de Lonquén (1996), entre otros). Luego, acogiendo demandas de familiares y las recomendaciones de la CNVR, la UPDDHH destina parte de su presupuesto a la construcción de memoriales, mantención de sitios históricos de memoria y otras formas de reparación simbólica. Además, se han adoptado medidas para promover la memoria histórica (a partir de 2014 la Mesa Interinstitucional de Memoria; en 2010 fue inaugurado el Museo de la Memoria y los DDHH y en 2006 fue instituido el día 30 de agosto como el Día Nacional del Detenido Desaparecido).</w:t>
      </w:r>
    </w:p>
  </w:footnote>
  <w:footnote w:id="15">
    <w:p w14:paraId="2A1BB89B" w14:textId="77777777" w:rsidR="00FE2511" w:rsidRPr="00A87F14" w:rsidRDefault="00FE2511" w:rsidP="00221603">
      <w:pPr>
        <w:pStyle w:val="Textonotapie"/>
        <w:spacing w:before="120" w:after="120"/>
        <w:jc w:val="both"/>
        <w:rPr>
          <w:rFonts w:ascii="Verdana" w:hAnsi="Verdana"/>
          <w:sz w:val="16"/>
          <w:szCs w:val="16"/>
        </w:rPr>
      </w:pPr>
      <w:r w:rsidRPr="00A87F14">
        <w:rPr>
          <w:rStyle w:val="Refdenotaalpie"/>
          <w:rFonts w:ascii="Verdana" w:eastAsiaTheme="majorEastAsia" w:hAnsi="Verdana" w:cs="Palatino-Italic"/>
          <w:iCs/>
          <w:spacing w:val="-12"/>
          <w:sz w:val="16"/>
          <w:szCs w:val="16"/>
          <w:lang w:bidi="en-US"/>
        </w:rPr>
        <w:footnoteRef/>
      </w:r>
      <w:r w:rsidRPr="00A87F14">
        <w:rPr>
          <w:rFonts w:ascii="Verdana" w:hAnsi="Verdana"/>
          <w:sz w:val="16"/>
          <w:szCs w:val="16"/>
        </w:rPr>
        <w:t xml:space="preserve"> </w:t>
      </w:r>
      <w:r w:rsidRPr="00A87F14">
        <w:rPr>
          <w:rFonts w:ascii="Verdana" w:eastAsia="Times New Roman" w:hAnsi="Verdana" w:cs="Times New Roman"/>
          <w:bCs/>
          <w:spacing w:val="-12"/>
          <w:sz w:val="16"/>
          <w:szCs w:val="16"/>
        </w:rPr>
        <w:tab/>
        <w:t>El representante remitió copias de tres escritos recientes del Consejo de Defensa del Estado en que éste contestó demandas interpuestas por él en causas pendiente ante la judicatura interna.</w:t>
      </w:r>
    </w:p>
  </w:footnote>
  <w:footnote w:id="16">
    <w:p w14:paraId="0485E93B" w14:textId="51D080FC" w:rsidR="00FE2511" w:rsidRPr="00A87F14" w:rsidRDefault="00FE2511" w:rsidP="00221603">
      <w:pPr>
        <w:pStyle w:val="Textonotapie"/>
        <w:spacing w:before="120" w:after="120"/>
        <w:jc w:val="both"/>
        <w:rPr>
          <w:rFonts w:ascii="Verdana" w:eastAsia="Times New Roman" w:hAnsi="Verdana" w:cs="Times New Roman"/>
          <w:bCs/>
          <w:spacing w:val="-12"/>
          <w:sz w:val="16"/>
          <w:szCs w:val="16"/>
        </w:rPr>
      </w:pPr>
      <w:r w:rsidRPr="00A87F14">
        <w:rPr>
          <w:rStyle w:val="Refdenotaalpie"/>
          <w:rFonts w:ascii="Verdana" w:eastAsiaTheme="majorEastAsia" w:hAnsi="Verdana" w:cs="Palatino-Italic"/>
          <w:iCs/>
          <w:spacing w:val="-12"/>
          <w:sz w:val="16"/>
          <w:szCs w:val="16"/>
          <w:lang w:bidi="en-US"/>
        </w:rPr>
        <w:footnoteRef/>
      </w:r>
      <w:r w:rsidRPr="00A87F14">
        <w:rPr>
          <w:rFonts w:ascii="Verdana" w:hAnsi="Verdana"/>
          <w:sz w:val="16"/>
          <w:szCs w:val="16"/>
        </w:rPr>
        <w:t xml:space="preserve"> </w:t>
      </w:r>
      <w:r w:rsidRPr="00A87F14">
        <w:rPr>
          <w:rFonts w:ascii="Verdana" w:eastAsia="Times New Roman" w:hAnsi="Verdana" w:cs="Times New Roman"/>
          <w:bCs/>
          <w:spacing w:val="-12"/>
          <w:sz w:val="16"/>
          <w:szCs w:val="16"/>
        </w:rPr>
        <w:tab/>
        <w:t xml:space="preserve">El representante planteó las siguientes solicitudes en su escrito de observaciones sobre el reconocimiento estatal: </w:t>
      </w:r>
    </w:p>
    <w:p w14:paraId="20512486" w14:textId="7F9E6D54" w:rsidR="00FE2511" w:rsidRPr="00A87F14" w:rsidRDefault="00FE2511" w:rsidP="00221603">
      <w:pPr>
        <w:pStyle w:val="Textonotapie"/>
        <w:spacing w:before="120" w:after="120"/>
        <w:ind w:left="142"/>
        <w:jc w:val="both"/>
        <w:rPr>
          <w:rFonts w:ascii="Verdana" w:eastAsia="Times New Roman" w:hAnsi="Verdana" w:cs="Times New Roman"/>
          <w:bCs/>
          <w:spacing w:val="-12"/>
          <w:sz w:val="16"/>
          <w:szCs w:val="16"/>
        </w:rPr>
      </w:pPr>
      <w:r w:rsidRPr="00A87F14">
        <w:rPr>
          <w:rFonts w:ascii="Verdana" w:eastAsia="Times New Roman" w:hAnsi="Verdana" w:cs="Times New Roman"/>
          <w:bCs/>
          <w:spacing w:val="-12"/>
          <w:sz w:val="16"/>
          <w:szCs w:val="16"/>
        </w:rPr>
        <w:t>1) El Estado deberá formular una declaración expresa, en el caso concreto, en cuanto a que la prescripción extintiva no es aplicable a las acciones civiles que emanen de crímenes de derecho internacional -particularmente, crímenes de guerra y de lesa humanidad, como los verificados en Chile en el pasado -, que se dirigen a reparar el daño causado a los peticionarios y familiares de</w:t>
      </w:r>
      <w:r>
        <w:rPr>
          <w:rFonts w:ascii="Verdana" w:eastAsia="Times New Roman" w:hAnsi="Verdana" w:cs="Times New Roman"/>
          <w:bCs/>
          <w:spacing w:val="-12"/>
          <w:sz w:val="16"/>
          <w:szCs w:val="16"/>
        </w:rPr>
        <w:t xml:space="preserve"> las víctimas de estos crímenes</w:t>
      </w:r>
      <w:r w:rsidRPr="00A87F14">
        <w:rPr>
          <w:rFonts w:ascii="Verdana" w:eastAsia="Times New Roman" w:hAnsi="Verdana" w:cs="Times New Roman"/>
          <w:bCs/>
          <w:spacing w:val="-12"/>
          <w:sz w:val="16"/>
          <w:szCs w:val="16"/>
        </w:rPr>
        <w:t xml:space="preserve">. </w:t>
      </w:r>
    </w:p>
    <w:p w14:paraId="63F2E2F9" w14:textId="77777777" w:rsidR="00FE2511" w:rsidRPr="00A87F14" w:rsidRDefault="00FE2511" w:rsidP="00221603">
      <w:pPr>
        <w:pStyle w:val="Textonotapie"/>
        <w:spacing w:before="120" w:after="120"/>
        <w:ind w:left="142"/>
        <w:jc w:val="both"/>
        <w:rPr>
          <w:rFonts w:ascii="Verdana" w:eastAsia="Times New Roman" w:hAnsi="Verdana" w:cs="Times New Roman"/>
          <w:bCs/>
          <w:spacing w:val="-12"/>
          <w:sz w:val="16"/>
          <w:szCs w:val="16"/>
        </w:rPr>
      </w:pPr>
      <w:r w:rsidRPr="00A87F14">
        <w:rPr>
          <w:rFonts w:ascii="Verdana" w:eastAsia="Times New Roman" w:hAnsi="Verdana" w:cs="Times New Roman"/>
          <w:bCs/>
          <w:spacing w:val="-12"/>
          <w:sz w:val="16"/>
          <w:szCs w:val="16"/>
        </w:rPr>
        <w:t>2) El Estado, a través del Poder Judicial o del órgano que determine, podría definir un mecanismo jurídico que permita dejar sin efecto o anular los fallos judiciales denunciados, únicamente en lo relativo a la declaración de la prescripción de la acción civil o en su parte civil, por tratarse de crímenes de derecho internacional, o bien, definir algún remedio jurídico, administrativo o de cualquier naturaleza, por el cual se dé lugar a la reparación e indemnizaciones que correspondan, resguardando que sea un mecanismo rápido, efectivo, eficaz.</w:t>
      </w:r>
    </w:p>
    <w:p w14:paraId="77FA506E" w14:textId="3B9F973E" w:rsidR="00FE2511" w:rsidRPr="00A87F14" w:rsidRDefault="00FE2511" w:rsidP="00221603">
      <w:pPr>
        <w:autoSpaceDE w:val="0"/>
        <w:autoSpaceDN w:val="0"/>
        <w:adjustRightInd w:val="0"/>
        <w:spacing w:before="120" w:after="120" w:line="240" w:lineRule="auto"/>
        <w:ind w:left="142"/>
        <w:jc w:val="both"/>
        <w:rPr>
          <w:rFonts w:ascii="Verdana" w:eastAsia="Times New Roman" w:hAnsi="Verdana" w:cs="Times New Roman"/>
          <w:bCs/>
          <w:spacing w:val="-12"/>
          <w:sz w:val="16"/>
          <w:szCs w:val="16"/>
        </w:rPr>
      </w:pPr>
      <w:r w:rsidRPr="00A87F14">
        <w:rPr>
          <w:rFonts w:ascii="Verdana" w:eastAsia="Times New Roman" w:hAnsi="Verdana" w:cs="Times New Roman"/>
          <w:bCs/>
          <w:spacing w:val="-12"/>
          <w:sz w:val="16"/>
          <w:szCs w:val="16"/>
        </w:rPr>
        <w:t xml:space="preserve">3) En relación con la cuantía o monto de la reparación, </w:t>
      </w:r>
      <w:r>
        <w:rPr>
          <w:rFonts w:ascii="Verdana" w:eastAsia="Times New Roman" w:hAnsi="Verdana" w:cs="Times New Roman"/>
          <w:bCs/>
          <w:spacing w:val="-12"/>
          <w:sz w:val="16"/>
          <w:szCs w:val="16"/>
        </w:rPr>
        <w:t xml:space="preserve">se puede </w:t>
      </w:r>
      <w:r w:rsidRPr="00A87F14">
        <w:rPr>
          <w:rFonts w:ascii="Verdana" w:eastAsia="Times New Roman" w:hAnsi="Verdana" w:cs="Times New Roman"/>
          <w:bCs/>
          <w:spacing w:val="-12"/>
          <w:sz w:val="16"/>
          <w:szCs w:val="16"/>
        </w:rPr>
        <w:t xml:space="preserve">tener en cuenta, como criterios para determinarla, aquellos contenidos en la jurisprudencia de la Corte; en los Principios para la Protección y Promoción de los Derechos Humanos mediante la Lucha contra la Impunidad (Naciones Unidas, 2005); en soluciones previas adoptadas (como en el caso Carmelo Soria Espinoza ante la Comisión, en que el Estado </w:t>
      </w:r>
      <w:r>
        <w:rPr>
          <w:rFonts w:ascii="Verdana" w:eastAsia="Times New Roman" w:hAnsi="Verdana" w:cs="Times New Roman"/>
          <w:bCs/>
          <w:spacing w:val="-12"/>
          <w:sz w:val="16"/>
          <w:szCs w:val="16"/>
        </w:rPr>
        <w:t xml:space="preserve">se </w:t>
      </w:r>
      <w:r w:rsidRPr="00A87F14">
        <w:rPr>
          <w:rFonts w:ascii="Verdana" w:eastAsia="Times New Roman" w:hAnsi="Verdana" w:cs="Times New Roman"/>
          <w:bCs/>
          <w:spacing w:val="-12"/>
          <w:sz w:val="16"/>
          <w:szCs w:val="16"/>
        </w:rPr>
        <w:t xml:space="preserve">comprometió en acuerdo de cumplimiento a pagar la suma de un millón quinientos mil dólares a su familia por concepto de indemnización, o en el caso de Orlando Letelier y Ronni Moffit, en que la Comisión “Bryan” estadounidense dispuso, entre otras, el pago de una compensación </w:t>
      </w:r>
      <w:r w:rsidRPr="00A87F14">
        <w:rPr>
          <w:rFonts w:ascii="Verdana" w:eastAsia="Times New Roman" w:hAnsi="Verdana" w:cs="Times New Roman"/>
          <w:bCs/>
          <w:i/>
          <w:spacing w:val="-12"/>
          <w:sz w:val="16"/>
          <w:szCs w:val="16"/>
        </w:rPr>
        <w:t>ex gratia</w:t>
      </w:r>
      <w:r w:rsidRPr="00A87F14">
        <w:rPr>
          <w:rFonts w:ascii="Verdana" w:eastAsia="Times New Roman" w:hAnsi="Verdana" w:cs="Times New Roman"/>
          <w:bCs/>
          <w:spacing w:val="-12"/>
          <w:sz w:val="16"/>
          <w:szCs w:val="16"/>
        </w:rPr>
        <w:t xml:space="preserve"> fijada por concepto de daños morales de US$ 160.000,00 a favor de la viuda y de US$ 80.000,00 a cada uno de los cuatro hijos); así como los estándares actualmente aplicables por la judicatura chilena.</w:t>
      </w:r>
    </w:p>
    <w:p w14:paraId="58EC9454" w14:textId="0AA01AC8" w:rsidR="00FE2511" w:rsidRPr="00A87F14" w:rsidRDefault="00FE2511" w:rsidP="00221603">
      <w:pPr>
        <w:pStyle w:val="Textonotapie"/>
        <w:spacing w:before="120" w:after="120"/>
        <w:ind w:left="142"/>
        <w:jc w:val="both"/>
        <w:rPr>
          <w:rFonts w:ascii="Verdana" w:eastAsia="Times New Roman" w:hAnsi="Verdana" w:cs="Times New Roman"/>
          <w:bCs/>
          <w:spacing w:val="-12"/>
          <w:sz w:val="16"/>
          <w:szCs w:val="16"/>
        </w:rPr>
      </w:pPr>
      <w:r w:rsidRPr="00A87F14">
        <w:rPr>
          <w:rFonts w:ascii="Verdana" w:eastAsia="Times New Roman" w:hAnsi="Verdana" w:cs="Times New Roman"/>
          <w:bCs/>
          <w:spacing w:val="-12"/>
          <w:sz w:val="16"/>
          <w:szCs w:val="16"/>
        </w:rPr>
        <w:t>4) como medida de no repetición que beneficie a otras personas peticionarias que se hallan afectas a una situación de violación de derechos humanos idéntica a la del presente caso, la creación de un mecanismo efectivo destinado a resguardar en estos casos el derecho a la protección judicial y a las garantías judiciales y el derecho a la reparación, a víctimas de crímenes de derecho internacional.</w:t>
      </w:r>
    </w:p>
    <w:p w14:paraId="07034AD6" w14:textId="77777777" w:rsidR="00FE2511" w:rsidRPr="00A87F14" w:rsidRDefault="00FE2511" w:rsidP="00221603">
      <w:pPr>
        <w:pStyle w:val="Textonotapie"/>
        <w:spacing w:before="120" w:after="120"/>
        <w:jc w:val="both"/>
        <w:rPr>
          <w:rFonts w:ascii="Verdana" w:hAnsi="Verdana"/>
          <w:sz w:val="16"/>
          <w:szCs w:val="16"/>
        </w:rPr>
      </w:pPr>
      <w:r w:rsidRPr="00A87F14">
        <w:rPr>
          <w:rFonts w:ascii="Verdana" w:eastAsia="Times New Roman" w:hAnsi="Verdana" w:cs="Times New Roman"/>
          <w:bCs/>
          <w:spacing w:val="-12"/>
          <w:sz w:val="16"/>
          <w:szCs w:val="16"/>
        </w:rPr>
        <w:t>Además, el representante señaló que existen múltiples casos radicados ante la Comisión Interamericana, en los cuales él actúa en representación de otras personas, en que el objeto de los casos coincide con lo planteado en el presente, en los cuales el Estado debería sostener un criterio de reconocimiento de responsabilidad idéntico al expresado en éste, por lo cual sería relevante instar al Estado a que en esos casos también se exprese el mismo reconocimiento y así sentar las bases para allegar, también en éstos, a un acuerdo de solución amistosa y evitar que esas víctimas sean sometidas a mayores dilaciones que perjudiquen o retarden la eficacia de sus derechos.</w:t>
      </w:r>
    </w:p>
  </w:footnote>
  <w:footnote w:id="17">
    <w:p w14:paraId="245AB1EF" w14:textId="77777777" w:rsidR="00FE2511" w:rsidRPr="00A87F14" w:rsidRDefault="00FE2511" w:rsidP="00221603">
      <w:pPr>
        <w:autoSpaceDE w:val="0"/>
        <w:autoSpaceDN w:val="0"/>
        <w:adjustRightInd w:val="0"/>
        <w:spacing w:before="120" w:after="120" w:line="240" w:lineRule="auto"/>
        <w:jc w:val="both"/>
        <w:rPr>
          <w:rFonts w:ascii="Verdana" w:hAnsi="Verdana"/>
          <w:spacing w:val="-12"/>
          <w:sz w:val="16"/>
          <w:szCs w:val="16"/>
          <w:lang w:val="es-MX"/>
        </w:rPr>
      </w:pPr>
      <w:r w:rsidRPr="00A87F14">
        <w:rPr>
          <w:rStyle w:val="Refdenotaalpie"/>
          <w:rFonts w:ascii="Verdana" w:hAnsi="Verdana"/>
          <w:spacing w:val="-12"/>
          <w:sz w:val="16"/>
          <w:szCs w:val="16"/>
          <w:lang w:val="es-MX"/>
        </w:rPr>
        <w:footnoteRef/>
      </w:r>
      <w:r w:rsidRPr="00A87F14">
        <w:rPr>
          <w:rFonts w:ascii="Verdana" w:hAnsi="Verdana"/>
          <w:spacing w:val="-12"/>
          <w:sz w:val="16"/>
          <w:szCs w:val="16"/>
          <w:lang w:val="es-MX"/>
        </w:rPr>
        <w:t xml:space="preserve"> </w:t>
      </w:r>
      <w:r w:rsidRPr="00A87F14">
        <w:rPr>
          <w:rFonts w:ascii="Verdana" w:hAnsi="Verdana"/>
          <w:spacing w:val="-12"/>
          <w:sz w:val="16"/>
          <w:szCs w:val="16"/>
          <w:lang w:val="es-MX"/>
        </w:rPr>
        <w:tab/>
        <w:t>Además de lo señalado en la nota anterior, en sus alegatos finales escritos el representante solicitó a la Corte que ordene al Estado, como medidas de no repetición, “expresar una</w:t>
      </w:r>
      <w:r w:rsidRPr="00A87F14">
        <w:rPr>
          <w:rFonts w:ascii="Verdana" w:hAnsi="Verdana" w:cs="CenturyGothic"/>
          <w:spacing w:val="-12"/>
          <w:sz w:val="16"/>
          <w:szCs w:val="16"/>
          <w:lang w:val="es-MX"/>
        </w:rPr>
        <w:t xml:space="preserve"> disculpa pública a las partes peticionarias, que incluya el reconocimiento de los hechos y la aceptación de su responsabilidad”, así como “la inclusión de una exposición precisa de las violaciones ocurridas en la enseñanza de las normas internacionales de derechos humanos y del derecho internacional humanitario [y] en el material didáctico a todos los niveles, en particular, en la Academia Judicial de jueces de la República de Chile”.</w:t>
      </w:r>
    </w:p>
  </w:footnote>
  <w:footnote w:id="18">
    <w:p w14:paraId="4DE13BC6" w14:textId="77777777" w:rsidR="00FE2511" w:rsidRPr="00A87F14" w:rsidRDefault="00FE2511" w:rsidP="00221603">
      <w:pPr>
        <w:pStyle w:val="Footnotes"/>
        <w:spacing w:before="120" w:after="120"/>
        <w:rPr>
          <w:rFonts w:cs="Times New Roman"/>
          <w:spacing w:val="-12"/>
          <w:lang w:val="es-CR"/>
        </w:rPr>
      </w:pPr>
      <w:r w:rsidRPr="00A87F14">
        <w:rPr>
          <w:rStyle w:val="Refdenotaalpie"/>
          <w:rFonts w:eastAsiaTheme="majorEastAsia"/>
          <w:spacing w:val="-12"/>
          <w:lang w:val="es-CR"/>
        </w:rPr>
        <w:footnoteRef/>
      </w:r>
      <w:r w:rsidRPr="00A87F14">
        <w:rPr>
          <w:spacing w:val="-12"/>
          <w:vertAlign w:val="superscript"/>
          <w:lang w:val="es-CR"/>
        </w:rPr>
        <w:t xml:space="preserve"> </w:t>
      </w:r>
      <w:r w:rsidRPr="00A87F14">
        <w:rPr>
          <w:rFonts w:cs="Times New Roman"/>
          <w:iCs w:val="0"/>
          <w:spacing w:val="-12"/>
          <w:lang w:val="es-CR" w:bidi="ar-SA"/>
        </w:rPr>
        <w:tab/>
        <w:t>Los artículos 62 y 64 del Reglamento de la Corte establecen: “Artículo 62. Reconocimiento: Si el demandado comunicare a la Corte su aceptación de los hechos o su allanamiento total o parcial a las pretensiones que constan en el sometimiento del caso o en el escrito de las presuntas víctimas o sus representantes, la Corte, oído el parecer de los demás intervinientes en el proceso, resolverá, en el momento procesal oportuno, sobre su procedencia y sus efectos jurídicos”. “Artículo 64. Prosecución del examen del caso: La Corte, teniendo en cuenta las responsabilidades que le incumben de proteger los derechos humanos, podrá decidir que prosiga el examen del caso, aun en presencia de los supuestos señalados en los artículos precedentes”.</w:t>
      </w:r>
    </w:p>
  </w:footnote>
  <w:footnote w:id="19">
    <w:p w14:paraId="54BEEF99" w14:textId="6419090E" w:rsidR="00FE2511" w:rsidRPr="00A87F14" w:rsidRDefault="00FE2511" w:rsidP="00221603">
      <w:pPr>
        <w:pStyle w:val="Footnotes"/>
        <w:spacing w:before="120" w:after="120"/>
        <w:rPr>
          <w:rFonts w:cs="Times New Roman"/>
          <w:spacing w:val="-12"/>
          <w:lang w:val="es-CR"/>
        </w:rPr>
      </w:pPr>
      <w:r w:rsidRPr="00A87F14">
        <w:rPr>
          <w:rStyle w:val="Refdenotaalpie"/>
          <w:rFonts w:eastAsiaTheme="majorEastAsia"/>
          <w:spacing w:val="-12"/>
          <w:lang w:val="es-CR"/>
        </w:rPr>
        <w:footnoteRef/>
      </w:r>
      <w:r w:rsidRPr="00A87F14">
        <w:rPr>
          <w:rFonts w:cs="Times New Roman"/>
          <w:iCs w:val="0"/>
          <w:spacing w:val="-12"/>
          <w:lang w:val="es-CR" w:bidi="ar-SA"/>
        </w:rPr>
        <w:tab/>
      </w:r>
      <w:r w:rsidRPr="00BA1069">
        <w:rPr>
          <w:rFonts w:cs="Times New Roman"/>
          <w:i/>
          <w:iCs w:val="0"/>
          <w:spacing w:val="-12"/>
          <w:lang w:val="es-CR" w:bidi="ar-SA"/>
        </w:rPr>
        <w:t>Cfr. Caso Kimel Vs. Argentina. Fondo, Reparaciones y Costas</w:t>
      </w:r>
      <w:r w:rsidRPr="00A87F14">
        <w:rPr>
          <w:rFonts w:cs="Times New Roman"/>
          <w:iCs w:val="0"/>
          <w:spacing w:val="-12"/>
          <w:lang w:val="es-CR" w:bidi="ar-SA"/>
        </w:rPr>
        <w:t xml:space="preserve">. Sentencia de 2 de mayo de 2008. Serie C No. 177, párr. 24; y </w:t>
      </w:r>
      <w:r w:rsidRPr="00BB113F">
        <w:rPr>
          <w:rFonts w:cs="Times New Roman"/>
          <w:i/>
          <w:iCs w:val="0"/>
          <w:spacing w:val="-12"/>
          <w:lang w:val="es-CR" w:bidi="ar-SA"/>
        </w:rPr>
        <w:t xml:space="preserve">Caso Ramírez Escobar y otros Vs. Guatemala. Fondo, Reparaciones y Costas. </w:t>
      </w:r>
      <w:r w:rsidRPr="0094614E">
        <w:rPr>
          <w:rFonts w:cs="Times New Roman"/>
          <w:iCs w:val="0"/>
          <w:spacing w:val="-12"/>
          <w:lang w:val="es-CR" w:bidi="ar-SA"/>
        </w:rPr>
        <w:t>Sentencia de 9 de marzo de 2018. Serie C No. 351</w:t>
      </w:r>
      <w:r w:rsidRPr="00BB113F">
        <w:rPr>
          <w:rFonts w:cs="Times New Roman"/>
          <w:iCs w:val="0"/>
          <w:spacing w:val="-12"/>
          <w:lang w:val="es-CR" w:bidi="ar-SA"/>
        </w:rPr>
        <w:t>, párr. 27.</w:t>
      </w:r>
    </w:p>
  </w:footnote>
  <w:footnote w:id="20">
    <w:p w14:paraId="4D901D0B" w14:textId="515F62A1" w:rsidR="00FE2511" w:rsidRPr="00B1797B" w:rsidRDefault="00FE2511" w:rsidP="00221603">
      <w:pPr>
        <w:pStyle w:val="Prrafodelista"/>
        <w:spacing w:before="120" w:after="120" w:line="240" w:lineRule="auto"/>
        <w:ind w:left="0"/>
        <w:jc w:val="both"/>
        <w:rPr>
          <w:rFonts w:ascii="Verdana" w:hAnsi="Verdana"/>
          <w:sz w:val="20"/>
          <w:szCs w:val="20"/>
          <w:lang w:val="es-ES_tradnl"/>
        </w:rPr>
      </w:pPr>
      <w:r w:rsidRPr="00B1797B">
        <w:rPr>
          <w:rStyle w:val="Refdenotaalpie"/>
          <w:rFonts w:ascii="Verdana" w:eastAsiaTheme="majorEastAsia" w:hAnsi="Verdana" w:cs="Palatino-Italic"/>
          <w:iCs/>
          <w:spacing w:val="-12"/>
          <w:sz w:val="16"/>
          <w:szCs w:val="16"/>
          <w:lang w:bidi="en-US"/>
        </w:rPr>
        <w:footnoteRef/>
      </w:r>
      <w:r>
        <w:t xml:space="preserve"> </w:t>
      </w:r>
      <w:r w:rsidRPr="00B1797B">
        <w:rPr>
          <w:rFonts w:ascii="Verdana" w:eastAsia="Times New Roman" w:hAnsi="Verdana" w:cs="Times New Roman"/>
          <w:spacing w:val="-12"/>
          <w:sz w:val="16"/>
          <w:szCs w:val="16"/>
        </w:rPr>
        <w:tab/>
      </w:r>
      <w:r>
        <w:rPr>
          <w:rFonts w:ascii="Verdana" w:eastAsia="Times New Roman" w:hAnsi="Verdana" w:cs="Times New Roman"/>
          <w:spacing w:val="-12"/>
          <w:sz w:val="16"/>
          <w:szCs w:val="16"/>
        </w:rPr>
        <w:t>E</w:t>
      </w:r>
      <w:r w:rsidRPr="00B1797B">
        <w:rPr>
          <w:rFonts w:ascii="Verdana" w:eastAsia="Times New Roman" w:hAnsi="Verdana" w:cs="Times New Roman"/>
          <w:spacing w:val="-12"/>
          <w:sz w:val="16"/>
          <w:szCs w:val="16"/>
        </w:rPr>
        <w:t>n su Informe, la Comisión aclaró que “el objeto de la denuncia no concernía la investigación penal de los hechos ocurridos durante la dictadura militar, sino ‘la negativa de los tribunales chilenos de conceder una indemnización’ a las [presuntas] víctimas en el presente caso, sobre todo después del reconocimiento de la responsabilidad estatal por las graves violaciones de los derechos humanos de sus familiares en el Informe de la Comisión Rettig[ y] que en el caso de autos ‘las alegaciones sólo se refieren a las sentencias adoptadas por el Poder Judicial de Chile entre 1999 y 2003’, [por lo cual] los hechos […] giran únicamente en torno a los procesos judiciales iniciados a fin de obtener reparaciones por parte de las presuntas víctimas en este ca</w:t>
      </w:r>
      <w:r>
        <w:rPr>
          <w:rFonts w:ascii="Verdana" w:eastAsia="Times New Roman" w:hAnsi="Verdana" w:cs="Times New Roman"/>
          <w:spacing w:val="-12"/>
          <w:sz w:val="16"/>
          <w:szCs w:val="16"/>
        </w:rPr>
        <w:t>so y las respuestas obtenidas”.</w:t>
      </w:r>
    </w:p>
  </w:footnote>
  <w:footnote w:id="21">
    <w:p w14:paraId="3EC0FB55" w14:textId="0D621134" w:rsidR="00FE2511" w:rsidRPr="00A87F14" w:rsidRDefault="00FE2511" w:rsidP="00221603">
      <w:pPr>
        <w:pStyle w:val="Footnotes"/>
        <w:spacing w:before="120" w:after="120"/>
        <w:rPr>
          <w:rFonts w:cs="Times New Roman"/>
          <w:spacing w:val="-12"/>
          <w:lang w:val="es-CR"/>
        </w:rPr>
      </w:pPr>
      <w:r w:rsidRPr="00A87F14">
        <w:rPr>
          <w:rStyle w:val="Refdenotaalpie"/>
          <w:rFonts w:eastAsiaTheme="majorEastAsia"/>
          <w:spacing w:val="-12"/>
          <w:lang w:val="es-CR"/>
        </w:rPr>
        <w:footnoteRef/>
      </w:r>
      <w:r w:rsidRPr="00A87F14">
        <w:rPr>
          <w:spacing w:val="-12"/>
          <w:lang w:val="es-CR"/>
        </w:rPr>
        <w:t xml:space="preserve"> </w:t>
      </w:r>
      <w:r w:rsidRPr="00A87F14">
        <w:rPr>
          <w:rFonts w:cs="Times New Roman"/>
          <w:bCs/>
          <w:iCs w:val="0"/>
          <w:spacing w:val="-12"/>
          <w:lang w:val="es-CR" w:bidi="ar-SA"/>
        </w:rPr>
        <w:tab/>
      </w:r>
      <w:r w:rsidRPr="00A87F14">
        <w:rPr>
          <w:rFonts w:cs="Times New Roman"/>
          <w:bCs/>
          <w:i/>
          <w:iCs w:val="0"/>
          <w:spacing w:val="-12"/>
          <w:lang w:val="es-CR" w:bidi="ar-SA"/>
        </w:rPr>
        <w:t xml:space="preserve">Cfr. </w:t>
      </w:r>
      <w:r w:rsidRPr="00A87F14">
        <w:rPr>
          <w:rFonts w:cs="Times New Roman"/>
          <w:i/>
          <w:iCs w:val="0"/>
          <w:spacing w:val="-12"/>
          <w:lang w:val="es-CR" w:bidi="ar-SA"/>
        </w:rPr>
        <w:t>Caso Benavides Cevallos Vs. Ecuador. Fondo, Reparaciones y Costas</w:t>
      </w:r>
      <w:r w:rsidRPr="00A87F14">
        <w:rPr>
          <w:rFonts w:cs="Times New Roman"/>
          <w:iCs w:val="0"/>
          <w:spacing w:val="-12"/>
          <w:lang w:val="es-CR" w:bidi="ar-SA"/>
        </w:rPr>
        <w:t>. Sentencia de 19 de junio de 19</w:t>
      </w:r>
      <w:r>
        <w:rPr>
          <w:rFonts w:cs="Times New Roman"/>
          <w:iCs w:val="0"/>
          <w:spacing w:val="-12"/>
          <w:lang w:val="es-CR" w:bidi="ar-SA"/>
        </w:rPr>
        <w:t xml:space="preserve">98. Serie C No. 38, párr. 57; </w:t>
      </w:r>
      <w:r w:rsidRPr="00A87F14">
        <w:rPr>
          <w:rFonts w:cs="Times New Roman"/>
          <w:bCs/>
          <w:i/>
          <w:iCs w:val="0"/>
          <w:spacing w:val="-12"/>
          <w:lang w:val="es-CR" w:bidi="ar-SA"/>
        </w:rPr>
        <w:t>Caso Poblete Vilches y otros Vs. Chile. Fondo, Reparaciones y Costas</w:t>
      </w:r>
      <w:r w:rsidRPr="00A87F14">
        <w:rPr>
          <w:rFonts w:cs="Times New Roman"/>
          <w:bCs/>
          <w:iCs w:val="0"/>
          <w:spacing w:val="-12"/>
          <w:lang w:val="es-CR" w:bidi="ar-SA"/>
        </w:rPr>
        <w:t>. Sentencia de 8 de marzo de 2018. Serie C No. 349</w:t>
      </w:r>
      <w:r w:rsidRPr="00A87F14">
        <w:rPr>
          <w:rFonts w:cs="Times New Roman"/>
          <w:iCs w:val="0"/>
          <w:spacing w:val="-12"/>
          <w:lang w:val="es-CR" w:bidi="ar-SA"/>
        </w:rPr>
        <w:t xml:space="preserve">, </w:t>
      </w:r>
      <w:r w:rsidRPr="00A87F14">
        <w:rPr>
          <w:rFonts w:cs="Times New Roman"/>
          <w:bCs/>
          <w:iCs w:val="0"/>
          <w:spacing w:val="-12"/>
          <w:lang w:val="es-CR" w:bidi="ar-SA"/>
        </w:rPr>
        <w:t>párr. 25</w:t>
      </w:r>
      <w:r>
        <w:rPr>
          <w:rFonts w:cs="Times New Roman"/>
          <w:bCs/>
          <w:iCs w:val="0"/>
          <w:spacing w:val="-12"/>
          <w:lang w:val="es-CR" w:bidi="ar-SA"/>
        </w:rPr>
        <w:t xml:space="preserve">; y </w:t>
      </w:r>
      <w:r w:rsidRPr="0094614E">
        <w:rPr>
          <w:rFonts w:cs="Times New Roman"/>
          <w:bCs/>
          <w:i/>
          <w:spacing w:val="-12"/>
        </w:rPr>
        <w:t>Caso López Soto y otros Vs. Venezuela. Fondo, Reparaciones y Costas.</w:t>
      </w:r>
      <w:r w:rsidRPr="00BB113F">
        <w:rPr>
          <w:rFonts w:cs="Times New Roman"/>
          <w:bCs/>
          <w:spacing w:val="-12"/>
        </w:rPr>
        <w:t xml:space="preserve"> Sentencia de 26 de septiembre de 2018. Serie C No. 362, párr. 34</w:t>
      </w:r>
      <w:r w:rsidRPr="00A87F14">
        <w:rPr>
          <w:rFonts w:cs="Times New Roman"/>
          <w:bCs/>
          <w:iCs w:val="0"/>
          <w:spacing w:val="-12"/>
          <w:lang w:val="es-CR" w:bidi="ar-SA"/>
        </w:rPr>
        <w:t>.</w:t>
      </w:r>
    </w:p>
  </w:footnote>
  <w:footnote w:id="22">
    <w:p w14:paraId="0C76D143" w14:textId="513A9C6A" w:rsidR="00FE2511" w:rsidRPr="00A87F14" w:rsidRDefault="00FE2511" w:rsidP="00221603">
      <w:pPr>
        <w:pStyle w:val="Textonotapie"/>
        <w:spacing w:before="120" w:after="120"/>
        <w:jc w:val="both"/>
        <w:rPr>
          <w:rFonts w:ascii="Verdana" w:hAnsi="Verdana"/>
          <w:sz w:val="16"/>
          <w:szCs w:val="16"/>
        </w:rPr>
      </w:pPr>
      <w:r w:rsidRPr="00A87F14">
        <w:rPr>
          <w:rStyle w:val="Refdenotaalpie"/>
          <w:rFonts w:ascii="Verdana" w:eastAsiaTheme="majorEastAsia" w:hAnsi="Verdana" w:cs="Palatino-Italic"/>
          <w:iCs/>
          <w:spacing w:val="-12"/>
          <w:sz w:val="16"/>
          <w:szCs w:val="16"/>
          <w:lang w:bidi="en-US"/>
        </w:rPr>
        <w:footnoteRef/>
      </w:r>
      <w:r w:rsidRPr="00A87F14">
        <w:rPr>
          <w:rFonts w:ascii="Verdana" w:hAnsi="Verdana"/>
          <w:sz w:val="16"/>
          <w:szCs w:val="16"/>
        </w:rPr>
        <w:t xml:space="preserve"> </w:t>
      </w:r>
      <w:r w:rsidRPr="00A87F14">
        <w:rPr>
          <w:rFonts w:ascii="Verdana" w:hAnsi="Verdana"/>
          <w:sz w:val="16"/>
          <w:szCs w:val="16"/>
        </w:rPr>
        <w:tab/>
      </w:r>
      <w:r w:rsidRPr="00A87F14">
        <w:rPr>
          <w:rFonts w:ascii="Verdana" w:eastAsia="Times New Roman" w:hAnsi="Verdana" w:cs="Times New Roman"/>
          <w:bCs/>
          <w:i/>
          <w:spacing w:val="-12"/>
          <w:sz w:val="16"/>
          <w:szCs w:val="16"/>
        </w:rPr>
        <w:t>Cfr. Caso Acevedo Jaramillo y otros Vs. Perú. Excepciones Preliminares, Fondo, Reparaciones y Costas</w:t>
      </w:r>
      <w:r w:rsidRPr="00A87F14">
        <w:rPr>
          <w:rFonts w:ascii="Verdana" w:eastAsia="Times New Roman" w:hAnsi="Verdana" w:cs="Times New Roman"/>
          <w:bCs/>
          <w:spacing w:val="-12"/>
          <w:sz w:val="16"/>
          <w:szCs w:val="16"/>
        </w:rPr>
        <w:t>. Sentencia de 7 de febrero de 2006. Serie</w:t>
      </w:r>
      <w:r>
        <w:rPr>
          <w:rFonts w:ascii="Verdana" w:eastAsia="Times New Roman" w:hAnsi="Verdana" w:cs="Times New Roman"/>
          <w:bCs/>
          <w:spacing w:val="-12"/>
          <w:sz w:val="16"/>
          <w:szCs w:val="16"/>
        </w:rPr>
        <w:t xml:space="preserve"> C No. 144, párrs. 176 a 180; </w:t>
      </w:r>
      <w:r w:rsidRPr="00A87F14">
        <w:rPr>
          <w:rFonts w:ascii="Verdana" w:hAnsi="Verdana" w:cs="Times New Roman"/>
          <w:bCs/>
          <w:i/>
          <w:iCs/>
          <w:spacing w:val="-12"/>
          <w:sz w:val="16"/>
          <w:szCs w:val="16"/>
        </w:rPr>
        <w:t>Caso Poblete Vilches y otros Vs. Chile</w:t>
      </w:r>
      <w:r w:rsidRPr="00A87F14">
        <w:rPr>
          <w:rFonts w:ascii="Verdana" w:hAnsi="Verdana" w:cs="Times New Roman"/>
          <w:iCs/>
          <w:spacing w:val="-12"/>
          <w:sz w:val="16"/>
          <w:szCs w:val="16"/>
        </w:rPr>
        <w:t xml:space="preserve">, </w:t>
      </w:r>
      <w:r w:rsidRPr="00A87F14">
        <w:rPr>
          <w:rFonts w:ascii="Verdana" w:hAnsi="Verdana" w:cs="Times New Roman"/>
          <w:bCs/>
          <w:iCs/>
          <w:spacing w:val="-12"/>
          <w:sz w:val="16"/>
          <w:szCs w:val="16"/>
        </w:rPr>
        <w:t>párr. 25</w:t>
      </w:r>
      <w:r>
        <w:rPr>
          <w:rFonts w:ascii="Verdana" w:hAnsi="Verdana" w:cs="Times New Roman"/>
          <w:bCs/>
          <w:iCs/>
          <w:spacing w:val="-12"/>
          <w:sz w:val="16"/>
          <w:szCs w:val="16"/>
        </w:rPr>
        <w:t xml:space="preserve">; y </w:t>
      </w:r>
      <w:r w:rsidRPr="0094614E">
        <w:rPr>
          <w:rFonts w:ascii="Verdana" w:hAnsi="Verdana" w:cs="Times New Roman"/>
          <w:bCs/>
          <w:i/>
          <w:spacing w:val="-12"/>
          <w:sz w:val="16"/>
          <w:szCs w:val="16"/>
        </w:rPr>
        <w:t xml:space="preserve">Caso López Soto y otros Vs. Venezuela, </w:t>
      </w:r>
      <w:r w:rsidRPr="0094614E">
        <w:rPr>
          <w:rFonts w:ascii="Verdana" w:hAnsi="Verdana" w:cs="Times New Roman"/>
          <w:bCs/>
          <w:spacing w:val="-12"/>
          <w:sz w:val="16"/>
          <w:szCs w:val="16"/>
        </w:rPr>
        <w:t>párr. 30</w:t>
      </w:r>
      <w:r w:rsidRPr="00A87F14">
        <w:rPr>
          <w:rFonts w:ascii="Verdana" w:eastAsia="Times New Roman" w:hAnsi="Verdana" w:cs="Times New Roman"/>
          <w:bCs/>
          <w:spacing w:val="-12"/>
          <w:sz w:val="16"/>
          <w:szCs w:val="16"/>
        </w:rPr>
        <w:t xml:space="preserve">. </w:t>
      </w:r>
    </w:p>
  </w:footnote>
  <w:footnote w:id="23">
    <w:p w14:paraId="0B180757" w14:textId="6B9BAE85" w:rsidR="00FE2511" w:rsidRPr="00A87F14" w:rsidRDefault="00FE2511" w:rsidP="00221603">
      <w:pPr>
        <w:pStyle w:val="Textonotapie"/>
        <w:spacing w:before="120" w:after="120"/>
        <w:jc w:val="both"/>
        <w:rPr>
          <w:rFonts w:ascii="Verdana" w:hAnsi="Verdana"/>
          <w:i/>
          <w:spacing w:val="-12"/>
          <w:sz w:val="16"/>
          <w:szCs w:val="16"/>
        </w:rPr>
      </w:pPr>
      <w:r w:rsidRPr="00A87F14">
        <w:rPr>
          <w:rStyle w:val="Refdenotaalpie"/>
          <w:rFonts w:ascii="Verdana" w:hAnsi="Verdana"/>
          <w:spacing w:val="-12"/>
          <w:sz w:val="16"/>
          <w:szCs w:val="16"/>
        </w:rPr>
        <w:footnoteRef/>
      </w:r>
      <w:r w:rsidRPr="00A87F14">
        <w:rPr>
          <w:rFonts w:ascii="Verdana" w:hAnsi="Verdana"/>
          <w:spacing w:val="-12"/>
          <w:sz w:val="16"/>
          <w:szCs w:val="16"/>
        </w:rPr>
        <w:t xml:space="preserve"> </w:t>
      </w:r>
      <w:r w:rsidRPr="00A87F14">
        <w:rPr>
          <w:rFonts w:ascii="Verdana" w:hAnsi="Verdana"/>
          <w:spacing w:val="-12"/>
          <w:sz w:val="16"/>
          <w:szCs w:val="16"/>
        </w:rPr>
        <w:tab/>
      </w:r>
      <w:r w:rsidRPr="00A87F14">
        <w:rPr>
          <w:rFonts w:ascii="Verdana" w:hAnsi="Verdana"/>
          <w:i/>
          <w:spacing w:val="-12"/>
          <w:sz w:val="16"/>
          <w:szCs w:val="16"/>
        </w:rPr>
        <w:t xml:space="preserve">Cfr., </w:t>
      </w:r>
      <w:r w:rsidRPr="00A87F14">
        <w:rPr>
          <w:rFonts w:ascii="Verdana" w:hAnsi="Verdana"/>
          <w:spacing w:val="-12"/>
          <w:sz w:val="16"/>
          <w:szCs w:val="16"/>
        </w:rPr>
        <w:t>en similar sentido,</w:t>
      </w:r>
      <w:r w:rsidRPr="00A87F14">
        <w:rPr>
          <w:rFonts w:ascii="Verdana" w:hAnsi="Verdana"/>
          <w:i/>
          <w:spacing w:val="-12"/>
          <w:sz w:val="16"/>
          <w:szCs w:val="16"/>
        </w:rPr>
        <w:t xml:space="preserve"> Caso del Tribunal Constitucional Vs. Perú. Competencia</w:t>
      </w:r>
      <w:r w:rsidRPr="00A87F14">
        <w:rPr>
          <w:rFonts w:ascii="Verdana" w:hAnsi="Verdana"/>
          <w:spacing w:val="-12"/>
          <w:sz w:val="16"/>
          <w:szCs w:val="16"/>
        </w:rPr>
        <w:t xml:space="preserve">. Sentencia de 24 de septiembre de 1999. Serie C No. 55, párr. 60; </w:t>
      </w:r>
      <w:r w:rsidRPr="00BB113F">
        <w:rPr>
          <w:rFonts w:ascii="Verdana" w:hAnsi="Verdana"/>
          <w:spacing w:val="-12"/>
          <w:sz w:val="16"/>
          <w:szCs w:val="16"/>
        </w:rPr>
        <w:t xml:space="preserve">y </w:t>
      </w:r>
      <w:r w:rsidRPr="0094614E">
        <w:rPr>
          <w:rFonts w:ascii="Verdana" w:hAnsi="Verdana"/>
          <w:i/>
          <w:spacing w:val="-12"/>
          <w:sz w:val="16"/>
          <w:szCs w:val="16"/>
        </w:rPr>
        <w:t>Caso San Miguel Sosa y otras Vs. Venezuela. Fondo, Reparaciones y Costas</w:t>
      </w:r>
      <w:r w:rsidRPr="00BB113F">
        <w:rPr>
          <w:rFonts w:ascii="Verdana" w:hAnsi="Verdana"/>
          <w:spacing w:val="-12"/>
          <w:sz w:val="16"/>
          <w:szCs w:val="16"/>
        </w:rPr>
        <w:t xml:space="preserve">. Sentencia de 8 de febrero de </w:t>
      </w:r>
      <w:r>
        <w:rPr>
          <w:rFonts w:ascii="Verdana" w:hAnsi="Verdana"/>
          <w:spacing w:val="-12"/>
          <w:sz w:val="16"/>
          <w:szCs w:val="16"/>
        </w:rPr>
        <w:t>2018. Serie C No. 348, párr. 16</w:t>
      </w:r>
      <w:r w:rsidRPr="00A87F14">
        <w:rPr>
          <w:rFonts w:ascii="Verdana" w:hAnsi="Verdana"/>
          <w:spacing w:val="-12"/>
          <w:sz w:val="16"/>
          <w:szCs w:val="16"/>
        </w:rPr>
        <w:t>.</w:t>
      </w:r>
    </w:p>
  </w:footnote>
  <w:footnote w:id="24">
    <w:p w14:paraId="33DE3A7C" w14:textId="77777777" w:rsidR="00FE2511" w:rsidRPr="00A87F14" w:rsidRDefault="00FE2511" w:rsidP="00221603">
      <w:pPr>
        <w:pStyle w:val="Textonotapie"/>
        <w:spacing w:before="120" w:after="120"/>
        <w:jc w:val="both"/>
        <w:rPr>
          <w:rFonts w:ascii="Verdana" w:hAnsi="Verdana"/>
          <w:sz w:val="16"/>
          <w:szCs w:val="16"/>
        </w:rPr>
      </w:pPr>
      <w:r w:rsidRPr="00A87F14">
        <w:rPr>
          <w:rStyle w:val="Refdenotaalpie"/>
          <w:rFonts w:ascii="Verdana" w:hAnsi="Verdana"/>
          <w:sz w:val="16"/>
          <w:szCs w:val="16"/>
        </w:rPr>
        <w:footnoteRef/>
      </w:r>
      <w:r w:rsidRPr="00A87F14">
        <w:rPr>
          <w:rFonts w:ascii="Verdana" w:hAnsi="Verdana"/>
          <w:sz w:val="16"/>
          <w:szCs w:val="16"/>
        </w:rPr>
        <w:t xml:space="preserve"> </w:t>
      </w:r>
      <w:r w:rsidRPr="00A87F14">
        <w:rPr>
          <w:rFonts w:ascii="Verdana" w:hAnsi="Verdana"/>
          <w:spacing w:val="-12"/>
          <w:sz w:val="16"/>
          <w:szCs w:val="16"/>
          <w:lang w:val="es-MX"/>
        </w:rPr>
        <w:tab/>
        <w:t>El artículo 29.2 del Reglamento, que regula el “procedimiento por incomparecencia o falta de actuación”, señala que “cuando las víctimas o presuntas víctimas, o sus representantes, el Estado demandado o, en su caso, el Estado demandante, se apersonen tardíamente tomarán el procedimiento en el estado en que se encuentre”.</w:t>
      </w:r>
    </w:p>
  </w:footnote>
  <w:footnote w:id="25">
    <w:p w14:paraId="6F7666C5" w14:textId="2A9A3CE4" w:rsidR="00FE2511" w:rsidRPr="00A87F14" w:rsidRDefault="00FE2511" w:rsidP="00221603">
      <w:pPr>
        <w:pStyle w:val="Textonotapie"/>
        <w:spacing w:before="120" w:after="120"/>
        <w:jc w:val="both"/>
        <w:rPr>
          <w:rFonts w:ascii="Verdana" w:hAnsi="Verdana"/>
          <w:color w:val="000000"/>
          <w:spacing w:val="-12"/>
          <w:sz w:val="16"/>
          <w:szCs w:val="16"/>
        </w:rPr>
      </w:pPr>
      <w:r w:rsidRPr="00A87F14">
        <w:rPr>
          <w:rStyle w:val="Refdenotaalpie"/>
          <w:rFonts w:ascii="Verdana" w:hAnsi="Verdana"/>
          <w:spacing w:val="-12"/>
          <w:sz w:val="16"/>
          <w:szCs w:val="16"/>
        </w:rPr>
        <w:footnoteRef/>
      </w:r>
      <w:r w:rsidRPr="00A87F14">
        <w:rPr>
          <w:rFonts w:ascii="Verdana" w:hAnsi="Verdana"/>
          <w:spacing w:val="-12"/>
          <w:sz w:val="16"/>
          <w:szCs w:val="16"/>
        </w:rPr>
        <w:t xml:space="preserve"> </w:t>
      </w:r>
      <w:r w:rsidRPr="00A87F14">
        <w:rPr>
          <w:rFonts w:ascii="Verdana" w:hAnsi="Verdana"/>
          <w:spacing w:val="-12"/>
          <w:sz w:val="16"/>
          <w:szCs w:val="16"/>
        </w:rPr>
        <w:tab/>
      </w:r>
      <w:r w:rsidRPr="00A87F14">
        <w:rPr>
          <w:rFonts w:ascii="Verdana" w:hAnsi="Verdana"/>
          <w:i/>
          <w:spacing w:val="-12"/>
          <w:sz w:val="16"/>
          <w:szCs w:val="16"/>
        </w:rPr>
        <w:t>Cfr. C</w:t>
      </w:r>
      <w:r>
        <w:rPr>
          <w:rFonts w:ascii="Verdana" w:hAnsi="Verdana"/>
          <w:i/>
          <w:spacing w:val="-12"/>
          <w:sz w:val="16"/>
          <w:szCs w:val="16"/>
        </w:rPr>
        <w:t xml:space="preserve">aso Nadege Dorzema y otros Vs. </w:t>
      </w:r>
      <w:r w:rsidRPr="00A87F14">
        <w:rPr>
          <w:rFonts w:ascii="Verdana" w:hAnsi="Verdana"/>
          <w:i/>
          <w:spacing w:val="-12"/>
          <w:sz w:val="16"/>
          <w:szCs w:val="16"/>
        </w:rPr>
        <w:t>República Dominicana.</w:t>
      </w:r>
      <w:r w:rsidRPr="00A87F14">
        <w:rPr>
          <w:rFonts w:ascii="Verdana" w:hAnsi="Verdana"/>
          <w:i/>
          <w:color w:val="000000"/>
          <w:spacing w:val="-12"/>
          <w:sz w:val="16"/>
          <w:szCs w:val="16"/>
        </w:rPr>
        <w:t xml:space="preserve"> Fondo, Reparaciones y Costas</w:t>
      </w:r>
      <w:r w:rsidRPr="00A87F14">
        <w:rPr>
          <w:rFonts w:ascii="Verdana" w:hAnsi="Verdana"/>
          <w:color w:val="000000"/>
          <w:spacing w:val="-12"/>
          <w:sz w:val="16"/>
          <w:szCs w:val="16"/>
        </w:rPr>
        <w:t xml:space="preserve">. Sentencia de 24 de octubre de 2012. Serie C No. 251, párr. 19; y </w:t>
      </w:r>
      <w:r w:rsidRPr="00A87F14">
        <w:rPr>
          <w:rFonts w:ascii="Verdana" w:hAnsi="Verdana"/>
          <w:i/>
          <w:color w:val="000000"/>
          <w:spacing w:val="-12"/>
          <w:sz w:val="16"/>
          <w:szCs w:val="16"/>
        </w:rPr>
        <w:t>Caso San Mi</w:t>
      </w:r>
      <w:r w:rsidR="00995868">
        <w:rPr>
          <w:rFonts w:ascii="Verdana" w:hAnsi="Verdana"/>
          <w:i/>
          <w:color w:val="000000"/>
          <w:spacing w:val="-12"/>
          <w:sz w:val="16"/>
          <w:szCs w:val="16"/>
        </w:rPr>
        <w:t>guel Sosa y otras Vs. Venezuela</w:t>
      </w:r>
      <w:r w:rsidRPr="00A87F14">
        <w:rPr>
          <w:rFonts w:ascii="Verdana" w:hAnsi="Verdana"/>
          <w:color w:val="000000"/>
          <w:spacing w:val="-12"/>
          <w:sz w:val="16"/>
          <w:szCs w:val="16"/>
        </w:rPr>
        <w:t>, párr. 16.</w:t>
      </w:r>
    </w:p>
  </w:footnote>
  <w:footnote w:id="26">
    <w:p w14:paraId="50892F3F" w14:textId="358A6C37" w:rsidR="00FE2511" w:rsidRPr="00A87F14" w:rsidRDefault="00FE2511" w:rsidP="00221603">
      <w:pPr>
        <w:pStyle w:val="Textonotapie"/>
        <w:spacing w:before="120" w:after="120"/>
        <w:jc w:val="both"/>
        <w:rPr>
          <w:rFonts w:ascii="Verdana" w:hAnsi="Verdana"/>
          <w:spacing w:val="-12"/>
          <w:sz w:val="16"/>
          <w:szCs w:val="16"/>
        </w:rPr>
      </w:pPr>
      <w:r w:rsidRPr="00A87F14">
        <w:rPr>
          <w:rStyle w:val="Refdenotaalpie"/>
          <w:rFonts w:ascii="Verdana" w:hAnsi="Verdana"/>
          <w:spacing w:val="-12"/>
          <w:sz w:val="16"/>
          <w:szCs w:val="16"/>
        </w:rPr>
        <w:footnoteRef/>
      </w:r>
      <w:r w:rsidRPr="00A87F14">
        <w:rPr>
          <w:rFonts w:ascii="Verdana" w:hAnsi="Verdana"/>
          <w:spacing w:val="-12"/>
          <w:sz w:val="16"/>
          <w:szCs w:val="16"/>
        </w:rPr>
        <w:t xml:space="preserve"> </w:t>
      </w:r>
      <w:r w:rsidRPr="00A87F14">
        <w:rPr>
          <w:rFonts w:ascii="Verdana" w:hAnsi="Verdana"/>
          <w:spacing w:val="-12"/>
          <w:sz w:val="16"/>
          <w:szCs w:val="16"/>
        </w:rPr>
        <w:tab/>
      </w:r>
      <w:r w:rsidRPr="00A87F14">
        <w:rPr>
          <w:rFonts w:ascii="Verdana" w:hAnsi="Verdana"/>
          <w:i/>
          <w:spacing w:val="-12"/>
          <w:sz w:val="16"/>
          <w:szCs w:val="16"/>
        </w:rPr>
        <w:t>Cfr. Caso Pollo Rivera Vs. Perú</w:t>
      </w:r>
      <w:r w:rsidRPr="00A87F14">
        <w:rPr>
          <w:rFonts w:ascii="Verdana" w:hAnsi="Verdana"/>
          <w:spacing w:val="-12"/>
          <w:sz w:val="16"/>
          <w:szCs w:val="16"/>
        </w:rPr>
        <w:t xml:space="preserve">. </w:t>
      </w:r>
      <w:r w:rsidRPr="00A87F14">
        <w:rPr>
          <w:rFonts w:ascii="Verdana" w:hAnsi="Verdana"/>
          <w:i/>
          <w:spacing w:val="-12"/>
          <w:sz w:val="16"/>
          <w:szCs w:val="16"/>
        </w:rPr>
        <w:t>Fondo, Reparaciones y Costas</w:t>
      </w:r>
      <w:r w:rsidRPr="00A87F14">
        <w:rPr>
          <w:rFonts w:ascii="Verdana" w:hAnsi="Verdana"/>
          <w:spacing w:val="-12"/>
          <w:sz w:val="16"/>
          <w:szCs w:val="16"/>
        </w:rPr>
        <w:t xml:space="preserve">. Sentencia de 21 de octubre de 2016. Serie C No. 319, párr. 23; y </w:t>
      </w:r>
      <w:r w:rsidRPr="00A87F14">
        <w:rPr>
          <w:rFonts w:ascii="Verdana" w:hAnsi="Verdana"/>
          <w:i/>
          <w:color w:val="000000"/>
          <w:spacing w:val="-12"/>
          <w:sz w:val="16"/>
          <w:szCs w:val="16"/>
        </w:rPr>
        <w:t>Caso San Miguel Sosa y otras Vs. Venezuela</w:t>
      </w:r>
      <w:r w:rsidRPr="00A87F14">
        <w:rPr>
          <w:rFonts w:ascii="Verdana" w:hAnsi="Verdana"/>
          <w:color w:val="000000"/>
          <w:spacing w:val="-12"/>
          <w:sz w:val="16"/>
          <w:szCs w:val="16"/>
        </w:rPr>
        <w:t>, párr. 18.</w:t>
      </w:r>
    </w:p>
  </w:footnote>
  <w:footnote w:id="27">
    <w:p w14:paraId="54FCE1DF" w14:textId="64BADD83" w:rsidR="00FE2511" w:rsidRPr="00A87F14" w:rsidRDefault="00FE2511" w:rsidP="00221603">
      <w:pPr>
        <w:pStyle w:val="Textonotapie"/>
        <w:spacing w:before="120" w:after="120"/>
        <w:rPr>
          <w:rFonts w:ascii="Verdana" w:hAnsi="Verdana"/>
          <w:sz w:val="16"/>
          <w:szCs w:val="16"/>
        </w:rPr>
      </w:pPr>
      <w:r w:rsidRPr="00A87F14">
        <w:rPr>
          <w:rStyle w:val="Refdenotaalpie"/>
          <w:rFonts w:ascii="Verdana" w:hAnsi="Verdana"/>
          <w:spacing w:val="-12"/>
          <w:sz w:val="16"/>
          <w:szCs w:val="16"/>
          <w:lang w:val="es-MX"/>
        </w:rPr>
        <w:footnoteRef/>
      </w:r>
      <w:r w:rsidRPr="00A87F14">
        <w:rPr>
          <w:rFonts w:ascii="Verdana" w:hAnsi="Verdana"/>
          <w:sz w:val="16"/>
          <w:szCs w:val="16"/>
        </w:rPr>
        <w:t xml:space="preserve"> </w:t>
      </w:r>
      <w:r w:rsidRPr="00A87F14">
        <w:rPr>
          <w:rFonts w:ascii="Verdana" w:hAnsi="Verdana"/>
          <w:sz w:val="16"/>
          <w:szCs w:val="16"/>
        </w:rPr>
        <w:tab/>
      </w:r>
      <w:r w:rsidRPr="00A87F14">
        <w:rPr>
          <w:rFonts w:ascii="Verdana" w:hAnsi="Verdana"/>
          <w:i/>
          <w:spacing w:val="-12"/>
          <w:sz w:val="16"/>
          <w:szCs w:val="16"/>
          <w:lang w:val="es-MX"/>
        </w:rPr>
        <w:t xml:space="preserve">Cfr. </w:t>
      </w:r>
      <w:r w:rsidRPr="00A87F14">
        <w:rPr>
          <w:rFonts w:ascii="Verdana" w:hAnsi="Verdana"/>
          <w:i/>
          <w:color w:val="000000"/>
          <w:spacing w:val="-12"/>
          <w:sz w:val="16"/>
          <w:szCs w:val="16"/>
        </w:rPr>
        <w:t xml:space="preserve">Caso Pollo Rivera y otros Vs. Perú, </w:t>
      </w:r>
      <w:r w:rsidRPr="00A87F14">
        <w:rPr>
          <w:rFonts w:ascii="Verdana" w:hAnsi="Verdana"/>
          <w:color w:val="000000"/>
          <w:spacing w:val="-12"/>
          <w:sz w:val="16"/>
          <w:szCs w:val="16"/>
        </w:rPr>
        <w:t xml:space="preserve">párrs. 24 y 25; y </w:t>
      </w:r>
      <w:r w:rsidRPr="00A87F14">
        <w:rPr>
          <w:rFonts w:ascii="Verdana" w:hAnsi="Verdana"/>
          <w:i/>
          <w:color w:val="000000"/>
          <w:spacing w:val="-12"/>
          <w:sz w:val="16"/>
          <w:szCs w:val="16"/>
        </w:rPr>
        <w:t>Caso San Miguel Sosa y otras Vs. Venezuela</w:t>
      </w:r>
      <w:r w:rsidRPr="00A87F14">
        <w:rPr>
          <w:rFonts w:ascii="Verdana" w:hAnsi="Verdana"/>
          <w:color w:val="000000"/>
          <w:spacing w:val="-12"/>
          <w:sz w:val="16"/>
          <w:szCs w:val="16"/>
        </w:rPr>
        <w:t>, párr. 24.</w:t>
      </w:r>
    </w:p>
  </w:footnote>
  <w:footnote w:id="28">
    <w:p w14:paraId="04720E5E" w14:textId="77777777" w:rsidR="00FE2511" w:rsidRPr="00A87F14" w:rsidRDefault="00FE2511" w:rsidP="00221603">
      <w:pPr>
        <w:pStyle w:val="Textonotapie"/>
        <w:spacing w:before="120" w:after="120"/>
        <w:jc w:val="both"/>
        <w:rPr>
          <w:rFonts w:ascii="Verdana" w:hAnsi="Verdana"/>
          <w:sz w:val="16"/>
          <w:szCs w:val="16"/>
        </w:rPr>
      </w:pPr>
      <w:r w:rsidRPr="00A87F14">
        <w:rPr>
          <w:rStyle w:val="Refdenotaalpie"/>
          <w:rFonts w:ascii="Verdana" w:hAnsi="Verdana"/>
          <w:spacing w:val="-12"/>
          <w:sz w:val="16"/>
          <w:szCs w:val="16"/>
        </w:rPr>
        <w:footnoteRef/>
      </w:r>
      <w:r w:rsidRPr="00A87F14">
        <w:rPr>
          <w:rFonts w:ascii="Verdana" w:hAnsi="Verdana"/>
          <w:sz w:val="16"/>
          <w:szCs w:val="16"/>
        </w:rPr>
        <w:t xml:space="preserve"> </w:t>
      </w:r>
      <w:r w:rsidRPr="00A87F14">
        <w:rPr>
          <w:rFonts w:ascii="Verdana" w:eastAsia="Times New Roman" w:hAnsi="Verdana" w:cs="Times New Roman"/>
          <w:spacing w:val="-12"/>
          <w:sz w:val="16"/>
          <w:szCs w:val="16"/>
        </w:rPr>
        <w:tab/>
        <w:t>El artículo 63 del Reglamento dispone que “cuando la Comisión, las […] presuntas víctimas o sus representantes [y] el Estado […], en un caso ante la Corte comunicaren a ésta la existencia de una solución amistosa, de un avenimiento o de otro hecho idóneo para la solución del litigio, la Corte resolverá en el momento procesal oportuno sobre su procedencia y sus efectos jurídicos”</w:t>
      </w:r>
    </w:p>
  </w:footnote>
  <w:footnote w:id="29">
    <w:p w14:paraId="269DE446" w14:textId="20D73E70" w:rsidR="00FE2511" w:rsidRPr="00A87F14" w:rsidRDefault="00FE2511" w:rsidP="00221603">
      <w:pPr>
        <w:pStyle w:val="Textonotapie"/>
        <w:spacing w:before="120" w:after="120"/>
        <w:jc w:val="both"/>
        <w:rPr>
          <w:rFonts w:ascii="Verdana" w:hAnsi="Verdana"/>
          <w:sz w:val="16"/>
          <w:szCs w:val="16"/>
          <w:lang w:val="es-MX"/>
        </w:rPr>
      </w:pPr>
      <w:r w:rsidRPr="00A87F14">
        <w:rPr>
          <w:rStyle w:val="Refdenotaalpie"/>
          <w:rFonts w:ascii="Verdana" w:hAnsi="Verdana"/>
          <w:spacing w:val="-12"/>
          <w:sz w:val="16"/>
          <w:szCs w:val="16"/>
          <w:lang w:val="es-MX"/>
        </w:rPr>
        <w:footnoteRef/>
      </w:r>
      <w:r w:rsidRPr="00A87F14">
        <w:rPr>
          <w:rFonts w:ascii="Verdana" w:hAnsi="Verdana"/>
          <w:sz w:val="16"/>
          <w:szCs w:val="16"/>
        </w:rPr>
        <w:t xml:space="preserve"> </w:t>
      </w:r>
      <w:r w:rsidRPr="00A87F14">
        <w:rPr>
          <w:rFonts w:ascii="Verdana" w:hAnsi="Verdana"/>
          <w:color w:val="000000"/>
          <w:spacing w:val="-12"/>
          <w:sz w:val="16"/>
          <w:szCs w:val="16"/>
        </w:rPr>
        <w:tab/>
      </w:r>
      <w:r w:rsidRPr="00A87F14">
        <w:rPr>
          <w:rFonts w:ascii="Verdana" w:hAnsi="Verdana"/>
          <w:i/>
          <w:color w:val="000000"/>
          <w:spacing w:val="-12"/>
          <w:sz w:val="16"/>
          <w:szCs w:val="16"/>
        </w:rPr>
        <w:t>Cfr. Caso Benavides Cevallos Vs. Ecuador. Fondo, Reparaciones y Costas</w:t>
      </w:r>
      <w:r w:rsidRPr="00A87F14">
        <w:rPr>
          <w:rFonts w:ascii="Verdana" w:hAnsi="Verdana"/>
          <w:color w:val="000000"/>
          <w:spacing w:val="-12"/>
          <w:sz w:val="16"/>
          <w:szCs w:val="16"/>
        </w:rPr>
        <w:t xml:space="preserve">. Sentencia de 19 de junio de 1998. Serie C No. 38, párrs. 55 y 57; y </w:t>
      </w:r>
      <w:r w:rsidRPr="00A87F14">
        <w:rPr>
          <w:rFonts w:ascii="Verdana" w:hAnsi="Verdana"/>
          <w:i/>
          <w:color w:val="000000"/>
          <w:spacing w:val="-12"/>
          <w:sz w:val="16"/>
          <w:szCs w:val="16"/>
        </w:rPr>
        <w:t xml:space="preserve">Caso Gómez Murillo y otros Vs. Costa Rica. </w:t>
      </w:r>
      <w:r w:rsidRPr="00A87F14">
        <w:rPr>
          <w:rFonts w:ascii="Verdana" w:hAnsi="Verdana"/>
          <w:color w:val="000000"/>
          <w:spacing w:val="-12"/>
          <w:sz w:val="16"/>
          <w:szCs w:val="16"/>
        </w:rPr>
        <w:t xml:space="preserve">Sentencia de 29 de noviembre de 2016. Serie C No. 326, párrs. 15 y 16. </w:t>
      </w:r>
      <w:r>
        <w:rPr>
          <w:rFonts w:ascii="Verdana" w:hAnsi="Verdana"/>
          <w:color w:val="000000"/>
          <w:spacing w:val="-12"/>
          <w:sz w:val="16"/>
          <w:szCs w:val="16"/>
        </w:rPr>
        <w:t xml:space="preserve">En similar sentido, ver </w:t>
      </w:r>
      <w:r w:rsidRPr="00BB113F">
        <w:rPr>
          <w:rFonts w:ascii="Verdana" w:eastAsia="Times New Roman" w:hAnsi="Verdana" w:cs="Times New Roman"/>
          <w:bCs/>
          <w:i/>
          <w:spacing w:val="-12"/>
          <w:sz w:val="16"/>
          <w:szCs w:val="16"/>
        </w:rPr>
        <w:t>Caso Escaleras Mejía y otros Vs. Honduras</w:t>
      </w:r>
      <w:r w:rsidRPr="00BB113F">
        <w:rPr>
          <w:rFonts w:ascii="Verdana" w:eastAsia="Times New Roman" w:hAnsi="Verdana" w:cs="Times New Roman"/>
          <w:bCs/>
          <w:spacing w:val="-12"/>
          <w:sz w:val="16"/>
          <w:szCs w:val="16"/>
        </w:rPr>
        <w:t>, párrs. 15 y 16.</w:t>
      </w:r>
    </w:p>
  </w:footnote>
  <w:footnote w:id="30">
    <w:p w14:paraId="5B47CB6E" w14:textId="0FB69112" w:rsidR="00FE2511" w:rsidRPr="00F8021B" w:rsidRDefault="00FE2511" w:rsidP="008C3BAA">
      <w:pPr>
        <w:autoSpaceDE w:val="0"/>
        <w:autoSpaceDN w:val="0"/>
        <w:adjustRightInd w:val="0"/>
        <w:spacing w:before="120" w:after="120" w:line="240" w:lineRule="auto"/>
        <w:jc w:val="both"/>
        <w:rPr>
          <w:rFonts w:ascii="Verdana" w:hAnsi="Verdana"/>
          <w:spacing w:val="-12"/>
          <w:sz w:val="16"/>
          <w:szCs w:val="16"/>
        </w:rPr>
      </w:pPr>
      <w:r w:rsidRPr="00A87F14">
        <w:rPr>
          <w:rStyle w:val="Refdenotaalpie"/>
          <w:rFonts w:ascii="Verdana" w:hAnsi="Verdana"/>
          <w:sz w:val="16"/>
          <w:szCs w:val="16"/>
        </w:rPr>
        <w:footnoteRef/>
      </w:r>
      <w:r w:rsidRPr="00A87F14">
        <w:rPr>
          <w:rFonts w:ascii="Verdana" w:hAnsi="Verdana"/>
          <w:sz w:val="16"/>
          <w:szCs w:val="16"/>
          <w:lang w:val="es-ES"/>
        </w:rPr>
        <w:t xml:space="preserve"> </w:t>
      </w:r>
      <w:r w:rsidRPr="00A87F14">
        <w:rPr>
          <w:rFonts w:ascii="Verdana" w:hAnsi="Verdana"/>
          <w:sz w:val="16"/>
          <w:szCs w:val="16"/>
          <w:lang w:val="es-ES"/>
        </w:rPr>
        <w:tab/>
      </w:r>
      <w:r w:rsidRPr="008C3BAA">
        <w:rPr>
          <w:rFonts w:ascii="Verdana" w:hAnsi="Verdana"/>
          <w:spacing w:val="-12"/>
          <w:sz w:val="16"/>
          <w:szCs w:val="16"/>
        </w:rPr>
        <w:t>D.S. No. 355 de 25 de abril de 1990. En: Informe de la Comisión Rettig, Tomo I, págs. XI a XIV.</w:t>
      </w:r>
    </w:p>
  </w:footnote>
  <w:footnote w:id="31">
    <w:p w14:paraId="75439960" w14:textId="77777777" w:rsidR="00FE2511" w:rsidRPr="008C3BAA" w:rsidRDefault="00FE2511" w:rsidP="0074414B">
      <w:pPr>
        <w:autoSpaceDE w:val="0"/>
        <w:autoSpaceDN w:val="0"/>
        <w:adjustRightInd w:val="0"/>
        <w:spacing w:before="120" w:after="120" w:line="240" w:lineRule="auto"/>
        <w:jc w:val="both"/>
        <w:rPr>
          <w:rFonts w:ascii="Verdana" w:hAnsi="Verdana"/>
          <w:spacing w:val="-12"/>
          <w:sz w:val="16"/>
          <w:szCs w:val="16"/>
        </w:rPr>
      </w:pPr>
      <w:r w:rsidRPr="00A87F14">
        <w:rPr>
          <w:rStyle w:val="Refdenotaalpie"/>
          <w:rFonts w:ascii="Verdana" w:hAnsi="Verdana"/>
          <w:sz w:val="16"/>
          <w:szCs w:val="16"/>
        </w:rPr>
        <w:footnoteRef/>
      </w:r>
      <w:r w:rsidRPr="00A87F14">
        <w:rPr>
          <w:rFonts w:ascii="Verdana" w:hAnsi="Verdana"/>
          <w:sz w:val="16"/>
          <w:szCs w:val="16"/>
          <w:lang w:val="es-ES"/>
        </w:rPr>
        <w:t xml:space="preserve"> </w:t>
      </w:r>
      <w:r w:rsidRPr="00A87F14">
        <w:rPr>
          <w:rFonts w:ascii="Verdana" w:hAnsi="Verdana"/>
          <w:sz w:val="16"/>
          <w:szCs w:val="16"/>
          <w:lang w:val="es-ES"/>
        </w:rPr>
        <w:tab/>
      </w:r>
      <w:r w:rsidRPr="008C3BAA">
        <w:rPr>
          <w:rFonts w:ascii="Verdana" w:hAnsi="Verdana"/>
          <w:spacing w:val="-12"/>
          <w:sz w:val="16"/>
          <w:szCs w:val="16"/>
        </w:rPr>
        <w:t xml:space="preserve">Mensaje a la Nación del Presidente Patricio Aylwin al dar a conocer el Informe de la Comisión Rettig, 4 de marzo de 1991, Tomo II, págs. 887 a 894. </w:t>
      </w:r>
    </w:p>
  </w:footnote>
  <w:footnote w:id="32">
    <w:p w14:paraId="3D5FFE5F" w14:textId="77777777" w:rsidR="00FE2511" w:rsidRPr="00A87F14" w:rsidRDefault="00FE2511" w:rsidP="0074414B">
      <w:pPr>
        <w:autoSpaceDE w:val="0"/>
        <w:autoSpaceDN w:val="0"/>
        <w:adjustRightInd w:val="0"/>
        <w:spacing w:before="120" w:after="120" w:line="240" w:lineRule="auto"/>
        <w:jc w:val="both"/>
        <w:rPr>
          <w:rFonts w:ascii="Verdana" w:hAnsi="Verdana" w:cs="Verdana"/>
          <w:sz w:val="16"/>
          <w:szCs w:val="16"/>
          <w:lang w:val="es-ES"/>
        </w:rPr>
      </w:pPr>
      <w:r w:rsidRPr="00A87F14">
        <w:rPr>
          <w:rStyle w:val="Refdenotaalpie"/>
          <w:rFonts w:ascii="Verdana" w:hAnsi="Verdana"/>
          <w:sz w:val="16"/>
          <w:szCs w:val="16"/>
        </w:rPr>
        <w:footnoteRef/>
      </w:r>
      <w:r w:rsidRPr="00A87F14">
        <w:rPr>
          <w:rFonts w:ascii="Verdana" w:hAnsi="Verdana"/>
          <w:sz w:val="16"/>
          <w:szCs w:val="16"/>
          <w:lang w:val="es-ES"/>
        </w:rPr>
        <w:t xml:space="preserve"> </w:t>
      </w:r>
      <w:r w:rsidRPr="00A87F14">
        <w:rPr>
          <w:rFonts w:ascii="Verdana" w:hAnsi="Verdana"/>
          <w:sz w:val="16"/>
          <w:szCs w:val="16"/>
          <w:lang w:val="es-ES"/>
        </w:rPr>
        <w:tab/>
      </w:r>
      <w:r w:rsidRPr="008C3BAA">
        <w:rPr>
          <w:rFonts w:ascii="Verdana" w:hAnsi="Verdana"/>
          <w:spacing w:val="-12"/>
          <w:sz w:val="16"/>
          <w:szCs w:val="16"/>
        </w:rPr>
        <w:t>Informe de la Comisión Rettig, Tomo II, págs. 1254 a 1266.</w:t>
      </w:r>
      <w:r w:rsidRPr="00A87F14">
        <w:rPr>
          <w:rFonts w:ascii="Verdana" w:hAnsi="Verdana"/>
          <w:sz w:val="16"/>
          <w:szCs w:val="16"/>
          <w:lang w:val="es-ES"/>
        </w:rPr>
        <w:t xml:space="preserve"> </w:t>
      </w:r>
    </w:p>
  </w:footnote>
  <w:footnote w:id="33">
    <w:p w14:paraId="26AE5E27" w14:textId="77777777" w:rsidR="00FE2511" w:rsidRPr="00A87F14" w:rsidRDefault="00FE2511" w:rsidP="0074414B">
      <w:pPr>
        <w:pStyle w:val="Textonotapie"/>
        <w:spacing w:before="120" w:after="120"/>
        <w:jc w:val="both"/>
        <w:rPr>
          <w:rFonts w:ascii="Verdana" w:hAnsi="Verdana"/>
          <w:sz w:val="16"/>
          <w:szCs w:val="16"/>
          <w:lang w:val="es-CO"/>
        </w:rPr>
      </w:pPr>
      <w:r w:rsidRPr="00A87F14">
        <w:rPr>
          <w:rStyle w:val="Refdenotaalpie"/>
          <w:rFonts w:ascii="Verdana" w:hAnsi="Verdana"/>
          <w:sz w:val="16"/>
          <w:szCs w:val="16"/>
        </w:rPr>
        <w:footnoteRef/>
      </w:r>
      <w:r w:rsidRPr="00A87F14">
        <w:rPr>
          <w:rFonts w:ascii="Verdana" w:hAnsi="Verdana"/>
          <w:sz w:val="16"/>
          <w:szCs w:val="16"/>
          <w:lang w:val="es-CO"/>
        </w:rPr>
        <w:t xml:space="preserve"> </w:t>
      </w:r>
      <w:r w:rsidRPr="00A87F14">
        <w:rPr>
          <w:rFonts w:ascii="Verdana" w:hAnsi="Verdana"/>
          <w:sz w:val="16"/>
          <w:szCs w:val="16"/>
          <w:lang w:val="es-CO"/>
        </w:rPr>
        <w:tab/>
      </w:r>
      <w:r w:rsidRPr="008C3BAA">
        <w:rPr>
          <w:rFonts w:ascii="Verdana" w:hAnsi="Verdana"/>
          <w:spacing w:val="-12"/>
          <w:sz w:val="16"/>
          <w:szCs w:val="16"/>
        </w:rPr>
        <w:t>Arts. 1 y2.1 de la Ley No. 19.123, publicada en el Diario Oficial el 8 de febrero de 1993.</w:t>
      </w:r>
    </w:p>
  </w:footnote>
  <w:footnote w:id="34">
    <w:p w14:paraId="0A5EB744" w14:textId="467EC285" w:rsidR="00FE2511" w:rsidRPr="008C3BAA" w:rsidRDefault="00FE2511" w:rsidP="0074414B">
      <w:pPr>
        <w:pStyle w:val="Textonotapie"/>
        <w:spacing w:before="120" w:after="120"/>
        <w:jc w:val="both"/>
        <w:rPr>
          <w:rFonts w:ascii="Verdana" w:hAnsi="Verdana"/>
          <w:spacing w:val="-12"/>
          <w:sz w:val="16"/>
          <w:szCs w:val="16"/>
        </w:rPr>
      </w:pPr>
      <w:r w:rsidRPr="00A87F14">
        <w:rPr>
          <w:rFonts w:ascii="Verdana" w:hAnsi="Verdana"/>
          <w:sz w:val="16"/>
          <w:szCs w:val="16"/>
          <w:vertAlign w:val="superscript"/>
          <w:lang w:val="es-ES"/>
        </w:rPr>
        <w:footnoteRef/>
      </w:r>
      <w:r w:rsidRPr="00A87F14">
        <w:rPr>
          <w:rFonts w:ascii="Verdana" w:hAnsi="Verdana"/>
          <w:sz w:val="16"/>
          <w:szCs w:val="16"/>
          <w:lang w:val="es-ES"/>
        </w:rPr>
        <w:t xml:space="preserve"> </w:t>
      </w:r>
      <w:r w:rsidRPr="00A87F14">
        <w:rPr>
          <w:rFonts w:ascii="Verdana" w:hAnsi="Verdana"/>
          <w:sz w:val="16"/>
          <w:szCs w:val="16"/>
          <w:lang w:val="es-ES"/>
        </w:rPr>
        <w:tab/>
      </w:r>
      <w:r w:rsidR="00715AC8">
        <w:rPr>
          <w:rFonts w:ascii="Verdana" w:hAnsi="Verdana"/>
          <w:spacing w:val="-12"/>
          <w:sz w:val="16"/>
          <w:szCs w:val="16"/>
        </w:rPr>
        <w:t xml:space="preserve">Arts. </w:t>
      </w:r>
      <w:r w:rsidRPr="008C3BAA">
        <w:rPr>
          <w:rFonts w:ascii="Verdana" w:hAnsi="Verdana"/>
          <w:spacing w:val="-12"/>
          <w:sz w:val="16"/>
          <w:szCs w:val="16"/>
        </w:rPr>
        <w:t>17 a 27, 28, 29 a 31 y 32 de la Ley No. 19.123.</w:t>
      </w:r>
    </w:p>
  </w:footnote>
  <w:footnote w:id="35">
    <w:p w14:paraId="6EA96EE9" w14:textId="77777777" w:rsidR="00FE2511" w:rsidRPr="00A87F14" w:rsidRDefault="00FE2511" w:rsidP="0074414B">
      <w:pPr>
        <w:pStyle w:val="Textonotapie"/>
        <w:spacing w:before="120" w:after="120"/>
        <w:jc w:val="both"/>
        <w:rPr>
          <w:rFonts w:ascii="Verdana" w:hAnsi="Verdana"/>
          <w:sz w:val="16"/>
          <w:szCs w:val="16"/>
          <w:lang w:val="es-ES"/>
        </w:rPr>
      </w:pPr>
      <w:r w:rsidRPr="00A87F14">
        <w:rPr>
          <w:rFonts w:ascii="Verdana" w:hAnsi="Verdana"/>
          <w:sz w:val="16"/>
          <w:szCs w:val="16"/>
          <w:vertAlign w:val="superscript"/>
          <w:lang w:val="es-ES"/>
        </w:rPr>
        <w:footnoteRef/>
      </w:r>
      <w:r w:rsidRPr="00A87F14">
        <w:rPr>
          <w:rFonts w:ascii="Verdana" w:hAnsi="Verdana"/>
          <w:sz w:val="16"/>
          <w:szCs w:val="16"/>
          <w:lang w:val="es-ES"/>
        </w:rPr>
        <w:t xml:space="preserve"> </w:t>
      </w:r>
      <w:r w:rsidRPr="008C3BAA">
        <w:rPr>
          <w:rFonts w:ascii="Verdana" w:hAnsi="Verdana"/>
          <w:spacing w:val="-12"/>
          <w:sz w:val="16"/>
          <w:szCs w:val="16"/>
        </w:rPr>
        <w:tab/>
        <w:t xml:space="preserve">Arts. Primero y Segundo D.S. No. 1.040 de 26 de septiembre de 2003. </w:t>
      </w:r>
    </w:p>
  </w:footnote>
  <w:footnote w:id="36">
    <w:p w14:paraId="232A1B08" w14:textId="6A3C2549" w:rsidR="00FE2511" w:rsidRPr="00A87F14" w:rsidRDefault="00FE2511" w:rsidP="0074414B">
      <w:pPr>
        <w:pStyle w:val="Textonotapie"/>
        <w:spacing w:before="120" w:after="120"/>
        <w:jc w:val="both"/>
        <w:rPr>
          <w:rFonts w:ascii="Verdana" w:hAnsi="Verdana"/>
          <w:sz w:val="16"/>
          <w:szCs w:val="16"/>
          <w:lang w:val="es-ES"/>
        </w:rPr>
      </w:pPr>
      <w:r w:rsidRPr="00A87F14">
        <w:rPr>
          <w:rFonts w:ascii="Verdana" w:hAnsi="Verdana"/>
          <w:sz w:val="16"/>
          <w:szCs w:val="16"/>
          <w:vertAlign w:val="superscript"/>
          <w:lang w:val="es-ES"/>
        </w:rPr>
        <w:footnoteRef/>
      </w:r>
      <w:r w:rsidRPr="00A87F14">
        <w:rPr>
          <w:rFonts w:ascii="Verdana" w:hAnsi="Verdana"/>
          <w:sz w:val="16"/>
          <w:szCs w:val="16"/>
          <w:lang w:val="es-ES"/>
        </w:rPr>
        <w:t xml:space="preserve"> </w:t>
      </w:r>
      <w:r w:rsidRPr="008C3BAA">
        <w:rPr>
          <w:rFonts w:ascii="Verdana" w:hAnsi="Verdana"/>
          <w:spacing w:val="-12"/>
          <w:sz w:val="16"/>
          <w:szCs w:val="16"/>
        </w:rPr>
        <w:tab/>
        <w:t>Art. Quinto: “Tendrán derecho a este beneficio los hijos que, existiendo a la fecha de publicación de la presente ley, no estén en goce de la pensión de reparación a que se refiere el artículo 17 de la ley Nº 19.123, y siempre que lo soliciten dentro del plazo de un año, a contar de la fecha de publicación de esta ley. No tendrán derecho a este beneficio los hijos que estén percibiendo pensión de reparación vitalicia en su calidad de discapacitados” (Ley No. 19.980 de 2004).</w:t>
      </w:r>
    </w:p>
  </w:footnote>
  <w:footnote w:id="37">
    <w:p w14:paraId="215BD228" w14:textId="05CA5596" w:rsidR="00FE2511" w:rsidRPr="00A87F14" w:rsidRDefault="00FE2511" w:rsidP="0074414B">
      <w:pPr>
        <w:pStyle w:val="Textonotapie"/>
        <w:spacing w:before="120" w:after="120"/>
        <w:jc w:val="both"/>
        <w:rPr>
          <w:rFonts w:ascii="Verdana" w:hAnsi="Verdana"/>
          <w:sz w:val="16"/>
          <w:szCs w:val="16"/>
          <w:lang w:val="es-ES"/>
        </w:rPr>
      </w:pPr>
      <w:r w:rsidRPr="00A87F14">
        <w:rPr>
          <w:rFonts w:ascii="Verdana" w:hAnsi="Verdana"/>
          <w:sz w:val="16"/>
          <w:szCs w:val="16"/>
          <w:vertAlign w:val="superscript"/>
          <w:lang w:val="es-ES"/>
        </w:rPr>
        <w:footnoteRef/>
      </w:r>
      <w:r w:rsidRPr="00A87F14">
        <w:rPr>
          <w:rFonts w:ascii="Verdana" w:hAnsi="Verdana"/>
          <w:sz w:val="16"/>
          <w:szCs w:val="16"/>
          <w:lang w:val="es-ES"/>
        </w:rPr>
        <w:t xml:space="preserve"> </w:t>
      </w:r>
      <w:r w:rsidRPr="008C3BAA">
        <w:rPr>
          <w:rFonts w:ascii="Verdana" w:hAnsi="Verdana"/>
          <w:spacing w:val="-12"/>
          <w:sz w:val="16"/>
          <w:szCs w:val="16"/>
        </w:rPr>
        <w:tab/>
      </w:r>
      <w:r w:rsidRPr="008C3BAA">
        <w:rPr>
          <w:rFonts w:ascii="Verdana" w:hAnsi="Verdana"/>
          <w:i/>
          <w:spacing w:val="-12"/>
          <w:sz w:val="16"/>
          <w:szCs w:val="16"/>
        </w:rPr>
        <w:t>Cfr. Caso Almonacid Arellano y otros Vs. Chile. Excepciones Preliminares, Fondo, Reparaciones y Costas</w:t>
      </w:r>
      <w:r w:rsidRPr="008C3BAA">
        <w:rPr>
          <w:rFonts w:ascii="Verdana" w:hAnsi="Verdana"/>
          <w:spacing w:val="-12"/>
          <w:sz w:val="16"/>
          <w:szCs w:val="16"/>
        </w:rPr>
        <w:t>. Sentencia de 26 de septiembre de 2006. Serie C No. 154, párr. 82.31.</w:t>
      </w:r>
    </w:p>
  </w:footnote>
  <w:footnote w:id="38">
    <w:p w14:paraId="637C26D5" w14:textId="77777777" w:rsidR="00FE2511" w:rsidRPr="00A87F14" w:rsidRDefault="00FE2511" w:rsidP="008C3BAA">
      <w:pPr>
        <w:pStyle w:val="Textonotapie"/>
        <w:spacing w:before="120" w:after="120"/>
        <w:jc w:val="both"/>
        <w:rPr>
          <w:rFonts w:ascii="Verdana" w:hAnsi="Verdana"/>
          <w:sz w:val="16"/>
          <w:szCs w:val="16"/>
          <w:lang w:val="es-ES"/>
        </w:rPr>
      </w:pPr>
      <w:r w:rsidRPr="00A87F14">
        <w:rPr>
          <w:rStyle w:val="Refdenotaalpie"/>
          <w:rFonts w:ascii="Verdana" w:hAnsi="Verdana"/>
          <w:sz w:val="16"/>
          <w:szCs w:val="16"/>
        </w:rPr>
        <w:footnoteRef/>
      </w:r>
      <w:r w:rsidRPr="00A87F14">
        <w:rPr>
          <w:rFonts w:ascii="Verdana" w:hAnsi="Verdana"/>
          <w:sz w:val="16"/>
          <w:szCs w:val="16"/>
          <w:lang w:val="es-ES"/>
        </w:rPr>
        <w:t xml:space="preserve"> </w:t>
      </w:r>
      <w:r w:rsidRPr="008C3BAA">
        <w:rPr>
          <w:rFonts w:ascii="Verdana" w:hAnsi="Verdana"/>
          <w:spacing w:val="-12"/>
          <w:sz w:val="16"/>
          <w:szCs w:val="16"/>
        </w:rPr>
        <w:tab/>
        <w:t>Decreto con Fuerza de Ley 1. Publicado el 30 de mayo de 2000.</w:t>
      </w:r>
    </w:p>
  </w:footnote>
  <w:footnote w:id="39">
    <w:p w14:paraId="2CEAA461" w14:textId="74B87F3A" w:rsidR="00FE2511" w:rsidRPr="00A87F14" w:rsidRDefault="00FE2511" w:rsidP="008C3BAA">
      <w:pPr>
        <w:pStyle w:val="Textonotapie"/>
        <w:spacing w:before="120" w:after="120"/>
        <w:jc w:val="both"/>
        <w:rPr>
          <w:rFonts w:ascii="Verdana" w:hAnsi="Verdana"/>
          <w:sz w:val="16"/>
          <w:szCs w:val="16"/>
          <w:lang w:val="es-ES"/>
        </w:rPr>
      </w:pPr>
      <w:r w:rsidRPr="00A87F14">
        <w:rPr>
          <w:rFonts w:ascii="Verdana" w:hAnsi="Verdana"/>
          <w:sz w:val="16"/>
          <w:szCs w:val="16"/>
          <w:vertAlign w:val="superscript"/>
          <w:lang w:val="es-ES"/>
        </w:rPr>
        <w:footnoteRef/>
      </w:r>
      <w:r w:rsidRPr="00A87F14">
        <w:rPr>
          <w:rFonts w:ascii="Verdana" w:hAnsi="Verdana"/>
          <w:sz w:val="16"/>
          <w:szCs w:val="16"/>
          <w:lang w:val="es-ES"/>
        </w:rPr>
        <w:t xml:space="preserve"> </w:t>
      </w:r>
      <w:r w:rsidRPr="008C3BAA">
        <w:rPr>
          <w:rFonts w:ascii="Verdana" w:hAnsi="Verdana"/>
          <w:spacing w:val="-12"/>
          <w:sz w:val="16"/>
          <w:szCs w:val="16"/>
        </w:rPr>
        <w:tab/>
      </w:r>
      <w:r>
        <w:rPr>
          <w:rFonts w:ascii="Verdana" w:hAnsi="Verdana"/>
          <w:i/>
          <w:spacing w:val="-12"/>
          <w:sz w:val="16"/>
          <w:szCs w:val="16"/>
        </w:rPr>
        <w:t xml:space="preserve">Cfr. </w:t>
      </w:r>
      <w:r w:rsidRPr="008C3BAA">
        <w:rPr>
          <w:rFonts w:ascii="Verdana" w:hAnsi="Verdana"/>
          <w:spacing w:val="-12"/>
          <w:sz w:val="16"/>
          <w:szCs w:val="16"/>
        </w:rPr>
        <w:t xml:space="preserve">Informe de la Comisión Rettig, Tomo I, pág. 144. </w:t>
      </w:r>
    </w:p>
  </w:footnote>
  <w:footnote w:id="40">
    <w:p w14:paraId="64319A20" w14:textId="020A0014" w:rsidR="00FE2511" w:rsidRPr="008C3BAA" w:rsidRDefault="00FE2511" w:rsidP="002F3FA3">
      <w:pPr>
        <w:pStyle w:val="Textonotapie"/>
        <w:spacing w:before="120" w:after="120"/>
        <w:jc w:val="both"/>
        <w:rPr>
          <w:rFonts w:ascii="Verdana" w:hAnsi="Verdana"/>
          <w:sz w:val="16"/>
          <w:szCs w:val="16"/>
          <w:lang w:val="es-ES"/>
        </w:rPr>
      </w:pPr>
      <w:r w:rsidRPr="008C3BAA">
        <w:rPr>
          <w:rFonts w:ascii="Verdana" w:hAnsi="Verdana"/>
          <w:sz w:val="16"/>
          <w:szCs w:val="16"/>
          <w:vertAlign w:val="superscript"/>
          <w:lang w:val="es-ES"/>
        </w:rPr>
        <w:footnoteRef/>
      </w:r>
      <w:r w:rsidRPr="008C3BAA">
        <w:rPr>
          <w:rFonts w:ascii="Verdana" w:hAnsi="Verdana"/>
          <w:sz w:val="16"/>
          <w:szCs w:val="16"/>
          <w:lang w:val="es-ES"/>
        </w:rPr>
        <w:t xml:space="preserve"> </w:t>
      </w:r>
      <w:r w:rsidRPr="008C3BAA">
        <w:rPr>
          <w:rFonts w:ascii="Verdana" w:hAnsi="Verdana"/>
          <w:spacing w:val="-12"/>
          <w:sz w:val="16"/>
          <w:szCs w:val="16"/>
        </w:rPr>
        <w:tab/>
        <w:t xml:space="preserve">El Juzgado consideró que “el hecho del cual deriva la acción indemnizatoria acaeció en determinada fecha del año 1973, desde la cual, hasta la fecha de notificación de la demanda de autos, transcurrió en exceso el plazo de prescripción de cinco años que el tribunal ha estimado aplicable en la especie”. </w:t>
      </w:r>
      <w:r w:rsidRPr="008C3BAA">
        <w:rPr>
          <w:rFonts w:ascii="Verdana" w:hAnsi="Verdana"/>
          <w:i/>
          <w:spacing w:val="-12"/>
          <w:sz w:val="16"/>
          <w:szCs w:val="16"/>
        </w:rPr>
        <w:t>Cfr</w:t>
      </w:r>
      <w:r w:rsidRPr="008C3BAA">
        <w:rPr>
          <w:rFonts w:ascii="Verdana" w:hAnsi="Verdana"/>
          <w:spacing w:val="-12"/>
          <w:sz w:val="16"/>
          <w:szCs w:val="16"/>
        </w:rPr>
        <w:t xml:space="preserve">. </w:t>
      </w:r>
      <w:r w:rsidRPr="00BB113F">
        <w:rPr>
          <w:rFonts w:ascii="Verdana" w:hAnsi="Verdana"/>
          <w:spacing w:val="-12"/>
          <w:sz w:val="16"/>
          <w:szCs w:val="16"/>
        </w:rPr>
        <w:t xml:space="preserve">Sentencia del 8° Juzgado Civil, Ordenes María contra el Fisco de Chile, </w:t>
      </w:r>
      <w:r w:rsidRPr="0094614E">
        <w:rPr>
          <w:rFonts w:ascii="Verdana" w:hAnsi="Verdana"/>
          <w:i/>
          <w:spacing w:val="-12"/>
          <w:sz w:val="16"/>
          <w:szCs w:val="16"/>
        </w:rPr>
        <w:t>supra</w:t>
      </w:r>
      <w:r w:rsidRPr="00BB113F">
        <w:rPr>
          <w:rFonts w:ascii="Verdana" w:hAnsi="Verdana"/>
          <w:spacing w:val="-12"/>
          <w:sz w:val="16"/>
          <w:szCs w:val="16"/>
        </w:rPr>
        <w:t xml:space="preserve"> (exp. prueba, </w:t>
      </w:r>
      <w:r>
        <w:rPr>
          <w:rFonts w:ascii="Verdana" w:hAnsi="Verdana"/>
          <w:spacing w:val="-12"/>
          <w:sz w:val="16"/>
          <w:szCs w:val="16"/>
        </w:rPr>
        <w:t xml:space="preserve">ff. </w:t>
      </w:r>
      <w:r w:rsidRPr="00BB113F">
        <w:rPr>
          <w:rFonts w:ascii="Verdana" w:hAnsi="Verdana"/>
          <w:spacing w:val="-12"/>
          <w:sz w:val="16"/>
          <w:szCs w:val="16"/>
        </w:rPr>
        <w:t>25 y 26</w:t>
      </w:r>
      <w:r>
        <w:rPr>
          <w:rFonts w:ascii="Verdana" w:hAnsi="Verdana"/>
          <w:spacing w:val="-12"/>
          <w:sz w:val="16"/>
          <w:szCs w:val="16"/>
        </w:rPr>
        <w:t>)</w:t>
      </w:r>
      <w:r w:rsidRPr="008C3BAA">
        <w:rPr>
          <w:rFonts w:ascii="Verdana" w:hAnsi="Verdana"/>
          <w:spacing w:val="-12"/>
          <w:sz w:val="16"/>
          <w:szCs w:val="16"/>
        </w:rPr>
        <w:t>.</w:t>
      </w:r>
    </w:p>
  </w:footnote>
  <w:footnote w:id="41">
    <w:p w14:paraId="74C67335" w14:textId="4C5CA17B" w:rsidR="00FE2511" w:rsidRPr="00A87F14" w:rsidRDefault="00FE2511" w:rsidP="002F3FA3">
      <w:pPr>
        <w:pStyle w:val="Textonotapie"/>
        <w:spacing w:before="120" w:after="120"/>
        <w:jc w:val="both"/>
        <w:rPr>
          <w:rFonts w:ascii="Verdana" w:hAnsi="Verdana"/>
          <w:sz w:val="16"/>
          <w:szCs w:val="16"/>
          <w:lang w:val="es-CO"/>
        </w:rPr>
      </w:pPr>
      <w:r w:rsidRPr="00A87F14">
        <w:rPr>
          <w:rStyle w:val="Refdenotaalpie"/>
          <w:rFonts w:ascii="Verdana" w:hAnsi="Verdana"/>
          <w:sz w:val="16"/>
          <w:szCs w:val="16"/>
        </w:rPr>
        <w:footnoteRef/>
      </w:r>
      <w:r w:rsidRPr="00A87F14">
        <w:rPr>
          <w:rFonts w:ascii="Verdana" w:hAnsi="Verdana"/>
          <w:sz w:val="16"/>
          <w:szCs w:val="16"/>
          <w:lang w:val="es-CO"/>
        </w:rPr>
        <w:t xml:space="preserve"> </w:t>
      </w:r>
      <w:r w:rsidRPr="008C3BAA">
        <w:rPr>
          <w:rFonts w:ascii="Verdana" w:hAnsi="Verdana"/>
          <w:spacing w:val="-12"/>
          <w:sz w:val="16"/>
          <w:szCs w:val="16"/>
        </w:rPr>
        <w:tab/>
      </w:r>
      <w:r w:rsidRPr="008C3BAA">
        <w:rPr>
          <w:rFonts w:ascii="Verdana" w:hAnsi="Verdana"/>
          <w:i/>
          <w:spacing w:val="-12"/>
          <w:sz w:val="16"/>
          <w:szCs w:val="16"/>
        </w:rPr>
        <w:t>Cfr</w:t>
      </w:r>
      <w:r w:rsidRPr="008C3BAA">
        <w:rPr>
          <w:rFonts w:ascii="Verdana" w:hAnsi="Verdana"/>
          <w:spacing w:val="-12"/>
          <w:sz w:val="16"/>
          <w:szCs w:val="16"/>
        </w:rPr>
        <w:t>. Informe de la Comisión Rettig, Tomo I,</w:t>
      </w:r>
      <w:r>
        <w:rPr>
          <w:rFonts w:ascii="Verdana" w:hAnsi="Verdana"/>
          <w:i/>
          <w:spacing w:val="-12"/>
          <w:sz w:val="16"/>
          <w:szCs w:val="16"/>
        </w:rPr>
        <w:t xml:space="preserve">supra, </w:t>
      </w:r>
      <w:r>
        <w:rPr>
          <w:rFonts w:ascii="Verdana" w:hAnsi="Verdana"/>
          <w:spacing w:val="-12"/>
          <w:sz w:val="16"/>
          <w:szCs w:val="16"/>
        </w:rPr>
        <w:t xml:space="preserve">págs.273 y </w:t>
      </w:r>
      <w:r w:rsidRPr="008C3BAA">
        <w:rPr>
          <w:rFonts w:ascii="Verdana" w:hAnsi="Verdana"/>
          <w:spacing w:val="-12"/>
          <w:sz w:val="16"/>
          <w:szCs w:val="16"/>
        </w:rPr>
        <w:t>274</w:t>
      </w:r>
      <w:r>
        <w:rPr>
          <w:rFonts w:ascii="Verdana" w:hAnsi="Verdana"/>
          <w:spacing w:val="-12"/>
          <w:sz w:val="16"/>
          <w:szCs w:val="16"/>
        </w:rPr>
        <w:t>.</w:t>
      </w:r>
    </w:p>
  </w:footnote>
  <w:footnote w:id="42">
    <w:p w14:paraId="7C3EC018" w14:textId="61737AB9" w:rsidR="00FE2511" w:rsidRPr="00A87F14" w:rsidRDefault="00FE2511" w:rsidP="002F3FA3">
      <w:pPr>
        <w:pStyle w:val="Textonotapie"/>
        <w:spacing w:before="120" w:after="120"/>
        <w:jc w:val="both"/>
        <w:rPr>
          <w:rFonts w:ascii="Verdana" w:hAnsi="Verdana"/>
          <w:sz w:val="16"/>
          <w:szCs w:val="16"/>
          <w:lang w:val="es-CO"/>
        </w:rPr>
      </w:pPr>
      <w:r w:rsidRPr="00A87F14">
        <w:rPr>
          <w:rStyle w:val="Refdenotaalpie"/>
          <w:rFonts w:ascii="Verdana" w:hAnsi="Verdana"/>
          <w:sz w:val="16"/>
          <w:szCs w:val="16"/>
        </w:rPr>
        <w:footnoteRef/>
      </w:r>
      <w:r w:rsidRPr="00A87F14">
        <w:rPr>
          <w:rFonts w:ascii="Verdana" w:hAnsi="Verdana"/>
          <w:sz w:val="16"/>
          <w:szCs w:val="16"/>
          <w:lang w:val="es-CO"/>
        </w:rPr>
        <w:t xml:space="preserve"> </w:t>
      </w:r>
      <w:r w:rsidRPr="008C3BAA">
        <w:rPr>
          <w:rFonts w:ascii="Verdana" w:hAnsi="Verdana"/>
          <w:spacing w:val="-12"/>
          <w:sz w:val="16"/>
          <w:szCs w:val="16"/>
        </w:rPr>
        <w:tab/>
        <w:t>El monto recibido mensualmente desde el mes de julio de 1991 hasta noviembre de 2007 suma $36.175.000 de Pesos chilenos. Ella</w:t>
      </w:r>
      <w:r>
        <w:rPr>
          <w:rFonts w:ascii="Verdana" w:hAnsi="Verdana"/>
          <w:spacing w:val="-12"/>
          <w:sz w:val="16"/>
          <w:szCs w:val="16"/>
        </w:rPr>
        <w:t xml:space="preserve"> continúa recibiendo la pensión. </w:t>
      </w:r>
      <w:r w:rsidRPr="00B96435">
        <w:rPr>
          <w:rFonts w:ascii="Verdana" w:hAnsi="Verdana"/>
          <w:i/>
          <w:spacing w:val="-12"/>
          <w:sz w:val="16"/>
          <w:szCs w:val="16"/>
        </w:rPr>
        <w:t>Cfr</w:t>
      </w:r>
      <w:r w:rsidRPr="00B96435">
        <w:rPr>
          <w:rFonts w:ascii="Verdana" w:hAnsi="Verdana"/>
          <w:spacing w:val="-12"/>
          <w:sz w:val="16"/>
          <w:szCs w:val="16"/>
        </w:rPr>
        <w:t xml:space="preserve">. </w:t>
      </w:r>
      <w:r w:rsidRPr="008C3BAA">
        <w:rPr>
          <w:rFonts w:ascii="Verdana" w:hAnsi="Verdana"/>
          <w:spacing w:val="-12"/>
          <w:sz w:val="16"/>
          <w:szCs w:val="16"/>
        </w:rPr>
        <w:t>escrito del Est</w:t>
      </w:r>
      <w:r>
        <w:rPr>
          <w:rFonts w:ascii="Verdana" w:hAnsi="Verdana"/>
          <w:spacing w:val="-12"/>
          <w:sz w:val="16"/>
          <w:szCs w:val="16"/>
        </w:rPr>
        <w:t xml:space="preserve">ado de 21 de noviembre de 2008 presentado ante la Comisión; y </w:t>
      </w:r>
      <w:r w:rsidRPr="00B96435">
        <w:rPr>
          <w:rFonts w:ascii="Verdana" w:hAnsi="Verdana"/>
          <w:spacing w:val="-12"/>
          <w:sz w:val="16"/>
          <w:szCs w:val="16"/>
        </w:rPr>
        <w:t>8° Juzgado Civil. Sentencia de 27 de enero de 1999, Morales Lucía/Fisco de Chile, Rol 4720-97, Considerando Duodéc</w:t>
      </w:r>
      <w:r>
        <w:rPr>
          <w:rFonts w:ascii="Verdana" w:hAnsi="Verdana"/>
          <w:spacing w:val="-12"/>
          <w:sz w:val="16"/>
          <w:szCs w:val="16"/>
        </w:rPr>
        <w:t xml:space="preserve">imo y Décimo Quinto </w:t>
      </w:r>
      <w:r w:rsidRPr="00BB113F">
        <w:rPr>
          <w:rFonts w:ascii="Verdana" w:hAnsi="Verdana"/>
          <w:spacing w:val="-12"/>
          <w:sz w:val="16"/>
          <w:szCs w:val="16"/>
        </w:rPr>
        <w:t>(exp. prueba, folio 82).</w:t>
      </w:r>
    </w:p>
  </w:footnote>
  <w:footnote w:id="43">
    <w:p w14:paraId="0E5C6510" w14:textId="2FF8F88F" w:rsidR="00FE2511" w:rsidRPr="00A87F14" w:rsidRDefault="00FE2511" w:rsidP="00975EE0">
      <w:pPr>
        <w:pStyle w:val="Textonotapie"/>
        <w:spacing w:before="120" w:after="120"/>
        <w:jc w:val="both"/>
        <w:rPr>
          <w:rFonts w:ascii="Verdana" w:hAnsi="Verdana"/>
          <w:sz w:val="16"/>
          <w:szCs w:val="16"/>
          <w:lang w:val="es-CO"/>
        </w:rPr>
      </w:pPr>
      <w:r w:rsidRPr="00A87F14">
        <w:rPr>
          <w:rStyle w:val="Refdenotaalpie"/>
          <w:rFonts w:ascii="Verdana" w:hAnsi="Verdana"/>
          <w:sz w:val="16"/>
          <w:szCs w:val="16"/>
        </w:rPr>
        <w:footnoteRef/>
      </w:r>
      <w:r w:rsidRPr="00A87F14">
        <w:rPr>
          <w:rFonts w:ascii="Verdana" w:hAnsi="Verdana"/>
          <w:sz w:val="16"/>
          <w:szCs w:val="16"/>
          <w:lang w:val="es-CO"/>
        </w:rPr>
        <w:t xml:space="preserve"> </w:t>
      </w:r>
      <w:r w:rsidRPr="008C3BAA">
        <w:rPr>
          <w:rFonts w:ascii="Verdana" w:hAnsi="Verdana"/>
          <w:spacing w:val="-12"/>
          <w:sz w:val="16"/>
          <w:szCs w:val="16"/>
        </w:rPr>
        <w:tab/>
      </w:r>
      <w:r w:rsidRPr="0094614E">
        <w:rPr>
          <w:rFonts w:ascii="Verdana" w:hAnsi="Verdana"/>
          <w:i/>
          <w:spacing w:val="-12"/>
          <w:sz w:val="16"/>
          <w:szCs w:val="16"/>
        </w:rPr>
        <w:t>Cfr.</w:t>
      </w:r>
      <w:r w:rsidRPr="00BB113F">
        <w:rPr>
          <w:rFonts w:ascii="Verdana" w:hAnsi="Verdana"/>
          <w:spacing w:val="-12"/>
          <w:sz w:val="16"/>
          <w:szCs w:val="16"/>
        </w:rPr>
        <w:t xml:space="preserve"> Sentencia del 2° Juzgado Civil de la Serena, Patricia Cortés contra el Fisco de Chile, 9 de marzo de 2001, Considerando </w:t>
      </w:r>
      <w:r w:rsidRPr="00B96435">
        <w:rPr>
          <w:rFonts w:ascii="Verdana" w:hAnsi="Verdana"/>
          <w:spacing w:val="-12"/>
          <w:sz w:val="16"/>
          <w:szCs w:val="16"/>
        </w:rPr>
        <w:t>Quinto</w:t>
      </w:r>
      <w:r>
        <w:rPr>
          <w:rFonts w:ascii="Verdana" w:hAnsi="Verdana"/>
          <w:spacing w:val="-12"/>
          <w:sz w:val="16"/>
          <w:szCs w:val="16"/>
        </w:rPr>
        <w:t xml:space="preserve"> </w:t>
      </w:r>
      <w:r w:rsidRPr="00BB113F">
        <w:rPr>
          <w:rFonts w:ascii="Verdana" w:hAnsi="Verdana"/>
          <w:spacing w:val="-12"/>
          <w:sz w:val="16"/>
          <w:szCs w:val="16"/>
        </w:rPr>
        <w:t>(exp. prueba, folio 50)</w:t>
      </w:r>
    </w:p>
  </w:footnote>
  <w:footnote w:id="44">
    <w:p w14:paraId="099DD289" w14:textId="77777777" w:rsidR="00FE2511" w:rsidRPr="00A87F14" w:rsidRDefault="00FE2511" w:rsidP="00975EE0">
      <w:pPr>
        <w:pStyle w:val="Textonotapie"/>
        <w:spacing w:before="120" w:after="120"/>
        <w:jc w:val="both"/>
        <w:rPr>
          <w:rFonts w:ascii="Verdana" w:hAnsi="Verdana"/>
          <w:sz w:val="16"/>
          <w:szCs w:val="16"/>
          <w:lang w:val="es-ES"/>
        </w:rPr>
      </w:pPr>
      <w:r w:rsidRPr="00A87F14">
        <w:rPr>
          <w:rStyle w:val="Refdenotaalpie"/>
          <w:rFonts w:ascii="Verdana" w:hAnsi="Verdana"/>
          <w:sz w:val="16"/>
          <w:szCs w:val="16"/>
        </w:rPr>
        <w:footnoteRef/>
      </w:r>
      <w:r w:rsidRPr="00A87F14">
        <w:rPr>
          <w:rFonts w:ascii="Verdana" w:hAnsi="Verdana"/>
          <w:sz w:val="16"/>
          <w:szCs w:val="16"/>
          <w:lang w:val="es-ES"/>
        </w:rPr>
        <w:t xml:space="preserve"> </w:t>
      </w:r>
      <w:r w:rsidRPr="00A87F14">
        <w:rPr>
          <w:rFonts w:ascii="Verdana" w:hAnsi="Verdana"/>
          <w:sz w:val="16"/>
          <w:szCs w:val="16"/>
          <w:lang w:val="es-ES"/>
        </w:rPr>
        <w:tab/>
      </w:r>
      <w:r w:rsidRPr="008C3BAA">
        <w:rPr>
          <w:rFonts w:ascii="Verdana" w:hAnsi="Verdana"/>
          <w:spacing w:val="-12"/>
          <w:sz w:val="16"/>
          <w:szCs w:val="16"/>
        </w:rPr>
        <w:t>Comisión Valech. Nómina de Personas Reconocidas como Víctimas. En:</w:t>
      </w:r>
      <w:r w:rsidRPr="00A87F14">
        <w:rPr>
          <w:rFonts w:ascii="Verdana" w:hAnsi="Verdana"/>
          <w:sz w:val="16"/>
          <w:szCs w:val="16"/>
          <w:lang w:val="es-CO"/>
        </w:rPr>
        <w:t xml:space="preserve"> </w:t>
      </w:r>
      <w:hyperlink r:id="rId6" w:history="1">
        <w:r w:rsidRPr="00A87F14">
          <w:rPr>
            <w:rStyle w:val="Hipervnculo"/>
            <w:rFonts w:ascii="Verdana" w:hAnsi="Verdana"/>
            <w:sz w:val="16"/>
            <w:szCs w:val="16"/>
            <w:lang w:val="es-CO"/>
          </w:rPr>
          <w:t>http://www.indh.cl/wp-content/uploads/2011/10/Valech-1.pdf</w:t>
        </w:r>
      </w:hyperlink>
      <w:r w:rsidRPr="00A87F14">
        <w:rPr>
          <w:rFonts w:ascii="Verdana" w:hAnsi="Verdana"/>
          <w:sz w:val="16"/>
          <w:szCs w:val="16"/>
          <w:lang w:val="es-CO"/>
        </w:rPr>
        <w:t xml:space="preserve"> </w:t>
      </w:r>
    </w:p>
  </w:footnote>
  <w:footnote w:id="45">
    <w:p w14:paraId="2DE6C5B4" w14:textId="5DA41C00" w:rsidR="00FE2511" w:rsidRPr="00A87F14" w:rsidRDefault="00FE2511" w:rsidP="00975EE0">
      <w:pPr>
        <w:pStyle w:val="Textonotapie"/>
        <w:spacing w:before="120" w:after="120"/>
        <w:jc w:val="both"/>
        <w:rPr>
          <w:rFonts w:ascii="Verdana" w:hAnsi="Verdana"/>
          <w:sz w:val="16"/>
          <w:szCs w:val="16"/>
          <w:lang w:val="es-CO"/>
        </w:rPr>
      </w:pPr>
      <w:r w:rsidRPr="00A87F14">
        <w:rPr>
          <w:rStyle w:val="Refdenotaalpie"/>
          <w:rFonts w:ascii="Verdana" w:hAnsi="Verdana"/>
          <w:sz w:val="16"/>
          <w:szCs w:val="16"/>
        </w:rPr>
        <w:footnoteRef/>
      </w:r>
      <w:r w:rsidRPr="00A87F14">
        <w:rPr>
          <w:rFonts w:ascii="Verdana" w:hAnsi="Verdana"/>
          <w:sz w:val="16"/>
          <w:szCs w:val="16"/>
          <w:lang w:val="es-CO"/>
        </w:rPr>
        <w:t xml:space="preserve"> </w:t>
      </w:r>
      <w:r>
        <w:rPr>
          <w:rFonts w:ascii="Verdana" w:hAnsi="Verdana"/>
          <w:spacing w:val="-12"/>
          <w:sz w:val="16"/>
          <w:szCs w:val="16"/>
        </w:rPr>
        <w:tab/>
      </w:r>
      <w:r>
        <w:rPr>
          <w:rFonts w:ascii="Verdana" w:hAnsi="Verdana"/>
          <w:i/>
          <w:spacing w:val="-12"/>
          <w:sz w:val="16"/>
          <w:szCs w:val="16"/>
        </w:rPr>
        <w:t xml:space="preserve">Cfr. </w:t>
      </w:r>
      <w:r>
        <w:rPr>
          <w:rFonts w:ascii="Verdana" w:hAnsi="Verdana"/>
          <w:spacing w:val="-12"/>
          <w:sz w:val="16"/>
          <w:szCs w:val="16"/>
        </w:rPr>
        <w:t>Es</w:t>
      </w:r>
      <w:r w:rsidRPr="008C3BAA">
        <w:rPr>
          <w:rFonts w:ascii="Verdana" w:hAnsi="Verdana"/>
          <w:spacing w:val="-12"/>
          <w:sz w:val="16"/>
          <w:szCs w:val="16"/>
        </w:rPr>
        <w:t xml:space="preserve">crito de observaciones del Estado </w:t>
      </w:r>
      <w:r>
        <w:rPr>
          <w:rFonts w:ascii="Verdana" w:hAnsi="Verdana"/>
          <w:spacing w:val="-12"/>
          <w:sz w:val="16"/>
          <w:szCs w:val="16"/>
        </w:rPr>
        <w:t xml:space="preserve">presentado </w:t>
      </w:r>
      <w:r w:rsidRPr="008C3BAA">
        <w:rPr>
          <w:rFonts w:ascii="Verdana" w:hAnsi="Verdana"/>
          <w:spacing w:val="-12"/>
          <w:sz w:val="16"/>
          <w:szCs w:val="16"/>
        </w:rPr>
        <w:t>el 21 de noviembre de 2008</w:t>
      </w:r>
      <w:r>
        <w:rPr>
          <w:rFonts w:ascii="Verdana" w:hAnsi="Verdana"/>
          <w:spacing w:val="-12"/>
          <w:sz w:val="16"/>
          <w:szCs w:val="16"/>
        </w:rPr>
        <w:t xml:space="preserve"> ante la Comisión IDH</w:t>
      </w:r>
      <w:r w:rsidRPr="008C3BAA">
        <w:rPr>
          <w:rFonts w:ascii="Verdana" w:hAnsi="Verdana"/>
          <w:spacing w:val="-12"/>
          <w:sz w:val="16"/>
          <w:szCs w:val="16"/>
        </w:rPr>
        <w:t>.</w:t>
      </w:r>
    </w:p>
  </w:footnote>
  <w:footnote w:id="46">
    <w:p w14:paraId="093B5339" w14:textId="529E7468" w:rsidR="00FE2511" w:rsidRPr="00A87F14" w:rsidRDefault="00FE2511" w:rsidP="00975EE0">
      <w:pPr>
        <w:pStyle w:val="Textonotapie"/>
        <w:spacing w:before="120" w:after="120"/>
        <w:jc w:val="both"/>
        <w:rPr>
          <w:rFonts w:ascii="Verdana" w:hAnsi="Verdana"/>
          <w:sz w:val="16"/>
          <w:szCs w:val="16"/>
          <w:lang w:val="es-CO"/>
        </w:rPr>
      </w:pPr>
      <w:r w:rsidRPr="00A87F14">
        <w:rPr>
          <w:rStyle w:val="Refdenotaalpie"/>
          <w:rFonts w:ascii="Verdana" w:hAnsi="Verdana"/>
          <w:sz w:val="16"/>
          <w:szCs w:val="16"/>
        </w:rPr>
        <w:footnoteRef/>
      </w:r>
      <w:r w:rsidRPr="00A87F14">
        <w:rPr>
          <w:rFonts w:ascii="Verdana" w:hAnsi="Verdana"/>
          <w:sz w:val="16"/>
          <w:szCs w:val="16"/>
          <w:lang w:val="es-CO"/>
        </w:rPr>
        <w:t xml:space="preserve"> </w:t>
      </w:r>
      <w:r w:rsidRPr="008C3BAA">
        <w:rPr>
          <w:rFonts w:ascii="Verdana" w:hAnsi="Verdana"/>
          <w:spacing w:val="-12"/>
          <w:sz w:val="16"/>
          <w:szCs w:val="16"/>
        </w:rPr>
        <w:tab/>
        <w:t>El monto recibido mensualmente desde julio de 1991 hasta noviembre de 2007 suma $36.627.798 de pesos chilenos. Ella continúa recibiendo la pensión (escrito de observaciones del Estado</w:t>
      </w:r>
      <w:r>
        <w:rPr>
          <w:rFonts w:ascii="Verdana" w:hAnsi="Verdana"/>
          <w:spacing w:val="-12"/>
          <w:sz w:val="16"/>
          <w:szCs w:val="16"/>
        </w:rPr>
        <w:t xml:space="preserve"> presentado el</w:t>
      </w:r>
      <w:r w:rsidRPr="008C3BAA">
        <w:rPr>
          <w:rFonts w:ascii="Verdana" w:hAnsi="Verdana"/>
          <w:spacing w:val="-12"/>
          <w:sz w:val="16"/>
          <w:szCs w:val="16"/>
        </w:rPr>
        <w:t xml:space="preserve"> 21 de noviembre de 2008</w:t>
      </w:r>
      <w:r>
        <w:rPr>
          <w:rFonts w:ascii="Verdana" w:hAnsi="Verdana"/>
          <w:spacing w:val="-12"/>
          <w:sz w:val="16"/>
          <w:szCs w:val="16"/>
        </w:rPr>
        <w:t xml:space="preserve"> ante la Comisión IDH</w:t>
      </w:r>
      <w:r w:rsidRPr="008C3BAA">
        <w:rPr>
          <w:rFonts w:ascii="Verdana" w:hAnsi="Verdana"/>
          <w:spacing w:val="-12"/>
          <w:sz w:val="16"/>
          <w:szCs w:val="16"/>
        </w:rPr>
        <w:t>).</w:t>
      </w:r>
    </w:p>
  </w:footnote>
  <w:footnote w:id="47">
    <w:p w14:paraId="43F47A76" w14:textId="5D641E90" w:rsidR="00FE2511" w:rsidRPr="00A87F14" w:rsidRDefault="00FE2511" w:rsidP="00975EE0">
      <w:pPr>
        <w:pStyle w:val="Textonotapie"/>
        <w:spacing w:before="120" w:after="120"/>
        <w:jc w:val="both"/>
        <w:rPr>
          <w:rFonts w:ascii="Verdana" w:hAnsi="Verdana"/>
          <w:sz w:val="16"/>
          <w:szCs w:val="16"/>
          <w:lang w:val="es-CO"/>
        </w:rPr>
      </w:pPr>
      <w:r w:rsidRPr="00A87F14">
        <w:rPr>
          <w:rStyle w:val="Refdenotaalpie"/>
          <w:rFonts w:ascii="Verdana" w:hAnsi="Verdana"/>
          <w:sz w:val="16"/>
          <w:szCs w:val="16"/>
        </w:rPr>
        <w:footnoteRef/>
      </w:r>
      <w:r w:rsidRPr="00A87F14">
        <w:rPr>
          <w:rFonts w:ascii="Verdana" w:hAnsi="Verdana"/>
          <w:sz w:val="16"/>
          <w:szCs w:val="16"/>
          <w:lang w:val="es-CO"/>
        </w:rPr>
        <w:t xml:space="preserve"> </w:t>
      </w:r>
      <w:r w:rsidRPr="008C3BAA">
        <w:rPr>
          <w:rFonts w:ascii="Verdana" w:hAnsi="Verdana"/>
          <w:spacing w:val="-12"/>
          <w:sz w:val="16"/>
          <w:szCs w:val="16"/>
        </w:rPr>
        <w:tab/>
        <w:t>Sentencia del 2º Juzgado Civil de la Serena, Patricia Cortés contra el Fisco de Chile, 9 de marzo de 2001.</w:t>
      </w:r>
      <w:r w:rsidRPr="00A87F14">
        <w:rPr>
          <w:rFonts w:ascii="Verdana" w:hAnsi="Verdana"/>
          <w:sz w:val="16"/>
          <w:szCs w:val="16"/>
          <w:lang w:val="es-CO"/>
        </w:rPr>
        <w:t xml:space="preserve"> </w:t>
      </w:r>
    </w:p>
  </w:footnote>
  <w:footnote w:id="48">
    <w:p w14:paraId="150AE905" w14:textId="72FE441A" w:rsidR="00FE2511" w:rsidRPr="00A87F14" w:rsidRDefault="00FE2511" w:rsidP="00975EE0">
      <w:pPr>
        <w:pStyle w:val="Textonotapie"/>
        <w:spacing w:before="120" w:after="120"/>
        <w:jc w:val="both"/>
        <w:rPr>
          <w:rFonts w:ascii="Verdana" w:hAnsi="Verdana"/>
          <w:sz w:val="16"/>
          <w:szCs w:val="16"/>
          <w:lang w:val="es-ES"/>
        </w:rPr>
      </w:pPr>
      <w:r w:rsidRPr="00A87F14">
        <w:rPr>
          <w:rStyle w:val="Refdenotaalpie"/>
          <w:rFonts w:ascii="Verdana" w:hAnsi="Verdana"/>
          <w:sz w:val="16"/>
          <w:szCs w:val="16"/>
        </w:rPr>
        <w:footnoteRef/>
      </w:r>
      <w:r w:rsidRPr="00A87F14">
        <w:rPr>
          <w:rFonts w:ascii="Verdana" w:hAnsi="Verdana"/>
          <w:sz w:val="16"/>
          <w:szCs w:val="16"/>
          <w:lang w:val="es-ES"/>
        </w:rPr>
        <w:t xml:space="preserve"> </w:t>
      </w:r>
      <w:r w:rsidRPr="008C3BAA">
        <w:rPr>
          <w:rFonts w:ascii="Verdana" w:hAnsi="Verdana"/>
          <w:spacing w:val="-12"/>
          <w:sz w:val="16"/>
          <w:szCs w:val="16"/>
        </w:rPr>
        <w:tab/>
        <w:t xml:space="preserve">Comisión Valech. Nómina de Personas Reconocidas como Víctimas, </w:t>
      </w:r>
      <w:r w:rsidRPr="008C3BAA">
        <w:rPr>
          <w:rFonts w:ascii="Verdana" w:hAnsi="Verdana"/>
          <w:i/>
          <w:spacing w:val="-12"/>
          <w:sz w:val="16"/>
          <w:szCs w:val="16"/>
        </w:rPr>
        <w:t>supra</w:t>
      </w:r>
      <w:r w:rsidRPr="008C3BAA">
        <w:rPr>
          <w:rFonts w:ascii="Verdana" w:hAnsi="Verdana"/>
          <w:spacing w:val="-12"/>
          <w:sz w:val="16"/>
          <w:szCs w:val="16"/>
        </w:rPr>
        <w:t>.</w:t>
      </w:r>
      <w:r w:rsidRPr="00A87F14">
        <w:rPr>
          <w:rFonts w:ascii="Verdana" w:hAnsi="Verdana"/>
          <w:sz w:val="16"/>
          <w:szCs w:val="16"/>
          <w:lang w:val="es-CO"/>
        </w:rPr>
        <w:t xml:space="preserve"> </w:t>
      </w:r>
    </w:p>
  </w:footnote>
  <w:footnote w:id="49">
    <w:p w14:paraId="5E9A2AB9" w14:textId="39E4192B" w:rsidR="00FE2511" w:rsidRPr="00A87F14" w:rsidRDefault="00FE2511" w:rsidP="00975EE0">
      <w:pPr>
        <w:pStyle w:val="Prrafodelista"/>
        <w:spacing w:before="120" w:after="120" w:line="240" w:lineRule="auto"/>
        <w:ind w:left="0"/>
        <w:jc w:val="both"/>
        <w:rPr>
          <w:rFonts w:ascii="Verdana" w:eastAsia="Times New Roman" w:hAnsi="Verdana"/>
          <w:sz w:val="16"/>
          <w:szCs w:val="16"/>
          <w:lang w:val="es-ES_tradnl"/>
        </w:rPr>
      </w:pPr>
      <w:r w:rsidRPr="00A87F14">
        <w:rPr>
          <w:rStyle w:val="Refdenotaalpie"/>
          <w:rFonts w:ascii="Verdana" w:hAnsi="Verdana"/>
          <w:sz w:val="16"/>
          <w:szCs w:val="16"/>
        </w:rPr>
        <w:footnoteRef/>
      </w:r>
      <w:r w:rsidRPr="00A87F14">
        <w:rPr>
          <w:rFonts w:ascii="Verdana" w:hAnsi="Verdana"/>
          <w:sz w:val="16"/>
          <w:szCs w:val="16"/>
          <w:lang w:val="es-CO"/>
        </w:rPr>
        <w:t xml:space="preserve"> </w:t>
      </w:r>
      <w:r w:rsidRPr="008C3BAA">
        <w:rPr>
          <w:rFonts w:ascii="Verdana" w:hAnsi="Verdana"/>
          <w:spacing w:val="-12"/>
          <w:sz w:val="16"/>
          <w:szCs w:val="16"/>
        </w:rPr>
        <w:tab/>
      </w:r>
      <w:r w:rsidRPr="00BB113F">
        <w:rPr>
          <w:rFonts w:ascii="Verdana" w:hAnsi="Verdana"/>
          <w:spacing w:val="-12"/>
          <w:sz w:val="16"/>
          <w:szCs w:val="16"/>
        </w:rPr>
        <w:t xml:space="preserve">Asimismo, dicho juzgado estimó que de conformidad con </w:t>
      </w:r>
      <w:r w:rsidRPr="00B96435">
        <w:rPr>
          <w:rFonts w:ascii="Verdana" w:hAnsi="Verdana"/>
          <w:spacing w:val="-12"/>
          <w:sz w:val="16"/>
          <w:szCs w:val="16"/>
        </w:rPr>
        <w:t>el inciso segundo del artículo 38 de la Constitución Política del Estado, “c</w:t>
      </w:r>
      <w:r w:rsidRPr="00BB113F">
        <w:rPr>
          <w:rFonts w:ascii="Verdana" w:hAnsi="Verdana"/>
          <w:spacing w:val="-12"/>
          <w:sz w:val="16"/>
          <w:szCs w:val="16"/>
        </w:rPr>
        <w:t xml:space="preserve">ualquier persona que sea lesionada en sus derechos por la Administración del Estado, de sus organismos o de las Municipalidades, podrá reclamar ante los tribunales que determine la ley, sin perjuicio de la responsabilidad que pudiere afectar al funcionario que hubiere causado el daño”. Por lo cual, tratándose de responsabilidad extracontractual del Estado, que atendido lo expresado procedentemente, no se encuentra prescrita, deberá determinarse la petición que en tal sentido ha formulado la demandada, estimándose por el contrario, que ella es procedente. </w:t>
      </w:r>
      <w:r w:rsidRPr="0094614E">
        <w:rPr>
          <w:rFonts w:ascii="Verdana" w:hAnsi="Verdana"/>
          <w:i/>
          <w:spacing w:val="-12"/>
          <w:sz w:val="16"/>
          <w:szCs w:val="16"/>
        </w:rPr>
        <w:t>Cfr</w:t>
      </w:r>
      <w:r w:rsidRPr="00BB113F">
        <w:rPr>
          <w:rFonts w:ascii="Verdana" w:hAnsi="Verdana"/>
          <w:spacing w:val="-12"/>
          <w:sz w:val="16"/>
          <w:szCs w:val="16"/>
        </w:rPr>
        <w:t>. Sentencia del 2º Juzgado Civil de la Serena, Patricia Cortés contra el Fisco de Chile,</w:t>
      </w:r>
      <w:r w:rsidRPr="00BB113F">
        <w:rPr>
          <w:rFonts w:ascii="Verdana" w:hAnsi="Verdana"/>
          <w:sz w:val="16"/>
          <w:szCs w:val="16"/>
          <w:lang w:val="es-CO"/>
        </w:rPr>
        <w:t xml:space="preserve"> </w:t>
      </w:r>
      <w:r w:rsidRPr="00BB113F">
        <w:rPr>
          <w:rFonts w:ascii="Verdana" w:hAnsi="Verdana"/>
          <w:i/>
          <w:sz w:val="16"/>
          <w:szCs w:val="16"/>
          <w:lang w:val="es-CO"/>
        </w:rPr>
        <w:t>supra</w:t>
      </w:r>
      <w:r w:rsidRPr="00B96435">
        <w:rPr>
          <w:rFonts w:ascii="Verdana" w:hAnsi="Verdana"/>
          <w:sz w:val="16"/>
          <w:szCs w:val="16"/>
          <w:lang w:val="es-CO"/>
        </w:rPr>
        <w:t xml:space="preserve"> (exp. prueba, folio 46)</w:t>
      </w:r>
      <w:r>
        <w:rPr>
          <w:rFonts w:ascii="Verdana" w:hAnsi="Verdana"/>
          <w:sz w:val="16"/>
          <w:szCs w:val="16"/>
          <w:lang w:val="es-CO"/>
        </w:rPr>
        <w:t>.</w:t>
      </w:r>
    </w:p>
  </w:footnote>
  <w:footnote w:id="50">
    <w:p w14:paraId="715745D9" w14:textId="5CD6418E" w:rsidR="00FE2511" w:rsidRPr="00A87F14" w:rsidRDefault="00FE2511" w:rsidP="008C3BAA">
      <w:pPr>
        <w:pStyle w:val="Textonotapie"/>
        <w:spacing w:before="120" w:after="120"/>
        <w:jc w:val="both"/>
        <w:rPr>
          <w:rFonts w:ascii="Verdana" w:hAnsi="Verdana"/>
          <w:sz w:val="16"/>
          <w:szCs w:val="16"/>
          <w:lang w:val="es-CO"/>
        </w:rPr>
      </w:pPr>
      <w:r w:rsidRPr="00A87F14">
        <w:rPr>
          <w:rStyle w:val="Refdenotaalpie"/>
          <w:rFonts w:ascii="Verdana" w:hAnsi="Verdana"/>
          <w:sz w:val="16"/>
          <w:szCs w:val="16"/>
        </w:rPr>
        <w:footnoteRef/>
      </w:r>
      <w:r w:rsidRPr="00A87F14">
        <w:rPr>
          <w:rFonts w:ascii="Verdana" w:hAnsi="Verdana"/>
          <w:sz w:val="16"/>
          <w:szCs w:val="16"/>
          <w:lang w:val="es-CO"/>
        </w:rPr>
        <w:t xml:space="preserve"> </w:t>
      </w:r>
      <w:r>
        <w:rPr>
          <w:rFonts w:ascii="Verdana" w:hAnsi="Verdana"/>
          <w:spacing w:val="-12"/>
          <w:sz w:val="16"/>
          <w:szCs w:val="16"/>
        </w:rPr>
        <w:tab/>
      </w:r>
      <w:r>
        <w:rPr>
          <w:rFonts w:ascii="Verdana" w:hAnsi="Verdana"/>
          <w:i/>
          <w:spacing w:val="-12"/>
          <w:sz w:val="16"/>
          <w:szCs w:val="16"/>
        </w:rPr>
        <w:t xml:space="preserve">Cfr. </w:t>
      </w:r>
      <w:r>
        <w:rPr>
          <w:rFonts w:ascii="Verdana" w:hAnsi="Verdana"/>
          <w:spacing w:val="-12"/>
          <w:sz w:val="16"/>
          <w:szCs w:val="16"/>
        </w:rPr>
        <w:t>Es</w:t>
      </w:r>
      <w:r w:rsidRPr="008C3BAA">
        <w:rPr>
          <w:rFonts w:ascii="Verdana" w:hAnsi="Verdana"/>
          <w:spacing w:val="-12"/>
          <w:sz w:val="16"/>
          <w:szCs w:val="16"/>
        </w:rPr>
        <w:t xml:space="preserve">crito de observaciones del Estado </w:t>
      </w:r>
      <w:r>
        <w:rPr>
          <w:rFonts w:ascii="Verdana" w:hAnsi="Verdana"/>
          <w:spacing w:val="-12"/>
          <w:sz w:val="16"/>
          <w:szCs w:val="16"/>
        </w:rPr>
        <w:t xml:space="preserve">presentado </w:t>
      </w:r>
      <w:r w:rsidRPr="008C3BAA">
        <w:rPr>
          <w:rFonts w:ascii="Verdana" w:hAnsi="Verdana"/>
          <w:spacing w:val="-12"/>
          <w:sz w:val="16"/>
          <w:szCs w:val="16"/>
        </w:rPr>
        <w:t>el 21 de noviembre de 2008</w:t>
      </w:r>
      <w:r>
        <w:rPr>
          <w:rFonts w:ascii="Verdana" w:hAnsi="Verdana"/>
          <w:spacing w:val="-12"/>
          <w:sz w:val="16"/>
          <w:szCs w:val="16"/>
        </w:rPr>
        <w:t xml:space="preserve"> ante la Comisión IDH</w:t>
      </w:r>
      <w:r w:rsidRPr="008C3BAA">
        <w:rPr>
          <w:rFonts w:ascii="Verdana" w:hAnsi="Verdana"/>
          <w:spacing w:val="-12"/>
          <w:sz w:val="16"/>
          <w:szCs w:val="16"/>
        </w:rPr>
        <w:t>.</w:t>
      </w:r>
    </w:p>
  </w:footnote>
  <w:footnote w:id="51">
    <w:p w14:paraId="3C1F912A" w14:textId="77777777" w:rsidR="00FE2511" w:rsidRPr="00A87F14" w:rsidRDefault="00FE2511" w:rsidP="008C3BAA">
      <w:pPr>
        <w:pStyle w:val="Textonotapie"/>
        <w:spacing w:before="120" w:after="120"/>
        <w:jc w:val="both"/>
        <w:rPr>
          <w:rFonts w:ascii="Verdana" w:hAnsi="Verdana"/>
          <w:sz w:val="16"/>
          <w:szCs w:val="16"/>
          <w:lang w:val="es-CO"/>
        </w:rPr>
      </w:pPr>
      <w:r w:rsidRPr="00A87F14">
        <w:rPr>
          <w:rStyle w:val="Refdenotaalpie"/>
          <w:rFonts w:ascii="Verdana" w:hAnsi="Verdana"/>
          <w:sz w:val="16"/>
          <w:szCs w:val="16"/>
        </w:rPr>
        <w:footnoteRef/>
      </w:r>
      <w:r w:rsidRPr="00A87F14">
        <w:rPr>
          <w:rFonts w:ascii="Verdana" w:hAnsi="Verdana"/>
          <w:sz w:val="16"/>
          <w:szCs w:val="16"/>
          <w:lang w:val="es-CO"/>
        </w:rPr>
        <w:t xml:space="preserve"> </w:t>
      </w:r>
      <w:r w:rsidRPr="008C3BAA">
        <w:rPr>
          <w:rFonts w:ascii="Verdana" w:hAnsi="Verdana"/>
          <w:spacing w:val="-12"/>
          <w:sz w:val="16"/>
          <w:szCs w:val="16"/>
        </w:rPr>
        <w:tab/>
        <w:t>Informe de la Comisión Rettig, Tomo I, pág. 225 y 226.</w:t>
      </w:r>
      <w:r w:rsidRPr="00A87F14">
        <w:rPr>
          <w:rFonts w:ascii="Verdana" w:hAnsi="Verdana"/>
          <w:sz w:val="16"/>
          <w:szCs w:val="16"/>
          <w:lang w:val="es-ES"/>
        </w:rPr>
        <w:t xml:space="preserve"> </w:t>
      </w:r>
    </w:p>
  </w:footnote>
  <w:footnote w:id="52">
    <w:p w14:paraId="124B24CB" w14:textId="77777777" w:rsidR="00FE2511" w:rsidRPr="00A87F14" w:rsidRDefault="00FE2511" w:rsidP="008C3BAA">
      <w:pPr>
        <w:pStyle w:val="Textonotapie"/>
        <w:spacing w:before="120" w:after="120"/>
        <w:jc w:val="both"/>
        <w:rPr>
          <w:rFonts w:ascii="Verdana" w:hAnsi="Verdana"/>
          <w:sz w:val="16"/>
          <w:szCs w:val="16"/>
          <w:lang w:val="es-CO"/>
        </w:rPr>
      </w:pPr>
      <w:r w:rsidRPr="00A87F14">
        <w:rPr>
          <w:rStyle w:val="Refdenotaalpie"/>
          <w:rFonts w:ascii="Verdana" w:hAnsi="Verdana"/>
          <w:sz w:val="16"/>
          <w:szCs w:val="16"/>
        </w:rPr>
        <w:footnoteRef/>
      </w:r>
      <w:r w:rsidRPr="00A87F14">
        <w:rPr>
          <w:rFonts w:ascii="Verdana" w:hAnsi="Verdana"/>
          <w:sz w:val="16"/>
          <w:szCs w:val="16"/>
          <w:lang w:val="es-CO"/>
        </w:rPr>
        <w:t xml:space="preserve"> </w:t>
      </w:r>
      <w:r w:rsidRPr="008C3BAA">
        <w:rPr>
          <w:rFonts w:ascii="Verdana" w:hAnsi="Verdana"/>
          <w:spacing w:val="-12"/>
          <w:sz w:val="16"/>
          <w:szCs w:val="16"/>
        </w:rPr>
        <w:tab/>
        <w:t>Informe de la Comisión Rettig, Tomo I, pág. 166.</w:t>
      </w:r>
      <w:r w:rsidRPr="00A87F14">
        <w:rPr>
          <w:rFonts w:ascii="Verdana" w:hAnsi="Verdana"/>
          <w:sz w:val="16"/>
          <w:szCs w:val="16"/>
          <w:lang w:val="es-ES"/>
        </w:rPr>
        <w:t xml:space="preserve"> </w:t>
      </w:r>
    </w:p>
  </w:footnote>
  <w:footnote w:id="53">
    <w:p w14:paraId="5B31D739" w14:textId="77777777" w:rsidR="00FE2511" w:rsidRPr="00A87F14" w:rsidRDefault="00FE2511" w:rsidP="008C3BAA">
      <w:pPr>
        <w:pStyle w:val="Textonotapie"/>
        <w:spacing w:before="120" w:after="120"/>
        <w:jc w:val="both"/>
        <w:rPr>
          <w:rFonts w:ascii="Verdana" w:hAnsi="Verdana"/>
          <w:sz w:val="16"/>
          <w:szCs w:val="16"/>
          <w:lang w:val="es-ES"/>
        </w:rPr>
      </w:pPr>
      <w:r w:rsidRPr="00A87F14">
        <w:rPr>
          <w:rStyle w:val="Refdenotaalpie"/>
          <w:rFonts w:ascii="Verdana" w:hAnsi="Verdana"/>
          <w:sz w:val="16"/>
          <w:szCs w:val="16"/>
        </w:rPr>
        <w:footnoteRef/>
      </w:r>
      <w:r w:rsidRPr="00A87F14">
        <w:rPr>
          <w:rFonts w:ascii="Verdana" w:hAnsi="Verdana"/>
          <w:sz w:val="16"/>
          <w:szCs w:val="16"/>
          <w:lang w:val="es-CO"/>
        </w:rPr>
        <w:t xml:space="preserve"> </w:t>
      </w:r>
      <w:r w:rsidRPr="008C3BAA">
        <w:rPr>
          <w:rFonts w:ascii="Verdana" w:hAnsi="Verdana"/>
          <w:spacing w:val="-12"/>
          <w:sz w:val="16"/>
          <w:szCs w:val="16"/>
        </w:rPr>
        <w:tab/>
        <w:t>Informe de la Comisión Rettig, Tomo II, págs. 840 y 841.</w:t>
      </w:r>
      <w:r w:rsidRPr="00A87F14">
        <w:rPr>
          <w:rFonts w:ascii="Verdana" w:hAnsi="Verdana"/>
          <w:sz w:val="16"/>
          <w:szCs w:val="16"/>
          <w:lang w:val="es-ES"/>
        </w:rPr>
        <w:t xml:space="preserve"> </w:t>
      </w:r>
    </w:p>
  </w:footnote>
  <w:footnote w:id="54">
    <w:p w14:paraId="567801D5" w14:textId="77777777" w:rsidR="00FE2511" w:rsidRPr="00A87F14" w:rsidRDefault="00FE2511" w:rsidP="001A0AAE">
      <w:pPr>
        <w:pStyle w:val="Textonotapie"/>
        <w:spacing w:before="120" w:after="120"/>
        <w:jc w:val="both"/>
        <w:rPr>
          <w:rFonts w:ascii="Verdana" w:hAnsi="Verdana"/>
          <w:sz w:val="16"/>
          <w:szCs w:val="16"/>
          <w:lang w:val="es-CO"/>
        </w:rPr>
      </w:pPr>
      <w:r w:rsidRPr="00A87F14">
        <w:rPr>
          <w:rStyle w:val="Refdenotaalpie"/>
          <w:rFonts w:ascii="Verdana" w:hAnsi="Verdana"/>
          <w:sz w:val="16"/>
          <w:szCs w:val="16"/>
        </w:rPr>
        <w:footnoteRef/>
      </w:r>
      <w:r w:rsidRPr="00A87F14">
        <w:rPr>
          <w:rFonts w:ascii="Verdana" w:hAnsi="Verdana"/>
          <w:sz w:val="16"/>
          <w:szCs w:val="16"/>
          <w:lang w:val="es-CO"/>
        </w:rPr>
        <w:t xml:space="preserve"> </w:t>
      </w:r>
      <w:r w:rsidRPr="001A0AAE">
        <w:rPr>
          <w:rFonts w:ascii="Verdana" w:hAnsi="Verdana"/>
          <w:spacing w:val="-12"/>
          <w:sz w:val="16"/>
          <w:szCs w:val="16"/>
        </w:rPr>
        <w:tab/>
        <w:t>Informe de la Comisión Rettig, Tomo II, pág. 791.</w:t>
      </w:r>
      <w:r w:rsidRPr="00A87F14">
        <w:rPr>
          <w:rFonts w:ascii="Verdana" w:hAnsi="Verdana"/>
          <w:sz w:val="16"/>
          <w:szCs w:val="16"/>
          <w:lang w:val="es-ES"/>
        </w:rPr>
        <w:t xml:space="preserve"> </w:t>
      </w:r>
    </w:p>
  </w:footnote>
  <w:footnote w:id="55">
    <w:p w14:paraId="3A030AA6" w14:textId="77777777" w:rsidR="00FE2511" w:rsidRPr="00EE6C61" w:rsidRDefault="00FE2511" w:rsidP="00221603">
      <w:pPr>
        <w:pStyle w:val="Textonotapie"/>
        <w:spacing w:before="120" w:after="120"/>
        <w:jc w:val="both"/>
        <w:rPr>
          <w:rFonts w:ascii="Verdana" w:hAnsi="Verdana"/>
          <w:spacing w:val="-12"/>
          <w:sz w:val="16"/>
          <w:szCs w:val="16"/>
        </w:rPr>
      </w:pPr>
      <w:r w:rsidRPr="00EE6C61">
        <w:rPr>
          <w:rStyle w:val="Refdenotaalpi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El artículo 8 de la Convención señala: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56">
    <w:p w14:paraId="21BC5D45" w14:textId="77777777" w:rsidR="00FE2511" w:rsidRPr="00EE6C61" w:rsidRDefault="00FE2511" w:rsidP="00221603">
      <w:pPr>
        <w:pStyle w:val="Textonotapie"/>
        <w:spacing w:before="120" w:after="120"/>
        <w:jc w:val="both"/>
        <w:rPr>
          <w:rFonts w:ascii="Verdana" w:hAnsi="Verdana"/>
          <w:spacing w:val="-12"/>
          <w:sz w:val="16"/>
          <w:szCs w:val="16"/>
        </w:rPr>
      </w:pPr>
      <w:r w:rsidRPr="00EE6C61">
        <w:rPr>
          <w:rStyle w:val="Refdenotaalpi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El artículo 25 de la Convención expresa: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2. Los Estados Partes se comprometen: a) a garantizar que la autoridad competente prevista por el sistema legal del Estado decidirá sobre los derechos de toda persona que interponga tal recurso; b) a desarrollar las posibilidades de recurso judicial, y c) a garantizar el cumplimiento, por las autoridades competentes, de toda decisión en que se haya estimado procedente el recurso”.</w:t>
      </w:r>
    </w:p>
  </w:footnote>
  <w:footnote w:id="57">
    <w:p w14:paraId="7A8ACD24" w14:textId="088F76EC" w:rsidR="00FE2511" w:rsidRPr="00E02FB8" w:rsidRDefault="00FE2511" w:rsidP="00221603">
      <w:pPr>
        <w:pStyle w:val="Textonotapie"/>
        <w:spacing w:before="120" w:after="120"/>
        <w:jc w:val="both"/>
        <w:rPr>
          <w:rFonts w:ascii="Verdana" w:hAnsi="Verdana"/>
          <w:sz w:val="16"/>
          <w:szCs w:val="16"/>
          <w:lang w:val="es-MX"/>
        </w:rPr>
      </w:pPr>
      <w:r w:rsidRPr="00E02FB8">
        <w:rPr>
          <w:rStyle w:val="Refdenotaalpie"/>
          <w:rFonts w:ascii="Verdana" w:hAnsi="Verdana"/>
          <w:sz w:val="16"/>
          <w:szCs w:val="16"/>
        </w:rPr>
        <w:footnoteRef/>
      </w:r>
      <w:r w:rsidRPr="00E02FB8">
        <w:rPr>
          <w:rFonts w:ascii="Verdana" w:hAnsi="Verdana"/>
          <w:sz w:val="16"/>
          <w:szCs w:val="16"/>
          <w:lang w:val="es-MX"/>
        </w:rPr>
        <w:t xml:space="preserve"> </w:t>
      </w:r>
      <w:r w:rsidRPr="00E02FB8">
        <w:rPr>
          <w:rFonts w:ascii="Verdana" w:hAnsi="Verdana"/>
          <w:spacing w:val="-12"/>
          <w:sz w:val="16"/>
          <w:szCs w:val="16"/>
        </w:rPr>
        <w:tab/>
      </w:r>
      <w:r w:rsidRPr="005A2DAE">
        <w:rPr>
          <w:rFonts w:ascii="Verdana" w:hAnsi="Verdana"/>
          <w:i/>
          <w:spacing w:val="-12"/>
          <w:sz w:val="16"/>
          <w:szCs w:val="16"/>
        </w:rPr>
        <w:t>Cfr. Caso Ibsen Cárdenas e Ibsen Peña Vs. Bolivia. Fondo, Reparaciones y Costas</w:t>
      </w:r>
      <w:r w:rsidRPr="00E02FB8">
        <w:rPr>
          <w:rFonts w:ascii="Verdana" w:hAnsi="Verdana"/>
          <w:spacing w:val="-12"/>
          <w:sz w:val="16"/>
          <w:szCs w:val="16"/>
        </w:rPr>
        <w:t>. Sentencia de 1 de septiembre de 2010 Serie C No. 217, párr. 207.</w:t>
      </w:r>
    </w:p>
  </w:footnote>
  <w:footnote w:id="58">
    <w:p w14:paraId="39ECE9E5" w14:textId="0FB64B39" w:rsidR="00FE2511" w:rsidRPr="00E02FB8" w:rsidRDefault="00FE2511" w:rsidP="00221603">
      <w:pPr>
        <w:pStyle w:val="Textonotapie"/>
        <w:spacing w:before="120" w:after="120"/>
        <w:jc w:val="both"/>
        <w:rPr>
          <w:rFonts w:ascii="Verdana" w:hAnsi="Verdana"/>
          <w:sz w:val="16"/>
          <w:szCs w:val="16"/>
          <w:lang w:val="es-MX"/>
        </w:rPr>
      </w:pPr>
      <w:r w:rsidRPr="00E02FB8">
        <w:rPr>
          <w:rStyle w:val="Refdenotaalpie"/>
          <w:rFonts w:ascii="Verdana" w:hAnsi="Verdana"/>
          <w:sz w:val="16"/>
          <w:szCs w:val="16"/>
        </w:rPr>
        <w:footnoteRef/>
      </w:r>
      <w:r w:rsidRPr="00E02FB8">
        <w:rPr>
          <w:rFonts w:ascii="Verdana" w:hAnsi="Verdana"/>
          <w:sz w:val="16"/>
          <w:szCs w:val="16"/>
          <w:lang w:val="es-MX"/>
        </w:rPr>
        <w:t xml:space="preserve"> </w:t>
      </w:r>
      <w:r w:rsidRPr="00E02FB8">
        <w:rPr>
          <w:rFonts w:ascii="Verdana" w:hAnsi="Verdana"/>
          <w:spacing w:val="-12"/>
          <w:sz w:val="16"/>
          <w:szCs w:val="16"/>
        </w:rPr>
        <w:tab/>
      </w:r>
      <w:r w:rsidRPr="00BB113F">
        <w:rPr>
          <w:rFonts w:ascii="Verdana" w:hAnsi="Verdana"/>
          <w:i/>
          <w:spacing w:val="-12"/>
          <w:sz w:val="16"/>
          <w:szCs w:val="16"/>
        </w:rPr>
        <w:t>C</w:t>
      </w:r>
      <w:r>
        <w:rPr>
          <w:rFonts w:ascii="Verdana" w:hAnsi="Verdana"/>
          <w:i/>
          <w:spacing w:val="-12"/>
          <w:sz w:val="16"/>
          <w:szCs w:val="16"/>
        </w:rPr>
        <w:t>fr., inter alia, C</w:t>
      </w:r>
      <w:r w:rsidRPr="00BB113F">
        <w:rPr>
          <w:rFonts w:ascii="Verdana" w:hAnsi="Verdana"/>
          <w:i/>
          <w:spacing w:val="-12"/>
          <w:sz w:val="16"/>
          <w:szCs w:val="16"/>
        </w:rPr>
        <w:t xml:space="preserve">aso Barrios Altos Vs. Perú. Fondo. </w:t>
      </w:r>
      <w:r w:rsidRPr="0094614E">
        <w:rPr>
          <w:rFonts w:ascii="Verdana" w:hAnsi="Verdana"/>
          <w:spacing w:val="-12"/>
          <w:sz w:val="16"/>
          <w:szCs w:val="16"/>
        </w:rPr>
        <w:t>Sentencia de 14 de marzo de 2001. Serie C No. 75, párr. 41</w:t>
      </w:r>
      <w:r w:rsidRPr="00BB113F">
        <w:rPr>
          <w:rFonts w:ascii="Verdana" w:hAnsi="Verdana"/>
          <w:i/>
          <w:spacing w:val="-12"/>
          <w:sz w:val="16"/>
          <w:szCs w:val="16"/>
        </w:rPr>
        <w:t xml:space="preserve">, y Caso Herzog y otros Vs. Brasil. Excepciones Preliminares, Fondo, Reparaciones y Costas. </w:t>
      </w:r>
      <w:r w:rsidRPr="0094614E">
        <w:rPr>
          <w:rFonts w:ascii="Verdana" w:hAnsi="Verdana"/>
          <w:spacing w:val="-12"/>
          <w:sz w:val="16"/>
          <w:szCs w:val="16"/>
        </w:rPr>
        <w:t>Sentencia de 15 de marzo de 2018. Serie C No. 353, párr. 288</w:t>
      </w:r>
      <w:r w:rsidRPr="00BB113F">
        <w:rPr>
          <w:rFonts w:ascii="Verdana" w:hAnsi="Verdana"/>
          <w:i/>
          <w:spacing w:val="-12"/>
          <w:sz w:val="16"/>
          <w:szCs w:val="16"/>
        </w:rPr>
        <w:t>.</w:t>
      </w:r>
    </w:p>
  </w:footnote>
  <w:footnote w:id="59">
    <w:p w14:paraId="62147697" w14:textId="5EBAEBFD" w:rsidR="00FE2511" w:rsidRPr="00A87F14" w:rsidRDefault="00FE2511" w:rsidP="00221603">
      <w:pPr>
        <w:spacing w:before="120" w:after="120" w:line="240" w:lineRule="auto"/>
        <w:jc w:val="both"/>
        <w:rPr>
          <w:rFonts w:ascii="Verdana" w:eastAsia="Times New Roman" w:hAnsi="Verdana" w:cs="Times New Roman"/>
          <w:bCs/>
          <w:spacing w:val="-12"/>
          <w:sz w:val="16"/>
          <w:szCs w:val="16"/>
        </w:rPr>
      </w:pPr>
      <w:r w:rsidRPr="00A87F14">
        <w:rPr>
          <w:rStyle w:val="Refdenotaalpie"/>
          <w:rFonts w:ascii="Verdana" w:eastAsiaTheme="majorEastAsia" w:hAnsi="Verdana" w:cs="Palatino-Italic"/>
          <w:iCs/>
          <w:spacing w:val="-12"/>
          <w:sz w:val="16"/>
          <w:szCs w:val="16"/>
          <w:lang w:bidi="en-US"/>
        </w:rPr>
        <w:footnoteRef/>
      </w:r>
      <w:r w:rsidRPr="00A87F14">
        <w:rPr>
          <w:rFonts w:ascii="Verdana" w:hAnsi="Verdana"/>
          <w:sz w:val="16"/>
          <w:szCs w:val="16"/>
        </w:rPr>
        <w:t xml:space="preserve"> </w:t>
      </w:r>
      <w:r w:rsidRPr="00A87F14">
        <w:rPr>
          <w:rFonts w:ascii="Verdana" w:eastAsia="Times New Roman" w:hAnsi="Verdana" w:cs="Times New Roman"/>
          <w:bCs/>
          <w:spacing w:val="-12"/>
          <w:sz w:val="16"/>
          <w:szCs w:val="16"/>
        </w:rPr>
        <w:tab/>
      </w:r>
      <w:r>
        <w:rPr>
          <w:rFonts w:ascii="Verdana" w:eastAsia="Times New Roman" w:hAnsi="Verdana" w:cs="Times New Roman"/>
          <w:bCs/>
          <w:i/>
          <w:spacing w:val="-12"/>
          <w:sz w:val="16"/>
          <w:szCs w:val="16"/>
        </w:rPr>
        <w:t xml:space="preserve">Cfr. </w:t>
      </w:r>
      <w:r w:rsidRPr="00A87F14">
        <w:rPr>
          <w:rFonts w:ascii="Verdana" w:eastAsia="Times New Roman" w:hAnsi="Verdana" w:cs="Times New Roman"/>
          <w:bCs/>
          <w:spacing w:val="-12"/>
          <w:sz w:val="16"/>
          <w:szCs w:val="16"/>
        </w:rPr>
        <w:t>Grupo de Trabajo sobre las Desapariciones Forzadas o Involuntarias, Observaciones Generales sobre el Artículo 19 de la Declaración sobre la Protección de Todas las Personas contra las Desapariciones Forza</w:t>
      </w:r>
      <w:r>
        <w:rPr>
          <w:rFonts w:ascii="Verdana" w:eastAsia="Times New Roman" w:hAnsi="Verdana" w:cs="Times New Roman"/>
          <w:bCs/>
          <w:spacing w:val="-12"/>
          <w:sz w:val="16"/>
          <w:szCs w:val="16"/>
        </w:rPr>
        <w:t>das, E/CN.4/1998/43, párr. 73.</w:t>
      </w:r>
      <w:r w:rsidRPr="00A87F14">
        <w:rPr>
          <w:rFonts w:ascii="Verdana" w:eastAsia="Times New Roman" w:hAnsi="Verdana" w:cs="Times New Roman"/>
          <w:bCs/>
          <w:spacing w:val="-12"/>
          <w:sz w:val="16"/>
          <w:szCs w:val="16"/>
        </w:rPr>
        <w:t xml:space="preserve"> </w:t>
      </w:r>
    </w:p>
  </w:footnote>
  <w:footnote w:id="60">
    <w:p w14:paraId="76B0827D" w14:textId="36FB2C92" w:rsidR="00FE2511" w:rsidRDefault="00FE2511" w:rsidP="00221603">
      <w:pPr>
        <w:pStyle w:val="Textonotapie"/>
        <w:spacing w:before="120" w:after="120"/>
        <w:jc w:val="both"/>
      </w:pPr>
      <w:r w:rsidRPr="006729C5">
        <w:rPr>
          <w:rStyle w:val="Refdenotaalpie"/>
          <w:rFonts w:ascii="Verdana" w:eastAsiaTheme="majorEastAsia" w:hAnsi="Verdana" w:cs="Palatino-Italic"/>
          <w:iCs/>
          <w:spacing w:val="-12"/>
          <w:sz w:val="16"/>
          <w:szCs w:val="16"/>
          <w:lang w:bidi="en-US"/>
        </w:rPr>
        <w:footnoteRef/>
      </w:r>
      <w:r>
        <w:t xml:space="preserve"> </w:t>
      </w:r>
      <w:r>
        <w:tab/>
      </w:r>
      <w:r w:rsidRPr="006729C5">
        <w:rPr>
          <w:rFonts w:ascii="Verdana" w:eastAsia="Times New Roman" w:hAnsi="Verdana" w:cs="Times New Roman"/>
          <w:bCs/>
          <w:i/>
          <w:spacing w:val="-12"/>
          <w:sz w:val="16"/>
          <w:szCs w:val="16"/>
        </w:rPr>
        <w:t>Cfr.</w:t>
      </w:r>
      <w:r>
        <w:rPr>
          <w:rFonts w:ascii="Verdana" w:eastAsia="Times New Roman" w:hAnsi="Verdana" w:cs="Times New Roman"/>
          <w:bCs/>
          <w:spacing w:val="-12"/>
          <w:sz w:val="16"/>
          <w:szCs w:val="16"/>
        </w:rPr>
        <w:t xml:space="preserve"> C</w:t>
      </w:r>
      <w:r w:rsidRPr="00A87F14">
        <w:rPr>
          <w:rFonts w:ascii="Verdana" w:eastAsia="Times New Roman" w:hAnsi="Verdana" w:cs="Times New Roman"/>
          <w:bCs/>
          <w:spacing w:val="-12"/>
          <w:sz w:val="16"/>
          <w:szCs w:val="16"/>
        </w:rPr>
        <w:t>omisión de Derechos Humanos de Naciones Unidas (CDH-ONU), Informe final presentado por el Relator Especial sobre el Derecho a la Restitución, Indemnización y Rehabilitación de las Víctimas de Violaciones Manifiestas de los Derechos Humanos y las Libertades Fundamentales, E/CN.4/Sub.2/1993/8, 2 de julio de 1993, párr. 135.).</w:t>
      </w:r>
    </w:p>
  </w:footnote>
  <w:footnote w:id="61">
    <w:p w14:paraId="66A826B1" w14:textId="4E782A8A" w:rsidR="00FE2511" w:rsidRDefault="00FE2511" w:rsidP="00221603">
      <w:pPr>
        <w:pStyle w:val="Textonotapie"/>
        <w:spacing w:before="120" w:after="120"/>
        <w:jc w:val="both"/>
      </w:pPr>
      <w:r w:rsidRPr="004609D2">
        <w:rPr>
          <w:rStyle w:val="Refdenotaalpie"/>
          <w:rFonts w:ascii="Verdana" w:eastAsiaTheme="majorEastAsia" w:hAnsi="Verdana" w:cs="Palatino-Italic"/>
          <w:iCs/>
          <w:spacing w:val="-12"/>
          <w:sz w:val="16"/>
          <w:szCs w:val="16"/>
          <w:lang w:bidi="en-US"/>
        </w:rPr>
        <w:footnoteRef/>
      </w:r>
      <w:r>
        <w:t xml:space="preserve"> </w:t>
      </w:r>
      <w:r>
        <w:tab/>
      </w:r>
      <w:r w:rsidRPr="006729C5">
        <w:rPr>
          <w:rFonts w:ascii="Verdana" w:eastAsia="Times New Roman" w:hAnsi="Verdana" w:cs="Times New Roman"/>
          <w:bCs/>
          <w:i/>
          <w:spacing w:val="-12"/>
          <w:sz w:val="16"/>
          <w:szCs w:val="16"/>
        </w:rPr>
        <w:t>Cfr.</w:t>
      </w:r>
      <w:r>
        <w:rPr>
          <w:rFonts w:ascii="Verdana" w:eastAsia="Times New Roman" w:hAnsi="Verdana" w:cs="Times New Roman"/>
          <w:bCs/>
          <w:spacing w:val="-12"/>
          <w:sz w:val="16"/>
          <w:szCs w:val="16"/>
        </w:rPr>
        <w:t xml:space="preserve"> C</w:t>
      </w:r>
      <w:r w:rsidRPr="00A87F14">
        <w:rPr>
          <w:rFonts w:ascii="Verdana" w:eastAsia="Times New Roman" w:hAnsi="Verdana" w:cs="Times New Roman"/>
          <w:bCs/>
          <w:spacing w:val="-12"/>
          <w:sz w:val="16"/>
          <w:szCs w:val="16"/>
        </w:rPr>
        <w:t>DH-ONU, Diane Orentlicher, Experta independiente encargada de actualizar el Conjunto de principios para la lucha contra la impunidad, E/CN.4/2005/102, 18 de febrero de 2005.)</w:t>
      </w:r>
    </w:p>
  </w:footnote>
  <w:footnote w:id="62">
    <w:p w14:paraId="360025D8" w14:textId="08F1C900" w:rsidR="00FE2511" w:rsidRPr="007877A3" w:rsidRDefault="00FE2511" w:rsidP="00221603">
      <w:pPr>
        <w:pStyle w:val="Textonotapie"/>
        <w:spacing w:before="120" w:after="120"/>
        <w:jc w:val="both"/>
        <w:rPr>
          <w:rFonts w:ascii="Cambria" w:hAnsi="Cambria"/>
          <w:sz w:val="16"/>
          <w:szCs w:val="16"/>
          <w:lang w:val="es-CO"/>
        </w:rPr>
      </w:pPr>
      <w:r w:rsidRPr="004609D2">
        <w:rPr>
          <w:rStyle w:val="Refdenotaalpie"/>
          <w:rFonts w:ascii="Verdana" w:eastAsiaTheme="majorEastAsia" w:hAnsi="Verdana" w:cs="Palatino-Italic"/>
          <w:iCs/>
          <w:spacing w:val="-12"/>
          <w:sz w:val="16"/>
          <w:szCs w:val="16"/>
          <w:lang w:bidi="en-US"/>
        </w:rPr>
        <w:footnoteRef/>
      </w:r>
      <w:r w:rsidRPr="007877A3">
        <w:rPr>
          <w:rFonts w:ascii="Cambria" w:hAnsi="Cambria"/>
          <w:sz w:val="16"/>
          <w:szCs w:val="16"/>
          <w:lang w:val="es-CO"/>
        </w:rPr>
        <w:t xml:space="preserve"> </w:t>
      </w:r>
      <w:r>
        <w:rPr>
          <w:rFonts w:ascii="Verdana" w:eastAsia="Times New Roman" w:hAnsi="Verdana" w:cs="Times New Roman"/>
          <w:bCs/>
          <w:spacing w:val="-12"/>
          <w:sz w:val="16"/>
          <w:szCs w:val="16"/>
        </w:rPr>
        <w:tab/>
      </w:r>
      <w:r>
        <w:rPr>
          <w:rFonts w:ascii="Verdana" w:eastAsia="Times New Roman" w:hAnsi="Verdana" w:cs="Times New Roman"/>
          <w:bCs/>
          <w:i/>
          <w:spacing w:val="-12"/>
          <w:sz w:val="16"/>
          <w:szCs w:val="16"/>
        </w:rPr>
        <w:t xml:space="preserve">Cfr. </w:t>
      </w:r>
      <w:r>
        <w:rPr>
          <w:rFonts w:ascii="Verdana" w:eastAsia="Times New Roman" w:hAnsi="Verdana" w:cs="Times New Roman"/>
          <w:bCs/>
          <w:spacing w:val="-12"/>
          <w:sz w:val="16"/>
          <w:szCs w:val="16"/>
        </w:rPr>
        <w:t>As</w:t>
      </w:r>
      <w:r w:rsidRPr="004609D2">
        <w:rPr>
          <w:rFonts w:ascii="Verdana" w:eastAsia="Times New Roman" w:hAnsi="Verdana" w:cs="Times New Roman"/>
          <w:bCs/>
          <w:spacing w:val="-12"/>
          <w:sz w:val="16"/>
          <w:szCs w:val="16"/>
        </w:rPr>
        <w:t>amblea General (AG). A/RES/60/147, 21 de marzo de 2006. Resolución que aprueba los “Principios y directrices básicos sobre el derecho de las víctimas de violaciones manifiestas de las normas internacionales de derechos humanos y de violaciones graves del derecho internacional humanitario a interponer recursos y obtener reparaciones”.</w:t>
      </w:r>
    </w:p>
  </w:footnote>
  <w:footnote w:id="63">
    <w:p w14:paraId="3EB8965A" w14:textId="1F6F86F3" w:rsidR="00FE2511" w:rsidRPr="00A7503A" w:rsidRDefault="00FE2511" w:rsidP="00221603">
      <w:pPr>
        <w:pStyle w:val="Textonotapie"/>
        <w:spacing w:before="120" w:after="120"/>
        <w:jc w:val="both"/>
        <w:rPr>
          <w:rFonts w:asciiTheme="majorHAnsi" w:hAnsiTheme="majorHAnsi"/>
          <w:sz w:val="16"/>
          <w:szCs w:val="16"/>
          <w:lang w:val="es-VE"/>
        </w:rPr>
      </w:pPr>
      <w:r w:rsidRPr="004609D2">
        <w:rPr>
          <w:rStyle w:val="Refdenotaalpie"/>
          <w:rFonts w:ascii="Verdana" w:eastAsiaTheme="majorEastAsia" w:hAnsi="Verdana" w:cs="Palatino-Italic"/>
          <w:iCs/>
          <w:spacing w:val="-12"/>
          <w:sz w:val="16"/>
          <w:szCs w:val="16"/>
          <w:lang w:bidi="en-US"/>
        </w:rPr>
        <w:footnoteRef/>
      </w:r>
      <w:r w:rsidRPr="004609D2">
        <w:rPr>
          <w:rFonts w:ascii="Verdana" w:eastAsia="Times New Roman" w:hAnsi="Verdana" w:cs="Times New Roman"/>
          <w:bCs/>
          <w:spacing w:val="-12"/>
          <w:sz w:val="16"/>
          <w:szCs w:val="16"/>
        </w:rPr>
        <w:tab/>
        <w:t>El Consejo de Estado</w:t>
      </w:r>
      <w:r>
        <w:rPr>
          <w:rFonts w:ascii="Verdana" w:eastAsia="Times New Roman" w:hAnsi="Verdana" w:cs="Times New Roman"/>
          <w:bCs/>
          <w:spacing w:val="-12"/>
          <w:sz w:val="16"/>
          <w:szCs w:val="16"/>
        </w:rPr>
        <w:t xml:space="preserve"> colombiano</w:t>
      </w:r>
      <w:r w:rsidRPr="004609D2">
        <w:rPr>
          <w:rFonts w:ascii="Verdana" w:eastAsia="Times New Roman" w:hAnsi="Verdana" w:cs="Times New Roman"/>
          <w:bCs/>
          <w:spacing w:val="-12"/>
          <w:sz w:val="16"/>
          <w:szCs w:val="16"/>
        </w:rPr>
        <w:t xml:space="preserve"> ha trazado la distinción entre caducidad y prescripción en los siguientes términos: la caducidad se refiere a la extinción de la acción, mientras que la prescripción a la del derecho; la primera debe ser alegada, mientras que la caducidad opera ipso iure, la prescripción es renunciable, mientras que la caducidad no lo es, en ningún caso, y mientras que los términos de prescripción pueden ser suspendidos o interrumpidos, los de caducidad no son susceptibles de suspensión, salvo norma expresa. Ver Consejo de Estado </w:t>
      </w:r>
      <w:r>
        <w:rPr>
          <w:rFonts w:ascii="Verdana" w:eastAsia="Times New Roman" w:hAnsi="Verdana" w:cs="Times New Roman"/>
          <w:bCs/>
          <w:spacing w:val="-12"/>
          <w:sz w:val="16"/>
          <w:szCs w:val="16"/>
        </w:rPr>
        <w:t>de Colombia,</w:t>
      </w:r>
      <w:r w:rsidRPr="004609D2">
        <w:rPr>
          <w:rFonts w:ascii="Verdana" w:eastAsia="Times New Roman" w:hAnsi="Verdana" w:cs="Times New Roman"/>
          <w:bCs/>
          <w:spacing w:val="-12"/>
          <w:sz w:val="16"/>
          <w:szCs w:val="16"/>
        </w:rPr>
        <w:t xml:space="preserve"> Ce SIII E 30566 de 2006.</w:t>
      </w:r>
    </w:p>
  </w:footnote>
  <w:footnote w:id="64">
    <w:p w14:paraId="4A6CCE17" w14:textId="1651472B" w:rsidR="00FE2511" w:rsidRPr="00BB75D1" w:rsidRDefault="00FE2511" w:rsidP="00221603">
      <w:pPr>
        <w:spacing w:before="120" w:after="120" w:line="240" w:lineRule="auto"/>
        <w:jc w:val="both"/>
        <w:rPr>
          <w:rFonts w:ascii="Cambria" w:hAnsi="Cambria" w:cs="Arial"/>
          <w:sz w:val="16"/>
          <w:szCs w:val="16"/>
          <w:lang w:val="es-CO"/>
        </w:rPr>
      </w:pPr>
      <w:r w:rsidRPr="007877A3">
        <w:rPr>
          <w:rStyle w:val="Refdenotaalpie"/>
          <w:rFonts w:ascii="Cambria" w:hAnsi="Cambria"/>
          <w:sz w:val="16"/>
          <w:szCs w:val="16"/>
        </w:rPr>
        <w:footnoteRef/>
      </w:r>
      <w:r w:rsidRPr="007877A3">
        <w:rPr>
          <w:rFonts w:ascii="Cambria" w:hAnsi="Cambria"/>
          <w:sz w:val="16"/>
          <w:szCs w:val="16"/>
          <w:lang w:val="es-CO"/>
        </w:rPr>
        <w:t xml:space="preserve"> </w:t>
      </w:r>
      <w:r w:rsidRPr="004609D2">
        <w:rPr>
          <w:rFonts w:ascii="Verdana" w:eastAsia="Times New Roman" w:hAnsi="Verdana" w:cs="Times New Roman"/>
          <w:bCs/>
          <w:spacing w:val="-12"/>
          <w:sz w:val="16"/>
          <w:szCs w:val="16"/>
        </w:rPr>
        <w:tab/>
      </w:r>
      <w:r w:rsidRPr="0094614E">
        <w:rPr>
          <w:rFonts w:ascii="Verdana" w:eastAsia="Times New Roman" w:hAnsi="Verdana" w:cs="Times New Roman"/>
          <w:bCs/>
          <w:i/>
          <w:spacing w:val="-12"/>
          <w:sz w:val="16"/>
          <w:szCs w:val="16"/>
        </w:rPr>
        <w:t>Cfr.</w:t>
      </w:r>
      <w:r>
        <w:rPr>
          <w:rFonts w:ascii="Verdana" w:eastAsia="Times New Roman" w:hAnsi="Verdana" w:cs="Times New Roman"/>
          <w:bCs/>
          <w:spacing w:val="-12"/>
          <w:sz w:val="16"/>
          <w:szCs w:val="16"/>
        </w:rPr>
        <w:t xml:space="preserve"> </w:t>
      </w:r>
      <w:r w:rsidRPr="00BB113F">
        <w:rPr>
          <w:rFonts w:ascii="Verdana" w:eastAsia="Times New Roman" w:hAnsi="Verdana" w:cs="Times New Roman"/>
          <w:bCs/>
          <w:spacing w:val="-12"/>
          <w:sz w:val="16"/>
          <w:szCs w:val="16"/>
        </w:rPr>
        <w:t xml:space="preserve">Consejo de Estado. Consejero ponente: Jaime Orlando Santofimio Gamboa (E). Bogotá, D. C., dos (02) de mayo de dos mil dieciséis (2016). Actor: Maria Faelly Cutiva Leyva </w:t>
      </w:r>
      <w:r>
        <w:rPr>
          <w:rFonts w:ascii="Verdana" w:eastAsia="Times New Roman" w:hAnsi="Verdana" w:cs="Times New Roman"/>
          <w:bCs/>
          <w:spacing w:val="-12"/>
          <w:sz w:val="16"/>
          <w:szCs w:val="16"/>
        </w:rPr>
        <w:t>y</w:t>
      </w:r>
      <w:r w:rsidRPr="00BB113F">
        <w:rPr>
          <w:rFonts w:ascii="Verdana" w:eastAsia="Times New Roman" w:hAnsi="Verdana" w:cs="Times New Roman"/>
          <w:bCs/>
          <w:spacing w:val="-12"/>
          <w:sz w:val="16"/>
          <w:szCs w:val="16"/>
        </w:rPr>
        <w:t xml:space="preserve"> Otros. Demandado: Ministerio </w:t>
      </w:r>
      <w:r>
        <w:rPr>
          <w:rFonts w:ascii="Verdana" w:eastAsia="Times New Roman" w:hAnsi="Verdana" w:cs="Times New Roman"/>
          <w:bCs/>
          <w:spacing w:val="-12"/>
          <w:sz w:val="16"/>
          <w:szCs w:val="16"/>
        </w:rPr>
        <w:t>d</w:t>
      </w:r>
      <w:r w:rsidRPr="00BB113F">
        <w:rPr>
          <w:rFonts w:ascii="Verdana" w:eastAsia="Times New Roman" w:hAnsi="Verdana" w:cs="Times New Roman"/>
          <w:bCs/>
          <w:spacing w:val="-12"/>
          <w:sz w:val="16"/>
          <w:szCs w:val="16"/>
        </w:rPr>
        <w:t xml:space="preserve">e Defensa - Ejercito Nacional </w:t>
      </w:r>
      <w:r>
        <w:rPr>
          <w:rFonts w:ascii="Verdana" w:eastAsia="Times New Roman" w:hAnsi="Verdana" w:cs="Times New Roman"/>
          <w:bCs/>
          <w:spacing w:val="-12"/>
          <w:sz w:val="16"/>
          <w:szCs w:val="16"/>
        </w:rPr>
        <w:t>y</w:t>
      </w:r>
      <w:r w:rsidRPr="00BB113F">
        <w:rPr>
          <w:rFonts w:ascii="Verdana" w:eastAsia="Times New Roman" w:hAnsi="Verdana" w:cs="Times New Roman"/>
          <w:bCs/>
          <w:spacing w:val="-12"/>
          <w:sz w:val="16"/>
          <w:szCs w:val="16"/>
        </w:rPr>
        <w:t xml:space="preserve"> Otros. Referencia: Apelacion Auto Ley 1437 </w:t>
      </w:r>
      <w:r>
        <w:rPr>
          <w:rFonts w:ascii="Verdana" w:eastAsia="Times New Roman" w:hAnsi="Verdana" w:cs="Times New Roman"/>
          <w:bCs/>
          <w:spacing w:val="-12"/>
          <w:sz w:val="16"/>
          <w:szCs w:val="16"/>
        </w:rPr>
        <w:t>d</w:t>
      </w:r>
      <w:r w:rsidRPr="00BB113F">
        <w:rPr>
          <w:rFonts w:ascii="Verdana" w:eastAsia="Times New Roman" w:hAnsi="Verdana" w:cs="Times New Roman"/>
          <w:bCs/>
          <w:spacing w:val="-12"/>
          <w:sz w:val="16"/>
          <w:szCs w:val="16"/>
        </w:rPr>
        <w:t xml:space="preserve">e 2011 - Medio </w:t>
      </w:r>
      <w:r>
        <w:rPr>
          <w:rFonts w:ascii="Verdana" w:eastAsia="Times New Roman" w:hAnsi="Verdana" w:cs="Times New Roman"/>
          <w:bCs/>
          <w:spacing w:val="-12"/>
          <w:sz w:val="16"/>
          <w:szCs w:val="16"/>
        </w:rPr>
        <w:t>d</w:t>
      </w:r>
      <w:r w:rsidRPr="00BB113F">
        <w:rPr>
          <w:rFonts w:ascii="Verdana" w:eastAsia="Times New Roman" w:hAnsi="Verdana" w:cs="Times New Roman"/>
          <w:bCs/>
          <w:spacing w:val="-12"/>
          <w:sz w:val="16"/>
          <w:szCs w:val="16"/>
        </w:rPr>
        <w:t xml:space="preserve">e Control </w:t>
      </w:r>
      <w:r>
        <w:rPr>
          <w:rFonts w:ascii="Verdana" w:eastAsia="Times New Roman" w:hAnsi="Verdana" w:cs="Times New Roman"/>
          <w:bCs/>
          <w:spacing w:val="-12"/>
          <w:sz w:val="16"/>
          <w:szCs w:val="16"/>
        </w:rPr>
        <w:t>d</w:t>
      </w:r>
      <w:r w:rsidRPr="00BB113F">
        <w:rPr>
          <w:rFonts w:ascii="Verdana" w:eastAsia="Times New Roman" w:hAnsi="Verdana" w:cs="Times New Roman"/>
          <w:bCs/>
          <w:spacing w:val="-12"/>
          <w:sz w:val="16"/>
          <w:szCs w:val="16"/>
        </w:rPr>
        <w:t>e Reparación Directa.</w:t>
      </w:r>
      <w:r w:rsidRPr="0094614E">
        <w:rPr>
          <w:rFonts w:ascii="Verdana" w:hAnsi="Verdana" w:cs="Arial"/>
          <w:sz w:val="16"/>
          <w:szCs w:val="16"/>
          <w:lang w:val="es-CO"/>
        </w:rPr>
        <w:t xml:space="preserve"> </w:t>
      </w:r>
      <w:r>
        <w:rPr>
          <w:rFonts w:ascii="Cambria" w:hAnsi="Cambria" w:cs="Arial"/>
          <w:sz w:val="16"/>
          <w:szCs w:val="16"/>
          <w:lang w:val="es-CO"/>
        </w:rPr>
        <w:t xml:space="preserve"> </w:t>
      </w:r>
    </w:p>
  </w:footnote>
  <w:footnote w:id="65">
    <w:p w14:paraId="4B2B2890" w14:textId="48432651" w:rsidR="00FE2511" w:rsidRPr="0081589D" w:rsidRDefault="00FE2511" w:rsidP="00221603">
      <w:pPr>
        <w:pStyle w:val="Textonotapie"/>
        <w:spacing w:before="120" w:after="120"/>
        <w:jc w:val="both"/>
        <w:rPr>
          <w:rFonts w:ascii="Verdana" w:hAnsi="Verdana"/>
          <w:sz w:val="16"/>
          <w:szCs w:val="16"/>
          <w:lang w:val="es-CO"/>
        </w:rPr>
      </w:pPr>
      <w:r w:rsidRPr="0081589D">
        <w:rPr>
          <w:rStyle w:val="Refdenotaalpie"/>
          <w:rFonts w:ascii="Verdana" w:hAnsi="Verdana"/>
          <w:sz w:val="16"/>
          <w:szCs w:val="16"/>
        </w:rPr>
        <w:footnoteRef/>
      </w:r>
      <w:r w:rsidRPr="0081589D">
        <w:rPr>
          <w:rFonts w:ascii="Verdana" w:hAnsi="Verdana"/>
          <w:sz w:val="16"/>
          <w:szCs w:val="16"/>
          <w:lang w:val="es-CO"/>
        </w:rPr>
        <w:t xml:space="preserve"> </w:t>
      </w:r>
      <w:r w:rsidRPr="0081589D">
        <w:rPr>
          <w:rFonts w:ascii="Verdana" w:hAnsi="Verdana"/>
          <w:sz w:val="16"/>
          <w:szCs w:val="16"/>
          <w:lang w:val="es-CO"/>
        </w:rPr>
        <w:tab/>
      </w:r>
      <w:r w:rsidRPr="0081589D">
        <w:rPr>
          <w:rFonts w:ascii="Verdana" w:eastAsia="Times New Roman" w:hAnsi="Verdana" w:cs="Times New Roman"/>
          <w:bCs/>
          <w:spacing w:val="-12"/>
          <w:sz w:val="16"/>
          <w:szCs w:val="16"/>
        </w:rPr>
        <w:t>Ver Artículo 2561 del Código Civil y Comercial Comentado.</w:t>
      </w:r>
      <w:r w:rsidRPr="0081589D">
        <w:rPr>
          <w:rFonts w:ascii="Verdana" w:hAnsi="Verdana"/>
          <w:sz w:val="16"/>
          <w:szCs w:val="16"/>
          <w:lang w:val="es-VE"/>
        </w:rPr>
        <w:t xml:space="preserve"> </w:t>
      </w:r>
    </w:p>
  </w:footnote>
  <w:footnote w:id="66">
    <w:p w14:paraId="696A82B9" w14:textId="0385DAC4" w:rsidR="00FE2511" w:rsidRPr="00A87F14" w:rsidRDefault="00FE2511" w:rsidP="00221603">
      <w:pPr>
        <w:pStyle w:val="Textonotapie"/>
        <w:spacing w:before="120" w:after="120"/>
        <w:jc w:val="both"/>
        <w:rPr>
          <w:rFonts w:ascii="Verdana" w:hAnsi="Verdana"/>
          <w:sz w:val="16"/>
          <w:szCs w:val="16"/>
          <w:lang w:val="es-CO"/>
        </w:rPr>
      </w:pPr>
      <w:r w:rsidRPr="00A87F14">
        <w:rPr>
          <w:rStyle w:val="Refdenotaalpie"/>
          <w:rFonts w:ascii="Verdana" w:hAnsi="Verdana"/>
          <w:sz w:val="16"/>
          <w:szCs w:val="16"/>
        </w:rPr>
        <w:footnoteRef/>
      </w:r>
      <w:r w:rsidRPr="00A87F14">
        <w:rPr>
          <w:rFonts w:ascii="Verdana" w:hAnsi="Verdana"/>
          <w:sz w:val="16"/>
          <w:szCs w:val="16"/>
          <w:lang w:val="es-CO"/>
        </w:rPr>
        <w:t xml:space="preserve"> </w:t>
      </w:r>
      <w:r w:rsidRPr="00A87F14">
        <w:rPr>
          <w:rFonts w:ascii="Verdana" w:hAnsi="Verdana"/>
          <w:sz w:val="16"/>
          <w:szCs w:val="16"/>
          <w:lang w:val="es-CO"/>
        </w:rPr>
        <w:tab/>
      </w:r>
      <w:r w:rsidRPr="006B3005">
        <w:rPr>
          <w:rFonts w:ascii="Verdana" w:eastAsia="Times New Roman" w:hAnsi="Verdana" w:cs="Times New Roman"/>
          <w:bCs/>
          <w:spacing w:val="-12"/>
          <w:sz w:val="16"/>
          <w:szCs w:val="16"/>
        </w:rPr>
        <w:t>Corte Suprema de Justicia de Chile</w:t>
      </w:r>
      <w:r>
        <w:rPr>
          <w:rFonts w:ascii="Verdana" w:eastAsia="Times New Roman" w:hAnsi="Verdana"/>
          <w:bCs/>
          <w:spacing w:val="-12"/>
          <w:sz w:val="16"/>
          <w:szCs w:val="16"/>
        </w:rPr>
        <w:t xml:space="preserve">. </w:t>
      </w:r>
      <w:r w:rsidRPr="00A87F14">
        <w:rPr>
          <w:rFonts w:ascii="Verdana" w:eastAsia="Times New Roman" w:hAnsi="Verdana"/>
          <w:bCs/>
          <w:spacing w:val="-12"/>
          <w:sz w:val="16"/>
          <w:szCs w:val="16"/>
        </w:rPr>
        <w:t>23583-2014. Imprescriptibilidad de la acción reparatoria en contra del Fisco por violación a derechos humanos. 20 de mayo de 2015. Disponible en:</w:t>
      </w:r>
      <w:r w:rsidRPr="00A87F14">
        <w:rPr>
          <w:rFonts w:ascii="Verdana" w:hAnsi="Verdana"/>
          <w:sz w:val="16"/>
          <w:szCs w:val="16"/>
          <w:lang w:val="es-CO"/>
        </w:rPr>
        <w:t xml:space="preserve"> </w:t>
      </w:r>
      <w:hyperlink r:id="rId7" w:history="1">
        <w:r w:rsidRPr="00A87F14">
          <w:rPr>
            <w:rStyle w:val="Hipervnculo"/>
            <w:rFonts w:ascii="Verdana" w:hAnsi="Verdana"/>
            <w:sz w:val="16"/>
            <w:szCs w:val="16"/>
            <w:lang w:val="es-CO"/>
          </w:rPr>
          <w:t>http://www.i-juridica.com/2015/05/21/suprema-23583-2014-imprescriptibilidad-de-la-acción-reparatoria-en-contra-del-fisco-por-violación-a-derechos-humanos/</w:t>
        </w:r>
      </w:hyperlink>
      <w:r w:rsidRPr="00A87F14">
        <w:rPr>
          <w:rFonts w:ascii="Verdana" w:hAnsi="Verdana"/>
          <w:sz w:val="16"/>
          <w:szCs w:val="16"/>
          <w:lang w:val="es-CO"/>
        </w:rPr>
        <w:t xml:space="preserve">. </w:t>
      </w:r>
    </w:p>
  </w:footnote>
  <w:footnote w:id="67">
    <w:p w14:paraId="26ACAFE1" w14:textId="3DEBA399" w:rsidR="00FE2511" w:rsidRDefault="00FE2511" w:rsidP="00221603">
      <w:pPr>
        <w:pStyle w:val="Textonotapie"/>
        <w:spacing w:before="120" w:after="120"/>
        <w:jc w:val="both"/>
      </w:pPr>
      <w:r w:rsidRPr="00990DA1">
        <w:rPr>
          <w:rStyle w:val="Refdenotaalpie"/>
          <w:rFonts w:ascii="Verdana" w:hAnsi="Verdana"/>
          <w:sz w:val="16"/>
          <w:szCs w:val="16"/>
        </w:rPr>
        <w:footnoteRef/>
      </w:r>
      <w:r>
        <w:t xml:space="preserve"> </w:t>
      </w:r>
      <w:r>
        <w:tab/>
      </w:r>
      <w:r w:rsidRPr="00990DA1">
        <w:rPr>
          <w:rFonts w:ascii="Verdana" w:eastAsia="Times New Roman" w:hAnsi="Verdana" w:cs="Times New Roman"/>
          <w:bCs/>
          <w:spacing w:val="-12"/>
          <w:sz w:val="16"/>
          <w:szCs w:val="16"/>
        </w:rPr>
        <w:t xml:space="preserve">En el </w:t>
      </w:r>
      <w:r w:rsidRPr="00990DA1">
        <w:rPr>
          <w:rFonts w:ascii="Verdana" w:eastAsia="Times New Roman" w:hAnsi="Verdana" w:cs="Times New Roman"/>
          <w:bCs/>
          <w:i/>
          <w:spacing w:val="-12"/>
          <w:sz w:val="16"/>
          <w:szCs w:val="16"/>
        </w:rPr>
        <w:t>caso Almonacid Arellano y otros vs. Chile</w:t>
      </w:r>
      <w:r w:rsidRPr="00990DA1">
        <w:rPr>
          <w:rFonts w:ascii="Verdana" w:eastAsia="Times New Roman" w:hAnsi="Verdana" w:cs="Times New Roman"/>
          <w:bCs/>
          <w:spacing w:val="-12"/>
          <w:sz w:val="16"/>
          <w:szCs w:val="16"/>
        </w:rPr>
        <w:t xml:space="preserve">, este la Corte señaló que: […] hay amplia evidencia para concluir que en 1973, […], la comisión de crímenes de lesa humanidad, incluido el asesinato ejecutado en un contexto de ataque generalizado o sistemático contra sectores de la población civil, era violatoria de una norma imperativa del derecho internacional. Dicha prohibición de cometer crímenes de lesa humanidad es una norma de ius cogens, y la penalización de estos crímenes es obligatoria conforme al derecho internacional general. </w:t>
      </w:r>
      <w:r w:rsidRPr="005F59C1">
        <w:rPr>
          <w:rFonts w:ascii="Verdana" w:eastAsia="Times New Roman" w:hAnsi="Verdana" w:cs="Times New Roman"/>
          <w:bCs/>
          <w:i/>
          <w:spacing w:val="-12"/>
          <w:sz w:val="16"/>
          <w:szCs w:val="16"/>
        </w:rPr>
        <w:t>Cfr. Caso Almonacid Arellano y otros Vs. Chile. Excepciones Preliminares, Fondo, Reparaciones y Costas</w:t>
      </w:r>
      <w:r w:rsidRPr="00990DA1">
        <w:rPr>
          <w:rFonts w:ascii="Verdana" w:eastAsia="Times New Roman" w:hAnsi="Verdana" w:cs="Times New Roman"/>
          <w:bCs/>
          <w:spacing w:val="-12"/>
          <w:sz w:val="16"/>
          <w:szCs w:val="16"/>
        </w:rPr>
        <w:t xml:space="preserve">. </w:t>
      </w:r>
      <w:r w:rsidRPr="006B3005">
        <w:rPr>
          <w:rFonts w:ascii="Verdana" w:eastAsia="Times New Roman" w:hAnsi="Verdana" w:cs="Times New Roman"/>
          <w:bCs/>
          <w:spacing w:val="-12"/>
          <w:sz w:val="16"/>
          <w:szCs w:val="16"/>
        </w:rPr>
        <w:t>Sentencia de 26 de septiembre de 2006. Serie C No. 154, párr.99.</w:t>
      </w:r>
    </w:p>
  </w:footnote>
  <w:footnote w:id="68">
    <w:p w14:paraId="5F2C8C9B" w14:textId="77777777" w:rsidR="00FE2511" w:rsidRPr="00A87F14" w:rsidRDefault="00FE2511" w:rsidP="00221603">
      <w:pPr>
        <w:pStyle w:val="Textonotapie"/>
        <w:spacing w:before="120" w:after="120"/>
        <w:jc w:val="both"/>
        <w:rPr>
          <w:rFonts w:ascii="Verdana" w:hAnsi="Verdana"/>
          <w:sz w:val="16"/>
          <w:szCs w:val="16"/>
        </w:rPr>
      </w:pPr>
      <w:r w:rsidRPr="00A87F14">
        <w:rPr>
          <w:rStyle w:val="Refdenotaalpie"/>
          <w:rFonts w:ascii="Verdana" w:hAnsi="Verdana"/>
          <w:sz w:val="16"/>
          <w:szCs w:val="16"/>
        </w:rPr>
        <w:footnoteRef/>
      </w:r>
      <w:r w:rsidRPr="00A87F14">
        <w:rPr>
          <w:rFonts w:ascii="Verdana" w:hAnsi="Verdana"/>
          <w:sz w:val="16"/>
          <w:szCs w:val="16"/>
        </w:rPr>
        <w:t xml:space="preserve"> </w:t>
      </w:r>
      <w:r w:rsidRPr="00A87F14">
        <w:rPr>
          <w:rFonts w:ascii="Verdana" w:hAnsi="Verdana"/>
          <w:spacing w:val="-12"/>
          <w:sz w:val="16"/>
          <w:szCs w:val="16"/>
          <w:lang w:val="es-ES"/>
        </w:rPr>
        <w:tab/>
        <w:t>Así, dicho artículo señala que "el ejercicio de la soberanía reconoce como limitación el respeto a los derechos esenciales que emanan de la naturaleza humana. Es deber de los órganos del Estado respetar y promover tales derechos, garantizados por esta Constitución, así como por los tratados internacionales ratificados por Chile y que se encuentren vigentes".</w:t>
      </w:r>
    </w:p>
  </w:footnote>
  <w:footnote w:id="69">
    <w:p w14:paraId="4B1B03C7" w14:textId="19766596" w:rsidR="00FE2511" w:rsidRPr="00A87F14" w:rsidRDefault="00FE2511" w:rsidP="00221603">
      <w:pPr>
        <w:pStyle w:val="Textonotapie"/>
        <w:spacing w:before="120" w:after="120"/>
        <w:jc w:val="both"/>
        <w:rPr>
          <w:rFonts w:ascii="Verdana" w:hAnsi="Verdana"/>
          <w:sz w:val="16"/>
          <w:szCs w:val="16"/>
        </w:rPr>
      </w:pPr>
      <w:r w:rsidRPr="00A87F14">
        <w:rPr>
          <w:rStyle w:val="Refdenotaalpie"/>
          <w:rFonts w:ascii="Verdana" w:hAnsi="Verdana"/>
          <w:sz w:val="16"/>
          <w:szCs w:val="16"/>
        </w:rPr>
        <w:footnoteRef/>
      </w:r>
      <w:r w:rsidRPr="00A87F14">
        <w:rPr>
          <w:rFonts w:ascii="Verdana" w:hAnsi="Verdana"/>
          <w:sz w:val="16"/>
          <w:szCs w:val="16"/>
        </w:rPr>
        <w:t xml:space="preserve"> </w:t>
      </w:r>
      <w:r w:rsidRPr="00A87F14">
        <w:rPr>
          <w:rFonts w:ascii="Verdana" w:hAnsi="Verdana"/>
          <w:spacing w:val="-12"/>
          <w:sz w:val="16"/>
          <w:szCs w:val="16"/>
          <w:lang w:val="es-ES"/>
        </w:rPr>
        <w:tab/>
        <w:t>El Estado señaló que, respecto de dichas acciones, hasta el año 2015 la jurisprudencia de la Corte Suprema había oscilado entre declarar prescrita la acción civil indemnizatoria en atención a las normas establecidas en el Código Civil, o por el contrario, afirmar la imprescriptibilidad de la acción con base en los artículos 1.1 y 63.1 de la CADH y la obligación de reparar a víctimas de violaciones graves, masivas y sistemáticas a los derechos humanos no pudiendo excusarse en la legislación interna. La diversidad de criterios en la jurisprudencia en esta materia se debía principalmente a la forma que tiene la Corte Suprema de conocer las causas judiciales a través de salas especializadas. Así, la sala penal conocía las acciones civiles cuando estas habían sido interpuestas de manera conjunta con la penal y la sala civil conocía aquellas que se presentaban de manera independiente. En aras de unificar la jurisprudencia en la materia, la Corte Suprema, a través del Auto Acordado de fecha 16 de enero de 2015 que distribuye las materias que conocen las salas especializadas, determinó un cambio en la distribución  de las causas. Consecuencia de esto es que, actualmente,  la Corte Suprema conoce sólo a través de la Segunda Sala (sala penal) estas acciones civiles, cualquier</w:t>
      </w:r>
      <w:r>
        <w:rPr>
          <w:rFonts w:ascii="Verdana" w:hAnsi="Verdana"/>
          <w:spacing w:val="-12"/>
          <w:sz w:val="16"/>
          <w:szCs w:val="16"/>
          <w:lang w:val="es-ES"/>
        </w:rPr>
        <w:t>a sea su forma de interposición.</w:t>
      </w:r>
      <w:r w:rsidRPr="00A87F14">
        <w:rPr>
          <w:rFonts w:ascii="Verdana" w:hAnsi="Verdana"/>
          <w:spacing w:val="-12"/>
          <w:sz w:val="16"/>
          <w:szCs w:val="16"/>
        </w:rPr>
        <w:t xml:space="preserve"> Desde entonces</w:t>
      </w:r>
      <w:r w:rsidRPr="00A87F14">
        <w:rPr>
          <w:rFonts w:ascii="Verdana" w:hAnsi="Verdana"/>
          <w:spacing w:val="-12"/>
          <w:sz w:val="16"/>
          <w:szCs w:val="16"/>
          <w:lang w:val="es-ES"/>
        </w:rPr>
        <w:t>, la Corte Suprema ha centrado su argumentación en: a) la necesidad de los órganos estatales de cumplir con la obligación internacional del Estado de dar reparación integral a las víctimas de graves violaciones, desestimando en general los razonamientos tendientes a no otorgar reparación; b) ha establecido una jerarquía normativa, bajo la cual las normas legales sólo pueden aplicarse mientras no estén en contradicción con los principios y normas del derecho internacional de los derechos humanos; y c) ha sostenido que, de acuerdo a su propia jurisprudencia y en busca de darle unidad y coherencia, la acción civil no puede entenderse prescrita si la acción penal por delitos de lesa humanidad se considera imprescriptible. Así, ha determinado que ambas esferas -penal y civil- son ámbitos distintos, pero complementa</w:t>
      </w:r>
      <w:r>
        <w:rPr>
          <w:rFonts w:ascii="Verdana" w:hAnsi="Verdana"/>
          <w:spacing w:val="-12"/>
          <w:sz w:val="16"/>
          <w:szCs w:val="16"/>
          <w:lang w:val="es-ES"/>
        </w:rPr>
        <w:t>rios de la reparación integral.</w:t>
      </w:r>
    </w:p>
  </w:footnote>
  <w:footnote w:id="70">
    <w:p w14:paraId="5593E801" w14:textId="1DB63949" w:rsidR="00FE2511" w:rsidRPr="00A87F14" w:rsidRDefault="00FE2511" w:rsidP="00221603">
      <w:pPr>
        <w:pStyle w:val="Textonotapie"/>
        <w:spacing w:before="120" w:after="120"/>
        <w:jc w:val="both"/>
        <w:rPr>
          <w:rFonts w:ascii="Verdana" w:hAnsi="Verdana"/>
          <w:sz w:val="16"/>
          <w:szCs w:val="16"/>
        </w:rPr>
      </w:pPr>
      <w:r w:rsidRPr="00A87F14">
        <w:rPr>
          <w:rStyle w:val="Refdenotaalpie"/>
          <w:rFonts w:ascii="Verdana" w:hAnsi="Verdana"/>
          <w:sz w:val="16"/>
          <w:szCs w:val="16"/>
        </w:rPr>
        <w:footnoteRef/>
      </w:r>
      <w:r w:rsidRPr="00A87F14">
        <w:rPr>
          <w:rFonts w:ascii="Verdana" w:hAnsi="Verdana"/>
          <w:sz w:val="16"/>
          <w:szCs w:val="16"/>
        </w:rPr>
        <w:t xml:space="preserve"> </w:t>
      </w:r>
      <w:r w:rsidRPr="00A87F14">
        <w:rPr>
          <w:rFonts w:ascii="Verdana" w:hAnsi="Verdana"/>
          <w:color w:val="000000"/>
          <w:spacing w:val="-12"/>
          <w:sz w:val="16"/>
          <w:szCs w:val="16"/>
        </w:rPr>
        <w:tab/>
      </w:r>
      <w:r w:rsidRPr="00A87F14">
        <w:rPr>
          <w:rFonts w:ascii="Verdana" w:hAnsi="Verdana"/>
          <w:i/>
          <w:color w:val="000000"/>
          <w:spacing w:val="-12"/>
          <w:sz w:val="16"/>
          <w:szCs w:val="16"/>
        </w:rPr>
        <w:t>Cfr</w:t>
      </w:r>
      <w:r w:rsidRPr="00A87F14">
        <w:rPr>
          <w:rFonts w:ascii="Verdana" w:hAnsi="Verdana"/>
          <w:color w:val="000000"/>
          <w:spacing w:val="-12"/>
          <w:sz w:val="16"/>
          <w:szCs w:val="16"/>
        </w:rPr>
        <w:t xml:space="preserve">. </w:t>
      </w:r>
      <w:r>
        <w:rPr>
          <w:rFonts w:ascii="Verdana" w:hAnsi="Verdana"/>
          <w:color w:val="000000"/>
          <w:spacing w:val="-12"/>
          <w:sz w:val="16"/>
          <w:szCs w:val="16"/>
        </w:rPr>
        <w:t xml:space="preserve">Dirección de Estudios de la Corte Suprema, “Estudio de jurisprudencia sobre acciones civiles de reparación relacionadas con crímenes de lesa humanidad”, el cual da respuesta a solicitud de información del Director del Programa de Derechos Humanos de la Subsecretaría de Relaciones Exteriores en el contexto del presente caso ante la Corte Interamericana </w:t>
      </w:r>
      <w:r w:rsidRPr="002A25A3">
        <w:rPr>
          <w:rFonts w:ascii="Verdana" w:hAnsi="Verdana"/>
          <w:color w:val="000000"/>
          <w:spacing w:val="-12"/>
          <w:sz w:val="16"/>
          <w:szCs w:val="16"/>
        </w:rPr>
        <w:t xml:space="preserve">(exp. prueba, </w:t>
      </w:r>
      <w:r>
        <w:rPr>
          <w:rFonts w:ascii="Verdana" w:hAnsi="Verdana"/>
          <w:color w:val="000000"/>
          <w:spacing w:val="-12"/>
          <w:sz w:val="16"/>
          <w:szCs w:val="16"/>
        </w:rPr>
        <w:t>ff. 2640 y ss); y o</w:t>
      </w:r>
      <w:r w:rsidRPr="002A25A3">
        <w:rPr>
          <w:rFonts w:ascii="Verdana" w:hAnsi="Verdana"/>
          <w:color w:val="000000"/>
          <w:spacing w:val="-12"/>
          <w:sz w:val="16"/>
          <w:szCs w:val="16"/>
        </w:rPr>
        <w:t xml:space="preserve">ficio Nº 048 2018 </w:t>
      </w:r>
      <w:r>
        <w:rPr>
          <w:rFonts w:ascii="Verdana" w:hAnsi="Verdana"/>
          <w:color w:val="000000"/>
          <w:spacing w:val="-12"/>
          <w:sz w:val="16"/>
          <w:szCs w:val="16"/>
        </w:rPr>
        <w:t xml:space="preserve">de </w:t>
      </w:r>
      <w:r w:rsidRPr="002A25A3">
        <w:rPr>
          <w:rFonts w:ascii="Verdana" w:hAnsi="Verdana"/>
          <w:color w:val="000000"/>
          <w:spacing w:val="-12"/>
          <w:sz w:val="16"/>
          <w:szCs w:val="16"/>
        </w:rPr>
        <w:t>30 de enero de 2018</w:t>
      </w:r>
      <w:r>
        <w:rPr>
          <w:rFonts w:ascii="Verdana" w:hAnsi="Verdana"/>
          <w:color w:val="000000"/>
          <w:spacing w:val="-12"/>
          <w:sz w:val="16"/>
          <w:szCs w:val="16"/>
        </w:rPr>
        <w:t xml:space="preserve"> dirigido por</w:t>
      </w:r>
      <w:r w:rsidRPr="002A25A3">
        <w:rPr>
          <w:rFonts w:ascii="Verdana" w:hAnsi="Verdana"/>
          <w:color w:val="000000"/>
          <w:spacing w:val="-12"/>
          <w:sz w:val="16"/>
          <w:szCs w:val="16"/>
        </w:rPr>
        <w:t xml:space="preserve"> el Secretario de la Corte Suprema al Director de Derechos Humanos</w:t>
      </w:r>
      <w:r>
        <w:rPr>
          <w:rFonts w:ascii="Verdana" w:hAnsi="Verdana"/>
          <w:color w:val="000000"/>
          <w:spacing w:val="-12"/>
          <w:sz w:val="16"/>
          <w:szCs w:val="16"/>
        </w:rPr>
        <w:t xml:space="preserve"> del</w:t>
      </w:r>
      <w:r w:rsidRPr="002A25A3">
        <w:rPr>
          <w:rFonts w:ascii="Verdana" w:hAnsi="Verdana"/>
          <w:color w:val="000000"/>
          <w:spacing w:val="-12"/>
          <w:sz w:val="16"/>
          <w:szCs w:val="16"/>
        </w:rPr>
        <w:t xml:space="preserve"> Mini</w:t>
      </w:r>
      <w:r>
        <w:rPr>
          <w:rFonts w:ascii="Verdana" w:hAnsi="Verdana"/>
          <w:color w:val="000000"/>
          <w:spacing w:val="-12"/>
          <w:sz w:val="16"/>
          <w:szCs w:val="16"/>
        </w:rPr>
        <w:t>sterio de Relaciones Exteriores</w:t>
      </w:r>
      <w:r w:rsidRPr="002A25A3">
        <w:rPr>
          <w:rFonts w:ascii="Verdana" w:hAnsi="Verdana"/>
          <w:color w:val="000000"/>
          <w:spacing w:val="-12"/>
          <w:sz w:val="16"/>
          <w:szCs w:val="16"/>
        </w:rPr>
        <w:t xml:space="preserve"> (exp. prueba, </w:t>
      </w:r>
      <w:r>
        <w:rPr>
          <w:rFonts w:ascii="Verdana" w:hAnsi="Verdana"/>
          <w:color w:val="000000"/>
          <w:spacing w:val="-12"/>
          <w:sz w:val="16"/>
          <w:szCs w:val="16"/>
        </w:rPr>
        <w:t>ff.</w:t>
      </w:r>
      <w:r w:rsidRPr="002A25A3">
        <w:rPr>
          <w:rFonts w:ascii="Verdana" w:hAnsi="Verdana"/>
          <w:color w:val="000000"/>
          <w:spacing w:val="-12"/>
          <w:sz w:val="16"/>
          <w:szCs w:val="16"/>
        </w:rPr>
        <w:t xml:space="preserve"> 2697 a 2702)</w:t>
      </w:r>
      <w:r>
        <w:rPr>
          <w:rFonts w:ascii="Verdana" w:hAnsi="Verdana"/>
          <w:color w:val="000000"/>
          <w:spacing w:val="-12"/>
          <w:sz w:val="16"/>
          <w:szCs w:val="16"/>
        </w:rPr>
        <w:t xml:space="preserve"> </w:t>
      </w:r>
    </w:p>
  </w:footnote>
  <w:footnote w:id="71">
    <w:p w14:paraId="074B85A4" w14:textId="77777777" w:rsidR="00FE2511" w:rsidRDefault="00FE2511" w:rsidP="00062EAE">
      <w:pPr>
        <w:pStyle w:val="Textonotapie"/>
        <w:jc w:val="both"/>
      </w:pPr>
      <w:r>
        <w:rPr>
          <w:rStyle w:val="Refdenotaalpie"/>
        </w:rPr>
        <w:footnoteRef/>
      </w:r>
      <w:r>
        <w:t xml:space="preserve"> </w:t>
      </w:r>
      <w:r>
        <w:tab/>
      </w:r>
      <w:r w:rsidRPr="00BB113F">
        <w:rPr>
          <w:rFonts w:ascii="Verdana" w:eastAsia="Times New Roman" w:hAnsi="Verdana" w:cs="Times New Roman"/>
          <w:bCs/>
          <w:i/>
          <w:spacing w:val="-12"/>
          <w:sz w:val="16"/>
          <w:szCs w:val="16"/>
        </w:rPr>
        <w:t>Cfr</w:t>
      </w:r>
      <w:r w:rsidRPr="00BB113F">
        <w:rPr>
          <w:rFonts w:ascii="Verdana" w:eastAsia="Times New Roman" w:hAnsi="Verdana" w:cs="Times New Roman"/>
          <w:bCs/>
          <w:spacing w:val="-12"/>
          <w:sz w:val="16"/>
          <w:szCs w:val="16"/>
        </w:rPr>
        <w:t>. Corte Suprema de Justicia de Chile</w:t>
      </w:r>
      <w:r>
        <w:rPr>
          <w:rFonts w:ascii="Verdana" w:eastAsia="Times New Roman" w:hAnsi="Verdana"/>
          <w:bCs/>
          <w:spacing w:val="-12"/>
          <w:sz w:val="16"/>
          <w:szCs w:val="16"/>
        </w:rPr>
        <w:t>. Sala Segunda. Sentencia de 26 de abril de 2017</w:t>
      </w:r>
      <w:r w:rsidRPr="00BB113F">
        <w:rPr>
          <w:rFonts w:ascii="Verdana" w:eastAsia="Times New Roman" w:hAnsi="Verdana"/>
          <w:bCs/>
          <w:spacing w:val="-12"/>
          <w:sz w:val="16"/>
          <w:szCs w:val="16"/>
        </w:rPr>
        <w:t xml:space="preserve">. </w:t>
      </w:r>
      <w:r>
        <w:rPr>
          <w:rFonts w:ascii="Verdana" w:eastAsia="Times New Roman" w:hAnsi="Verdana"/>
          <w:bCs/>
          <w:spacing w:val="-12"/>
          <w:sz w:val="16"/>
          <w:szCs w:val="16"/>
        </w:rPr>
        <w:t>Rol N  11767-2017</w:t>
      </w:r>
      <w:r w:rsidRPr="00BB113F">
        <w:rPr>
          <w:rFonts w:ascii="Verdana" w:eastAsia="Times New Roman" w:hAnsi="Verdana"/>
          <w:bCs/>
          <w:spacing w:val="-12"/>
          <w:sz w:val="16"/>
          <w:szCs w:val="16"/>
        </w:rPr>
        <w:t>. Disponible en:</w:t>
      </w:r>
      <w:r w:rsidRPr="00BB113F">
        <w:rPr>
          <w:rFonts w:ascii="Verdana" w:hAnsi="Verdana"/>
          <w:sz w:val="16"/>
          <w:szCs w:val="16"/>
          <w:lang w:val="es-CO"/>
        </w:rPr>
        <w:t xml:space="preserve"> </w:t>
      </w:r>
      <w:hyperlink r:id="rId8" w:history="1">
        <w:r w:rsidRPr="009E72E5">
          <w:rPr>
            <w:rStyle w:val="Hipervnculo"/>
            <w:rFonts w:ascii="Verdana" w:eastAsia="Times New Roman" w:hAnsi="Verdana"/>
            <w:bCs/>
            <w:spacing w:val="-12"/>
            <w:sz w:val="16"/>
            <w:szCs w:val="16"/>
          </w:rPr>
          <w:t>http://basejurisprudencial.poderjudicial.cl/</w:t>
        </w:r>
      </w:hyperlink>
      <w:r w:rsidRPr="00BB113F">
        <w:rPr>
          <w:rFonts w:ascii="Verdana" w:eastAsia="Times New Roman" w:hAnsi="Verdana"/>
          <w:bCs/>
          <w:spacing w:val="-12"/>
          <w:sz w:val="16"/>
          <w:szCs w:val="16"/>
        </w:rPr>
        <w:t xml:space="preserve"> </w:t>
      </w:r>
      <w:r w:rsidRPr="00BB113F">
        <w:rPr>
          <w:rFonts w:ascii="Verdana" w:hAnsi="Verdana"/>
          <w:sz w:val="16"/>
          <w:szCs w:val="16"/>
          <w:lang w:val="es-CO"/>
        </w:rPr>
        <w:t xml:space="preserve"> </w:t>
      </w:r>
    </w:p>
  </w:footnote>
  <w:footnote w:id="72">
    <w:p w14:paraId="7D2C512B" w14:textId="77777777" w:rsidR="00FE2511" w:rsidRDefault="00FE2511" w:rsidP="00243096">
      <w:pPr>
        <w:pStyle w:val="Textonotapie"/>
        <w:jc w:val="both"/>
      </w:pPr>
      <w:r>
        <w:rPr>
          <w:rStyle w:val="Refdenotaalpie"/>
        </w:rPr>
        <w:footnoteRef/>
      </w:r>
      <w:r>
        <w:t xml:space="preserve"> </w:t>
      </w:r>
      <w:r>
        <w:tab/>
      </w:r>
      <w:r w:rsidRPr="002D6211">
        <w:rPr>
          <w:rFonts w:ascii="Verdana" w:eastAsia="Times New Roman" w:hAnsi="Verdana" w:cs="Times New Roman"/>
          <w:bCs/>
          <w:i/>
          <w:spacing w:val="-12"/>
          <w:sz w:val="16"/>
          <w:szCs w:val="16"/>
        </w:rPr>
        <w:t>Cfr</w:t>
      </w:r>
      <w:r>
        <w:rPr>
          <w:rFonts w:ascii="Verdana" w:eastAsia="Times New Roman" w:hAnsi="Verdana" w:cs="Times New Roman"/>
          <w:bCs/>
          <w:spacing w:val="-12"/>
          <w:sz w:val="16"/>
          <w:szCs w:val="16"/>
        </w:rPr>
        <w:t>. C</w:t>
      </w:r>
      <w:r w:rsidRPr="006B3005">
        <w:rPr>
          <w:rFonts w:ascii="Verdana" w:eastAsia="Times New Roman" w:hAnsi="Verdana" w:cs="Times New Roman"/>
          <w:bCs/>
          <w:spacing w:val="-12"/>
          <w:sz w:val="16"/>
          <w:szCs w:val="16"/>
        </w:rPr>
        <w:t>orte Suprema de Justicia de Chile</w:t>
      </w:r>
      <w:r>
        <w:rPr>
          <w:rFonts w:ascii="Verdana" w:eastAsia="Times New Roman" w:hAnsi="Verdana"/>
          <w:bCs/>
          <w:spacing w:val="-12"/>
          <w:sz w:val="16"/>
          <w:szCs w:val="16"/>
        </w:rPr>
        <w:t xml:space="preserve">. Sala Segunda. Sentencia de 20 de junio de 2016. </w:t>
      </w:r>
      <w:r w:rsidRPr="009861DA">
        <w:rPr>
          <w:rFonts w:ascii="Verdana" w:eastAsia="Times New Roman" w:hAnsi="Verdana"/>
          <w:bCs/>
          <w:spacing w:val="-12"/>
          <w:sz w:val="16"/>
          <w:szCs w:val="16"/>
        </w:rPr>
        <w:t>Rol N  173-2016</w:t>
      </w:r>
      <w:r w:rsidRPr="00A87F14">
        <w:rPr>
          <w:rFonts w:ascii="Verdana" w:eastAsia="Times New Roman" w:hAnsi="Verdana"/>
          <w:bCs/>
          <w:spacing w:val="-12"/>
          <w:sz w:val="16"/>
          <w:szCs w:val="16"/>
        </w:rPr>
        <w:t>. Disponible en:</w:t>
      </w:r>
      <w:r w:rsidRPr="00A87F14">
        <w:rPr>
          <w:rFonts w:ascii="Verdana" w:hAnsi="Verdana"/>
          <w:sz w:val="16"/>
          <w:szCs w:val="16"/>
          <w:lang w:val="es-CO"/>
        </w:rPr>
        <w:t xml:space="preserve"> </w:t>
      </w:r>
      <w:hyperlink r:id="rId9" w:history="1">
        <w:r w:rsidRPr="000B238C">
          <w:rPr>
            <w:rStyle w:val="Hipervnculo"/>
            <w:rFonts w:ascii="Verdana" w:eastAsia="Times New Roman" w:hAnsi="Verdana"/>
            <w:bCs/>
            <w:spacing w:val="-12"/>
            <w:sz w:val="16"/>
            <w:szCs w:val="16"/>
          </w:rPr>
          <w:t>http://basejurisprudencial.poderjudicial.cl/</w:t>
        </w:r>
      </w:hyperlink>
      <w:r>
        <w:rPr>
          <w:rFonts w:ascii="Verdana" w:eastAsia="Times New Roman" w:hAnsi="Verdana"/>
          <w:bCs/>
          <w:spacing w:val="-12"/>
          <w:sz w:val="16"/>
          <w:szCs w:val="16"/>
        </w:rPr>
        <w:t xml:space="preserve"> </w:t>
      </w:r>
      <w:r>
        <w:rPr>
          <w:rFonts w:ascii="Verdana" w:hAnsi="Verdana"/>
          <w:sz w:val="16"/>
          <w:szCs w:val="16"/>
          <w:lang w:val="es-CO"/>
        </w:rPr>
        <w:t xml:space="preserve"> </w:t>
      </w:r>
    </w:p>
  </w:footnote>
  <w:footnote w:id="73">
    <w:p w14:paraId="27BED8C8" w14:textId="70836331" w:rsidR="00FE2511" w:rsidRPr="00A87F14" w:rsidRDefault="00FE2511" w:rsidP="00904FF5">
      <w:pPr>
        <w:pStyle w:val="Textonotapie"/>
        <w:spacing w:before="120" w:after="120"/>
        <w:rPr>
          <w:rFonts w:ascii="Verdana" w:hAnsi="Verdana"/>
          <w:sz w:val="16"/>
          <w:szCs w:val="16"/>
        </w:rPr>
      </w:pPr>
      <w:r w:rsidRPr="00A87F14">
        <w:rPr>
          <w:rStyle w:val="Refdenotaalpie"/>
          <w:rFonts w:ascii="Verdana" w:hAnsi="Verdana"/>
          <w:sz w:val="16"/>
          <w:szCs w:val="16"/>
        </w:rPr>
        <w:footnoteRef/>
      </w:r>
      <w:r w:rsidRPr="00A87F14">
        <w:rPr>
          <w:rFonts w:ascii="Verdana" w:hAnsi="Verdana"/>
          <w:sz w:val="16"/>
          <w:szCs w:val="16"/>
        </w:rPr>
        <w:t xml:space="preserve"> </w:t>
      </w:r>
      <w:r w:rsidRPr="00A87F14">
        <w:rPr>
          <w:rFonts w:ascii="Verdana" w:eastAsia="Times New Roman" w:hAnsi="Verdana" w:cs="Times New Roman"/>
          <w:i/>
          <w:spacing w:val="-12"/>
          <w:sz w:val="16"/>
          <w:szCs w:val="16"/>
        </w:rPr>
        <w:tab/>
      </w:r>
      <w:r w:rsidRPr="00BB113F">
        <w:rPr>
          <w:rFonts w:ascii="Verdana" w:eastAsia="Times New Roman" w:hAnsi="Verdana"/>
          <w:bCs/>
          <w:i/>
          <w:spacing w:val="-12"/>
          <w:sz w:val="16"/>
          <w:szCs w:val="16"/>
        </w:rPr>
        <w:t xml:space="preserve">Cfr. Caso de las Comunidades Afrodescendientes desplazadas de la Cuenca del Río Cacarica (Operación Génesis) Vs. Colombia. </w:t>
      </w:r>
      <w:r w:rsidRPr="0094614E">
        <w:rPr>
          <w:rFonts w:ascii="Verdana" w:eastAsia="Times New Roman" w:hAnsi="Verdana"/>
          <w:bCs/>
          <w:spacing w:val="-12"/>
          <w:sz w:val="16"/>
          <w:szCs w:val="16"/>
        </w:rPr>
        <w:t>Excepciones Preliminares, Fondo, Reparaciones y Costas. Sentencia de 20 de noviembre de 2013. Serie C No. 270</w:t>
      </w:r>
      <w:r>
        <w:rPr>
          <w:rFonts w:ascii="Verdana" w:eastAsia="Times New Roman" w:hAnsi="Verdana"/>
          <w:bCs/>
          <w:spacing w:val="-12"/>
          <w:sz w:val="16"/>
          <w:szCs w:val="16"/>
        </w:rPr>
        <w:t xml:space="preserve">, </w:t>
      </w:r>
      <w:r w:rsidRPr="00BB113F">
        <w:rPr>
          <w:rFonts w:ascii="Verdana" w:eastAsia="Times New Roman" w:hAnsi="Verdana"/>
          <w:bCs/>
          <w:spacing w:val="-12"/>
          <w:sz w:val="16"/>
          <w:szCs w:val="16"/>
        </w:rPr>
        <w:t>párr. 470.</w:t>
      </w:r>
      <w:r>
        <w:rPr>
          <w:rFonts w:ascii="Verdana" w:eastAsia="Times New Roman" w:hAnsi="Verdana"/>
          <w:bCs/>
          <w:spacing w:val="-12"/>
          <w:sz w:val="16"/>
          <w:szCs w:val="16"/>
        </w:rPr>
        <w:t>.</w:t>
      </w:r>
    </w:p>
  </w:footnote>
  <w:footnote w:id="74">
    <w:p w14:paraId="70194A01" w14:textId="03D3FE79" w:rsidR="00FE2511" w:rsidRPr="00A87F14" w:rsidRDefault="00FE2511" w:rsidP="00221603">
      <w:pPr>
        <w:spacing w:before="120" w:after="120" w:line="240" w:lineRule="auto"/>
        <w:jc w:val="both"/>
        <w:rPr>
          <w:rFonts w:ascii="Verdana" w:hAnsi="Verdana"/>
          <w:b/>
          <w:sz w:val="16"/>
          <w:szCs w:val="16"/>
        </w:rPr>
      </w:pPr>
      <w:r w:rsidRPr="00A87F14">
        <w:rPr>
          <w:rStyle w:val="Refdenotaalpie"/>
          <w:rFonts w:ascii="Verdana" w:hAnsi="Verdana"/>
          <w:sz w:val="16"/>
          <w:szCs w:val="16"/>
        </w:rPr>
        <w:footnoteRef/>
      </w:r>
      <w:r w:rsidRPr="00A87F14">
        <w:rPr>
          <w:rFonts w:ascii="Verdana" w:hAnsi="Verdana"/>
          <w:sz w:val="16"/>
          <w:szCs w:val="16"/>
        </w:rPr>
        <w:t xml:space="preserve"> </w:t>
      </w:r>
      <w:r w:rsidRPr="00A87F14">
        <w:rPr>
          <w:rFonts w:ascii="Verdana" w:eastAsia="Times New Roman" w:hAnsi="Verdana" w:cs="Times New Roman"/>
          <w:bCs/>
          <w:spacing w:val="-12"/>
          <w:sz w:val="16"/>
          <w:szCs w:val="16"/>
        </w:rPr>
        <w:tab/>
      </w:r>
      <w:r w:rsidRPr="00A87F14">
        <w:rPr>
          <w:rFonts w:ascii="Verdana" w:eastAsia="Times New Roman" w:hAnsi="Verdana" w:cs="Times New Roman"/>
          <w:i/>
          <w:spacing w:val="-12"/>
          <w:sz w:val="16"/>
          <w:szCs w:val="16"/>
        </w:rPr>
        <w:t>Cfr. Caso Almon</w:t>
      </w:r>
      <w:r>
        <w:rPr>
          <w:rFonts w:ascii="Verdana" w:eastAsia="Times New Roman" w:hAnsi="Verdana" w:cs="Times New Roman"/>
          <w:i/>
          <w:spacing w:val="-12"/>
          <w:sz w:val="16"/>
          <w:szCs w:val="16"/>
        </w:rPr>
        <w:t>acid Arellano y otros Vs. Chile</w:t>
      </w:r>
      <w:r w:rsidRPr="00A87F14">
        <w:rPr>
          <w:rFonts w:ascii="Verdana" w:eastAsia="Times New Roman" w:hAnsi="Verdana" w:cs="Times New Roman"/>
          <w:spacing w:val="-12"/>
          <w:sz w:val="16"/>
          <w:szCs w:val="16"/>
        </w:rPr>
        <w:t>, párr. 161.</w:t>
      </w:r>
    </w:p>
  </w:footnote>
  <w:footnote w:id="75">
    <w:p w14:paraId="15390259" w14:textId="77777777" w:rsidR="00FE2511" w:rsidRPr="00A87F14" w:rsidRDefault="00FE2511" w:rsidP="00221603">
      <w:pPr>
        <w:pStyle w:val="Textonotapie"/>
        <w:spacing w:before="120" w:after="120"/>
        <w:jc w:val="both"/>
        <w:rPr>
          <w:rFonts w:ascii="Verdana" w:hAnsi="Verdana"/>
          <w:sz w:val="16"/>
          <w:szCs w:val="16"/>
        </w:rPr>
      </w:pPr>
      <w:r w:rsidRPr="00A87F14">
        <w:rPr>
          <w:rStyle w:val="Refdenotaalpie"/>
          <w:rFonts w:ascii="Verdana" w:hAnsi="Verdana"/>
          <w:sz w:val="16"/>
          <w:szCs w:val="16"/>
        </w:rPr>
        <w:footnoteRef/>
      </w:r>
      <w:r w:rsidRPr="00A87F14">
        <w:rPr>
          <w:rFonts w:ascii="Verdana" w:hAnsi="Verdana"/>
          <w:sz w:val="16"/>
          <w:szCs w:val="16"/>
          <w:lang w:val="es-CO"/>
        </w:rPr>
        <w:t xml:space="preserve"> </w:t>
      </w:r>
      <w:r w:rsidRPr="00A87F14">
        <w:rPr>
          <w:rFonts w:ascii="Verdana" w:eastAsia="Times New Roman" w:hAnsi="Verdana" w:cs="Times New Roman"/>
          <w:spacing w:val="-12"/>
          <w:sz w:val="16"/>
          <w:szCs w:val="16"/>
        </w:rPr>
        <w:tab/>
      </w:r>
      <w:r w:rsidRPr="00A87F14">
        <w:rPr>
          <w:rFonts w:ascii="Verdana" w:eastAsia="Times New Roman" w:hAnsi="Verdana" w:cs="Times New Roman"/>
          <w:i/>
          <w:spacing w:val="-12"/>
          <w:sz w:val="16"/>
          <w:szCs w:val="16"/>
        </w:rPr>
        <w:t>Cfr. Caso García Lucero y otras Vs. Chile. Excepción Preliminar, Fondo y Reparaciones</w:t>
      </w:r>
      <w:r w:rsidRPr="00A87F14">
        <w:rPr>
          <w:rFonts w:ascii="Verdana" w:eastAsia="Times New Roman" w:hAnsi="Verdana" w:cs="Times New Roman"/>
          <w:spacing w:val="-12"/>
          <w:sz w:val="16"/>
          <w:szCs w:val="16"/>
        </w:rPr>
        <w:t>. Sentencia de 28 de agosto de 2013. Serie C No. 267, párrs. 190 y 192.</w:t>
      </w:r>
      <w:r w:rsidRPr="00A87F14">
        <w:rPr>
          <w:rStyle w:val="Textoennegrita"/>
          <w:rFonts w:ascii="Verdana" w:hAnsi="Verdana"/>
          <w:sz w:val="16"/>
          <w:szCs w:val="16"/>
          <w:lang w:val="es-CO"/>
        </w:rPr>
        <w:t xml:space="preserve"> </w:t>
      </w:r>
    </w:p>
  </w:footnote>
  <w:footnote w:id="76">
    <w:p w14:paraId="124B06C8" w14:textId="77777777" w:rsidR="00FE2511" w:rsidRPr="00A87F14" w:rsidRDefault="00FE2511" w:rsidP="00221603">
      <w:pPr>
        <w:pStyle w:val="Textonotapie"/>
        <w:spacing w:before="120" w:after="120"/>
        <w:jc w:val="both"/>
        <w:rPr>
          <w:rFonts w:ascii="Verdana" w:hAnsi="Verdana"/>
          <w:spacing w:val="-12"/>
          <w:sz w:val="16"/>
          <w:szCs w:val="16"/>
        </w:rPr>
      </w:pPr>
      <w:r w:rsidRPr="00A87F14">
        <w:rPr>
          <w:rStyle w:val="Refdenotaalpie"/>
          <w:rFonts w:ascii="Verdana" w:eastAsia="Calibri" w:hAnsi="Verdana"/>
          <w:spacing w:val="-12"/>
          <w:sz w:val="16"/>
          <w:szCs w:val="16"/>
        </w:rPr>
        <w:footnoteRef/>
      </w:r>
      <w:r w:rsidRPr="00A87F14">
        <w:rPr>
          <w:rFonts w:ascii="Verdana" w:hAnsi="Verdana"/>
          <w:spacing w:val="-12"/>
          <w:sz w:val="16"/>
          <w:szCs w:val="16"/>
        </w:rPr>
        <w:tab/>
        <w:t>El artículo 63.1 de la Convención Americana establece que: “[c]uando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77">
    <w:p w14:paraId="634FE6B8" w14:textId="4C1BB28F" w:rsidR="00FE2511" w:rsidRPr="00A87F14" w:rsidRDefault="00FE2511" w:rsidP="00221603">
      <w:pPr>
        <w:pStyle w:val="Textonotapie"/>
        <w:spacing w:before="120" w:after="120"/>
        <w:jc w:val="both"/>
        <w:rPr>
          <w:rFonts w:ascii="Verdana" w:hAnsi="Verdana"/>
          <w:spacing w:val="-12"/>
          <w:sz w:val="16"/>
          <w:szCs w:val="16"/>
        </w:rPr>
      </w:pPr>
      <w:r w:rsidRPr="00A87F14">
        <w:rPr>
          <w:rStyle w:val="Refdenotaalpie"/>
          <w:rFonts w:ascii="Verdana" w:eastAsia="Calibri" w:hAnsi="Verdana"/>
          <w:spacing w:val="-12"/>
          <w:sz w:val="16"/>
          <w:szCs w:val="16"/>
        </w:rPr>
        <w:footnoteRef/>
      </w:r>
      <w:r w:rsidRPr="00A87F14">
        <w:rPr>
          <w:rFonts w:ascii="Verdana" w:hAnsi="Verdana"/>
          <w:spacing w:val="-12"/>
          <w:sz w:val="16"/>
          <w:szCs w:val="16"/>
        </w:rPr>
        <w:tab/>
        <w:t>Sobre la obligación de reparar y sus alcances, ver</w:t>
      </w:r>
      <w:r w:rsidRPr="00A87F14">
        <w:rPr>
          <w:rFonts w:ascii="Verdana" w:hAnsi="Verdana"/>
          <w:i/>
          <w:spacing w:val="-12"/>
          <w:sz w:val="16"/>
          <w:szCs w:val="16"/>
        </w:rPr>
        <w:t xml:space="preserve"> Caso Velásquez Rodríguez Vs. Hondur</w:t>
      </w:r>
      <w:r w:rsidRPr="00A87F14">
        <w:rPr>
          <w:rFonts w:ascii="Verdana" w:hAnsi="Verdana"/>
          <w:spacing w:val="-12"/>
          <w:sz w:val="16"/>
          <w:szCs w:val="16"/>
        </w:rPr>
        <w:t xml:space="preserve">as. </w:t>
      </w:r>
      <w:r w:rsidRPr="00A87F14">
        <w:rPr>
          <w:rFonts w:ascii="Verdana" w:hAnsi="Verdana"/>
          <w:i/>
          <w:spacing w:val="-12"/>
          <w:sz w:val="16"/>
          <w:szCs w:val="16"/>
        </w:rPr>
        <w:t>Reparaciones y Costas</w:t>
      </w:r>
      <w:r w:rsidRPr="00A87F14">
        <w:rPr>
          <w:rFonts w:ascii="Verdana" w:hAnsi="Verdana"/>
          <w:spacing w:val="-12"/>
          <w:sz w:val="16"/>
          <w:szCs w:val="16"/>
        </w:rPr>
        <w:t xml:space="preserve">. Sentencia de 21 de julio de 1989. Serie C No. 7, párrs. 25 a 27; y </w:t>
      </w:r>
      <w:r w:rsidRPr="008B3F8E">
        <w:rPr>
          <w:rFonts w:ascii="Verdana" w:hAnsi="Verdana"/>
          <w:bCs/>
          <w:i/>
          <w:spacing w:val="-12"/>
          <w:sz w:val="16"/>
          <w:szCs w:val="16"/>
        </w:rPr>
        <w:t>Caso López Soto y otros Vs. Venezuela</w:t>
      </w:r>
      <w:r>
        <w:rPr>
          <w:rFonts w:ascii="Verdana" w:hAnsi="Verdana"/>
          <w:bCs/>
          <w:i/>
          <w:spacing w:val="-12"/>
          <w:sz w:val="16"/>
          <w:szCs w:val="16"/>
        </w:rPr>
        <w:t xml:space="preserve">, </w:t>
      </w:r>
      <w:r w:rsidRPr="00BE27D0">
        <w:rPr>
          <w:rFonts w:ascii="Verdana" w:hAnsi="Verdana"/>
          <w:bCs/>
          <w:spacing w:val="-12"/>
          <w:sz w:val="16"/>
          <w:szCs w:val="16"/>
        </w:rPr>
        <w:t>párr.</w:t>
      </w:r>
      <w:r>
        <w:rPr>
          <w:rFonts w:ascii="Verdana" w:hAnsi="Verdana"/>
          <w:bCs/>
          <w:spacing w:val="-12"/>
          <w:sz w:val="16"/>
          <w:szCs w:val="16"/>
        </w:rPr>
        <w:t xml:space="preserve"> 268.</w:t>
      </w:r>
    </w:p>
  </w:footnote>
  <w:footnote w:id="78">
    <w:p w14:paraId="0B53064D" w14:textId="4F6654BB" w:rsidR="00FE2511" w:rsidRPr="00A87F14" w:rsidRDefault="00FE2511" w:rsidP="00221603">
      <w:pPr>
        <w:pStyle w:val="2Footnotes"/>
        <w:rPr>
          <w:rFonts w:cs="Verdana"/>
          <w:spacing w:val="-12"/>
          <w:szCs w:val="16"/>
          <w:lang w:val="es-CR" w:bidi="en-US"/>
        </w:rPr>
      </w:pPr>
      <w:r w:rsidRPr="00A87F14">
        <w:rPr>
          <w:rStyle w:val="Refdenotaalpie"/>
          <w:rFonts w:eastAsia="Batang"/>
          <w:spacing w:val="-12"/>
          <w:szCs w:val="16"/>
          <w:lang w:val="es-CR"/>
        </w:rPr>
        <w:footnoteRef/>
      </w:r>
      <w:r w:rsidRPr="00A87F14">
        <w:rPr>
          <w:spacing w:val="-12"/>
          <w:szCs w:val="16"/>
          <w:lang w:val="es-CR"/>
        </w:rPr>
        <w:tab/>
      </w:r>
      <w:r w:rsidRPr="00A87F14">
        <w:rPr>
          <w:i/>
          <w:spacing w:val="-12"/>
          <w:szCs w:val="16"/>
          <w:lang w:val="es-CR"/>
        </w:rPr>
        <w:t>Cfr. Caso Ticona Estrada y otros Vs. Bolivia. Fondo, Reparaciones y Costas.</w:t>
      </w:r>
      <w:r w:rsidRPr="00A87F14">
        <w:rPr>
          <w:spacing w:val="-12"/>
          <w:szCs w:val="16"/>
          <w:lang w:val="es-CR"/>
        </w:rPr>
        <w:t xml:space="preserve"> Sentencia de 27 de noviembre de 2008. Serie C No. 191, párr. 110, </w:t>
      </w:r>
      <w:r w:rsidRPr="00A87F14">
        <w:rPr>
          <w:spacing w:val="-12"/>
          <w:szCs w:val="16"/>
          <w:lang w:val="es-CR" w:bidi="en-US"/>
        </w:rPr>
        <w:t xml:space="preserve">y </w:t>
      </w:r>
      <w:r w:rsidRPr="008B3F8E">
        <w:rPr>
          <w:bCs/>
          <w:i/>
          <w:spacing w:val="-12"/>
          <w:szCs w:val="16"/>
        </w:rPr>
        <w:t>Caso López Soto y otros Vs. Venezuela</w:t>
      </w:r>
      <w:r>
        <w:rPr>
          <w:bCs/>
          <w:i/>
          <w:spacing w:val="-12"/>
          <w:szCs w:val="16"/>
        </w:rPr>
        <w:t xml:space="preserve">, </w:t>
      </w:r>
      <w:r w:rsidRPr="00BE27D0">
        <w:rPr>
          <w:bCs/>
          <w:spacing w:val="-12"/>
          <w:szCs w:val="16"/>
        </w:rPr>
        <w:t>párr.</w:t>
      </w:r>
      <w:r>
        <w:rPr>
          <w:bCs/>
          <w:spacing w:val="-12"/>
          <w:szCs w:val="16"/>
        </w:rPr>
        <w:t xml:space="preserve"> 270</w:t>
      </w:r>
      <w:r w:rsidRPr="00A87F14">
        <w:rPr>
          <w:spacing w:val="-12"/>
          <w:szCs w:val="16"/>
          <w:lang w:val="es-CR"/>
        </w:rPr>
        <w:t>.</w:t>
      </w:r>
    </w:p>
  </w:footnote>
  <w:footnote w:id="79">
    <w:p w14:paraId="0B256934" w14:textId="25BBA8FA" w:rsidR="00FE2511" w:rsidRPr="00A87F14" w:rsidRDefault="00FE2511" w:rsidP="00221603">
      <w:pPr>
        <w:pStyle w:val="2Footnotes"/>
        <w:rPr>
          <w:bCs/>
          <w:spacing w:val="-12"/>
          <w:szCs w:val="16"/>
          <w:lang w:val="es-CR" w:bidi="en-US"/>
        </w:rPr>
      </w:pPr>
      <w:r w:rsidRPr="00A87F14">
        <w:rPr>
          <w:rStyle w:val="Refdenotaalpie"/>
          <w:rFonts w:eastAsia="MS Mincho"/>
          <w:spacing w:val="-12"/>
          <w:szCs w:val="16"/>
          <w:lang w:val="es-CR"/>
        </w:rPr>
        <w:footnoteRef/>
      </w:r>
      <w:r w:rsidRPr="00A87F14">
        <w:rPr>
          <w:spacing w:val="-12"/>
          <w:szCs w:val="16"/>
          <w:lang w:val="es-CR"/>
        </w:rPr>
        <w:t xml:space="preserve"> </w:t>
      </w:r>
      <w:r w:rsidRPr="00A87F14">
        <w:rPr>
          <w:spacing w:val="-12"/>
          <w:szCs w:val="16"/>
          <w:lang w:val="es-CR"/>
        </w:rPr>
        <w:tab/>
      </w:r>
      <w:r w:rsidRPr="00A87F14">
        <w:rPr>
          <w:i/>
          <w:spacing w:val="-12"/>
          <w:szCs w:val="16"/>
          <w:lang w:val="es-CR"/>
        </w:rPr>
        <w:t xml:space="preserve">Cfr. </w:t>
      </w:r>
      <w:r w:rsidRPr="00A87F14">
        <w:rPr>
          <w:i/>
          <w:spacing w:val="-12"/>
          <w:szCs w:val="16"/>
          <w:lang w:val="es-CR" w:bidi="en-US"/>
        </w:rPr>
        <w:t xml:space="preserve">Caso Velásquez Rodríguez Vs. Honduras. </w:t>
      </w:r>
      <w:r w:rsidRPr="00A87F14">
        <w:rPr>
          <w:i/>
          <w:spacing w:val="-12"/>
          <w:szCs w:val="16"/>
          <w:lang w:val="es-CR"/>
        </w:rPr>
        <w:t xml:space="preserve">Reparaciones y Costas, </w:t>
      </w:r>
      <w:r w:rsidRPr="00A87F14">
        <w:rPr>
          <w:spacing w:val="-12"/>
          <w:szCs w:val="16"/>
          <w:lang w:val="es-CR" w:bidi="en-US"/>
        </w:rPr>
        <w:t xml:space="preserve">párr. 26, </w:t>
      </w:r>
      <w:r w:rsidRPr="00A87F14">
        <w:rPr>
          <w:bCs/>
          <w:spacing w:val="-12"/>
          <w:szCs w:val="16"/>
          <w:lang w:val="es-CR" w:bidi="en-US"/>
        </w:rPr>
        <w:t>y</w:t>
      </w:r>
      <w:r w:rsidRPr="00A87F14">
        <w:rPr>
          <w:spacing w:val="-12"/>
          <w:szCs w:val="16"/>
          <w:lang w:val="es-CR" w:bidi="en-US"/>
        </w:rPr>
        <w:t xml:space="preserve"> </w:t>
      </w:r>
      <w:r w:rsidRPr="008B3F8E">
        <w:rPr>
          <w:bCs/>
          <w:i/>
          <w:spacing w:val="-12"/>
          <w:szCs w:val="16"/>
        </w:rPr>
        <w:t>Caso López Soto y otros Vs. Venezuela</w:t>
      </w:r>
      <w:r>
        <w:rPr>
          <w:bCs/>
          <w:i/>
          <w:spacing w:val="-12"/>
          <w:szCs w:val="16"/>
        </w:rPr>
        <w:t xml:space="preserve">, </w:t>
      </w:r>
      <w:r w:rsidRPr="00BE27D0">
        <w:rPr>
          <w:bCs/>
          <w:spacing w:val="-12"/>
          <w:szCs w:val="16"/>
        </w:rPr>
        <w:t>párr.</w:t>
      </w:r>
      <w:r w:rsidRPr="00BE27D0">
        <w:rPr>
          <w:bCs/>
          <w:spacing w:val="-12"/>
          <w:szCs w:val="16"/>
          <w:lang w:val="es-CR"/>
        </w:rPr>
        <w:t xml:space="preserve"> </w:t>
      </w:r>
      <w:r>
        <w:rPr>
          <w:bCs/>
          <w:spacing w:val="-12"/>
          <w:szCs w:val="16"/>
          <w:lang w:val="es-CR"/>
        </w:rPr>
        <w:t>269</w:t>
      </w:r>
      <w:r w:rsidRPr="00A87F14">
        <w:rPr>
          <w:spacing w:val="-12"/>
          <w:szCs w:val="16"/>
          <w:lang w:val="es-CR"/>
        </w:rPr>
        <w:t>.</w:t>
      </w:r>
    </w:p>
  </w:footnote>
  <w:footnote w:id="80">
    <w:p w14:paraId="63DBCDC4" w14:textId="75F53413" w:rsidR="00FE2511" w:rsidRDefault="00FE2511" w:rsidP="00221603">
      <w:pPr>
        <w:pStyle w:val="Textonotapie"/>
        <w:spacing w:before="120" w:after="120"/>
        <w:jc w:val="both"/>
      </w:pPr>
      <w:r w:rsidRPr="00BF7C11">
        <w:rPr>
          <w:rStyle w:val="Refdenotaalpie"/>
          <w:rFonts w:ascii="Verdana" w:eastAsia="MS Mincho" w:hAnsi="Verdana" w:cs="Palatino-Italic"/>
          <w:iCs/>
          <w:noProof/>
          <w:spacing w:val="-12"/>
          <w:sz w:val="16"/>
          <w:szCs w:val="16"/>
          <w:u w:color="000000"/>
          <w:bdr w:val="none" w:sz="0" w:space="0" w:color="auto" w:frame="1"/>
        </w:rPr>
        <w:footnoteRef/>
      </w:r>
      <w:r>
        <w:t xml:space="preserve"> </w:t>
      </w:r>
      <w:r w:rsidRPr="005268C7">
        <w:rPr>
          <w:rFonts w:ascii="Verdana" w:hAnsi="Verdana"/>
          <w:spacing w:val="-12"/>
          <w:sz w:val="16"/>
          <w:szCs w:val="16"/>
        </w:rPr>
        <w:tab/>
        <w:t xml:space="preserve">El Estado señaló que, si bien una posible alternativa es el pago de indemnizaciones, debe existir un vínculo causal entre el hecho imputable (la vulneración a un derecho de la Convención) y el daño que se pretende reparar. Así, asumiendo que la Corte pueda definir la obligación del Estado de indemnizar a las víctimas, sería requisito fundamental que la Comisión o los peticionarios hubiesen acreditado con precisión qué daños se relacionan con las violaciones declaradas por este Tribunal, además de su cuantía. Sin embargo, la Comisión no solicitó condenar al Estado al pago de indemnizaciones por eventuales daños materiales e inmateriales </w:t>
      </w:r>
      <w:r>
        <w:rPr>
          <w:rFonts w:ascii="Verdana" w:hAnsi="Verdana"/>
          <w:spacing w:val="-12"/>
          <w:sz w:val="16"/>
          <w:szCs w:val="16"/>
        </w:rPr>
        <w:t xml:space="preserve">por </w:t>
      </w:r>
      <w:r w:rsidRPr="005268C7">
        <w:rPr>
          <w:rFonts w:ascii="Verdana" w:hAnsi="Verdana"/>
          <w:spacing w:val="-12"/>
          <w:sz w:val="16"/>
          <w:szCs w:val="16"/>
        </w:rPr>
        <w:t xml:space="preserve">la denegación de justicia por parte del Estado y el representante tampoco solicitó medidas específicas de reparación pecuniaria; es decir, no aportaron medios probatorios para acreditar la entidad de los daños sufridos. En razón de la inexistencia de acervo probatorio, no es posible para la Corte evaluar los montos concretos de dichos daños en este caso, ni establecer su relación específica con los hechos y las violaciones a los derechos que generaron la responsabilidad internacional del Estado, por lo cual resulta en extremo complejo condenarlo al pago de indemnizaciones. Señaló que así lo resolvió la Corte en el </w:t>
      </w:r>
      <w:r w:rsidRPr="00E676CE">
        <w:rPr>
          <w:rFonts w:ascii="Verdana" w:hAnsi="Verdana"/>
          <w:i/>
          <w:spacing w:val="-12"/>
          <w:sz w:val="16"/>
          <w:szCs w:val="16"/>
        </w:rPr>
        <w:t>caso Almonacid Arerellano vs. Chile</w:t>
      </w:r>
      <w:r w:rsidRPr="005268C7">
        <w:rPr>
          <w:rFonts w:ascii="Verdana" w:hAnsi="Verdana"/>
          <w:spacing w:val="-12"/>
          <w:sz w:val="16"/>
          <w:szCs w:val="16"/>
        </w:rPr>
        <w:t>, en el cual, además</w:t>
      </w:r>
      <w:r>
        <w:rPr>
          <w:rFonts w:ascii="Verdana" w:hAnsi="Verdana"/>
          <w:spacing w:val="-12"/>
          <w:sz w:val="16"/>
          <w:szCs w:val="16"/>
        </w:rPr>
        <w:t xml:space="preserve"> de no conceder indemnizaciones en razón de la ausencia de pruebas, respecto del daño inmaterial </w:t>
      </w:r>
      <w:r w:rsidRPr="005268C7">
        <w:rPr>
          <w:rFonts w:ascii="Verdana" w:hAnsi="Verdana"/>
          <w:spacing w:val="-12"/>
          <w:sz w:val="16"/>
          <w:szCs w:val="16"/>
        </w:rPr>
        <w:t>estableció que –en virtud de las políticas reparatorias del Estado– las víctimas habían recibido diversos montos pecuniarios y que, por tanto, no resultaba necesario ordenar el pago de indemnizaciones por ese concepto. Las políticas reparatorias a las que hizo referencia la Corte en ese caso son las mismas señaladas por el Estado en el presente caso, en virtud de las cuales la mayoría de las víctimas (salvo cuatro) han recibido y, en algunos casos, continúan recibiendo beneficios económicos, desde comienzos de la década de los noventa. Por lo anterior, la sentencia de todos modos constituirá una forma de reparación.</w:t>
      </w:r>
    </w:p>
  </w:footnote>
  <w:footnote w:id="81">
    <w:p w14:paraId="27CA6A09" w14:textId="6B2A6033" w:rsidR="00FE2511" w:rsidRPr="00A87F14" w:rsidRDefault="00FE2511" w:rsidP="00221603">
      <w:pPr>
        <w:pStyle w:val="Textonotapie"/>
        <w:spacing w:before="120" w:after="120"/>
        <w:rPr>
          <w:rFonts w:ascii="Verdana" w:hAnsi="Verdana"/>
          <w:sz w:val="16"/>
          <w:szCs w:val="16"/>
        </w:rPr>
      </w:pPr>
      <w:r w:rsidRPr="00A87F14">
        <w:rPr>
          <w:rStyle w:val="Refdenotaalpie"/>
          <w:rFonts w:ascii="Verdana" w:hAnsi="Verdana"/>
          <w:sz w:val="16"/>
          <w:szCs w:val="16"/>
        </w:rPr>
        <w:footnoteRef/>
      </w:r>
      <w:r w:rsidRPr="00A87F14">
        <w:rPr>
          <w:rFonts w:ascii="Verdana" w:hAnsi="Verdana"/>
          <w:sz w:val="16"/>
          <w:szCs w:val="16"/>
        </w:rPr>
        <w:t xml:space="preserve"> </w:t>
      </w:r>
      <w:r w:rsidRPr="00A87F14">
        <w:rPr>
          <w:rFonts w:ascii="Verdana" w:hAnsi="Verdana"/>
          <w:sz w:val="16"/>
          <w:szCs w:val="16"/>
        </w:rPr>
        <w:tab/>
      </w:r>
      <w:r w:rsidRPr="00A87F14">
        <w:rPr>
          <w:rFonts w:ascii="Verdana" w:hAnsi="Verdana"/>
          <w:i/>
          <w:spacing w:val="-12"/>
          <w:sz w:val="16"/>
          <w:szCs w:val="16"/>
        </w:rPr>
        <w:t>Cfr.</w:t>
      </w:r>
      <w:r w:rsidRPr="00A87F14">
        <w:rPr>
          <w:rFonts w:ascii="Verdana" w:hAnsi="Verdana"/>
          <w:spacing w:val="-12"/>
          <w:sz w:val="16"/>
          <w:szCs w:val="16"/>
        </w:rPr>
        <w:t xml:space="preserve"> </w:t>
      </w:r>
      <w:r w:rsidRPr="00A87F14">
        <w:rPr>
          <w:rFonts w:ascii="Verdana" w:hAnsi="Verdana"/>
          <w:i/>
          <w:spacing w:val="-12"/>
          <w:sz w:val="16"/>
          <w:szCs w:val="16"/>
        </w:rPr>
        <w:t>Caso Acosta y otros vs. Nicaragua</w:t>
      </w:r>
      <w:r w:rsidRPr="00B26AA3">
        <w:rPr>
          <w:rFonts w:ascii="Verdana" w:hAnsi="Verdana"/>
          <w:spacing w:val="-12"/>
          <w:sz w:val="16"/>
          <w:szCs w:val="16"/>
        </w:rPr>
        <w:t xml:space="preserve">. </w:t>
      </w:r>
      <w:r w:rsidRPr="00B26AA3">
        <w:rPr>
          <w:rFonts w:ascii="Verdana" w:hAnsi="Verdana"/>
          <w:i/>
          <w:spacing w:val="-12"/>
          <w:sz w:val="16"/>
          <w:szCs w:val="16"/>
        </w:rPr>
        <w:t>Excepciones Preliminares, Fondo, Reparaciones y Costas.</w:t>
      </w:r>
      <w:r w:rsidRPr="00B26AA3">
        <w:rPr>
          <w:rFonts w:ascii="Verdana" w:hAnsi="Verdana"/>
          <w:spacing w:val="-12"/>
          <w:sz w:val="16"/>
          <w:szCs w:val="16"/>
        </w:rPr>
        <w:t xml:space="preserve"> Sentencia de 25 de marzo de 2017. Serie C No. 334</w:t>
      </w:r>
      <w:r w:rsidRPr="00A87F14">
        <w:rPr>
          <w:rFonts w:ascii="Verdana" w:hAnsi="Verdana"/>
          <w:spacing w:val="-12"/>
          <w:sz w:val="16"/>
          <w:szCs w:val="16"/>
        </w:rPr>
        <w:t>, párr. 216.</w:t>
      </w:r>
    </w:p>
  </w:footnote>
  <w:footnote w:id="82">
    <w:p w14:paraId="50D05CCE" w14:textId="69E8FFE1" w:rsidR="00FE2511" w:rsidRPr="00A87F14" w:rsidRDefault="00FE2511" w:rsidP="00D66B27">
      <w:pPr>
        <w:pStyle w:val="Textonotapie"/>
        <w:spacing w:before="120" w:after="120"/>
        <w:jc w:val="both"/>
        <w:rPr>
          <w:rFonts w:ascii="Verdana" w:hAnsi="Verdana"/>
          <w:sz w:val="16"/>
          <w:szCs w:val="16"/>
        </w:rPr>
      </w:pPr>
      <w:r w:rsidRPr="00A87F14">
        <w:rPr>
          <w:rStyle w:val="Refdenotaalpie"/>
          <w:rFonts w:ascii="Verdana" w:hAnsi="Verdana"/>
          <w:spacing w:val="-12"/>
          <w:sz w:val="16"/>
          <w:szCs w:val="16"/>
        </w:rPr>
        <w:footnoteRef/>
      </w:r>
      <w:r w:rsidRPr="00A87F14">
        <w:rPr>
          <w:rFonts w:ascii="Verdana" w:hAnsi="Verdana"/>
          <w:sz w:val="16"/>
          <w:szCs w:val="16"/>
        </w:rPr>
        <w:t xml:space="preserve"> </w:t>
      </w:r>
      <w:r w:rsidRPr="00A87F14">
        <w:rPr>
          <w:rFonts w:ascii="Verdana" w:hAnsi="Verdana"/>
          <w:sz w:val="16"/>
          <w:szCs w:val="16"/>
        </w:rPr>
        <w:tab/>
      </w:r>
      <w:r w:rsidRPr="00A87F14">
        <w:rPr>
          <w:rFonts w:ascii="Verdana" w:hAnsi="Verdana"/>
          <w:i/>
          <w:spacing w:val="-12"/>
          <w:sz w:val="16"/>
          <w:szCs w:val="16"/>
        </w:rPr>
        <w:t>Cfr</w:t>
      </w:r>
      <w:r w:rsidRPr="0054175B">
        <w:rPr>
          <w:rFonts w:ascii="Verdana" w:hAnsi="Verdana"/>
          <w:i/>
          <w:spacing w:val="-12"/>
          <w:sz w:val="16"/>
          <w:szCs w:val="16"/>
        </w:rPr>
        <w:t>.</w:t>
      </w:r>
      <w:r>
        <w:rPr>
          <w:rFonts w:ascii="Verdana" w:hAnsi="Verdana"/>
          <w:i/>
          <w:spacing w:val="-12"/>
          <w:sz w:val="16"/>
          <w:szCs w:val="16"/>
        </w:rPr>
        <w:t>, mutatis mutandi,</w:t>
      </w:r>
      <w:r w:rsidRPr="0054175B">
        <w:rPr>
          <w:rFonts w:ascii="Verdana" w:hAnsi="Verdana"/>
          <w:i/>
          <w:spacing w:val="-12"/>
          <w:sz w:val="16"/>
          <w:szCs w:val="16"/>
        </w:rPr>
        <w:t xml:space="preserve"> </w:t>
      </w:r>
      <w:r w:rsidRPr="00B60B97">
        <w:rPr>
          <w:rFonts w:ascii="Verdana" w:hAnsi="Verdana"/>
          <w:i/>
          <w:spacing w:val="-12"/>
          <w:sz w:val="16"/>
          <w:szCs w:val="16"/>
        </w:rPr>
        <w:t>Caso Herrera Ulloa Vs. Costa Rica, Caso Palamara Iribarne Vs Chile, Caso Kimel Vs. Argentina, Caso Tristán Donoso Vs. Panamá, Caso Fontevecchia y D’Amico Vs. Argentina,</w:t>
      </w:r>
      <w:r w:rsidRPr="00B60B97">
        <w:rPr>
          <w:b/>
          <w:bCs/>
          <w:i/>
          <w:spacing w:val="-12"/>
          <w:sz w:val="16"/>
          <w:szCs w:val="16"/>
        </w:rPr>
        <w:t xml:space="preserve"> </w:t>
      </w:r>
      <w:r w:rsidRPr="00B60B97">
        <w:rPr>
          <w:rFonts w:ascii="Verdana" w:hAnsi="Verdana"/>
          <w:i/>
          <w:spacing w:val="-12"/>
          <w:sz w:val="16"/>
          <w:szCs w:val="16"/>
        </w:rPr>
        <w:t>Caso Norín Catrimán y otros (Dirigentes, miembros y activista del Pueblo Indígena Mapuche) Vs. Chile, C</w:t>
      </w:r>
      <w:r>
        <w:rPr>
          <w:rFonts w:ascii="Verdana" w:hAnsi="Verdana"/>
          <w:i/>
          <w:spacing w:val="-12"/>
          <w:sz w:val="16"/>
          <w:szCs w:val="16"/>
        </w:rPr>
        <w:t>aso Cantoral Benavides Vs. Perú y</w:t>
      </w:r>
      <w:r w:rsidRPr="00B60B97">
        <w:rPr>
          <w:rFonts w:ascii="Verdana" w:hAnsi="Verdana"/>
          <w:i/>
          <w:spacing w:val="-12"/>
          <w:sz w:val="16"/>
          <w:szCs w:val="16"/>
        </w:rPr>
        <w:t xml:space="preserve"> Caso de Personas Dominicanas y Haitianas.</w:t>
      </w:r>
      <w:r>
        <w:rPr>
          <w:rFonts w:ascii="Verdana" w:hAnsi="Verdana"/>
          <w:i/>
          <w:spacing w:val="-12"/>
          <w:sz w:val="16"/>
          <w:szCs w:val="16"/>
        </w:rPr>
        <w:t xml:space="preserve"> </w:t>
      </w:r>
      <w:r>
        <w:rPr>
          <w:rFonts w:ascii="Verdana" w:hAnsi="Verdana"/>
          <w:spacing w:val="-12"/>
          <w:sz w:val="16"/>
          <w:szCs w:val="16"/>
        </w:rPr>
        <w:t xml:space="preserve">Ver también, </w:t>
      </w:r>
      <w:r>
        <w:rPr>
          <w:rFonts w:ascii="Verdana" w:hAnsi="Verdana"/>
          <w:i/>
          <w:spacing w:val="-12"/>
          <w:sz w:val="16"/>
          <w:szCs w:val="16"/>
        </w:rPr>
        <w:t>mutatis mut</w:t>
      </w:r>
      <w:r w:rsidRPr="00B60B97">
        <w:rPr>
          <w:rFonts w:ascii="Verdana" w:hAnsi="Verdana"/>
          <w:bCs/>
          <w:i/>
          <w:spacing w:val="-12"/>
          <w:sz w:val="16"/>
          <w:szCs w:val="16"/>
        </w:rPr>
        <w:t xml:space="preserve">andi, </w:t>
      </w:r>
      <w:r w:rsidRPr="0054175B">
        <w:rPr>
          <w:rFonts w:ascii="Verdana" w:hAnsi="Verdana"/>
          <w:bCs/>
          <w:i/>
          <w:spacing w:val="-12"/>
          <w:sz w:val="16"/>
          <w:szCs w:val="16"/>
        </w:rPr>
        <w:t xml:space="preserve">caso </w:t>
      </w:r>
      <w:r w:rsidRPr="00B60B97">
        <w:rPr>
          <w:rFonts w:ascii="Verdana" w:hAnsi="Verdana"/>
          <w:bCs/>
          <w:i/>
          <w:spacing w:val="-12"/>
          <w:sz w:val="16"/>
          <w:szCs w:val="16"/>
        </w:rPr>
        <w:t>Caso Artavia Murillo y otros (Fecundación in Vitro) Vs. Costa Rica</w:t>
      </w:r>
      <w:r>
        <w:rPr>
          <w:rFonts w:ascii="Verdana" w:hAnsi="Verdana"/>
          <w:bCs/>
          <w:i/>
          <w:spacing w:val="-12"/>
          <w:sz w:val="16"/>
          <w:szCs w:val="16"/>
        </w:rPr>
        <w:t>.</w:t>
      </w:r>
    </w:p>
  </w:footnote>
  <w:footnote w:id="83">
    <w:p w14:paraId="59E949E2" w14:textId="6D3897E7" w:rsidR="00FE2511" w:rsidRPr="00A87F14" w:rsidRDefault="00FE2511" w:rsidP="00221603">
      <w:pPr>
        <w:pStyle w:val="Textonotapie"/>
        <w:spacing w:before="120" w:after="120"/>
        <w:jc w:val="both"/>
        <w:rPr>
          <w:rFonts w:ascii="Verdana" w:hAnsi="Verdana"/>
          <w:spacing w:val="-12"/>
          <w:sz w:val="16"/>
          <w:szCs w:val="16"/>
        </w:rPr>
      </w:pPr>
      <w:r w:rsidRPr="00A87F14">
        <w:rPr>
          <w:rStyle w:val="Refdenotaalpie"/>
          <w:rFonts w:ascii="Verdana" w:hAnsi="Verdana"/>
          <w:spacing w:val="-12"/>
          <w:sz w:val="16"/>
          <w:szCs w:val="16"/>
        </w:rPr>
        <w:footnoteRef/>
      </w:r>
      <w:r w:rsidRPr="00A87F14">
        <w:rPr>
          <w:rFonts w:ascii="Verdana" w:hAnsi="Verdana"/>
          <w:spacing w:val="-12"/>
          <w:sz w:val="16"/>
          <w:szCs w:val="16"/>
        </w:rPr>
        <w:t xml:space="preserve"> </w:t>
      </w:r>
      <w:r w:rsidRPr="00A87F14">
        <w:rPr>
          <w:rFonts w:ascii="Verdana" w:hAnsi="Verdana"/>
          <w:spacing w:val="-12"/>
          <w:sz w:val="16"/>
          <w:szCs w:val="16"/>
        </w:rPr>
        <w:tab/>
      </w:r>
      <w:r w:rsidRPr="00A87F14">
        <w:rPr>
          <w:rStyle w:val="TextonotapieCar"/>
          <w:rFonts w:ascii="Verdana" w:eastAsia="Batang" w:hAnsi="Verdana"/>
          <w:i/>
          <w:spacing w:val="-12"/>
          <w:sz w:val="16"/>
          <w:szCs w:val="16"/>
          <w:lang w:val="es-ES"/>
        </w:rPr>
        <w:t>Cfr.</w:t>
      </w:r>
      <w:r>
        <w:rPr>
          <w:rStyle w:val="TextonotapieCar"/>
          <w:rFonts w:ascii="Verdana" w:eastAsia="Batang" w:hAnsi="Verdana"/>
          <w:i/>
          <w:spacing w:val="-12"/>
          <w:sz w:val="16"/>
          <w:szCs w:val="16"/>
          <w:lang w:val="es-ES"/>
        </w:rPr>
        <w:t xml:space="preserve">, </w:t>
      </w:r>
      <w:r w:rsidRPr="00A87F14">
        <w:rPr>
          <w:rFonts w:ascii="Verdana" w:hAnsi="Verdana"/>
          <w:i/>
          <w:spacing w:val="-12"/>
          <w:sz w:val="16"/>
          <w:szCs w:val="16"/>
        </w:rPr>
        <w:t>mutatis mutandi,</w:t>
      </w:r>
      <w:r w:rsidRPr="00A87F14">
        <w:rPr>
          <w:rFonts w:ascii="Verdana" w:hAnsi="Verdana"/>
          <w:spacing w:val="-12"/>
          <w:sz w:val="16"/>
          <w:szCs w:val="16"/>
        </w:rPr>
        <w:t xml:space="preserve"> </w:t>
      </w:r>
      <w:r w:rsidRPr="00A87F14">
        <w:rPr>
          <w:rFonts w:ascii="Verdana" w:hAnsi="Verdana"/>
          <w:i/>
          <w:spacing w:val="-12"/>
          <w:sz w:val="16"/>
          <w:szCs w:val="16"/>
        </w:rPr>
        <w:t>Caso Acosta y otros vs. Nicaragua</w:t>
      </w:r>
      <w:r w:rsidRPr="00A87F14">
        <w:rPr>
          <w:rFonts w:ascii="Verdana" w:hAnsi="Verdana"/>
          <w:spacing w:val="-12"/>
          <w:sz w:val="16"/>
          <w:szCs w:val="16"/>
        </w:rPr>
        <w:t>, párr. 216.</w:t>
      </w:r>
    </w:p>
  </w:footnote>
  <w:footnote w:id="84">
    <w:p w14:paraId="778DBE6A" w14:textId="3F7FBD92" w:rsidR="00FE2511" w:rsidRPr="005323C8" w:rsidRDefault="00FE2511" w:rsidP="00221603">
      <w:pPr>
        <w:pStyle w:val="Textonotapie"/>
        <w:tabs>
          <w:tab w:val="left" w:pos="709"/>
        </w:tabs>
        <w:spacing w:before="120" w:after="120"/>
        <w:jc w:val="both"/>
        <w:rPr>
          <w:szCs w:val="16"/>
        </w:rPr>
      </w:pPr>
      <w:r w:rsidRPr="000C0060">
        <w:rPr>
          <w:rStyle w:val="Refdenotaalpie"/>
          <w:rFonts w:ascii="Verdana" w:hAnsi="Verdana"/>
          <w:sz w:val="16"/>
          <w:szCs w:val="16"/>
        </w:rPr>
        <w:footnoteRef/>
      </w:r>
      <w:r w:rsidRPr="005323C8">
        <w:rPr>
          <w:szCs w:val="16"/>
        </w:rPr>
        <w:t xml:space="preserve"> </w:t>
      </w:r>
      <w:r w:rsidRPr="000C0060">
        <w:rPr>
          <w:rFonts w:ascii="Verdana" w:hAnsi="Verdana"/>
          <w:spacing w:val="-12"/>
          <w:sz w:val="16"/>
          <w:szCs w:val="16"/>
          <w:lang w:val="es-ES"/>
        </w:rPr>
        <w:tab/>
      </w:r>
      <w:r w:rsidRPr="000C0060">
        <w:rPr>
          <w:rFonts w:ascii="Verdana" w:hAnsi="Verdana"/>
          <w:i/>
          <w:spacing w:val="-12"/>
          <w:sz w:val="16"/>
          <w:szCs w:val="16"/>
          <w:lang w:val="es-ES"/>
        </w:rPr>
        <w:t>Cfr. Caso Masacres de Río Negro Vs. Guatemala. Excepción Preliminar, Fondo, Reparaciones y Costas</w:t>
      </w:r>
      <w:r w:rsidRPr="000C0060">
        <w:rPr>
          <w:rFonts w:ascii="Verdana" w:hAnsi="Verdana"/>
          <w:spacing w:val="-12"/>
          <w:sz w:val="16"/>
          <w:szCs w:val="16"/>
          <w:lang w:val="es-ES"/>
        </w:rPr>
        <w:t xml:space="preserve">. Sentencia de 4 de septiembre de 2012. Serie C No. 250, </w:t>
      </w:r>
      <w:r>
        <w:rPr>
          <w:rFonts w:ascii="Verdana" w:hAnsi="Verdana"/>
          <w:spacing w:val="-12"/>
          <w:sz w:val="16"/>
          <w:szCs w:val="16"/>
          <w:lang w:val="es-ES"/>
        </w:rPr>
        <w:t xml:space="preserve">párr. 25; y </w:t>
      </w:r>
      <w:r w:rsidRPr="000C0060">
        <w:rPr>
          <w:rFonts w:ascii="Verdana" w:hAnsi="Verdana"/>
          <w:i/>
          <w:spacing w:val="-12"/>
          <w:sz w:val="16"/>
          <w:szCs w:val="16"/>
          <w:lang w:val="es-ES"/>
        </w:rPr>
        <w:t>Caso Ruano Torres y otros Vs. El Salvador. Fondo, Reparaciones y Costas</w:t>
      </w:r>
      <w:r w:rsidRPr="000C0060">
        <w:rPr>
          <w:rFonts w:ascii="Verdana" w:hAnsi="Verdana"/>
          <w:spacing w:val="-12"/>
          <w:sz w:val="16"/>
          <w:szCs w:val="16"/>
          <w:lang w:val="es-ES"/>
        </w:rPr>
        <w:t>. Sentencia de 5 de octubre de 2015. Serie C No. 303</w:t>
      </w:r>
      <w:r>
        <w:rPr>
          <w:rFonts w:ascii="Verdana" w:hAnsi="Verdana"/>
          <w:spacing w:val="-12"/>
          <w:sz w:val="16"/>
          <w:szCs w:val="16"/>
          <w:lang w:val="es-ES"/>
        </w:rPr>
        <w:t>, párr. 24.</w:t>
      </w:r>
    </w:p>
  </w:footnote>
  <w:footnote w:id="85">
    <w:p w14:paraId="1F10E1C7" w14:textId="77777777" w:rsidR="00FE2511" w:rsidRPr="00775F10" w:rsidRDefault="00FE2511" w:rsidP="002B38DC">
      <w:pPr>
        <w:pStyle w:val="Textonotapie"/>
        <w:spacing w:before="120" w:after="120"/>
        <w:jc w:val="both"/>
        <w:rPr>
          <w:szCs w:val="16"/>
        </w:rPr>
      </w:pPr>
      <w:r w:rsidRPr="00775F10">
        <w:rPr>
          <w:rStyle w:val="Refdenotaalpie"/>
          <w:rFonts w:ascii="Verdana" w:hAnsi="Verdana"/>
          <w:sz w:val="16"/>
          <w:szCs w:val="16"/>
        </w:rPr>
        <w:footnoteRef/>
      </w:r>
      <w:r w:rsidRPr="007E6173">
        <w:rPr>
          <w:i/>
          <w:szCs w:val="16"/>
        </w:rPr>
        <w:t xml:space="preserve"> </w:t>
      </w:r>
      <w:r w:rsidRPr="00775F10">
        <w:rPr>
          <w:rFonts w:ascii="Verdana" w:hAnsi="Verdana"/>
          <w:i/>
          <w:color w:val="000000"/>
          <w:spacing w:val="-12"/>
          <w:sz w:val="16"/>
          <w:szCs w:val="16"/>
        </w:rPr>
        <w:tab/>
        <w:t xml:space="preserve">Cfr. Caso Las Palmeras Vs. Colombia. Fondo. </w:t>
      </w:r>
      <w:r w:rsidRPr="00775F10">
        <w:rPr>
          <w:rFonts w:ascii="Verdana" w:hAnsi="Verdana"/>
          <w:color w:val="000000"/>
          <w:spacing w:val="-12"/>
          <w:sz w:val="16"/>
          <w:szCs w:val="16"/>
        </w:rPr>
        <w:t>Sentencia de 6 de diciembre de 2001. Serie C No. 90., párr. 33,</w:t>
      </w:r>
      <w:r w:rsidRPr="00775F10">
        <w:rPr>
          <w:rFonts w:ascii="Verdana" w:hAnsi="Verdana"/>
          <w:i/>
          <w:color w:val="000000"/>
          <w:spacing w:val="-12"/>
          <w:sz w:val="16"/>
          <w:szCs w:val="16"/>
        </w:rPr>
        <w:t xml:space="preserve"> y Caso Andrade Salmón Vs. Bolivia. Fondo, Reparaciones y Costas. </w:t>
      </w:r>
      <w:r w:rsidRPr="00775F10">
        <w:rPr>
          <w:rFonts w:ascii="Verdana" w:hAnsi="Verdana"/>
          <w:color w:val="000000"/>
          <w:spacing w:val="-12"/>
          <w:sz w:val="16"/>
          <w:szCs w:val="16"/>
        </w:rPr>
        <w:t>Sentencia de 1 de diciembre de 2016. Serie C No. 330, párr. 92.</w:t>
      </w:r>
    </w:p>
  </w:footnote>
  <w:footnote w:id="86">
    <w:p w14:paraId="65B26216" w14:textId="34D66C61" w:rsidR="00FE2511" w:rsidRPr="00775F10" w:rsidRDefault="00FE2511" w:rsidP="00221603">
      <w:pPr>
        <w:pStyle w:val="Textonotapie"/>
        <w:spacing w:before="120" w:after="120"/>
        <w:rPr>
          <w:b/>
          <w:szCs w:val="16"/>
        </w:rPr>
      </w:pPr>
      <w:r w:rsidRPr="00775F10">
        <w:rPr>
          <w:rStyle w:val="Refdenotaalpie"/>
          <w:rFonts w:ascii="Verdana" w:hAnsi="Verdana"/>
          <w:sz w:val="16"/>
          <w:szCs w:val="16"/>
        </w:rPr>
        <w:footnoteRef/>
      </w:r>
      <w:r w:rsidRPr="00BD65D3">
        <w:rPr>
          <w:szCs w:val="16"/>
        </w:rPr>
        <w:t xml:space="preserve"> </w:t>
      </w:r>
      <w:r w:rsidRPr="00775F10">
        <w:rPr>
          <w:rFonts w:ascii="Verdana" w:hAnsi="Verdana"/>
          <w:i/>
          <w:color w:val="000000"/>
          <w:spacing w:val="-12"/>
          <w:sz w:val="16"/>
          <w:szCs w:val="16"/>
        </w:rPr>
        <w:tab/>
        <w:t xml:space="preserve">Cfr. Caso Duque Vs. Colombia, </w:t>
      </w:r>
      <w:r w:rsidRPr="00775F10">
        <w:rPr>
          <w:rFonts w:ascii="Verdana" w:hAnsi="Verdana"/>
          <w:color w:val="000000"/>
          <w:spacing w:val="-12"/>
          <w:sz w:val="16"/>
          <w:szCs w:val="16"/>
        </w:rPr>
        <w:t>párr. 128.</w:t>
      </w:r>
    </w:p>
  </w:footnote>
  <w:footnote w:id="87">
    <w:p w14:paraId="3C64EDAC" w14:textId="2B5F2BBE" w:rsidR="00FE2511" w:rsidRPr="00A87F14" w:rsidRDefault="00FE2511" w:rsidP="00221603">
      <w:pPr>
        <w:pStyle w:val="Textonotapie"/>
        <w:spacing w:before="120" w:after="120"/>
        <w:rPr>
          <w:rFonts w:ascii="Verdana" w:hAnsi="Verdana"/>
          <w:sz w:val="16"/>
          <w:szCs w:val="16"/>
        </w:rPr>
      </w:pPr>
      <w:r w:rsidRPr="00A87F14">
        <w:rPr>
          <w:rStyle w:val="Refdenotaalpie"/>
          <w:rFonts w:ascii="Verdana" w:hAnsi="Verdana"/>
          <w:sz w:val="16"/>
          <w:szCs w:val="16"/>
        </w:rPr>
        <w:footnoteRef/>
      </w:r>
      <w:r w:rsidRPr="00A87F14">
        <w:rPr>
          <w:rFonts w:ascii="Verdana" w:hAnsi="Verdana"/>
          <w:sz w:val="16"/>
          <w:szCs w:val="16"/>
        </w:rPr>
        <w:t xml:space="preserve"> </w:t>
      </w:r>
      <w:r w:rsidRPr="00A87F14">
        <w:rPr>
          <w:rFonts w:ascii="Verdana" w:hAnsi="Verdana"/>
          <w:sz w:val="16"/>
          <w:szCs w:val="16"/>
        </w:rPr>
        <w:tab/>
      </w:r>
      <w:r w:rsidRPr="00A87F14">
        <w:rPr>
          <w:rStyle w:val="TextonotapieCar"/>
          <w:rFonts w:ascii="Verdana" w:eastAsia="Batang" w:hAnsi="Verdana"/>
          <w:i/>
          <w:spacing w:val="-12"/>
          <w:sz w:val="16"/>
          <w:szCs w:val="16"/>
          <w:lang w:val="es-ES"/>
        </w:rPr>
        <w:t>Cfr., mutatis mutandi,</w:t>
      </w:r>
      <w:r w:rsidRPr="00A87F14">
        <w:rPr>
          <w:rStyle w:val="TextonotapieCar"/>
          <w:rFonts w:ascii="Verdana" w:eastAsia="Batang" w:hAnsi="Verdana"/>
          <w:spacing w:val="-12"/>
          <w:sz w:val="16"/>
          <w:szCs w:val="16"/>
          <w:lang w:val="es-ES"/>
        </w:rPr>
        <w:t xml:space="preserve"> </w:t>
      </w:r>
      <w:r w:rsidRPr="00A87F14">
        <w:rPr>
          <w:rFonts w:ascii="Verdana" w:hAnsi="Verdana"/>
          <w:i/>
          <w:spacing w:val="-12"/>
          <w:sz w:val="16"/>
          <w:szCs w:val="16"/>
          <w:lang w:val="es-ES"/>
        </w:rPr>
        <w:t xml:space="preserve">Caso </w:t>
      </w:r>
      <w:r w:rsidRPr="00A87F14">
        <w:rPr>
          <w:rFonts w:ascii="Verdana" w:hAnsi="Verdana"/>
          <w:i/>
          <w:color w:val="000000"/>
          <w:spacing w:val="-12"/>
          <w:sz w:val="16"/>
          <w:szCs w:val="16"/>
        </w:rPr>
        <w:t>San Miguel Sosa y otras Vs. Venezuela</w:t>
      </w:r>
      <w:r w:rsidRPr="00A87F14">
        <w:rPr>
          <w:rFonts w:ascii="Verdana" w:hAnsi="Verdana"/>
          <w:color w:val="000000"/>
          <w:spacing w:val="-12"/>
          <w:sz w:val="16"/>
          <w:szCs w:val="16"/>
        </w:rPr>
        <w:t>, párr. 237.</w:t>
      </w:r>
    </w:p>
  </w:footnote>
  <w:footnote w:id="88">
    <w:p w14:paraId="3D9616DF" w14:textId="7B041232" w:rsidR="00FE2511" w:rsidRDefault="00FE2511" w:rsidP="00B44168">
      <w:pPr>
        <w:pStyle w:val="Textonotapie"/>
        <w:spacing w:before="120" w:after="120"/>
        <w:jc w:val="both"/>
      </w:pPr>
      <w:r w:rsidRPr="002A25A3">
        <w:rPr>
          <w:rStyle w:val="Refdenotaalpie"/>
          <w:rFonts w:ascii="Verdana" w:hAnsi="Verdana"/>
          <w:sz w:val="16"/>
          <w:szCs w:val="16"/>
        </w:rPr>
        <w:footnoteRef/>
      </w:r>
      <w:r>
        <w:t xml:space="preserve"> </w:t>
      </w:r>
      <w:r w:rsidRPr="002A25A3">
        <w:rPr>
          <w:rFonts w:ascii="Verdana" w:hAnsi="Verdana"/>
          <w:color w:val="000000"/>
          <w:spacing w:val="-12"/>
          <w:sz w:val="16"/>
          <w:szCs w:val="16"/>
        </w:rPr>
        <w:tab/>
      </w:r>
      <w:r>
        <w:rPr>
          <w:rFonts w:ascii="Verdana" w:hAnsi="Verdana"/>
          <w:color w:val="000000"/>
          <w:spacing w:val="-12"/>
          <w:sz w:val="16"/>
          <w:szCs w:val="16"/>
        </w:rPr>
        <w:t xml:space="preserve">Por ejemplo, ver </w:t>
      </w:r>
      <w:r w:rsidRPr="002A25A3">
        <w:rPr>
          <w:rFonts w:ascii="Verdana" w:hAnsi="Verdana"/>
          <w:color w:val="000000"/>
          <w:spacing w:val="-12"/>
          <w:sz w:val="16"/>
          <w:szCs w:val="16"/>
        </w:rPr>
        <w:t>sentencias</w:t>
      </w:r>
      <w:r>
        <w:rPr>
          <w:rFonts w:ascii="Verdana" w:hAnsi="Verdana"/>
          <w:color w:val="000000"/>
          <w:spacing w:val="-12"/>
          <w:sz w:val="16"/>
          <w:szCs w:val="16"/>
        </w:rPr>
        <w:t xml:space="preserve"> dictadas entre los años 2007</w:t>
      </w:r>
      <w:r w:rsidRPr="002A25A3">
        <w:rPr>
          <w:rFonts w:ascii="Verdana" w:hAnsi="Verdana"/>
          <w:color w:val="000000"/>
          <w:spacing w:val="-12"/>
          <w:sz w:val="16"/>
          <w:szCs w:val="16"/>
        </w:rPr>
        <w:t xml:space="preserve"> y 2017 </w:t>
      </w:r>
      <w:r>
        <w:rPr>
          <w:rFonts w:ascii="Verdana" w:hAnsi="Verdana"/>
          <w:color w:val="000000"/>
          <w:spacing w:val="-12"/>
          <w:sz w:val="16"/>
          <w:szCs w:val="16"/>
        </w:rPr>
        <w:t xml:space="preserve">(Roles </w:t>
      </w:r>
      <w:r w:rsidRPr="002A25A3">
        <w:rPr>
          <w:rFonts w:ascii="Verdana" w:hAnsi="Verdana"/>
          <w:color w:val="000000"/>
          <w:spacing w:val="-12"/>
          <w:sz w:val="16"/>
          <w:szCs w:val="16"/>
        </w:rPr>
        <w:t xml:space="preserve">N° </w:t>
      </w:r>
      <w:r w:rsidRPr="00EA79C9">
        <w:rPr>
          <w:rFonts w:ascii="Verdana" w:hAnsi="Verdana"/>
          <w:color w:val="000000"/>
          <w:spacing w:val="-12"/>
          <w:sz w:val="16"/>
          <w:szCs w:val="16"/>
        </w:rPr>
        <w:t>4723 – 2007, 4691 – 2007, 695 – 2008, 5847 – 2008, 5233 – 2008, 6 – 2009, 6601 – 2011, 737 – 2011, 3573 – 2012, 3841 – 2012, 2918 – 2013, 1424 – 2013, 4300 – 2014, 4240 – 2014, 22645 – 2014, 1665 – 2015, 3133 – 2015, 24290 – 2016, 34057 – 2016, 11767 – 2017, 16768 – 2017</w:t>
      </w:r>
      <w:r>
        <w:rPr>
          <w:rFonts w:ascii="Verdana" w:hAnsi="Verdana"/>
          <w:color w:val="000000"/>
          <w:spacing w:val="-12"/>
          <w:sz w:val="16"/>
          <w:szCs w:val="16"/>
        </w:rPr>
        <w:t xml:space="preserve">). </w:t>
      </w:r>
      <w:r w:rsidRPr="00EA79C9">
        <w:rPr>
          <w:rFonts w:ascii="Verdana" w:hAnsi="Verdana"/>
          <w:i/>
          <w:color w:val="000000"/>
          <w:spacing w:val="-12"/>
          <w:sz w:val="16"/>
          <w:szCs w:val="16"/>
        </w:rPr>
        <w:t>Cfr.</w:t>
      </w:r>
      <w:r>
        <w:rPr>
          <w:rFonts w:ascii="Verdana" w:hAnsi="Verdana"/>
          <w:color w:val="000000"/>
          <w:spacing w:val="-12"/>
          <w:sz w:val="16"/>
          <w:szCs w:val="16"/>
        </w:rPr>
        <w:t xml:space="preserve"> s</w:t>
      </w:r>
      <w:r w:rsidRPr="002A25A3">
        <w:rPr>
          <w:rFonts w:ascii="Verdana" w:hAnsi="Verdana"/>
          <w:color w:val="000000"/>
          <w:spacing w:val="-12"/>
          <w:sz w:val="16"/>
          <w:szCs w:val="16"/>
        </w:rPr>
        <w:t>entencias cit</w:t>
      </w:r>
      <w:r>
        <w:rPr>
          <w:rFonts w:ascii="Verdana" w:hAnsi="Verdana"/>
          <w:color w:val="000000"/>
          <w:spacing w:val="-12"/>
          <w:sz w:val="16"/>
          <w:szCs w:val="16"/>
        </w:rPr>
        <w:t>adas en el anexo 3 al e</w:t>
      </w:r>
      <w:r w:rsidRPr="002A25A3">
        <w:rPr>
          <w:rFonts w:ascii="Verdana" w:hAnsi="Verdana"/>
          <w:color w:val="000000"/>
          <w:spacing w:val="-12"/>
          <w:sz w:val="16"/>
          <w:szCs w:val="16"/>
        </w:rPr>
        <w:t xml:space="preserve">scrito de </w:t>
      </w:r>
      <w:r>
        <w:rPr>
          <w:rFonts w:ascii="Verdana" w:hAnsi="Verdana"/>
          <w:color w:val="000000"/>
          <w:spacing w:val="-12"/>
          <w:sz w:val="16"/>
          <w:szCs w:val="16"/>
        </w:rPr>
        <w:t>c</w:t>
      </w:r>
      <w:r w:rsidRPr="002A25A3">
        <w:rPr>
          <w:rFonts w:ascii="Verdana" w:hAnsi="Verdana"/>
          <w:color w:val="000000"/>
          <w:spacing w:val="-12"/>
          <w:sz w:val="16"/>
          <w:szCs w:val="16"/>
        </w:rPr>
        <w:t>ontestación</w:t>
      </w:r>
      <w:r>
        <w:rPr>
          <w:rFonts w:ascii="Verdana" w:hAnsi="Verdana"/>
          <w:color w:val="000000"/>
          <w:spacing w:val="-12"/>
          <w:sz w:val="16"/>
          <w:szCs w:val="16"/>
        </w:rPr>
        <w:t xml:space="preserve"> del Estado</w:t>
      </w:r>
      <w:r w:rsidRPr="002A25A3">
        <w:rPr>
          <w:rFonts w:ascii="Verdana" w:hAnsi="Verdana"/>
          <w:color w:val="000000"/>
          <w:spacing w:val="-12"/>
          <w:sz w:val="16"/>
          <w:szCs w:val="16"/>
        </w:rPr>
        <w:t xml:space="preserve">, </w:t>
      </w:r>
      <w:r>
        <w:rPr>
          <w:rFonts w:ascii="Verdana" w:hAnsi="Verdana"/>
          <w:color w:val="000000"/>
          <w:spacing w:val="-12"/>
          <w:sz w:val="16"/>
          <w:szCs w:val="16"/>
        </w:rPr>
        <w:t>o</w:t>
      </w:r>
      <w:r w:rsidRPr="002A25A3">
        <w:rPr>
          <w:rFonts w:ascii="Verdana" w:hAnsi="Verdana"/>
          <w:color w:val="000000"/>
          <w:spacing w:val="-12"/>
          <w:sz w:val="16"/>
          <w:szCs w:val="16"/>
        </w:rPr>
        <w:t xml:space="preserve">ficio Nº 048 2018 </w:t>
      </w:r>
      <w:r>
        <w:rPr>
          <w:rFonts w:ascii="Verdana" w:hAnsi="Verdana"/>
          <w:color w:val="000000"/>
          <w:spacing w:val="-12"/>
          <w:sz w:val="16"/>
          <w:szCs w:val="16"/>
        </w:rPr>
        <w:t xml:space="preserve">de </w:t>
      </w:r>
      <w:r w:rsidRPr="002A25A3">
        <w:rPr>
          <w:rFonts w:ascii="Verdana" w:hAnsi="Verdana"/>
          <w:color w:val="000000"/>
          <w:spacing w:val="-12"/>
          <w:sz w:val="16"/>
          <w:szCs w:val="16"/>
        </w:rPr>
        <w:t>30 de enero de 2018</w:t>
      </w:r>
      <w:r>
        <w:rPr>
          <w:rFonts w:ascii="Verdana" w:hAnsi="Verdana"/>
          <w:color w:val="000000"/>
          <w:spacing w:val="-12"/>
          <w:sz w:val="16"/>
          <w:szCs w:val="16"/>
        </w:rPr>
        <w:t xml:space="preserve"> dirigido por</w:t>
      </w:r>
      <w:r w:rsidRPr="002A25A3">
        <w:rPr>
          <w:rFonts w:ascii="Verdana" w:hAnsi="Verdana"/>
          <w:color w:val="000000"/>
          <w:spacing w:val="-12"/>
          <w:sz w:val="16"/>
          <w:szCs w:val="16"/>
        </w:rPr>
        <w:t xml:space="preserve"> el Secretario de la Corte Suprema al Director de Derechos Humanos</w:t>
      </w:r>
      <w:r>
        <w:rPr>
          <w:rFonts w:ascii="Verdana" w:hAnsi="Verdana"/>
          <w:color w:val="000000"/>
          <w:spacing w:val="-12"/>
          <w:sz w:val="16"/>
          <w:szCs w:val="16"/>
        </w:rPr>
        <w:t xml:space="preserve"> del</w:t>
      </w:r>
      <w:r w:rsidRPr="002A25A3">
        <w:rPr>
          <w:rFonts w:ascii="Verdana" w:hAnsi="Verdana"/>
          <w:color w:val="000000"/>
          <w:spacing w:val="-12"/>
          <w:sz w:val="16"/>
          <w:szCs w:val="16"/>
        </w:rPr>
        <w:t xml:space="preserve"> Mini</w:t>
      </w:r>
      <w:r>
        <w:rPr>
          <w:rFonts w:ascii="Verdana" w:hAnsi="Verdana"/>
          <w:color w:val="000000"/>
          <w:spacing w:val="-12"/>
          <w:sz w:val="16"/>
          <w:szCs w:val="16"/>
        </w:rPr>
        <w:t>sterio de Relaciones Exteriores</w:t>
      </w:r>
      <w:r w:rsidRPr="002A25A3">
        <w:rPr>
          <w:rFonts w:ascii="Verdana" w:hAnsi="Verdana"/>
          <w:color w:val="000000"/>
          <w:spacing w:val="-12"/>
          <w:sz w:val="16"/>
          <w:szCs w:val="16"/>
        </w:rPr>
        <w:t xml:space="preserve"> (exp. prueba, </w:t>
      </w:r>
      <w:r>
        <w:rPr>
          <w:rFonts w:ascii="Verdana" w:hAnsi="Verdana"/>
          <w:color w:val="000000"/>
          <w:spacing w:val="-12"/>
          <w:sz w:val="16"/>
          <w:szCs w:val="16"/>
        </w:rPr>
        <w:t>ff.</w:t>
      </w:r>
      <w:r w:rsidRPr="002A25A3">
        <w:rPr>
          <w:rFonts w:ascii="Verdana" w:hAnsi="Verdana"/>
          <w:color w:val="000000"/>
          <w:spacing w:val="-12"/>
          <w:sz w:val="16"/>
          <w:szCs w:val="16"/>
        </w:rPr>
        <w:t xml:space="preserve"> 2697 a 2702). Asimismo</w:t>
      </w:r>
      <w:r>
        <w:rPr>
          <w:rFonts w:ascii="Verdana" w:hAnsi="Verdana"/>
          <w:color w:val="000000"/>
          <w:spacing w:val="-12"/>
          <w:sz w:val="16"/>
          <w:szCs w:val="16"/>
        </w:rPr>
        <w:t xml:space="preserve">, ver </w:t>
      </w:r>
      <w:r w:rsidRPr="002A25A3">
        <w:rPr>
          <w:rFonts w:ascii="Verdana" w:hAnsi="Verdana"/>
          <w:color w:val="000000"/>
          <w:spacing w:val="-12"/>
          <w:sz w:val="16"/>
          <w:szCs w:val="16"/>
        </w:rPr>
        <w:t>otras sentencias</w:t>
      </w:r>
      <w:r>
        <w:rPr>
          <w:rFonts w:ascii="Verdana" w:hAnsi="Verdana"/>
          <w:color w:val="000000"/>
          <w:spacing w:val="-12"/>
          <w:sz w:val="16"/>
          <w:szCs w:val="16"/>
        </w:rPr>
        <w:t xml:space="preserve"> (</w:t>
      </w:r>
      <w:r w:rsidRPr="002A25A3">
        <w:rPr>
          <w:rFonts w:ascii="Verdana" w:hAnsi="Verdana"/>
          <w:color w:val="000000"/>
          <w:spacing w:val="-12"/>
          <w:sz w:val="16"/>
          <w:szCs w:val="16"/>
        </w:rPr>
        <w:t xml:space="preserve">Rol 2080-2008, Rol N° 62032-2016, Rol N° </w:t>
      </w:r>
      <w:r>
        <w:rPr>
          <w:rFonts w:ascii="Verdana" w:hAnsi="Verdana"/>
          <w:color w:val="000000"/>
          <w:spacing w:val="-12"/>
          <w:sz w:val="16"/>
          <w:szCs w:val="16"/>
        </w:rPr>
        <w:t>28641-2016 y Rol N° 28637-2016)</w:t>
      </w:r>
      <w:r w:rsidRPr="002A25A3">
        <w:rPr>
          <w:rFonts w:ascii="Verdana" w:hAnsi="Verdana"/>
          <w:color w:val="000000"/>
          <w:spacing w:val="-12"/>
          <w:sz w:val="16"/>
          <w:szCs w:val="16"/>
        </w:rPr>
        <w:t xml:space="preserve"> citadas por el representante de las víctimas en el trámite</w:t>
      </w:r>
      <w:r>
        <w:rPr>
          <w:rFonts w:ascii="Verdana" w:hAnsi="Verdana"/>
          <w:color w:val="000000"/>
          <w:spacing w:val="-12"/>
          <w:sz w:val="16"/>
          <w:szCs w:val="16"/>
        </w:rPr>
        <w:t xml:space="preserve"> del caso</w:t>
      </w:r>
      <w:r w:rsidRPr="002A25A3">
        <w:rPr>
          <w:rFonts w:ascii="Verdana" w:hAnsi="Verdana"/>
          <w:color w:val="000000"/>
          <w:spacing w:val="-12"/>
          <w:sz w:val="16"/>
          <w:szCs w:val="16"/>
        </w:rPr>
        <w:t xml:space="preserve"> ante la Comisión (exp. prueba, </w:t>
      </w:r>
      <w:r>
        <w:rPr>
          <w:rFonts w:ascii="Verdana" w:hAnsi="Verdana"/>
          <w:color w:val="000000"/>
          <w:spacing w:val="-12"/>
          <w:sz w:val="16"/>
          <w:szCs w:val="16"/>
        </w:rPr>
        <w:t>ff.</w:t>
      </w:r>
      <w:r w:rsidRPr="002A25A3">
        <w:rPr>
          <w:rFonts w:ascii="Verdana" w:hAnsi="Verdana"/>
          <w:color w:val="000000"/>
          <w:spacing w:val="-12"/>
          <w:sz w:val="16"/>
          <w:szCs w:val="16"/>
        </w:rPr>
        <w:t xml:space="preserve"> 2031 a 2034)</w:t>
      </w:r>
    </w:p>
  </w:footnote>
  <w:footnote w:id="89">
    <w:p w14:paraId="0AE4711B" w14:textId="7DB2F33A" w:rsidR="00FE2511" w:rsidRDefault="00FE2511" w:rsidP="00AD4B46">
      <w:pPr>
        <w:pStyle w:val="Textonotapie"/>
        <w:spacing w:before="120" w:after="120"/>
        <w:jc w:val="both"/>
      </w:pPr>
      <w:r w:rsidRPr="00B44168">
        <w:rPr>
          <w:rStyle w:val="Refdenotaalpie"/>
          <w:rFonts w:ascii="Verdana" w:hAnsi="Verdana"/>
          <w:sz w:val="16"/>
          <w:szCs w:val="16"/>
        </w:rPr>
        <w:footnoteRef/>
      </w:r>
      <w:r>
        <w:rPr>
          <w:rFonts w:ascii="Verdana" w:hAnsi="Verdana"/>
          <w:color w:val="000000"/>
          <w:spacing w:val="-12"/>
          <w:sz w:val="16"/>
          <w:szCs w:val="16"/>
        </w:rPr>
        <w:t xml:space="preserve"> </w:t>
      </w:r>
      <w:r>
        <w:rPr>
          <w:rFonts w:ascii="Verdana" w:hAnsi="Verdana"/>
          <w:color w:val="000000"/>
          <w:spacing w:val="-12"/>
          <w:sz w:val="16"/>
          <w:szCs w:val="16"/>
        </w:rPr>
        <w:tab/>
        <w:t xml:space="preserve">Por ejemplo, ver la </w:t>
      </w:r>
      <w:r>
        <w:rPr>
          <w:rFonts w:ascii="Verdana" w:eastAsia="Times New Roman" w:hAnsi="Verdana"/>
          <w:bCs/>
          <w:spacing w:val="-12"/>
          <w:sz w:val="16"/>
          <w:szCs w:val="16"/>
        </w:rPr>
        <w:t>sentencia de reemplazo dictada por la Sala Segunda</w:t>
      </w:r>
      <w:r>
        <w:rPr>
          <w:rFonts w:ascii="Verdana" w:eastAsia="Times New Roman" w:hAnsi="Verdana" w:cs="Times New Roman"/>
          <w:bCs/>
          <w:spacing w:val="-12"/>
          <w:sz w:val="16"/>
          <w:szCs w:val="16"/>
        </w:rPr>
        <w:t xml:space="preserve"> de la C</w:t>
      </w:r>
      <w:r w:rsidRPr="006B3005">
        <w:rPr>
          <w:rFonts w:ascii="Verdana" w:eastAsia="Times New Roman" w:hAnsi="Verdana" w:cs="Times New Roman"/>
          <w:bCs/>
          <w:spacing w:val="-12"/>
          <w:sz w:val="16"/>
          <w:szCs w:val="16"/>
        </w:rPr>
        <w:t>orte Suprema de Justicia de Chile</w:t>
      </w:r>
      <w:r>
        <w:rPr>
          <w:rFonts w:ascii="Verdana" w:eastAsia="Times New Roman" w:hAnsi="Verdana"/>
          <w:bCs/>
          <w:spacing w:val="-12"/>
          <w:sz w:val="16"/>
          <w:szCs w:val="16"/>
        </w:rPr>
        <w:t xml:space="preserve"> en la causa Rol </w:t>
      </w:r>
      <w:r w:rsidRPr="002A25A3">
        <w:rPr>
          <w:rFonts w:ascii="Verdana" w:hAnsi="Verdana"/>
          <w:color w:val="000000"/>
          <w:spacing w:val="-12"/>
          <w:sz w:val="16"/>
          <w:szCs w:val="16"/>
        </w:rPr>
        <w:t>N°</w:t>
      </w:r>
      <w:r>
        <w:rPr>
          <w:rFonts w:ascii="Verdana" w:hAnsi="Verdana"/>
          <w:color w:val="000000"/>
          <w:spacing w:val="-12"/>
          <w:sz w:val="16"/>
          <w:szCs w:val="16"/>
        </w:rPr>
        <w:t xml:space="preserve"> 1568-2017 con fecha 16 de noviembre de 2017</w:t>
      </w:r>
      <w:r w:rsidRPr="00A87F14">
        <w:rPr>
          <w:rFonts w:ascii="Verdana" w:eastAsia="Times New Roman" w:hAnsi="Verdana"/>
          <w:bCs/>
          <w:spacing w:val="-12"/>
          <w:sz w:val="16"/>
          <w:szCs w:val="16"/>
        </w:rPr>
        <w:t>.</w:t>
      </w:r>
      <w:r>
        <w:rPr>
          <w:rFonts w:ascii="Verdana" w:eastAsia="Times New Roman" w:hAnsi="Verdana"/>
          <w:bCs/>
          <w:spacing w:val="-12"/>
          <w:sz w:val="16"/>
          <w:szCs w:val="16"/>
        </w:rPr>
        <w:t xml:space="preserve"> S</w:t>
      </w:r>
      <w:r>
        <w:rPr>
          <w:rFonts w:ascii="Verdana" w:hAnsi="Verdana"/>
          <w:color w:val="000000"/>
          <w:spacing w:val="-12"/>
          <w:sz w:val="16"/>
          <w:szCs w:val="16"/>
        </w:rPr>
        <w:t>entencia</w:t>
      </w:r>
      <w:r w:rsidRPr="002A25A3">
        <w:rPr>
          <w:rFonts w:ascii="Verdana" w:hAnsi="Verdana"/>
          <w:color w:val="000000"/>
          <w:spacing w:val="-12"/>
          <w:sz w:val="16"/>
          <w:szCs w:val="16"/>
        </w:rPr>
        <w:t xml:space="preserve"> cit</w:t>
      </w:r>
      <w:r>
        <w:rPr>
          <w:rFonts w:ascii="Verdana" w:hAnsi="Verdana"/>
          <w:color w:val="000000"/>
          <w:spacing w:val="-12"/>
          <w:sz w:val="16"/>
          <w:szCs w:val="16"/>
        </w:rPr>
        <w:t>ada en el anexo 2 al e</w:t>
      </w:r>
      <w:r w:rsidRPr="002A25A3">
        <w:rPr>
          <w:rFonts w:ascii="Verdana" w:hAnsi="Verdana"/>
          <w:color w:val="000000"/>
          <w:spacing w:val="-12"/>
          <w:sz w:val="16"/>
          <w:szCs w:val="16"/>
        </w:rPr>
        <w:t xml:space="preserve">scrito de </w:t>
      </w:r>
      <w:r>
        <w:rPr>
          <w:rFonts w:ascii="Verdana" w:hAnsi="Verdana"/>
          <w:color w:val="000000"/>
          <w:spacing w:val="-12"/>
          <w:sz w:val="16"/>
          <w:szCs w:val="16"/>
        </w:rPr>
        <w:t>c</w:t>
      </w:r>
      <w:r w:rsidRPr="002A25A3">
        <w:rPr>
          <w:rFonts w:ascii="Verdana" w:hAnsi="Verdana"/>
          <w:color w:val="000000"/>
          <w:spacing w:val="-12"/>
          <w:sz w:val="16"/>
          <w:szCs w:val="16"/>
        </w:rPr>
        <w:t>ontestación</w:t>
      </w:r>
      <w:r>
        <w:rPr>
          <w:rFonts w:ascii="Verdana" w:hAnsi="Verdana"/>
          <w:color w:val="000000"/>
          <w:spacing w:val="-12"/>
          <w:sz w:val="16"/>
          <w:szCs w:val="16"/>
        </w:rPr>
        <w:t xml:space="preserve"> del Estado.</w:t>
      </w:r>
      <w:r w:rsidRPr="00EA79C9">
        <w:rPr>
          <w:rFonts w:ascii="Verdana" w:hAnsi="Verdana"/>
          <w:i/>
          <w:color w:val="000000"/>
          <w:spacing w:val="-12"/>
          <w:sz w:val="16"/>
          <w:szCs w:val="16"/>
        </w:rPr>
        <w:t xml:space="preserve"> Cfr.</w:t>
      </w:r>
      <w:r w:rsidRPr="002A25A3">
        <w:rPr>
          <w:rFonts w:ascii="Verdana" w:hAnsi="Verdana"/>
          <w:color w:val="000000"/>
          <w:spacing w:val="-12"/>
          <w:sz w:val="16"/>
          <w:szCs w:val="16"/>
        </w:rPr>
        <w:t xml:space="preserve"> </w:t>
      </w:r>
      <w:r>
        <w:rPr>
          <w:rFonts w:ascii="Verdana" w:hAnsi="Verdana"/>
          <w:color w:val="000000"/>
          <w:spacing w:val="-12"/>
          <w:sz w:val="16"/>
          <w:szCs w:val="16"/>
        </w:rPr>
        <w:t xml:space="preserve">Dirección de Estudios de la Corte Suprema, “Estudio de jurisprudencia sobre acciones civiles de reparación relacionadas con crímenes de lesa humanidad”, el cual da respuesta a solicitud de información del Director del Programa de Derechos Humanos de la Subsecretaría de Relaciones Exteriores en el contexto del presente caso ante la Corte Interamericana </w:t>
      </w:r>
      <w:r w:rsidRPr="002A25A3">
        <w:rPr>
          <w:rFonts w:ascii="Verdana" w:hAnsi="Verdana"/>
          <w:color w:val="000000"/>
          <w:spacing w:val="-12"/>
          <w:sz w:val="16"/>
          <w:szCs w:val="16"/>
        </w:rPr>
        <w:t xml:space="preserve">(exp. prueba, </w:t>
      </w:r>
      <w:r>
        <w:rPr>
          <w:rFonts w:ascii="Verdana" w:hAnsi="Verdana"/>
          <w:color w:val="000000"/>
          <w:spacing w:val="-12"/>
          <w:sz w:val="16"/>
          <w:szCs w:val="16"/>
        </w:rPr>
        <w:t>ff. 2671 y 2672</w:t>
      </w:r>
      <w:r w:rsidRPr="002A25A3">
        <w:rPr>
          <w:rFonts w:ascii="Verdana" w:hAnsi="Verdana"/>
          <w:color w:val="000000"/>
          <w:spacing w:val="-12"/>
          <w:sz w:val="16"/>
          <w:szCs w:val="16"/>
        </w:rPr>
        <w:t>).</w:t>
      </w:r>
    </w:p>
  </w:footnote>
  <w:footnote w:id="90">
    <w:p w14:paraId="363B494F" w14:textId="0B74A14D" w:rsidR="00FE2511" w:rsidRPr="00A87F14" w:rsidRDefault="00FE2511" w:rsidP="00221603">
      <w:pPr>
        <w:pStyle w:val="Textonotapie"/>
        <w:spacing w:before="120" w:after="120"/>
        <w:jc w:val="both"/>
        <w:rPr>
          <w:rFonts w:ascii="Verdana" w:hAnsi="Verdana"/>
          <w:i/>
          <w:spacing w:val="-12"/>
          <w:sz w:val="16"/>
          <w:szCs w:val="16"/>
        </w:rPr>
      </w:pPr>
      <w:r w:rsidRPr="00A87F14">
        <w:rPr>
          <w:rStyle w:val="Refdenotaalpie"/>
          <w:rFonts w:ascii="Verdana" w:hAnsi="Verdana"/>
          <w:spacing w:val="-12"/>
          <w:sz w:val="16"/>
          <w:szCs w:val="16"/>
        </w:rPr>
        <w:footnoteRef/>
      </w:r>
      <w:r w:rsidRPr="00A87F14">
        <w:rPr>
          <w:rFonts w:ascii="Verdana" w:hAnsi="Verdana"/>
          <w:spacing w:val="-12"/>
          <w:sz w:val="16"/>
          <w:szCs w:val="16"/>
        </w:rPr>
        <w:t xml:space="preserve"> </w:t>
      </w:r>
      <w:r w:rsidRPr="00A87F14">
        <w:rPr>
          <w:rFonts w:ascii="Verdana" w:hAnsi="Verdana"/>
          <w:spacing w:val="-12"/>
          <w:sz w:val="16"/>
          <w:szCs w:val="16"/>
        </w:rPr>
        <w:tab/>
      </w:r>
      <w:r w:rsidRPr="00A87F14">
        <w:rPr>
          <w:rFonts w:ascii="Verdana" w:hAnsi="Verdana"/>
          <w:i/>
          <w:spacing w:val="-12"/>
          <w:sz w:val="16"/>
          <w:szCs w:val="16"/>
        </w:rPr>
        <w:t xml:space="preserve">Cfr. </w:t>
      </w:r>
      <w:r w:rsidRPr="00A87F14">
        <w:rPr>
          <w:rFonts w:ascii="Verdana" w:hAnsi="Verdana"/>
          <w:bCs/>
          <w:i/>
          <w:spacing w:val="-12"/>
          <w:sz w:val="16"/>
          <w:szCs w:val="16"/>
        </w:rPr>
        <w:t xml:space="preserve">Caso Chitay Nech y otros Vs. Guatemala. Excepciones Preliminares, Fondo, Reparaciones y Costas. </w:t>
      </w:r>
      <w:r w:rsidRPr="00A87F14">
        <w:rPr>
          <w:rFonts w:ascii="Verdana" w:hAnsi="Verdana"/>
          <w:bCs/>
          <w:spacing w:val="-12"/>
          <w:sz w:val="16"/>
          <w:szCs w:val="16"/>
        </w:rPr>
        <w:t>Sentencia de 25 de mayo de 2010. Serie C No. 212</w:t>
      </w:r>
      <w:r w:rsidRPr="00A87F14">
        <w:rPr>
          <w:rFonts w:ascii="Verdana" w:hAnsi="Verdana"/>
          <w:bCs/>
          <w:i/>
          <w:spacing w:val="-12"/>
          <w:sz w:val="16"/>
          <w:szCs w:val="16"/>
        </w:rPr>
        <w:t xml:space="preserve">, </w:t>
      </w:r>
      <w:r w:rsidRPr="00A87F14">
        <w:rPr>
          <w:rFonts w:ascii="Verdana" w:hAnsi="Verdana"/>
          <w:bCs/>
          <w:spacing w:val="-12"/>
          <w:sz w:val="16"/>
          <w:szCs w:val="16"/>
        </w:rPr>
        <w:t xml:space="preserve">párr. 244; y </w:t>
      </w:r>
      <w:r>
        <w:rPr>
          <w:rFonts w:ascii="Verdana" w:hAnsi="Verdana"/>
          <w:bCs/>
          <w:i/>
          <w:spacing w:val="-12"/>
          <w:sz w:val="16"/>
          <w:szCs w:val="16"/>
        </w:rPr>
        <w:t>C</w:t>
      </w:r>
      <w:r w:rsidRPr="00C043D5">
        <w:rPr>
          <w:rFonts w:ascii="Verdana" w:hAnsi="Verdana"/>
          <w:bCs/>
          <w:i/>
          <w:spacing w:val="-12"/>
          <w:sz w:val="16"/>
          <w:szCs w:val="16"/>
        </w:rPr>
        <w:t>aso L</w:t>
      </w:r>
      <w:r>
        <w:rPr>
          <w:rFonts w:ascii="Verdana" w:hAnsi="Verdana"/>
          <w:bCs/>
          <w:i/>
          <w:spacing w:val="-12"/>
          <w:sz w:val="16"/>
          <w:szCs w:val="16"/>
        </w:rPr>
        <w:t>ópez Soto y otros Vs. Venezuela</w:t>
      </w:r>
      <w:r w:rsidRPr="00BE27D0">
        <w:rPr>
          <w:rFonts w:ascii="Verdana" w:hAnsi="Verdana"/>
          <w:bCs/>
          <w:spacing w:val="-12"/>
          <w:sz w:val="16"/>
          <w:szCs w:val="16"/>
        </w:rPr>
        <w:t>, párr. 299</w:t>
      </w:r>
      <w:r>
        <w:rPr>
          <w:rFonts w:ascii="Verdana" w:hAnsi="Verdana"/>
          <w:bCs/>
          <w:spacing w:val="-12"/>
          <w:sz w:val="16"/>
          <w:szCs w:val="16"/>
        </w:rPr>
        <w:t>.</w:t>
      </w:r>
    </w:p>
  </w:footnote>
  <w:footnote w:id="91">
    <w:p w14:paraId="66375F7D" w14:textId="500AE49C" w:rsidR="00FE2511" w:rsidRPr="00E6264C" w:rsidRDefault="00FE2511" w:rsidP="00E6264C">
      <w:pPr>
        <w:pStyle w:val="Textonotapie"/>
        <w:spacing w:before="120" w:after="120"/>
        <w:jc w:val="both"/>
        <w:rPr>
          <w:rFonts w:ascii="Verdana" w:hAnsi="Verdana"/>
          <w:iCs/>
          <w:spacing w:val="-12"/>
          <w:sz w:val="16"/>
          <w:szCs w:val="16"/>
          <w:lang w:val="es-MX"/>
        </w:rPr>
      </w:pPr>
      <w:r w:rsidRPr="00E6264C">
        <w:rPr>
          <w:rStyle w:val="Refdenotaalpie"/>
          <w:rFonts w:ascii="Verdana" w:hAnsi="Verdana"/>
          <w:spacing w:val="-12"/>
          <w:sz w:val="16"/>
          <w:szCs w:val="16"/>
        </w:rPr>
        <w:footnoteRef/>
      </w:r>
      <w:r>
        <w:t xml:space="preserve"> </w:t>
      </w:r>
      <w:r>
        <w:tab/>
      </w:r>
      <w:r w:rsidRPr="00E6264C">
        <w:rPr>
          <w:rFonts w:ascii="Verdana" w:hAnsi="Verdana"/>
          <w:i/>
          <w:iCs/>
          <w:spacing w:val="-12"/>
          <w:sz w:val="16"/>
          <w:szCs w:val="16"/>
          <w:lang w:val="es-MX"/>
        </w:rPr>
        <w:t>Cfr.</w:t>
      </w:r>
      <w:r>
        <w:rPr>
          <w:rFonts w:ascii="Verdana" w:hAnsi="Verdana"/>
          <w:iCs/>
          <w:spacing w:val="-12"/>
          <w:sz w:val="16"/>
          <w:szCs w:val="16"/>
          <w:lang w:val="es-MX"/>
        </w:rPr>
        <w:t>, en similar sentido,</w:t>
      </w:r>
      <w:r w:rsidRPr="00E6264C">
        <w:rPr>
          <w:rFonts w:ascii="Verdana" w:hAnsi="Verdana"/>
          <w:i/>
          <w:iCs/>
          <w:spacing w:val="-12"/>
          <w:sz w:val="16"/>
          <w:szCs w:val="16"/>
          <w:lang w:val="es-MX"/>
        </w:rPr>
        <w:t xml:space="preserve"> Caso</w:t>
      </w:r>
      <w:r>
        <w:rPr>
          <w:rFonts w:ascii="Verdana" w:hAnsi="Verdana"/>
          <w:i/>
          <w:iCs/>
          <w:spacing w:val="-12"/>
          <w:sz w:val="16"/>
          <w:szCs w:val="16"/>
          <w:lang w:val="es-MX"/>
        </w:rPr>
        <w:t xml:space="preserve"> </w:t>
      </w:r>
      <w:r w:rsidRPr="00E6264C">
        <w:rPr>
          <w:rFonts w:ascii="Verdana" w:hAnsi="Verdana"/>
          <w:i/>
          <w:iCs/>
          <w:spacing w:val="-12"/>
          <w:sz w:val="16"/>
          <w:szCs w:val="16"/>
          <w:lang w:val="es-MX"/>
        </w:rPr>
        <w:t>Maldonado Vargas y otros Vs. Chile. Fondo, Reparaciones y Costas.</w:t>
      </w:r>
      <w:r>
        <w:rPr>
          <w:rFonts w:ascii="Verdana" w:hAnsi="Verdana"/>
          <w:i/>
          <w:iCs/>
          <w:spacing w:val="-12"/>
          <w:sz w:val="16"/>
          <w:szCs w:val="16"/>
          <w:lang w:val="es-MX"/>
        </w:rPr>
        <w:t xml:space="preserve"> </w:t>
      </w:r>
      <w:r>
        <w:rPr>
          <w:rFonts w:ascii="Verdana" w:hAnsi="Verdana"/>
          <w:iCs/>
          <w:spacing w:val="-12"/>
          <w:sz w:val="16"/>
          <w:szCs w:val="16"/>
          <w:lang w:val="es-MX"/>
        </w:rPr>
        <w:t xml:space="preserve">Resolución de 30 de agosto de 2007 de supervisión de cumplimiento de la sentencia </w:t>
      </w:r>
      <w:r w:rsidRPr="00E6264C">
        <w:rPr>
          <w:rFonts w:ascii="Verdana" w:hAnsi="Verdana"/>
          <w:iCs/>
          <w:spacing w:val="-12"/>
          <w:sz w:val="16"/>
          <w:szCs w:val="16"/>
          <w:lang w:val="es-MX"/>
        </w:rPr>
        <w:t>de fondo, reparaciones y costas dictada por la Corte el 2 de septiembre de 2015</w:t>
      </w:r>
      <w:r>
        <w:rPr>
          <w:rFonts w:ascii="Verdana" w:hAnsi="Verdana"/>
          <w:iCs/>
          <w:spacing w:val="-12"/>
          <w:sz w:val="16"/>
          <w:szCs w:val="16"/>
          <w:lang w:val="es-MX"/>
        </w:rPr>
        <w:t xml:space="preserve">, párr. 41. Disponible en: </w:t>
      </w:r>
      <w:hyperlink r:id="rId10" w:history="1">
        <w:r w:rsidRPr="00EB2B6B">
          <w:rPr>
            <w:rStyle w:val="Hipervnculo"/>
            <w:rFonts w:ascii="Verdana" w:hAnsi="Verdana"/>
            <w:iCs/>
            <w:spacing w:val="-12"/>
            <w:sz w:val="16"/>
            <w:szCs w:val="16"/>
            <w:lang w:val="es-MX"/>
          </w:rPr>
          <w:t>http://www.corteidh.or.cr/docs/supervisiones/maldonado_30_08_17.pdf</w:t>
        </w:r>
      </w:hyperlink>
      <w:r>
        <w:rPr>
          <w:rFonts w:ascii="Verdana" w:hAnsi="Verdana"/>
          <w:iCs/>
          <w:spacing w:val="-12"/>
          <w:sz w:val="16"/>
          <w:szCs w:val="16"/>
          <w:lang w:val="es-MX"/>
        </w:rPr>
        <w:t xml:space="preserve"> </w:t>
      </w:r>
      <w:r w:rsidRPr="00E6264C">
        <w:rPr>
          <w:rFonts w:ascii="Verdana" w:hAnsi="Verdana"/>
          <w:iCs/>
          <w:spacing w:val="-12"/>
          <w:sz w:val="16"/>
          <w:szCs w:val="16"/>
          <w:lang w:val="es-MX"/>
        </w:rPr>
        <w:t xml:space="preserve"> </w:t>
      </w:r>
    </w:p>
  </w:footnote>
  <w:footnote w:id="92">
    <w:p w14:paraId="423223DC" w14:textId="07A8BFFB" w:rsidR="00FE2511" w:rsidRDefault="00FE2511" w:rsidP="000A1430">
      <w:pPr>
        <w:pStyle w:val="Textonotapie"/>
        <w:spacing w:before="120" w:after="120"/>
        <w:jc w:val="both"/>
      </w:pPr>
      <w:r w:rsidRPr="00E6264C">
        <w:rPr>
          <w:rStyle w:val="Refdenotaalpie"/>
          <w:rFonts w:ascii="Verdana" w:hAnsi="Verdana"/>
          <w:spacing w:val="-12"/>
          <w:sz w:val="16"/>
          <w:szCs w:val="16"/>
        </w:rPr>
        <w:footnoteRef/>
      </w:r>
      <w:r>
        <w:t xml:space="preserve"> </w:t>
      </w:r>
      <w:r>
        <w:tab/>
      </w:r>
      <w:r w:rsidRPr="00E6264C">
        <w:rPr>
          <w:rFonts w:ascii="Verdana" w:hAnsi="Verdana"/>
          <w:i/>
          <w:iCs/>
          <w:spacing w:val="-12"/>
          <w:sz w:val="16"/>
          <w:szCs w:val="16"/>
          <w:lang w:val="es-MX"/>
        </w:rPr>
        <w:t>Cfr.</w:t>
      </w:r>
      <w:r>
        <w:rPr>
          <w:rFonts w:ascii="Verdana" w:hAnsi="Verdana"/>
          <w:iCs/>
          <w:spacing w:val="-12"/>
          <w:sz w:val="16"/>
          <w:szCs w:val="16"/>
          <w:lang w:val="es-MX"/>
        </w:rPr>
        <w:t>, en similar sentido,</w:t>
      </w:r>
      <w:r w:rsidRPr="00E6264C">
        <w:rPr>
          <w:rFonts w:ascii="Verdana" w:hAnsi="Verdana"/>
          <w:i/>
          <w:iCs/>
          <w:spacing w:val="-12"/>
          <w:sz w:val="16"/>
          <w:szCs w:val="16"/>
          <w:lang w:val="es-MX"/>
        </w:rPr>
        <w:t xml:space="preserve"> Caso</w:t>
      </w:r>
      <w:r>
        <w:rPr>
          <w:rFonts w:ascii="Verdana" w:hAnsi="Verdana"/>
          <w:i/>
          <w:iCs/>
          <w:spacing w:val="-12"/>
          <w:sz w:val="16"/>
          <w:szCs w:val="16"/>
          <w:lang w:val="es-MX"/>
        </w:rPr>
        <w:t xml:space="preserve"> </w:t>
      </w:r>
      <w:r w:rsidRPr="00E6264C">
        <w:rPr>
          <w:rFonts w:ascii="Verdana" w:hAnsi="Verdana"/>
          <w:i/>
          <w:iCs/>
          <w:spacing w:val="-12"/>
          <w:sz w:val="16"/>
          <w:szCs w:val="16"/>
          <w:lang w:val="es-MX"/>
        </w:rPr>
        <w:t>Maldonado Vargas y otros Vs. Chile. Fondo, Reparaciones y Costas.</w:t>
      </w:r>
      <w:r>
        <w:rPr>
          <w:rFonts w:ascii="Verdana" w:hAnsi="Verdana"/>
          <w:i/>
          <w:iCs/>
          <w:spacing w:val="-12"/>
          <w:sz w:val="16"/>
          <w:szCs w:val="16"/>
          <w:lang w:val="es-MX"/>
        </w:rPr>
        <w:t xml:space="preserve"> </w:t>
      </w:r>
      <w:r>
        <w:rPr>
          <w:rFonts w:ascii="Verdana" w:hAnsi="Verdana"/>
          <w:iCs/>
          <w:spacing w:val="-12"/>
          <w:sz w:val="16"/>
          <w:szCs w:val="16"/>
          <w:lang w:val="es-MX"/>
        </w:rPr>
        <w:t xml:space="preserve">Resolución de 30 de agosto de 2007 de supervisión de cumplimiento de la sentencia </w:t>
      </w:r>
      <w:r w:rsidRPr="00E6264C">
        <w:rPr>
          <w:rFonts w:ascii="Verdana" w:hAnsi="Verdana"/>
          <w:iCs/>
          <w:spacing w:val="-12"/>
          <w:sz w:val="16"/>
          <w:szCs w:val="16"/>
          <w:lang w:val="es-MX"/>
        </w:rPr>
        <w:t>de fondo, reparaciones y costas dictada por la Corte el 2 de septiembre de 2015</w:t>
      </w:r>
      <w:r>
        <w:rPr>
          <w:rFonts w:ascii="Verdana" w:hAnsi="Verdana"/>
          <w:iCs/>
          <w:spacing w:val="-12"/>
          <w:sz w:val="16"/>
          <w:szCs w:val="16"/>
          <w:lang w:val="es-MX"/>
        </w:rPr>
        <w:t xml:space="preserve">, párrs. 41 y 42. Disponible en: </w:t>
      </w:r>
      <w:hyperlink r:id="rId11" w:history="1">
        <w:r w:rsidRPr="00EB2B6B">
          <w:rPr>
            <w:rStyle w:val="Hipervnculo"/>
            <w:rFonts w:ascii="Verdana" w:hAnsi="Verdana"/>
            <w:iCs/>
            <w:spacing w:val="-12"/>
            <w:sz w:val="16"/>
            <w:szCs w:val="16"/>
            <w:lang w:val="es-MX"/>
          </w:rPr>
          <w:t>http://www.corteidh.or.cr/docs/supervisiones/maldonado_30_08_17.pdf</w:t>
        </w:r>
      </w:hyperlink>
      <w:r>
        <w:rPr>
          <w:rFonts w:ascii="Verdana" w:hAnsi="Verdana"/>
          <w:iCs/>
          <w:spacing w:val="-12"/>
          <w:sz w:val="16"/>
          <w:szCs w:val="16"/>
          <w:lang w:val="es-MX"/>
        </w:rPr>
        <w:t xml:space="preserve"> </w:t>
      </w:r>
      <w:r w:rsidRPr="00E6264C">
        <w:rPr>
          <w:rFonts w:ascii="Verdana" w:hAnsi="Verdana"/>
          <w:iCs/>
          <w:spacing w:val="-12"/>
          <w:sz w:val="16"/>
          <w:szCs w:val="16"/>
          <w:lang w:val="es-MX"/>
        </w:rPr>
        <w:t xml:space="preserve"> </w:t>
      </w:r>
    </w:p>
  </w:footnote>
  <w:footnote w:id="93">
    <w:p w14:paraId="4258CD8E" w14:textId="37277EFB" w:rsidR="00FE2511" w:rsidRPr="00A87F14" w:rsidRDefault="00FE2511" w:rsidP="00221603">
      <w:pPr>
        <w:pStyle w:val="Textonotapie"/>
        <w:spacing w:before="120" w:after="120"/>
        <w:jc w:val="both"/>
        <w:rPr>
          <w:rFonts w:ascii="Verdana" w:hAnsi="Verdana"/>
          <w:spacing w:val="-12"/>
          <w:sz w:val="16"/>
          <w:szCs w:val="16"/>
        </w:rPr>
      </w:pPr>
      <w:r w:rsidRPr="00A87F14">
        <w:rPr>
          <w:rStyle w:val="Refdenotaalpie"/>
          <w:rFonts w:ascii="Verdana" w:hAnsi="Verdana"/>
          <w:spacing w:val="-12"/>
          <w:sz w:val="16"/>
          <w:szCs w:val="16"/>
        </w:rPr>
        <w:footnoteRef/>
      </w:r>
      <w:r w:rsidRPr="00A87F14">
        <w:rPr>
          <w:rFonts w:ascii="Verdana" w:hAnsi="Verdana"/>
          <w:iCs/>
          <w:spacing w:val="-12"/>
          <w:sz w:val="16"/>
          <w:szCs w:val="16"/>
          <w:lang w:val="es-MX"/>
        </w:rPr>
        <w:tab/>
      </w:r>
      <w:r w:rsidRPr="00E6264C">
        <w:rPr>
          <w:rFonts w:ascii="Verdana" w:hAnsi="Verdana"/>
          <w:i/>
          <w:iCs/>
          <w:spacing w:val="-12"/>
          <w:sz w:val="16"/>
          <w:szCs w:val="16"/>
          <w:lang w:val="es-MX"/>
        </w:rPr>
        <w:t>Cfr. Caso Almonacid</w:t>
      </w:r>
      <w:r w:rsidRPr="00A87F14">
        <w:rPr>
          <w:rFonts w:ascii="Verdana" w:hAnsi="Verdana"/>
          <w:i/>
          <w:iCs/>
          <w:spacing w:val="-12"/>
          <w:sz w:val="16"/>
          <w:szCs w:val="16"/>
          <w:lang w:val="es-MX"/>
        </w:rPr>
        <w:t xml:space="preserve"> Arellano</w:t>
      </w:r>
      <w:r w:rsidRPr="00A87F14">
        <w:rPr>
          <w:rFonts w:ascii="Verdana" w:hAnsi="Verdana"/>
          <w:i/>
          <w:spacing w:val="-12"/>
          <w:sz w:val="16"/>
          <w:szCs w:val="16"/>
          <w:lang w:val="es-MX"/>
        </w:rPr>
        <w:t xml:space="preserve"> </w:t>
      </w:r>
      <w:r w:rsidRPr="00A87F14">
        <w:rPr>
          <w:rFonts w:ascii="Verdana" w:hAnsi="Verdana"/>
          <w:i/>
          <w:iCs/>
          <w:spacing w:val="-12"/>
          <w:sz w:val="16"/>
          <w:szCs w:val="16"/>
          <w:lang w:val="es-MX"/>
        </w:rPr>
        <w:t>y otros Vs. Chile</w:t>
      </w:r>
      <w:r w:rsidRPr="00A87F14">
        <w:rPr>
          <w:rFonts w:ascii="Verdana" w:hAnsi="Verdana"/>
          <w:spacing w:val="-12"/>
          <w:sz w:val="16"/>
          <w:szCs w:val="16"/>
          <w:lang w:val="es-MX"/>
        </w:rPr>
        <w:t xml:space="preserve">. </w:t>
      </w:r>
      <w:r w:rsidRPr="00A87F14">
        <w:rPr>
          <w:rFonts w:ascii="Verdana" w:hAnsi="Verdana"/>
          <w:i/>
          <w:iCs/>
          <w:spacing w:val="-12"/>
          <w:sz w:val="16"/>
          <w:szCs w:val="16"/>
          <w:lang w:val="es-MX"/>
        </w:rPr>
        <w:t>Excepciones Preliminares, Fondo, Reparaciones y costas</w:t>
      </w:r>
      <w:r w:rsidRPr="00A87F14">
        <w:rPr>
          <w:rFonts w:ascii="Verdana" w:hAnsi="Verdana"/>
          <w:spacing w:val="-12"/>
          <w:sz w:val="16"/>
          <w:szCs w:val="16"/>
          <w:lang w:val="es-MX"/>
        </w:rPr>
        <w:t xml:space="preserve">. Sentencia de 26 de septiembre de 2006. Serie C No. 154, párr. 124; y </w:t>
      </w:r>
      <w:r w:rsidRPr="00A87F14">
        <w:rPr>
          <w:rFonts w:ascii="Verdana" w:hAnsi="Verdana"/>
          <w:i/>
          <w:spacing w:val="-12"/>
          <w:sz w:val="16"/>
          <w:szCs w:val="16"/>
          <w:lang w:val="es-MX"/>
        </w:rPr>
        <w:t>Caso Trabajadores Cesados del Congreso (Aguado Alfaro y otros) Vs. Perú. Excepciones Preliminares, Fondo, Reparaciones y Costas</w:t>
      </w:r>
      <w:r w:rsidRPr="00A87F14">
        <w:rPr>
          <w:rFonts w:ascii="Verdana" w:hAnsi="Verdana"/>
          <w:spacing w:val="-12"/>
          <w:sz w:val="16"/>
          <w:szCs w:val="16"/>
          <w:lang w:val="es-MX"/>
        </w:rPr>
        <w:t xml:space="preserve">. Sentencia de 24 de noviembre de 2006. Serie C No. 158, párr. 128. Véase asimismo </w:t>
      </w:r>
      <w:r w:rsidRPr="00A87F14">
        <w:rPr>
          <w:rFonts w:ascii="Verdana" w:hAnsi="Verdana"/>
          <w:i/>
          <w:spacing w:val="-12"/>
          <w:sz w:val="16"/>
          <w:szCs w:val="16"/>
          <w:lang w:val="es-MX"/>
        </w:rPr>
        <w:t xml:space="preserve">Caso Gelman Vs. Uruguay. </w:t>
      </w:r>
      <w:r w:rsidRPr="00A87F14">
        <w:rPr>
          <w:rFonts w:ascii="Verdana" w:hAnsi="Verdana"/>
          <w:i/>
          <w:spacing w:val="-12"/>
          <w:sz w:val="16"/>
          <w:szCs w:val="16"/>
        </w:rPr>
        <w:t>Fondo y Reparaciones</w:t>
      </w:r>
      <w:r w:rsidRPr="00A87F14">
        <w:rPr>
          <w:rFonts w:ascii="Verdana" w:hAnsi="Verdana"/>
          <w:spacing w:val="-12"/>
          <w:sz w:val="16"/>
          <w:szCs w:val="16"/>
        </w:rPr>
        <w:t>. Sentencia de 24 de febrero de 2011 Serie C No. 221</w:t>
      </w:r>
      <w:r w:rsidRPr="00A87F14">
        <w:rPr>
          <w:rFonts w:ascii="Verdana" w:hAnsi="Verdana"/>
          <w:spacing w:val="-12"/>
          <w:sz w:val="16"/>
          <w:szCs w:val="16"/>
          <w:lang w:val="es-MX"/>
        </w:rPr>
        <w:t xml:space="preserve">, párr. 193; y </w:t>
      </w:r>
      <w:r w:rsidRPr="00A87F14">
        <w:rPr>
          <w:rFonts w:ascii="Verdana" w:hAnsi="Verdana"/>
          <w:i/>
          <w:spacing w:val="-12"/>
          <w:sz w:val="16"/>
          <w:szCs w:val="16"/>
          <w:lang w:val="es-MX"/>
        </w:rPr>
        <w:t>Caso San Miguel Sosa y otras vs. Venezuela</w:t>
      </w:r>
      <w:r w:rsidRPr="00A87F14">
        <w:rPr>
          <w:rFonts w:ascii="Verdana" w:hAnsi="Verdana"/>
          <w:spacing w:val="-12"/>
          <w:sz w:val="16"/>
          <w:szCs w:val="16"/>
          <w:lang w:val="es-MX"/>
        </w:rPr>
        <w:t>, párr. 191.</w:t>
      </w:r>
    </w:p>
  </w:footnote>
  <w:footnote w:id="94">
    <w:p w14:paraId="70A6122C" w14:textId="0B157893" w:rsidR="00FE2511" w:rsidRPr="00A87F14" w:rsidRDefault="00FE2511" w:rsidP="00221603">
      <w:pPr>
        <w:pStyle w:val="Textonotapie"/>
        <w:spacing w:before="120" w:after="120"/>
        <w:jc w:val="both"/>
        <w:rPr>
          <w:rFonts w:ascii="Verdana" w:hAnsi="Verdana"/>
          <w:sz w:val="16"/>
          <w:szCs w:val="16"/>
        </w:rPr>
      </w:pPr>
      <w:r w:rsidRPr="00A87F14">
        <w:rPr>
          <w:rStyle w:val="Refdenotaalpie"/>
          <w:rFonts w:ascii="Verdana" w:eastAsiaTheme="majorEastAsia" w:hAnsi="Verdana" w:cs="Palatino-Italic"/>
          <w:iCs/>
          <w:spacing w:val="-12"/>
          <w:sz w:val="16"/>
          <w:szCs w:val="16"/>
          <w:lang w:bidi="en-US"/>
        </w:rPr>
        <w:footnoteRef/>
      </w:r>
      <w:r w:rsidRPr="00A87F14">
        <w:rPr>
          <w:rFonts w:ascii="Verdana" w:hAnsi="Verdana"/>
          <w:sz w:val="16"/>
          <w:szCs w:val="16"/>
        </w:rPr>
        <w:t xml:space="preserve"> </w:t>
      </w:r>
      <w:r w:rsidRPr="00A87F14">
        <w:rPr>
          <w:rFonts w:ascii="Verdana" w:eastAsia="Times New Roman" w:hAnsi="Verdana" w:cs="Times New Roman"/>
          <w:bCs/>
          <w:spacing w:val="-12"/>
          <w:sz w:val="16"/>
          <w:szCs w:val="16"/>
        </w:rPr>
        <w:tab/>
        <w:t>El Estado señaló que, en efecto, por Actas 233-2014 y 107-2017 que contienen los auto</w:t>
      </w:r>
      <w:r>
        <w:rPr>
          <w:rFonts w:ascii="Verdana" w:eastAsia="Times New Roman" w:hAnsi="Verdana" w:cs="Times New Roman"/>
          <w:bCs/>
          <w:spacing w:val="-12"/>
          <w:sz w:val="16"/>
          <w:szCs w:val="16"/>
        </w:rPr>
        <w:t>s</w:t>
      </w:r>
      <w:r w:rsidRPr="00A87F14">
        <w:rPr>
          <w:rFonts w:ascii="Verdana" w:eastAsia="Times New Roman" w:hAnsi="Verdana" w:cs="Times New Roman"/>
          <w:bCs/>
          <w:spacing w:val="-12"/>
          <w:sz w:val="16"/>
          <w:szCs w:val="16"/>
        </w:rPr>
        <w:t xml:space="preserve"> acordados de fechas 26 de septiembre de 2014 y 28 de julio de 2017, se llev</w:t>
      </w:r>
      <w:r>
        <w:rPr>
          <w:rFonts w:ascii="Verdana" w:eastAsia="Times New Roman" w:hAnsi="Verdana" w:cs="Times New Roman"/>
          <w:bCs/>
          <w:spacing w:val="-12"/>
          <w:sz w:val="16"/>
          <w:szCs w:val="16"/>
        </w:rPr>
        <w:t xml:space="preserve">ó a cabo la nueva distribución </w:t>
      </w:r>
      <w:r w:rsidRPr="00A87F14">
        <w:rPr>
          <w:rFonts w:ascii="Verdana" w:eastAsia="Times New Roman" w:hAnsi="Verdana" w:cs="Times New Roman"/>
          <w:bCs/>
          <w:spacing w:val="-12"/>
          <w:sz w:val="16"/>
          <w:szCs w:val="16"/>
        </w:rPr>
        <w:t>de las materias que conocen las salas especializadas de la Corte Suprema, medida que tuvo incidencia directa en el cambio de criterio jurisprudencial ya explicado.</w:t>
      </w:r>
    </w:p>
  </w:footnote>
  <w:footnote w:id="95">
    <w:p w14:paraId="02B0614F" w14:textId="36989084" w:rsidR="00FE2511" w:rsidRPr="00A87F14" w:rsidRDefault="00FE2511" w:rsidP="00221603">
      <w:pPr>
        <w:pStyle w:val="Textonotapie"/>
        <w:spacing w:before="120" w:after="120"/>
        <w:jc w:val="both"/>
        <w:rPr>
          <w:rFonts w:ascii="Verdana" w:hAnsi="Verdana"/>
          <w:spacing w:val="-12"/>
          <w:sz w:val="16"/>
          <w:szCs w:val="16"/>
        </w:rPr>
      </w:pPr>
      <w:r w:rsidRPr="00A87F14">
        <w:rPr>
          <w:rStyle w:val="Refdenotaalpie"/>
          <w:rFonts w:ascii="Verdana" w:hAnsi="Verdana"/>
          <w:spacing w:val="-12"/>
          <w:sz w:val="16"/>
          <w:szCs w:val="16"/>
        </w:rPr>
        <w:footnoteRef/>
      </w:r>
      <w:r w:rsidRPr="00A87F14">
        <w:rPr>
          <w:rFonts w:ascii="Verdana" w:hAnsi="Verdana"/>
          <w:spacing w:val="-12"/>
          <w:sz w:val="16"/>
          <w:szCs w:val="16"/>
        </w:rPr>
        <w:t xml:space="preserve"> </w:t>
      </w:r>
      <w:r w:rsidRPr="00A87F14">
        <w:rPr>
          <w:rFonts w:ascii="Verdana" w:hAnsi="Verdana"/>
          <w:spacing w:val="-12"/>
          <w:sz w:val="16"/>
          <w:szCs w:val="16"/>
        </w:rPr>
        <w:tab/>
        <w:t xml:space="preserve">En cuanto a su reembolso, corresponde al Tribunal apreciar prudentemente su alcance, el cual comprende los gastos generados ante las autoridades de la jurisdicción interna, así como los generados en el curso del proceso ante este Tribunal, teniendo en cuenta las circunstancias del caso concreto y la naturaleza de la jurisdicción internacional de protección de los derechos humanos. </w:t>
      </w:r>
      <w:r w:rsidRPr="00A87F14">
        <w:rPr>
          <w:rFonts w:ascii="Verdana" w:eastAsia="Verdana" w:hAnsi="Verdana" w:cs="Verdana"/>
          <w:i/>
          <w:spacing w:val="-12"/>
          <w:sz w:val="16"/>
          <w:szCs w:val="16"/>
        </w:rPr>
        <w:t>Caso Garrido y Baigorria Vs. Argentina. Reparaciones y Costas</w:t>
      </w:r>
      <w:r w:rsidRPr="00A87F14">
        <w:rPr>
          <w:rFonts w:ascii="Verdana" w:eastAsia="Verdana" w:hAnsi="Verdana" w:cs="Verdana"/>
          <w:spacing w:val="-12"/>
          <w:sz w:val="16"/>
          <w:szCs w:val="16"/>
        </w:rPr>
        <w:t xml:space="preserve">, </w:t>
      </w:r>
      <w:r w:rsidRPr="00A87F14">
        <w:rPr>
          <w:rFonts w:ascii="Verdana" w:eastAsia="Verdana" w:hAnsi="Verdana" w:cs="Verdana"/>
          <w:bCs/>
          <w:spacing w:val="-12"/>
          <w:sz w:val="16"/>
          <w:szCs w:val="16"/>
        </w:rPr>
        <w:t>Sentencia de 27 de agosto de 1998. Serie C No. 39.</w:t>
      </w:r>
      <w:r w:rsidRPr="00A87F14">
        <w:rPr>
          <w:rFonts w:ascii="Verdana" w:eastAsia="Verdana" w:hAnsi="Verdana" w:cs="Verdana"/>
          <w:spacing w:val="-12"/>
          <w:sz w:val="16"/>
          <w:szCs w:val="16"/>
        </w:rPr>
        <w:t xml:space="preserve"> párr. 82, y </w:t>
      </w:r>
      <w:r>
        <w:rPr>
          <w:rFonts w:ascii="Verdana" w:hAnsi="Verdana"/>
          <w:bCs/>
          <w:i/>
          <w:spacing w:val="-12"/>
          <w:sz w:val="16"/>
          <w:szCs w:val="16"/>
        </w:rPr>
        <w:t>C</w:t>
      </w:r>
      <w:r w:rsidRPr="00C043D5">
        <w:rPr>
          <w:rFonts w:ascii="Verdana" w:hAnsi="Verdana"/>
          <w:bCs/>
          <w:i/>
          <w:spacing w:val="-12"/>
          <w:sz w:val="16"/>
          <w:szCs w:val="16"/>
        </w:rPr>
        <w:t>aso L</w:t>
      </w:r>
      <w:r>
        <w:rPr>
          <w:rFonts w:ascii="Verdana" w:hAnsi="Verdana"/>
          <w:bCs/>
          <w:i/>
          <w:spacing w:val="-12"/>
          <w:sz w:val="16"/>
          <w:szCs w:val="16"/>
        </w:rPr>
        <w:t>ópez Soto y otros Vs. Venezuela</w:t>
      </w:r>
      <w:r w:rsidRPr="00BE27D0">
        <w:rPr>
          <w:rFonts w:ascii="Verdana" w:hAnsi="Verdana"/>
          <w:bCs/>
          <w:spacing w:val="-12"/>
          <w:sz w:val="16"/>
          <w:szCs w:val="16"/>
        </w:rPr>
        <w:t>, párr.</w:t>
      </w:r>
      <w:r>
        <w:rPr>
          <w:rFonts w:ascii="Verdana" w:hAnsi="Verdana"/>
          <w:bCs/>
          <w:spacing w:val="-12"/>
          <w:sz w:val="16"/>
          <w:szCs w:val="16"/>
        </w:rPr>
        <w:t xml:space="preserve"> 381</w:t>
      </w:r>
      <w:r w:rsidRPr="00A87F14">
        <w:rPr>
          <w:rFonts w:ascii="Verdana" w:hAnsi="Verdana"/>
          <w:iCs/>
          <w:spacing w:val="-12"/>
          <w:sz w:val="16"/>
          <w:szCs w:val="16"/>
        </w:rPr>
        <w:t>.</w:t>
      </w:r>
    </w:p>
  </w:footnote>
  <w:footnote w:id="96">
    <w:p w14:paraId="059D6C2D" w14:textId="0527BB4C" w:rsidR="00FE2511" w:rsidRPr="00A87F14" w:rsidRDefault="00FE2511" w:rsidP="00221603">
      <w:pPr>
        <w:pStyle w:val="Textonotapie"/>
        <w:spacing w:before="120" w:after="120"/>
        <w:jc w:val="both"/>
        <w:rPr>
          <w:rFonts w:ascii="Verdana" w:hAnsi="Verdana"/>
          <w:b/>
          <w:bCs/>
          <w:spacing w:val="-12"/>
          <w:sz w:val="16"/>
          <w:szCs w:val="16"/>
        </w:rPr>
      </w:pPr>
      <w:r w:rsidRPr="00A87F14">
        <w:rPr>
          <w:rStyle w:val="Refdenotaalpie"/>
          <w:rFonts w:ascii="Verdana" w:hAnsi="Verdana"/>
          <w:spacing w:val="-12"/>
          <w:sz w:val="16"/>
          <w:szCs w:val="16"/>
        </w:rPr>
        <w:footnoteRef/>
      </w:r>
      <w:r w:rsidRPr="00A87F14">
        <w:rPr>
          <w:rFonts w:ascii="Verdana" w:hAnsi="Verdana"/>
          <w:spacing w:val="-12"/>
          <w:sz w:val="16"/>
          <w:szCs w:val="16"/>
        </w:rPr>
        <w:t xml:space="preserve"> </w:t>
      </w:r>
      <w:r w:rsidRPr="00A87F14">
        <w:rPr>
          <w:rFonts w:ascii="Verdana" w:hAnsi="Verdana"/>
          <w:bCs/>
          <w:i/>
          <w:color w:val="000000"/>
          <w:spacing w:val="-12"/>
          <w:sz w:val="16"/>
          <w:szCs w:val="16"/>
        </w:rPr>
        <w:tab/>
      </w:r>
      <w:r w:rsidRPr="00A87F14">
        <w:rPr>
          <w:rFonts w:ascii="Verdana" w:hAnsi="Verdana"/>
          <w:spacing w:val="-12"/>
          <w:sz w:val="16"/>
          <w:szCs w:val="16"/>
        </w:rPr>
        <w:t xml:space="preserve">Esta apreciación puede ser realizada con base en el principio de equidad y tomando en cuenta los gastos señalados por las partes, siempre que su </w:t>
      </w:r>
      <w:r w:rsidRPr="00A87F14">
        <w:rPr>
          <w:rFonts w:ascii="Verdana" w:hAnsi="Verdana"/>
          <w:i/>
          <w:spacing w:val="-12"/>
          <w:sz w:val="16"/>
          <w:szCs w:val="16"/>
        </w:rPr>
        <w:t>quantum</w:t>
      </w:r>
      <w:r w:rsidRPr="00A87F14">
        <w:rPr>
          <w:rFonts w:ascii="Verdana" w:hAnsi="Verdana"/>
          <w:spacing w:val="-12"/>
          <w:sz w:val="16"/>
          <w:szCs w:val="16"/>
        </w:rPr>
        <w:t xml:space="preserve"> sea razonable.</w:t>
      </w:r>
      <w:r>
        <w:rPr>
          <w:rFonts w:ascii="Verdana" w:hAnsi="Verdana"/>
          <w:spacing w:val="-12"/>
          <w:sz w:val="16"/>
          <w:szCs w:val="16"/>
        </w:rPr>
        <w:t xml:space="preserve"> Además, n</w:t>
      </w:r>
      <w:r w:rsidRPr="00A87F14">
        <w:rPr>
          <w:rFonts w:ascii="Verdana" w:hAnsi="Verdana"/>
          <w:spacing w:val="-12"/>
          <w:sz w:val="16"/>
          <w:szCs w:val="16"/>
        </w:rPr>
        <w:t xml:space="preserve">o es suficiente la remisión de documentos probatorios, sino que se requiere que las partes hagan una argumentación que relacione la prueba con el hecho que se considera representado, y que, al tratarse de alegados desembolsos económicos, se establezcan con claridad los rubros y </w:t>
      </w:r>
      <w:r>
        <w:rPr>
          <w:rFonts w:ascii="Verdana" w:hAnsi="Verdana"/>
          <w:spacing w:val="-12"/>
          <w:sz w:val="16"/>
          <w:szCs w:val="16"/>
        </w:rPr>
        <w:t xml:space="preserve">la justificación de los mismos. </w:t>
      </w:r>
      <w:r w:rsidRPr="00A87F14">
        <w:rPr>
          <w:rFonts w:ascii="Verdana" w:hAnsi="Verdana"/>
          <w:bCs/>
          <w:i/>
          <w:color w:val="000000"/>
          <w:spacing w:val="-12"/>
          <w:sz w:val="16"/>
          <w:szCs w:val="16"/>
        </w:rPr>
        <w:t xml:space="preserve">Cfr. Caso Velásquez Rodríguez Vs. Honduras. Reparaciones, </w:t>
      </w:r>
      <w:r w:rsidRPr="00A87F14">
        <w:rPr>
          <w:rFonts w:ascii="Verdana" w:hAnsi="Verdana"/>
          <w:bCs/>
          <w:color w:val="000000"/>
          <w:spacing w:val="-12"/>
          <w:sz w:val="16"/>
          <w:szCs w:val="16"/>
        </w:rPr>
        <w:t xml:space="preserve">párr. 42, y </w:t>
      </w:r>
      <w:r>
        <w:rPr>
          <w:rFonts w:ascii="Verdana" w:hAnsi="Verdana"/>
          <w:bCs/>
          <w:i/>
          <w:spacing w:val="-12"/>
          <w:sz w:val="16"/>
          <w:szCs w:val="16"/>
        </w:rPr>
        <w:t>C</w:t>
      </w:r>
      <w:r w:rsidRPr="00C043D5">
        <w:rPr>
          <w:rFonts w:ascii="Verdana" w:hAnsi="Verdana"/>
          <w:bCs/>
          <w:i/>
          <w:spacing w:val="-12"/>
          <w:sz w:val="16"/>
          <w:szCs w:val="16"/>
        </w:rPr>
        <w:t>aso L</w:t>
      </w:r>
      <w:r>
        <w:rPr>
          <w:rFonts w:ascii="Verdana" w:hAnsi="Verdana"/>
          <w:bCs/>
          <w:i/>
          <w:spacing w:val="-12"/>
          <w:sz w:val="16"/>
          <w:szCs w:val="16"/>
        </w:rPr>
        <w:t>ópez Soto y otros Vs. Venezuela</w:t>
      </w:r>
      <w:r w:rsidRPr="00BE27D0">
        <w:rPr>
          <w:rFonts w:ascii="Verdana" w:hAnsi="Verdana"/>
          <w:bCs/>
          <w:spacing w:val="-12"/>
          <w:sz w:val="16"/>
          <w:szCs w:val="16"/>
        </w:rPr>
        <w:t>, párr.</w:t>
      </w:r>
      <w:r>
        <w:rPr>
          <w:rFonts w:ascii="Verdana" w:hAnsi="Verdana"/>
          <w:bCs/>
          <w:spacing w:val="-12"/>
          <w:sz w:val="16"/>
          <w:szCs w:val="16"/>
        </w:rPr>
        <w:t xml:space="preserve"> 382.</w:t>
      </w:r>
    </w:p>
  </w:footnote>
  <w:footnote w:id="97">
    <w:p w14:paraId="2802DFE2" w14:textId="310790F1" w:rsidR="00FE2511" w:rsidRPr="00A87F14" w:rsidRDefault="00FE2511" w:rsidP="00221603">
      <w:pPr>
        <w:pStyle w:val="Textonotapie"/>
        <w:spacing w:before="120" w:after="120"/>
        <w:rPr>
          <w:rFonts w:ascii="Verdana" w:hAnsi="Verdana"/>
          <w:sz w:val="16"/>
          <w:szCs w:val="16"/>
        </w:rPr>
      </w:pPr>
      <w:r w:rsidRPr="00A87F14">
        <w:rPr>
          <w:rStyle w:val="Refdenotaalpie"/>
          <w:rFonts w:ascii="Verdana" w:hAnsi="Verdana"/>
          <w:sz w:val="16"/>
          <w:szCs w:val="16"/>
        </w:rPr>
        <w:footnoteRef/>
      </w:r>
      <w:r w:rsidRPr="00A87F14">
        <w:rPr>
          <w:rFonts w:ascii="Verdana" w:hAnsi="Verdana"/>
          <w:sz w:val="16"/>
          <w:szCs w:val="16"/>
        </w:rPr>
        <w:t xml:space="preserve"> </w:t>
      </w:r>
      <w:r w:rsidRPr="00A87F14">
        <w:rPr>
          <w:rFonts w:ascii="Verdana" w:hAnsi="Verdana"/>
          <w:sz w:val="16"/>
          <w:szCs w:val="16"/>
        </w:rPr>
        <w:tab/>
      </w:r>
      <w:r w:rsidRPr="00A87F14">
        <w:rPr>
          <w:rFonts w:ascii="Verdana" w:hAnsi="Verdana"/>
          <w:i/>
          <w:spacing w:val="-12"/>
          <w:sz w:val="16"/>
          <w:szCs w:val="16"/>
        </w:rPr>
        <w:t xml:space="preserve">Cfr., </w:t>
      </w:r>
      <w:r w:rsidRPr="00A87F14">
        <w:rPr>
          <w:rFonts w:ascii="Verdana" w:hAnsi="Verdana"/>
          <w:spacing w:val="-12"/>
          <w:sz w:val="16"/>
          <w:szCs w:val="16"/>
        </w:rPr>
        <w:t xml:space="preserve">en similar sentido, </w:t>
      </w:r>
      <w:r w:rsidRPr="00A87F14">
        <w:rPr>
          <w:rFonts w:ascii="Verdana" w:hAnsi="Verdana"/>
          <w:i/>
          <w:spacing w:val="-12"/>
          <w:sz w:val="16"/>
          <w:szCs w:val="16"/>
          <w:lang w:val="es-MX"/>
        </w:rPr>
        <w:t>Caso San Miguel Sosa y otras vs. Venezuela</w:t>
      </w:r>
      <w:r w:rsidRPr="00A87F14">
        <w:rPr>
          <w:rFonts w:ascii="Verdana" w:hAnsi="Verdana"/>
          <w:spacing w:val="-12"/>
          <w:sz w:val="16"/>
          <w:szCs w:val="16"/>
          <w:lang w:val="es-MX"/>
        </w:rPr>
        <w:t>, párr. 250.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010916"/>
      <w:docPartObj>
        <w:docPartGallery w:val="Page Numbers (Top of Page)"/>
        <w:docPartUnique/>
      </w:docPartObj>
    </w:sdtPr>
    <w:sdtEndPr>
      <w:rPr>
        <w:noProof/>
      </w:rPr>
    </w:sdtEndPr>
    <w:sdtContent>
      <w:p w14:paraId="5DF0CDA6" w14:textId="77777777" w:rsidR="00FE2511" w:rsidRDefault="00FE2511">
        <w:pPr>
          <w:pStyle w:val="Encabezado"/>
          <w:jc w:val="center"/>
          <w:rPr>
            <w:noProof/>
          </w:rPr>
        </w:pPr>
        <w:r>
          <w:t>-</w:t>
        </w:r>
        <w:r>
          <w:fldChar w:fldCharType="begin"/>
        </w:r>
        <w:r>
          <w:instrText xml:space="preserve"> PAGE   \* MERGEFORMAT </w:instrText>
        </w:r>
        <w:r>
          <w:fldChar w:fldCharType="separate"/>
        </w:r>
        <w:r w:rsidR="00BE3FC7">
          <w:rPr>
            <w:noProof/>
          </w:rPr>
          <w:t>18</w:t>
        </w:r>
        <w:r>
          <w:rPr>
            <w:noProof/>
          </w:rPr>
          <w:fldChar w:fldCharType="end"/>
        </w:r>
        <w:r>
          <w:rPr>
            <w:noProof/>
          </w:rPr>
          <w:t>-</w:t>
        </w:r>
      </w:p>
      <w:p w14:paraId="134375BF" w14:textId="66CE4368" w:rsidR="00FE2511" w:rsidRDefault="00BF0AAD" w:rsidP="00B26AA3">
        <w:pPr>
          <w:pStyle w:val="Encabezado"/>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8CE"/>
    <w:multiLevelType w:val="hybridMultilevel"/>
    <w:tmpl w:val="C1E86906"/>
    <w:lvl w:ilvl="0" w:tplc="93162BF4">
      <w:start w:val="1"/>
      <w:numFmt w:val="upperLetter"/>
      <w:lvlText w:val="%1."/>
      <w:lvlJc w:val="left"/>
      <w:pPr>
        <w:ind w:left="720" w:hanging="360"/>
      </w:pPr>
      <w:rPr>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8606361"/>
    <w:multiLevelType w:val="hybridMultilevel"/>
    <w:tmpl w:val="1E142FCE"/>
    <w:lvl w:ilvl="0" w:tplc="3A04FE80">
      <w:start w:val="1"/>
      <w:numFmt w:val="upperLetter"/>
      <w:lvlText w:val="%1."/>
      <w:lvlJc w:val="left"/>
      <w:pPr>
        <w:ind w:left="720" w:hanging="360"/>
      </w:pPr>
      <w:rPr>
        <w:rFonts w:ascii="Verdana" w:hAnsi="Verdana" w:hint="default"/>
        <w:b/>
        <w:i/>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227726B"/>
    <w:multiLevelType w:val="hybridMultilevel"/>
    <w:tmpl w:val="A3DCE292"/>
    <w:lvl w:ilvl="0" w:tplc="ED72D81E">
      <w:start w:val="1"/>
      <w:numFmt w:val="bullet"/>
      <w:lvlText w:val="-"/>
      <w:lvlJc w:val="left"/>
      <w:pPr>
        <w:ind w:left="720" w:hanging="360"/>
      </w:pPr>
      <w:rPr>
        <w:rFonts w:ascii="Verdana" w:eastAsia="Times New Roman" w:hAnsi="Verdan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C7242C8"/>
    <w:multiLevelType w:val="hybridMultilevel"/>
    <w:tmpl w:val="9C04D36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CD075C0"/>
    <w:multiLevelType w:val="hybridMultilevel"/>
    <w:tmpl w:val="84D69A7E"/>
    <w:lvl w:ilvl="0" w:tplc="CE0AD1C2">
      <w:start w:val="1"/>
      <w:numFmt w:val="lowerLetter"/>
      <w:lvlText w:val="%1)"/>
      <w:lvlJc w:val="left"/>
      <w:pPr>
        <w:ind w:left="1367" w:hanging="516"/>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36145BDF"/>
    <w:multiLevelType w:val="hybridMultilevel"/>
    <w:tmpl w:val="8886ECA2"/>
    <w:lvl w:ilvl="0" w:tplc="C41C0E5C">
      <w:start w:val="1"/>
      <w:numFmt w:val="decimal"/>
      <w:lvlText w:val="%1."/>
      <w:lvlJc w:val="left"/>
      <w:pPr>
        <w:ind w:left="0" w:firstLine="0"/>
      </w:pPr>
      <w:rPr>
        <w:rFonts w:ascii="Verdana" w:hAnsi="Verdana" w:hint="default"/>
        <w:b w:val="0"/>
        <w:i w:val="0"/>
        <w:strike w:val="0"/>
        <w:color w:val="auto"/>
        <w:sz w:val="20"/>
        <w:szCs w:val="20"/>
        <w:lang w:val="es-AR"/>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7795779"/>
    <w:multiLevelType w:val="singleLevel"/>
    <w:tmpl w:val="1F2E7A96"/>
    <w:lvl w:ilvl="0">
      <w:start w:val="1"/>
      <w:numFmt w:val="decimal"/>
      <w:lvlText w:val="%1."/>
      <w:lvlJc w:val="left"/>
      <w:pPr>
        <w:tabs>
          <w:tab w:val="num" w:pos="720"/>
        </w:tabs>
        <w:ind w:left="0" w:firstLine="720"/>
      </w:pPr>
      <w:rPr>
        <w:rFonts w:ascii="Cambria" w:hAnsi="Cambria" w:hint="default"/>
        <w:color w:val="auto"/>
        <w:sz w:val="20"/>
        <w:szCs w:val="20"/>
      </w:rPr>
    </w:lvl>
  </w:abstractNum>
  <w:abstractNum w:abstractNumId="7" w15:restartNumberingAfterBreak="0">
    <w:nsid w:val="379C276A"/>
    <w:multiLevelType w:val="hybridMultilevel"/>
    <w:tmpl w:val="69C647CA"/>
    <w:lvl w:ilvl="0" w:tplc="65FA808E">
      <w:start w:val="1"/>
      <w:numFmt w:val="decimal"/>
      <w:lvlText w:val="%1."/>
      <w:lvlJc w:val="left"/>
      <w:pPr>
        <w:ind w:left="2061" w:hanging="360"/>
      </w:pPr>
      <w:rPr>
        <w:rFonts w:ascii="Verdana" w:eastAsia="Times New Roman" w:hAnsi="Verdana" w:hint="default"/>
        <w:color w:val="auto"/>
        <w:sz w:val="18"/>
      </w:rPr>
    </w:lvl>
    <w:lvl w:ilvl="1" w:tplc="140A0019" w:tentative="1">
      <w:start w:val="1"/>
      <w:numFmt w:val="lowerLetter"/>
      <w:lvlText w:val="%2."/>
      <w:lvlJc w:val="left"/>
      <w:pPr>
        <w:ind w:left="2781" w:hanging="360"/>
      </w:pPr>
    </w:lvl>
    <w:lvl w:ilvl="2" w:tplc="140A001B" w:tentative="1">
      <w:start w:val="1"/>
      <w:numFmt w:val="lowerRoman"/>
      <w:lvlText w:val="%3."/>
      <w:lvlJc w:val="right"/>
      <w:pPr>
        <w:ind w:left="3501" w:hanging="180"/>
      </w:pPr>
    </w:lvl>
    <w:lvl w:ilvl="3" w:tplc="140A000F" w:tentative="1">
      <w:start w:val="1"/>
      <w:numFmt w:val="decimal"/>
      <w:lvlText w:val="%4."/>
      <w:lvlJc w:val="left"/>
      <w:pPr>
        <w:ind w:left="4221" w:hanging="360"/>
      </w:pPr>
    </w:lvl>
    <w:lvl w:ilvl="4" w:tplc="140A0019" w:tentative="1">
      <w:start w:val="1"/>
      <w:numFmt w:val="lowerLetter"/>
      <w:lvlText w:val="%5."/>
      <w:lvlJc w:val="left"/>
      <w:pPr>
        <w:ind w:left="4941" w:hanging="360"/>
      </w:pPr>
    </w:lvl>
    <w:lvl w:ilvl="5" w:tplc="140A001B" w:tentative="1">
      <w:start w:val="1"/>
      <w:numFmt w:val="lowerRoman"/>
      <w:lvlText w:val="%6."/>
      <w:lvlJc w:val="right"/>
      <w:pPr>
        <w:ind w:left="5661" w:hanging="180"/>
      </w:pPr>
    </w:lvl>
    <w:lvl w:ilvl="6" w:tplc="140A000F" w:tentative="1">
      <w:start w:val="1"/>
      <w:numFmt w:val="decimal"/>
      <w:lvlText w:val="%7."/>
      <w:lvlJc w:val="left"/>
      <w:pPr>
        <w:ind w:left="6381" w:hanging="360"/>
      </w:pPr>
    </w:lvl>
    <w:lvl w:ilvl="7" w:tplc="140A0019" w:tentative="1">
      <w:start w:val="1"/>
      <w:numFmt w:val="lowerLetter"/>
      <w:lvlText w:val="%8."/>
      <w:lvlJc w:val="left"/>
      <w:pPr>
        <w:ind w:left="7101" w:hanging="360"/>
      </w:pPr>
    </w:lvl>
    <w:lvl w:ilvl="8" w:tplc="140A001B" w:tentative="1">
      <w:start w:val="1"/>
      <w:numFmt w:val="lowerRoman"/>
      <w:lvlText w:val="%9."/>
      <w:lvlJc w:val="right"/>
      <w:pPr>
        <w:ind w:left="7821" w:hanging="180"/>
      </w:pPr>
    </w:lvl>
  </w:abstractNum>
  <w:abstractNum w:abstractNumId="8" w15:restartNumberingAfterBreak="0">
    <w:nsid w:val="38B41D64"/>
    <w:multiLevelType w:val="hybridMultilevel"/>
    <w:tmpl w:val="127ECDD4"/>
    <w:lvl w:ilvl="0" w:tplc="82522CB2">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10" w15:restartNumberingAfterBreak="0">
    <w:nsid w:val="3C303080"/>
    <w:multiLevelType w:val="hybridMultilevel"/>
    <w:tmpl w:val="FA5E765A"/>
    <w:lvl w:ilvl="0" w:tplc="D9564908">
      <w:start w:val="1"/>
      <w:numFmt w:val="decimal"/>
      <w:lvlText w:val="%1."/>
      <w:lvlJc w:val="left"/>
      <w:pPr>
        <w:ind w:left="720" w:hanging="360"/>
      </w:pPr>
      <w:rPr>
        <w:rFonts w:hint="default"/>
        <w:b w:val="0"/>
        <w:i w:val="0"/>
        <w:strike w:val="0"/>
        <w:sz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3C9D01BF"/>
    <w:multiLevelType w:val="hybridMultilevel"/>
    <w:tmpl w:val="F91E776A"/>
    <w:lvl w:ilvl="0" w:tplc="140A0015">
      <w:start w:val="1"/>
      <w:numFmt w:val="upperLetter"/>
      <w:lvlText w:val="%1."/>
      <w:lvlJc w:val="left"/>
      <w:pPr>
        <w:ind w:left="1440" w:hanging="360"/>
      </w:pPr>
    </w:lvl>
    <w:lvl w:ilvl="1" w:tplc="140A0019">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2" w15:restartNumberingAfterBreak="0">
    <w:nsid w:val="4C366D43"/>
    <w:multiLevelType w:val="hybridMultilevel"/>
    <w:tmpl w:val="D1BE0240"/>
    <w:lvl w:ilvl="0" w:tplc="E84A0D6E">
      <w:start w:val="1"/>
      <w:numFmt w:val="upperRoman"/>
      <w:pStyle w:val="Ttulo"/>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CCD1B5F"/>
    <w:multiLevelType w:val="hybridMultilevel"/>
    <w:tmpl w:val="944248FA"/>
    <w:lvl w:ilvl="0" w:tplc="29F6478E">
      <w:start w:val="2"/>
      <w:numFmt w:val="decimal"/>
      <w:lvlText w:val="%1."/>
      <w:lvlJc w:val="left"/>
      <w:pPr>
        <w:ind w:left="360" w:hanging="360"/>
      </w:pPr>
      <w:rPr>
        <w:rFonts w:ascii="Verdana" w:hAnsi="Verdana" w:hint="default"/>
        <w:b w:val="0"/>
        <w:i w:val="0"/>
        <w:color w:val="auto"/>
        <w:sz w:val="20"/>
        <w:szCs w:val="20"/>
      </w:rPr>
    </w:lvl>
    <w:lvl w:ilvl="1" w:tplc="0C0A0019">
      <w:start w:val="1"/>
      <w:numFmt w:val="lowerLetter"/>
      <w:lvlText w:val="%2."/>
      <w:lvlJc w:val="left"/>
      <w:pPr>
        <w:ind w:left="1080" w:hanging="360"/>
      </w:pPr>
    </w:lvl>
    <w:lvl w:ilvl="2" w:tplc="487AF94A">
      <w:start w:val="1"/>
      <w:numFmt w:val="upperLetter"/>
      <w:lvlText w:val="%3."/>
      <w:lvlJc w:val="left"/>
      <w:pPr>
        <w:ind w:left="1980" w:hanging="360"/>
      </w:pPr>
      <w:rPr>
        <w:rFonts w:cs="Tahoma"/>
      </w:r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4" w15:restartNumberingAfterBreak="0">
    <w:nsid w:val="5A8C0434"/>
    <w:multiLevelType w:val="hybridMultilevel"/>
    <w:tmpl w:val="1750BEF8"/>
    <w:lvl w:ilvl="0" w:tplc="CA325ECC">
      <w:start w:val="1"/>
      <w:numFmt w:val="decimal"/>
      <w:lvlText w:val="%1."/>
      <w:lvlJc w:val="left"/>
      <w:pPr>
        <w:ind w:left="720" w:hanging="360"/>
      </w:pPr>
      <w:rPr>
        <w:rFonts w:ascii="Verdana" w:hAnsi="Verdana" w:hint="default"/>
        <w:b w:val="0"/>
        <w:i w:val="0"/>
        <w:strike w:val="0"/>
        <w:sz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5" w15:restartNumberingAfterBreak="0">
    <w:nsid w:val="64781C3D"/>
    <w:multiLevelType w:val="hybridMultilevel"/>
    <w:tmpl w:val="0F463798"/>
    <w:lvl w:ilvl="0" w:tplc="17DC98B6">
      <w:start w:val="1"/>
      <w:numFmt w:val="decimal"/>
      <w:lvlText w:val="%1."/>
      <w:lvlJc w:val="left"/>
      <w:pPr>
        <w:ind w:left="121" w:hanging="724"/>
      </w:pPr>
      <w:rPr>
        <w:rFonts w:hint="default"/>
        <w:w w:val="100"/>
      </w:rPr>
    </w:lvl>
    <w:lvl w:ilvl="1" w:tplc="20E8E6A6">
      <w:numFmt w:val="bullet"/>
      <w:lvlText w:val="•"/>
      <w:lvlJc w:val="left"/>
      <w:pPr>
        <w:ind w:left="1070" w:hanging="724"/>
      </w:pPr>
      <w:rPr>
        <w:rFonts w:hint="default"/>
      </w:rPr>
    </w:lvl>
    <w:lvl w:ilvl="2" w:tplc="1F2C6264">
      <w:numFmt w:val="bullet"/>
      <w:lvlText w:val="•"/>
      <w:lvlJc w:val="left"/>
      <w:pPr>
        <w:ind w:left="2020" w:hanging="724"/>
      </w:pPr>
      <w:rPr>
        <w:rFonts w:hint="default"/>
      </w:rPr>
    </w:lvl>
    <w:lvl w:ilvl="3" w:tplc="18AA8B80">
      <w:numFmt w:val="bullet"/>
      <w:lvlText w:val="•"/>
      <w:lvlJc w:val="left"/>
      <w:pPr>
        <w:ind w:left="2970" w:hanging="724"/>
      </w:pPr>
      <w:rPr>
        <w:rFonts w:hint="default"/>
      </w:rPr>
    </w:lvl>
    <w:lvl w:ilvl="4" w:tplc="3DA659FE">
      <w:numFmt w:val="bullet"/>
      <w:lvlText w:val="•"/>
      <w:lvlJc w:val="left"/>
      <w:pPr>
        <w:ind w:left="3920" w:hanging="724"/>
      </w:pPr>
      <w:rPr>
        <w:rFonts w:hint="default"/>
      </w:rPr>
    </w:lvl>
    <w:lvl w:ilvl="5" w:tplc="C6ECFA5C">
      <w:numFmt w:val="bullet"/>
      <w:lvlText w:val="•"/>
      <w:lvlJc w:val="left"/>
      <w:pPr>
        <w:ind w:left="4870" w:hanging="724"/>
      </w:pPr>
      <w:rPr>
        <w:rFonts w:hint="default"/>
      </w:rPr>
    </w:lvl>
    <w:lvl w:ilvl="6" w:tplc="3774C458">
      <w:numFmt w:val="bullet"/>
      <w:lvlText w:val="•"/>
      <w:lvlJc w:val="left"/>
      <w:pPr>
        <w:ind w:left="5820" w:hanging="724"/>
      </w:pPr>
      <w:rPr>
        <w:rFonts w:hint="default"/>
      </w:rPr>
    </w:lvl>
    <w:lvl w:ilvl="7" w:tplc="FF82C396">
      <w:numFmt w:val="bullet"/>
      <w:lvlText w:val="•"/>
      <w:lvlJc w:val="left"/>
      <w:pPr>
        <w:ind w:left="6770" w:hanging="724"/>
      </w:pPr>
      <w:rPr>
        <w:rFonts w:hint="default"/>
      </w:rPr>
    </w:lvl>
    <w:lvl w:ilvl="8" w:tplc="F3E6437A">
      <w:numFmt w:val="bullet"/>
      <w:lvlText w:val="•"/>
      <w:lvlJc w:val="left"/>
      <w:pPr>
        <w:ind w:left="7720" w:hanging="724"/>
      </w:pPr>
      <w:rPr>
        <w:rFonts w:hint="default"/>
      </w:rPr>
    </w:lvl>
  </w:abstractNum>
  <w:abstractNum w:abstractNumId="16" w15:restartNumberingAfterBreak="0">
    <w:nsid w:val="68CF1623"/>
    <w:multiLevelType w:val="singleLevel"/>
    <w:tmpl w:val="1F2E7A96"/>
    <w:lvl w:ilvl="0">
      <w:start w:val="1"/>
      <w:numFmt w:val="decimal"/>
      <w:lvlText w:val="%1."/>
      <w:lvlJc w:val="left"/>
      <w:pPr>
        <w:tabs>
          <w:tab w:val="num" w:pos="720"/>
        </w:tabs>
        <w:ind w:left="0" w:firstLine="720"/>
      </w:pPr>
      <w:rPr>
        <w:rFonts w:ascii="Cambria" w:hAnsi="Cambria" w:hint="default"/>
        <w:color w:val="auto"/>
        <w:sz w:val="20"/>
        <w:szCs w:val="20"/>
      </w:rPr>
    </w:lvl>
  </w:abstractNum>
  <w:abstractNum w:abstractNumId="17" w15:restartNumberingAfterBreak="0">
    <w:nsid w:val="76DE0778"/>
    <w:multiLevelType w:val="hybridMultilevel"/>
    <w:tmpl w:val="82604106"/>
    <w:lvl w:ilvl="0" w:tplc="E8CED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C1258F"/>
    <w:multiLevelType w:val="hybridMultilevel"/>
    <w:tmpl w:val="A3B02EF6"/>
    <w:lvl w:ilvl="0" w:tplc="01B4A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8B08DD"/>
    <w:multiLevelType w:val="hybridMultilevel"/>
    <w:tmpl w:val="8B5494FE"/>
    <w:lvl w:ilvl="0" w:tplc="59102DE0">
      <w:start w:val="1"/>
      <w:numFmt w:val="upperLetter"/>
      <w:lvlText w:val="%1."/>
      <w:lvlJc w:val="left"/>
      <w:pPr>
        <w:ind w:left="90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7CE64D32"/>
    <w:multiLevelType w:val="hybridMultilevel"/>
    <w:tmpl w:val="E9AAC004"/>
    <w:lvl w:ilvl="0" w:tplc="84C60B70">
      <w:start w:val="1"/>
      <w:numFmt w:val="decimal"/>
      <w:lvlText w:val="%1."/>
      <w:lvlJc w:val="left"/>
      <w:pPr>
        <w:tabs>
          <w:tab w:val="num" w:pos="11028"/>
        </w:tabs>
        <w:ind w:left="0" w:firstLine="0"/>
      </w:pPr>
      <w:rPr>
        <w:rFonts w:ascii="Verdana" w:eastAsia="Times New Roman" w:hAnsi="Verdana"/>
        <w:b w:val="0"/>
        <w:bCs w:val="0"/>
        <w:i w:val="0"/>
        <w:iCs w:val="0"/>
        <w:strike w:val="0"/>
        <w:dstrike w:val="0"/>
        <w:color w:val="auto"/>
        <w:sz w:val="20"/>
        <w:szCs w:val="20"/>
        <w:u w:val="none"/>
        <w:effect w:val="none"/>
        <w:lang w:val="es-ES_tradnl"/>
      </w:rPr>
    </w:lvl>
    <w:lvl w:ilvl="1" w:tplc="140A0019">
      <w:start w:val="1"/>
      <w:numFmt w:val="lowerLetter"/>
      <w:lvlText w:val="%2)"/>
      <w:lvlJc w:val="left"/>
      <w:pPr>
        <w:tabs>
          <w:tab w:val="num" w:pos="1080"/>
        </w:tabs>
        <w:ind w:left="1080" w:hanging="360"/>
      </w:pPr>
      <w:rPr>
        <w:b w:val="0"/>
        <w:bCs w:val="0"/>
        <w:i w:val="0"/>
        <w:iCs w:val="0"/>
        <w:sz w:val="20"/>
        <w:szCs w:val="20"/>
      </w:rPr>
    </w:lvl>
    <w:lvl w:ilvl="2" w:tplc="140A001B">
      <w:start w:val="1"/>
      <w:numFmt w:val="lowerRoman"/>
      <w:lvlText w:val="%3."/>
      <w:lvlJc w:val="right"/>
      <w:pPr>
        <w:tabs>
          <w:tab w:val="num" w:pos="1530"/>
        </w:tabs>
        <w:ind w:left="1530" w:hanging="180"/>
      </w:pPr>
      <w:rPr>
        <w:b w:val="0"/>
        <w:strike w:val="0"/>
        <w:dstrike w:val="0"/>
        <w:u w:val="none"/>
        <w:effect w:val="none"/>
      </w:rPr>
    </w:lvl>
    <w:lvl w:ilvl="3" w:tplc="140A000F">
      <w:start w:val="1"/>
      <w:numFmt w:val="decimal"/>
      <w:lvlText w:val="%4."/>
      <w:lvlJc w:val="left"/>
      <w:pPr>
        <w:tabs>
          <w:tab w:val="num" w:pos="2880"/>
        </w:tabs>
        <w:ind w:left="2880" w:hanging="360"/>
      </w:pPr>
    </w:lvl>
    <w:lvl w:ilvl="4" w:tplc="140A0019">
      <w:start w:val="1"/>
      <w:numFmt w:val="lowerLetter"/>
      <w:pStyle w:val="Ttulo6"/>
      <w:lvlText w:val="%5."/>
      <w:lvlJc w:val="left"/>
      <w:pPr>
        <w:tabs>
          <w:tab w:val="num" w:pos="3600"/>
        </w:tabs>
        <w:ind w:left="3600" w:hanging="360"/>
      </w:pPr>
    </w:lvl>
    <w:lvl w:ilvl="5" w:tplc="140A001B">
      <w:start w:val="1"/>
      <w:numFmt w:val="lowerRoman"/>
      <w:lvlText w:val="%6."/>
      <w:lvlJc w:val="right"/>
      <w:pPr>
        <w:tabs>
          <w:tab w:val="num" w:pos="4320"/>
        </w:tabs>
        <w:ind w:left="4320" w:hanging="180"/>
      </w:pPr>
    </w:lvl>
    <w:lvl w:ilvl="6" w:tplc="140A000F">
      <w:start w:val="1"/>
      <w:numFmt w:val="decimal"/>
      <w:lvlText w:val="%7."/>
      <w:lvlJc w:val="left"/>
      <w:pPr>
        <w:tabs>
          <w:tab w:val="num" w:pos="5040"/>
        </w:tabs>
        <w:ind w:left="5040" w:hanging="360"/>
      </w:pPr>
    </w:lvl>
    <w:lvl w:ilvl="7" w:tplc="140A0019">
      <w:start w:val="1"/>
      <w:numFmt w:val="lowerLetter"/>
      <w:lvlText w:val="%8."/>
      <w:lvlJc w:val="left"/>
      <w:pPr>
        <w:tabs>
          <w:tab w:val="num" w:pos="5760"/>
        </w:tabs>
        <w:ind w:left="5760" w:hanging="360"/>
      </w:pPr>
    </w:lvl>
    <w:lvl w:ilvl="8" w:tplc="140A001B">
      <w:start w:val="1"/>
      <w:numFmt w:val="lowerRoman"/>
      <w:lvlText w:val="%9."/>
      <w:lvlJc w:val="right"/>
      <w:pPr>
        <w:tabs>
          <w:tab w:val="num" w:pos="6480"/>
        </w:tabs>
        <w:ind w:left="6480" w:hanging="180"/>
      </w:pPr>
    </w:lvl>
  </w:abstractNum>
  <w:abstractNum w:abstractNumId="21" w15:restartNumberingAfterBreak="0">
    <w:nsid w:val="7ECC36F6"/>
    <w:multiLevelType w:val="hybridMultilevel"/>
    <w:tmpl w:val="3FB08DBE"/>
    <w:lvl w:ilvl="0" w:tplc="7D0A5278">
      <w:start w:val="1"/>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00933548">
    <w:abstractNumId w:val="12"/>
  </w:num>
  <w:num w:numId="2" w16cid:durableId="1952392802">
    <w:abstractNumId w:val="14"/>
  </w:num>
  <w:num w:numId="3" w16cid:durableId="8975936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5733797">
    <w:abstractNumId w:val="3"/>
  </w:num>
  <w:num w:numId="5" w16cid:durableId="221261326">
    <w:abstractNumId w:val="2"/>
  </w:num>
  <w:num w:numId="6" w16cid:durableId="1400515460">
    <w:abstractNumId w:val="0"/>
  </w:num>
  <w:num w:numId="7" w16cid:durableId="1055542951">
    <w:abstractNumId w:val="21"/>
  </w:num>
  <w:num w:numId="8" w16cid:durableId="1960338223">
    <w:abstractNumId w:val="18"/>
  </w:num>
  <w:num w:numId="9" w16cid:durableId="17551296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5480337">
    <w:abstractNumId w:val="8"/>
  </w:num>
  <w:num w:numId="11" w16cid:durableId="1995136370">
    <w:abstractNumId w:val="9"/>
  </w:num>
  <w:num w:numId="12" w16cid:durableId="1922788321">
    <w:abstractNumId w:val="11"/>
  </w:num>
  <w:num w:numId="13" w16cid:durableId="1072463208">
    <w:abstractNumId w:val="1"/>
  </w:num>
  <w:num w:numId="14" w16cid:durableId="826557599">
    <w:abstractNumId w:val="7"/>
  </w:num>
  <w:num w:numId="15" w16cid:durableId="494806326">
    <w:abstractNumId w:val="15"/>
  </w:num>
  <w:num w:numId="16" w16cid:durableId="257643486">
    <w:abstractNumId w:val="6"/>
  </w:num>
  <w:num w:numId="17" w16cid:durableId="213236318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3677349">
    <w:abstractNumId w:val="5"/>
  </w:num>
  <w:num w:numId="19" w16cid:durableId="765342426">
    <w:abstractNumId w:val="10"/>
  </w:num>
  <w:num w:numId="20" w16cid:durableId="2116828220">
    <w:abstractNumId w:val="17"/>
  </w:num>
  <w:num w:numId="21" w16cid:durableId="1722553475">
    <w:abstractNumId w:val="16"/>
  </w:num>
  <w:num w:numId="22" w16cid:durableId="13502592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8603181">
    <w:abstractNumId w:val="13"/>
  </w:num>
  <w:num w:numId="24" w16cid:durableId="182813096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B9D"/>
    <w:rsid w:val="000000BA"/>
    <w:rsid w:val="0000029C"/>
    <w:rsid w:val="0000177E"/>
    <w:rsid w:val="000019B7"/>
    <w:rsid w:val="00001CBE"/>
    <w:rsid w:val="00003085"/>
    <w:rsid w:val="00003666"/>
    <w:rsid w:val="00003B28"/>
    <w:rsid w:val="00005261"/>
    <w:rsid w:val="0000528C"/>
    <w:rsid w:val="00005558"/>
    <w:rsid w:val="00006468"/>
    <w:rsid w:val="000065E4"/>
    <w:rsid w:val="00006AFA"/>
    <w:rsid w:val="00006D1C"/>
    <w:rsid w:val="00007093"/>
    <w:rsid w:val="00007F91"/>
    <w:rsid w:val="000107A4"/>
    <w:rsid w:val="00010C24"/>
    <w:rsid w:val="000115B0"/>
    <w:rsid w:val="00011AB2"/>
    <w:rsid w:val="0001283D"/>
    <w:rsid w:val="0001299B"/>
    <w:rsid w:val="00012A44"/>
    <w:rsid w:val="00013B43"/>
    <w:rsid w:val="0001475C"/>
    <w:rsid w:val="0001600C"/>
    <w:rsid w:val="0001617D"/>
    <w:rsid w:val="000179CD"/>
    <w:rsid w:val="00020033"/>
    <w:rsid w:val="00020431"/>
    <w:rsid w:val="000204E3"/>
    <w:rsid w:val="00020607"/>
    <w:rsid w:val="00021713"/>
    <w:rsid w:val="000221C1"/>
    <w:rsid w:val="000223FD"/>
    <w:rsid w:val="00022566"/>
    <w:rsid w:val="00022FC0"/>
    <w:rsid w:val="00023547"/>
    <w:rsid w:val="0002398E"/>
    <w:rsid w:val="00024D06"/>
    <w:rsid w:val="00024F16"/>
    <w:rsid w:val="000252DF"/>
    <w:rsid w:val="00026161"/>
    <w:rsid w:val="0002625A"/>
    <w:rsid w:val="000263E6"/>
    <w:rsid w:val="00026ACA"/>
    <w:rsid w:val="000300A0"/>
    <w:rsid w:val="00030215"/>
    <w:rsid w:val="0003164C"/>
    <w:rsid w:val="000324F5"/>
    <w:rsid w:val="00033D5F"/>
    <w:rsid w:val="00033E50"/>
    <w:rsid w:val="00034DAD"/>
    <w:rsid w:val="00035348"/>
    <w:rsid w:val="0003551C"/>
    <w:rsid w:val="000358E5"/>
    <w:rsid w:val="00035E35"/>
    <w:rsid w:val="0003604F"/>
    <w:rsid w:val="00036F36"/>
    <w:rsid w:val="000375D0"/>
    <w:rsid w:val="00037942"/>
    <w:rsid w:val="0004265A"/>
    <w:rsid w:val="00042F6A"/>
    <w:rsid w:val="00043455"/>
    <w:rsid w:val="00043839"/>
    <w:rsid w:val="00043AA7"/>
    <w:rsid w:val="00044796"/>
    <w:rsid w:val="00045191"/>
    <w:rsid w:val="00045603"/>
    <w:rsid w:val="0004575C"/>
    <w:rsid w:val="000476B1"/>
    <w:rsid w:val="000505F4"/>
    <w:rsid w:val="00051038"/>
    <w:rsid w:val="00051EAA"/>
    <w:rsid w:val="000520B8"/>
    <w:rsid w:val="00052650"/>
    <w:rsid w:val="000528AE"/>
    <w:rsid w:val="00053ACE"/>
    <w:rsid w:val="00054913"/>
    <w:rsid w:val="000551E7"/>
    <w:rsid w:val="000556D5"/>
    <w:rsid w:val="00055A51"/>
    <w:rsid w:val="00057D91"/>
    <w:rsid w:val="00060118"/>
    <w:rsid w:val="00061E6F"/>
    <w:rsid w:val="00062500"/>
    <w:rsid w:val="0006257C"/>
    <w:rsid w:val="00062EAE"/>
    <w:rsid w:val="00063110"/>
    <w:rsid w:val="000637F9"/>
    <w:rsid w:val="00064379"/>
    <w:rsid w:val="0006451D"/>
    <w:rsid w:val="000645B4"/>
    <w:rsid w:val="00065013"/>
    <w:rsid w:val="00065339"/>
    <w:rsid w:val="00066664"/>
    <w:rsid w:val="00066851"/>
    <w:rsid w:val="00066BA1"/>
    <w:rsid w:val="00066E1C"/>
    <w:rsid w:val="00070454"/>
    <w:rsid w:val="000711BF"/>
    <w:rsid w:val="000726E1"/>
    <w:rsid w:val="00073A6B"/>
    <w:rsid w:val="000750A9"/>
    <w:rsid w:val="00075D2D"/>
    <w:rsid w:val="00076046"/>
    <w:rsid w:val="000770D5"/>
    <w:rsid w:val="0007740C"/>
    <w:rsid w:val="00077B26"/>
    <w:rsid w:val="00080BF8"/>
    <w:rsid w:val="00082E95"/>
    <w:rsid w:val="00083D3E"/>
    <w:rsid w:val="00084A1E"/>
    <w:rsid w:val="00084B5E"/>
    <w:rsid w:val="0008518E"/>
    <w:rsid w:val="000859A7"/>
    <w:rsid w:val="00085CA7"/>
    <w:rsid w:val="0008630B"/>
    <w:rsid w:val="0008706F"/>
    <w:rsid w:val="0008724E"/>
    <w:rsid w:val="00087EF3"/>
    <w:rsid w:val="00090712"/>
    <w:rsid w:val="0009086A"/>
    <w:rsid w:val="00090C4D"/>
    <w:rsid w:val="00090E37"/>
    <w:rsid w:val="0009101D"/>
    <w:rsid w:val="000916B1"/>
    <w:rsid w:val="00092067"/>
    <w:rsid w:val="0009388B"/>
    <w:rsid w:val="00094349"/>
    <w:rsid w:val="000951DD"/>
    <w:rsid w:val="00096063"/>
    <w:rsid w:val="000963E0"/>
    <w:rsid w:val="000964E5"/>
    <w:rsid w:val="0009694D"/>
    <w:rsid w:val="00096C91"/>
    <w:rsid w:val="000972AF"/>
    <w:rsid w:val="00097648"/>
    <w:rsid w:val="00097B6C"/>
    <w:rsid w:val="00097EAE"/>
    <w:rsid w:val="000A1252"/>
    <w:rsid w:val="000A1430"/>
    <w:rsid w:val="000A21A5"/>
    <w:rsid w:val="000A25C0"/>
    <w:rsid w:val="000A30DD"/>
    <w:rsid w:val="000A32D0"/>
    <w:rsid w:val="000A3AA5"/>
    <w:rsid w:val="000A492C"/>
    <w:rsid w:val="000A4BE8"/>
    <w:rsid w:val="000A5EE6"/>
    <w:rsid w:val="000A646B"/>
    <w:rsid w:val="000A797E"/>
    <w:rsid w:val="000B0027"/>
    <w:rsid w:val="000B050A"/>
    <w:rsid w:val="000B2AB5"/>
    <w:rsid w:val="000B2EE3"/>
    <w:rsid w:val="000B32E1"/>
    <w:rsid w:val="000B55DF"/>
    <w:rsid w:val="000B566B"/>
    <w:rsid w:val="000B56AD"/>
    <w:rsid w:val="000B5ECA"/>
    <w:rsid w:val="000B5F07"/>
    <w:rsid w:val="000B6193"/>
    <w:rsid w:val="000B61E7"/>
    <w:rsid w:val="000B62B8"/>
    <w:rsid w:val="000B6695"/>
    <w:rsid w:val="000C0060"/>
    <w:rsid w:val="000C078D"/>
    <w:rsid w:val="000C081E"/>
    <w:rsid w:val="000C091F"/>
    <w:rsid w:val="000C3090"/>
    <w:rsid w:val="000C3948"/>
    <w:rsid w:val="000C3996"/>
    <w:rsid w:val="000C40F0"/>
    <w:rsid w:val="000C4C0D"/>
    <w:rsid w:val="000C59CE"/>
    <w:rsid w:val="000C6343"/>
    <w:rsid w:val="000C63E9"/>
    <w:rsid w:val="000C660C"/>
    <w:rsid w:val="000C6EAA"/>
    <w:rsid w:val="000C7546"/>
    <w:rsid w:val="000C757E"/>
    <w:rsid w:val="000D03EA"/>
    <w:rsid w:val="000D0B4B"/>
    <w:rsid w:val="000D0ED2"/>
    <w:rsid w:val="000D10A0"/>
    <w:rsid w:val="000D1593"/>
    <w:rsid w:val="000D1B10"/>
    <w:rsid w:val="000D21E7"/>
    <w:rsid w:val="000D230D"/>
    <w:rsid w:val="000D2DCF"/>
    <w:rsid w:val="000D3900"/>
    <w:rsid w:val="000D39A2"/>
    <w:rsid w:val="000D4EE0"/>
    <w:rsid w:val="000D619C"/>
    <w:rsid w:val="000D6AB9"/>
    <w:rsid w:val="000D6EFC"/>
    <w:rsid w:val="000E1192"/>
    <w:rsid w:val="000E1EA2"/>
    <w:rsid w:val="000E36B1"/>
    <w:rsid w:val="000E4001"/>
    <w:rsid w:val="000E417F"/>
    <w:rsid w:val="000E5046"/>
    <w:rsid w:val="000E5076"/>
    <w:rsid w:val="000E5D1D"/>
    <w:rsid w:val="000E730B"/>
    <w:rsid w:val="000F00FB"/>
    <w:rsid w:val="000F067E"/>
    <w:rsid w:val="000F08AD"/>
    <w:rsid w:val="000F0A36"/>
    <w:rsid w:val="000F20DF"/>
    <w:rsid w:val="000F2D66"/>
    <w:rsid w:val="000F309A"/>
    <w:rsid w:val="000F3837"/>
    <w:rsid w:val="000F3B7F"/>
    <w:rsid w:val="000F411C"/>
    <w:rsid w:val="000F60D6"/>
    <w:rsid w:val="000F7A42"/>
    <w:rsid w:val="001010B2"/>
    <w:rsid w:val="00101258"/>
    <w:rsid w:val="001016CE"/>
    <w:rsid w:val="001016E7"/>
    <w:rsid w:val="00101871"/>
    <w:rsid w:val="00102011"/>
    <w:rsid w:val="00102B23"/>
    <w:rsid w:val="00102E21"/>
    <w:rsid w:val="001038F1"/>
    <w:rsid w:val="00103D54"/>
    <w:rsid w:val="0010556B"/>
    <w:rsid w:val="00105576"/>
    <w:rsid w:val="00107F23"/>
    <w:rsid w:val="001102B9"/>
    <w:rsid w:val="00111197"/>
    <w:rsid w:val="00112029"/>
    <w:rsid w:val="001138AC"/>
    <w:rsid w:val="00113AAA"/>
    <w:rsid w:val="0011473D"/>
    <w:rsid w:val="00115292"/>
    <w:rsid w:val="00116033"/>
    <w:rsid w:val="00117BCC"/>
    <w:rsid w:val="00120C80"/>
    <w:rsid w:val="001215A1"/>
    <w:rsid w:val="001215EE"/>
    <w:rsid w:val="001234D6"/>
    <w:rsid w:val="00124171"/>
    <w:rsid w:val="00124212"/>
    <w:rsid w:val="00124383"/>
    <w:rsid w:val="001263DE"/>
    <w:rsid w:val="001266DA"/>
    <w:rsid w:val="00126FF2"/>
    <w:rsid w:val="00127219"/>
    <w:rsid w:val="00127604"/>
    <w:rsid w:val="001318A3"/>
    <w:rsid w:val="00131A2D"/>
    <w:rsid w:val="00131C74"/>
    <w:rsid w:val="00131D53"/>
    <w:rsid w:val="0013269C"/>
    <w:rsid w:val="001328FB"/>
    <w:rsid w:val="00133FAD"/>
    <w:rsid w:val="00134BCA"/>
    <w:rsid w:val="00134CE7"/>
    <w:rsid w:val="00135EB3"/>
    <w:rsid w:val="00136047"/>
    <w:rsid w:val="00136BC0"/>
    <w:rsid w:val="001373AC"/>
    <w:rsid w:val="00137C0A"/>
    <w:rsid w:val="00137E54"/>
    <w:rsid w:val="001405F1"/>
    <w:rsid w:val="00141575"/>
    <w:rsid w:val="0014196C"/>
    <w:rsid w:val="0014352E"/>
    <w:rsid w:val="001439C2"/>
    <w:rsid w:val="0014486E"/>
    <w:rsid w:val="00145412"/>
    <w:rsid w:val="001454EB"/>
    <w:rsid w:val="001459B2"/>
    <w:rsid w:val="00146001"/>
    <w:rsid w:val="00146765"/>
    <w:rsid w:val="00147563"/>
    <w:rsid w:val="00147A91"/>
    <w:rsid w:val="00147AAB"/>
    <w:rsid w:val="001504A1"/>
    <w:rsid w:val="00150AC2"/>
    <w:rsid w:val="00150FD6"/>
    <w:rsid w:val="00151873"/>
    <w:rsid w:val="00152F90"/>
    <w:rsid w:val="00153E3E"/>
    <w:rsid w:val="00154BE5"/>
    <w:rsid w:val="00154CE6"/>
    <w:rsid w:val="00155E51"/>
    <w:rsid w:val="00156588"/>
    <w:rsid w:val="00157A69"/>
    <w:rsid w:val="0016054E"/>
    <w:rsid w:val="001609D0"/>
    <w:rsid w:val="00160F33"/>
    <w:rsid w:val="00161D93"/>
    <w:rsid w:val="00162008"/>
    <w:rsid w:val="0016220F"/>
    <w:rsid w:val="00162F1A"/>
    <w:rsid w:val="001638DE"/>
    <w:rsid w:val="00163962"/>
    <w:rsid w:val="00164C07"/>
    <w:rsid w:val="001651FA"/>
    <w:rsid w:val="00165CFB"/>
    <w:rsid w:val="00167645"/>
    <w:rsid w:val="00170170"/>
    <w:rsid w:val="00170759"/>
    <w:rsid w:val="001707A1"/>
    <w:rsid w:val="00170EBD"/>
    <w:rsid w:val="0017324B"/>
    <w:rsid w:val="00173CEC"/>
    <w:rsid w:val="0017736C"/>
    <w:rsid w:val="001775B9"/>
    <w:rsid w:val="00177A24"/>
    <w:rsid w:val="00177ADB"/>
    <w:rsid w:val="00177B29"/>
    <w:rsid w:val="00180048"/>
    <w:rsid w:val="001817CE"/>
    <w:rsid w:val="001824FE"/>
    <w:rsid w:val="00182644"/>
    <w:rsid w:val="001836D0"/>
    <w:rsid w:val="0018417B"/>
    <w:rsid w:val="00184D90"/>
    <w:rsid w:val="00184E05"/>
    <w:rsid w:val="001860A0"/>
    <w:rsid w:val="00190331"/>
    <w:rsid w:val="00190884"/>
    <w:rsid w:val="00190B2B"/>
    <w:rsid w:val="0019111E"/>
    <w:rsid w:val="00191C7F"/>
    <w:rsid w:val="00192B0F"/>
    <w:rsid w:val="001933FF"/>
    <w:rsid w:val="001936CF"/>
    <w:rsid w:val="00193EC2"/>
    <w:rsid w:val="0019499D"/>
    <w:rsid w:val="00196209"/>
    <w:rsid w:val="00196B81"/>
    <w:rsid w:val="00197D48"/>
    <w:rsid w:val="00197F42"/>
    <w:rsid w:val="00197FDF"/>
    <w:rsid w:val="001A0397"/>
    <w:rsid w:val="001A057F"/>
    <w:rsid w:val="001A0AAE"/>
    <w:rsid w:val="001A0C98"/>
    <w:rsid w:val="001A0D09"/>
    <w:rsid w:val="001A0E0A"/>
    <w:rsid w:val="001A0E16"/>
    <w:rsid w:val="001A1594"/>
    <w:rsid w:val="001A15D2"/>
    <w:rsid w:val="001A1D59"/>
    <w:rsid w:val="001A30E3"/>
    <w:rsid w:val="001A36B2"/>
    <w:rsid w:val="001A43D0"/>
    <w:rsid w:val="001A4846"/>
    <w:rsid w:val="001A5D64"/>
    <w:rsid w:val="001A6B6E"/>
    <w:rsid w:val="001A6E59"/>
    <w:rsid w:val="001A6EED"/>
    <w:rsid w:val="001A7170"/>
    <w:rsid w:val="001B080D"/>
    <w:rsid w:val="001B149F"/>
    <w:rsid w:val="001B1C4E"/>
    <w:rsid w:val="001B1F75"/>
    <w:rsid w:val="001B2857"/>
    <w:rsid w:val="001B2C9F"/>
    <w:rsid w:val="001B413C"/>
    <w:rsid w:val="001B5B1D"/>
    <w:rsid w:val="001B64C1"/>
    <w:rsid w:val="001B775A"/>
    <w:rsid w:val="001B7978"/>
    <w:rsid w:val="001C0914"/>
    <w:rsid w:val="001C1291"/>
    <w:rsid w:val="001C1D64"/>
    <w:rsid w:val="001C26AF"/>
    <w:rsid w:val="001C27C8"/>
    <w:rsid w:val="001C3509"/>
    <w:rsid w:val="001C4A38"/>
    <w:rsid w:val="001C4E00"/>
    <w:rsid w:val="001C4F1B"/>
    <w:rsid w:val="001C4F23"/>
    <w:rsid w:val="001C54BE"/>
    <w:rsid w:val="001C5E56"/>
    <w:rsid w:val="001C680F"/>
    <w:rsid w:val="001C7431"/>
    <w:rsid w:val="001C75F6"/>
    <w:rsid w:val="001C7D5A"/>
    <w:rsid w:val="001D0142"/>
    <w:rsid w:val="001D07D0"/>
    <w:rsid w:val="001D0EE1"/>
    <w:rsid w:val="001D1252"/>
    <w:rsid w:val="001D2FDA"/>
    <w:rsid w:val="001D4020"/>
    <w:rsid w:val="001D4D07"/>
    <w:rsid w:val="001D5B90"/>
    <w:rsid w:val="001D631A"/>
    <w:rsid w:val="001D6943"/>
    <w:rsid w:val="001D6A32"/>
    <w:rsid w:val="001D7009"/>
    <w:rsid w:val="001D7227"/>
    <w:rsid w:val="001D7829"/>
    <w:rsid w:val="001D7CF1"/>
    <w:rsid w:val="001E019E"/>
    <w:rsid w:val="001E051F"/>
    <w:rsid w:val="001E0CAD"/>
    <w:rsid w:val="001E0E7B"/>
    <w:rsid w:val="001E1091"/>
    <w:rsid w:val="001E13BC"/>
    <w:rsid w:val="001E195E"/>
    <w:rsid w:val="001E3328"/>
    <w:rsid w:val="001E368F"/>
    <w:rsid w:val="001E74F5"/>
    <w:rsid w:val="001E7AD9"/>
    <w:rsid w:val="001F2071"/>
    <w:rsid w:val="001F229B"/>
    <w:rsid w:val="001F22E1"/>
    <w:rsid w:val="001F2F6C"/>
    <w:rsid w:val="001F389B"/>
    <w:rsid w:val="001F392F"/>
    <w:rsid w:val="001F3A90"/>
    <w:rsid w:val="001F3CD6"/>
    <w:rsid w:val="001F4FAC"/>
    <w:rsid w:val="001F56C5"/>
    <w:rsid w:val="001F5BBE"/>
    <w:rsid w:val="001F65B9"/>
    <w:rsid w:val="001F6936"/>
    <w:rsid w:val="001F7282"/>
    <w:rsid w:val="001F72BB"/>
    <w:rsid w:val="001F7C1B"/>
    <w:rsid w:val="0020117D"/>
    <w:rsid w:val="00201BDD"/>
    <w:rsid w:val="0020252F"/>
    <w:rsid w:val="00202A69"/>
    <w:rsid w:val="00202B42"/>
    <w:rsid w:val="0020384C"/>
    <w:rsid w:val="0020420D"/>
    <w:rsid w:val="002049C7"/>
    <w:rsid w:val="00205F66"/>
    <w:rsid w:val="0020690A"/>
    <w:rsid w:val="00210670"/>
    <w:rsid w:val="002109DA"/>
    <w:rsid w:val="002109DF"/>
    <w:rsid w:val="002120B0"/>
    <w:rsid w:val="00213F04"/>
    <w:rsid w:val="00213FF8"/>
    <w:rsid w:val="002151F7"/>
    <w:rsid w:val="00215953"/>
    <w:rsid w:val="00215D6E"/>
    <w:rsid w:val="002161AC"/>
    <w:rsid w:val="002165C2"/>
    <w:rsid w:val="002174DB"/>
    <w:rsid w:val="00217A8C"/>
    <w:rsid w:val="0022004D"/>
    <w:rsid w:val="0022083E"/>
    <w:rsid w:val="00220DA2"/>
    <w:rsid w:val="00221603"/>
    <w:rsid w:val="002221DE"/>
    <w:rsid w:val="00223564"/>
    <w:rsid w:val="00223E78"/>
    <w:rsid w:val="00223F20"/>
    <w:rsid w:val="00223F96"/>
    <w:rsid w:val="00224419"/>
    <w:rsid w:val="00224DD0"/>
    <w:rsid w:val="00224EDB"/>
    <w:rsid w:val="00225911"/>
    <w:rsid w:val="00225BD1"/>
    <w:rsid w:val="00227148"/>
    <w:rsid w:val="00227F13"/>
    <w:rsid w:val="002305B5"/>
    <w:rsid w:val="00230E35"/>
    <w:rsid w:val="00231E74"/>
    <w:rsid w:val="002325CD"/>
    <w:rsid w:val="00233B7B"/>
    <w:rsid w:val="0023428C"/>
    <w:rsid w:val="00234333"/>
    <w:rsid w:val="00235596"/>
    <w:rsid w:val="00235954"/>
    <w:rsid w:val="00236403"/>
    <w:rsid w:val="00236DD0"/>
    <w:rsid w:val="00236EBC"/>
    <w:rsid w:val="00237139"/>
    <w:rsid w:val="00237960"/>
    <w:rsid w:val="002409F8"/>
    <w:rsid w:val="00241043"/>
    <w:rsid w:val="00241F5D"/>
    <w:rsid w:val="00243096"/>
    <w:rsid w:val="002435FB"/>
    <w:rsid w:val="00243920"/>
    <w:rsid w:val="00244581"/>
    <w:rsid w:val="002445CA"/>
    <w:rsid w:val="00244E41"/>
    <w:rsid w:val="00245DC3"/>
    <w:rsid w:val="00245E3A"/>
    <w:rsid w:val="00246911"/>
    <w:rsid w:val="002470CB"/>
    <w:rsid w:val="002475B0"/>
    <w:rsid w:val="002478BA"/>
    <w:rsid w:val="00247A3C"/>
    <w:rsid w:val="002504FB"/>
    <w:rsid w:val="0025259B"/>
    <w:rsid w:val="00253164"/>
    <w:rsid w:val="00253249"/>
    <w:rsid w:val="00253DE0"/>
    <w:rsid w:val="00254523"/>
    <w:rsid w:val="0025490D"/>
    <w:rsid w:val="00255C1A"/>
    <w:rsid w:val="002569C0"/>
    <w:rsid w:val="00256CD6"/>
    <w:rsid w:val="002572BE"/>
    <w:rsid w:val="00257380"/>
    <w:rsid w:val="0026068A"/>
    <w:rsid w:val="002617CB"/>
    <w:rsid w:val="00262602"/>
    <w:rsid w:val="00262A6C"/>
    <w:rsid w:val="00263228"/>
    <w:rsid w:val="00263244"/>
    <w:rsid w:val="00263797"/>
    <w:rsid w:val="00263F39"/>
    <w:rsid w:val="00264A2A"/>
    <w:rsid w:val="00265379"/>
    <w:rsid w:val="00265477"/>
    <w:rsid w:val="00265629"/>
    <w:rsid w:val="00266294"/>
    <w:rsid w:val="0026645B"/>
    <w:rsid w:val="00266706"/>
    <w:rsid w:val="00266FFF"/>
    <w:rsid w:val="00270D5D"/>
    <w:rsid w:val="0027113D"/>
    <w:rsid w:val="0027165F"/>
    <w:rsid w:val="002731E1"/>
    <w:rsid w:val="00273484"/>
    <w:rsid w:val="0027400D"/>
    <w:rsid w:val="00274807"/>
    <w:rsid w:val="00274C26"/>
    <w:rsid w:val="00275B88"/>
    <w:rsid w:val="00275BD8"/>
    <w:rsid w:val="00275D40"/>
    <w:rsid w:val="00276073"/>
    <w:rsid w:val="002762BD"/>
    <w:rsid w:val="002769A4"/>
    <w:rsid w:val="00276FE5"/>
    <w:rsid w:val="00277A8A"/>
    <w:rsid w:val="00277D26"/>
    <w:rsid w:val="00277F1A"/>
    <w:rsid w:val="0028072B"/>
    <w:rsid w:val="00280E0F"/>
    <w:rsid w:val="00281B23"/>
    <w:rsid w:val="002822EC"/>
    <w:rsid w:val="002827DA"/>
    <w:rsid w:val="00283289"/>
    <w:rsid w:val="002835E7"/>
    <w:rsid w:val="00283651"/>
    <w:rsid w:val="00283CBA"/>
    <w:rsid w:val="002855AB"/>
    <w:rsid w:val="002866D5"/>
    <w:rsid w:val="00286953"/>
    <w:rsid w:val="00286996"/>
    <w:rsid w:val="00286CB3"/>
    <w:rsid w:val="00287404"/>
    <w:rsid w:val="00287868"/>
    <w:rsid w:val="00287B29"/>
    <w:rsid w:val="00290EBF"/>
    <w:rsid w:val="0029101F"/>
    <w:rsid w:val="0029148D"/>
    <w:rsid w:val="002925AB"/>
    <w:rsid w:val="0029319E"/>
    <w:rsid w:val="00293B5A"/>
    <w:rsid w:val="00294A8F"/>
    <w:rsid w:val="00294EE7"/>
    <w:rsid w:val="00295656"/>
    <w:rsid w:val="00295698"/>
    <w:rsid w:val="002959C4"/>
    <w:rsid w:val="00296083"/>
    <w:rsid w:val="0029694C"/>
    <w:rsid w:val="00296DC1"/>
    <w:rsid w:val="00297155"/>
    <w:rsid w:val="002974CD"/>
    <w:rsid w:val="00297A6B"/>
    <w:rsid w:val="002A0035"/>
    <w:rsid w:val="002A0B81"/>
    <w:rsid w:val="002A2119"/>
    <w:rsid w:val="002A25A3"/>
    <w:rsid w:val="002A2F91"/>
    <w:rsid w:val="002A317B"/>
    <w:rsid w:val="002A4031"/>
    <w:rsid w:val="002A4709"/>
    <w:rsid w:val="002A500E"/>
    <w:rsid w:val="002A5351"/>
    <w:rsid w:val="002A545B"/>
    <w:rsid w:val="002A5963"/>
    <w:rsid w:val="002A5C39"/>
    <w:rsid w:val="002A6EE4"/>
    <w:rsid w:val="002B0CEB"/>
    <w:rsid w:val="002B0EC0"/>
    <w:rsid w:val="002B0F81"/>
    <w:rsid w:val="002B0F9E"/>
    <w:rsid w:val="002B1E79"/>
    <w:rsid w:val="002B2472"/>
    <w:rsid w:val="002B255B"/>
    <w:rsid w:val="002B2641"/>
    <w:rsid w:val="002B298A"/>
    <w:rsid w:val="002B2C41"/>
    <w:rsid w:val="002B2C65"/>
    <w:rsid w:val="002B2C70"/>
    <w:rsid w:val="002B38DC"/>
    <w:rsid w:val="002B3B01"/>
    <w:rsid w:val="002B3FEB"/>
    <w:rsid w:val="002B6442"/>
    <w:rsid w:val="002B6AF4"/>
    <w:rsid w:val="002B6BAD"/>
    <w:rsid w:val="002B7811"/>
    <w:rsid w:val="002C23C8"/>
    <w:rsid w:val="002C2FA4"/>
    <w:rsid w:val="002C337F"/>
    <w:rsid w:val="002C399B"/>
    <w:rsid w:val="002C3A33"/>
    <w:rsid w:val="002C521A"/>
    <w:rsid w:val="002C5AF8"/>
    <w:rsid w:val="002C6D47"/>
    <w:rsid w:val="002C70FA"/>
    <w:rsid w:val="002C71B2"/>
    <w:rsid w:val="002C7A3E"/>
    <w:rsid w:val="002C7DD9"/>
    <w:rsid w:val="002D04BA"/>
    <w:rsid w:val="002D05F0"/>
    <w:rsid w:val="002D08DF"/>
    <w:rsid w:val="002D12C6"/>
    <w:rsid w:val="002D1E23"/>
    <w:rsid w:val="002D227A"/>
    <w:rsid w:val="002D23AB"/>
    <w:rsid w:val="002D259A"/>
    <w:rsid w:val="002D27FE"/>
    <w:rsid w:val="002D2D9E"/>
    <w:rsid w:val="002D3233"/>
    <w:rsid w:val="002D5266"/>
    <w:rsid w:val="002D5CAB"/>
    <w:rsid w:val="002D6F5D"/>
    <w:rsid w:val="002D73B3"/>
    <w:rsid w:val="002D7C12"/>
    <w:rsid w:val="002E0D1E"/>
    <w:rsid w:val="002E1168"/>
    <w:rsid w:val="002E1B51"/>
    <w:rsid w:val="002E1C94"/>
    <w:rsid w:val="002E3058"/>
    <w:rsid w:val="002E348A"/>
    <w:rsid w:val="002E5147"/>
    <w:rsid w:val="002E596E"/>
    <w:rsid w:val="002E5EC4"/>
    <w:rsid w:val="002E611D"/>
    <w:rsid w:val="002E6AB1"/>
    <w:rsid w:val="002E74A1"/>
    <w:rsid w:val="002E7785"/>
    <w:rsid w:val="002E78EF"/>
    <w:rsid w:val="002E79D4"/>
    <w:rsid w:val="002F0227"/>
    <w:rsid w:val="002F046A"/>
    <w:rsid w:val="002F0D15"/>
    <w:rsid w:val="002F134F"/>
    <w:rsid w:val="002F16B1"/>
    <w:rsid w:val="002F29C3"/>
    <w:rsid w:val="002F2AF3"/>
    <w:rsid w:val="002F2B21"/>
    <w:rsid w:val="002F3336"/>
    <w:rsid w:val="002F3FA3"/>
    <w:rsid w:val="002F461E"/>
    <w:rsid w:val="002F4C3E"/>
    <w:rsid w:val="002F4D68"/>
    <w:rsid w:val="002F5254"/>
    <w:rsid w:val="002F5689"/>
    <w:rsid w:val="002F5C8C"/>
    <w:rsid w:val="002F7ACD"/>
    <w:rsid w:val="00300A6E"/>
    <w:rsid w:val="00300F00"/>
    <w:rsid w:val="00301115"/>
    <w:rsid w:val="0030167D"/>
    <w:rsid w:val="00301ED5"/>
    <w:rsid w:val="00302098"/>
    <w:rsid w:val="003025B5"/>
    <w:rsid w:val="00302B49"/>
    <w:rsid w:val="00302F7D"/>
    <w:rsid w:val="003036EE"/>
    <w:rsid w:val="003041DF"/>
    <w:rsid w:val="0030446C"/>
    <w:rsid w:val="00304610"/>
    <w:rsid w:val="00304746"/>
    <w:rsid w:val="00304AB3"/>
    <w:rsid w:val="00304B65"/>
    <w:rsid w:val="003059B8"/>
    <w:rsid w:val="00305CA4"/>
    <w:rsid w:val="00306670"/>
    <w:rsid w:val="00306E5D"/>
    <w:rsid w:val="00310168"/>
    <w:rsid w:val="00310AD3"/>
    <w:rsid w:val="0031123A"/>
    <w:rsid w:val="0031171C"/>
    <w:rsid w:val="003124D3"/>
    <w:rsid w:val="0031304B"/>
    <w:rsid w:val="003136C3"/>
    <w:rsid w:val="00313850"/>
    <w:rsid w:val="00314823"/>
    <w:rsid w:val="00314D34"/>
    <w:rsid w:val="00315AAB"/>
    <w:rsid w:val="003200DF"/>
    <w:rsid w:val="00320DA8"/>
    <w:rsid w:val="00320FA5"/>
    <w:rsid w:val="0032103B"/>
    <w:rsid w:val="00321B78"/>
    <w:rsid w:val="00322049"/>
    <w:rsid w:val="003220EC"/>
    <w:rsid w:val="003242F0"/>
    <w:rsid w:val="003243FB"/>
    <w:rsid w:val="003246C2"/>
    <w:rsid w:val="003263F1"/>
    <w:rsid w:val="0032686F"/>
    <w:rsid w:val="00326BE3"/>
    <w:rsid w:val="00326FA3"/>
    <w:rsid w:val="003336C4"/>
    <w:rsid w:val="00333ECD"/>
    <w:rsid w:val="00334EDA"/>
    <w:rsid w:val="00335A39"/>
    <w:rsid w:val="00335CA5"/>
    <w:rsid w:val="0033640D"/>
    <w:rsid w:val="0033657C"/>
    <w:rsid w:val="00336BDF"/>
    <w:rsid w:val="00336D11"/>
    <w:rsid w:val="00342E47"/>
    <w:rsid w:val="00344114"/>
    <w:rsid w:val="003445E1"/>
    <w:rsid w:val="003477BF"/>
    <w:rsid w:val="00347B36"/>
    <w:rsid w:val="00353786"/>
    <w:rsid w:val="00353BD3"/>
    <w:rsid w:val="0035409B"/>
    <w:rsid w:val="00354ACC"/>
    <w:rsid w:val="0035516B"/>
    <w:rsid w:val="0035654E"/>
    <w:rsid w:val="00357167"/>
    <w:rsid w:val="0035770A"/>
    <w:rsid w:val="00357D98"/>
    <w:rsid w:val="00360A96"/>
    <w:rsid w:val="00360DC3"/>
    <w:rsid w:val="00361823"/>
    <w:rsid w:val="00361ECC"/>
    <w:rsid w:val="0036256C"/>
    <w:rsid w:val="0036289A"/>
    <w:rsid w:val="00362964"/>
    <w:rsid w:val="00362D07"/>
    <w:rsid w:val="00364C6E"/>
    <w:rsid w:val="003654D2"/>
    <w:rsid w:val="00365A76"/>
    <w:rsid w:val="003662ED"/>
    <w:rsid w:val="003665FC"/>
    <w:rsid w:val="00367346"/>
    <w:rsid w:val="00370E4F"/>
    <w:rsid w:val="0037179D"/>
    <w:rsid w:val="003733DB"/>
    <w:rsid w:val="003738D4"/>
    <w:rsid w:val="00373FF6"/>
    <w:rsid w:val="003745C8"/>
    <w:rsid w:val="0037484F"/>
    <w:rsid w:val="0037563B"/>
    <w:rsid w:val="003769B5"/>
    <w:rsid w:val="00377450"/>
    <w:rsid w:val="00380211"/>
    <w:rsid w:val="00380DFF"/>
    <w:rsid w:val="00382926"/>
    <w:rsid w:val="00384134"/>
    <w:rsid w:val="00384316"/>
    <w:rsid w:val="0038480C"/>
    <w:rsid w:val="00384D9F"/>
    <w:rsid w:val="003855A0"/>
    <w:rsid w:val="0038574A"/>
    <w:rsid w:val="00385DFF"/>
    <w:rsid w:val="00387833"/>
    <w:rsid w:val="00387CEB"/>
    <w:rsid w:val="00391979"/>
    <w:rsid w:val="0039249E"/>
    <w:rsid w:val="0039269D"/>
    <w:rsid w:val="003934C7"/>
    <w:rsid w:val="00393893"/>
    <w:rsid w:val="003938FE"/>
    <w:rsid w:val="003940E3"/>
    <w:rsid w:val="00394303"/>
    <w:rsid w:val="003956AC"/>
    <w:rsid w:val="003967EA"/>
    <w:rsid w:val="00396CF1"/>
    <w:rsid w:val="00397676"/>
    <w:rsid w:val="003976AF"/>
    <w:rsid w:val="00397E2C"/>
    <w:rsid w:val="003A15A7"/>
    <w:rsid w:val="003A2146"/>
    <w:rsid w:val="003A21E7"/>
    <w:rsid w:val="003A2A3F"/>
    <w:rsid w:val="003A2E06"/>
    <w:rsid w:val="003A30D8"/>
    <w:rsid w:val="003A32F7"/>
    <w:rsid w:val="003A35A9"/>
    <w:rsid w:val="003A426F"/>
    <w:rsid w:val="003A4BAA"/>
    <w:rsid w:val="003A5109"/>
    <w:rsid w:val="003A5A1D"/>
    <w:rsid w:val="003A5E3A"/>
    <w:rsid w:val="003A6798"/>
    <w:rsid w:val="003A6DE8"/>
    <w:rsid w:val="003A6F57"/>
    <w:rsid w:val="003A77CE"/>
    <w:rsid w:val="003A7CFE"/>
    <w:rsid w:val="003B07BB"/>
    <w:rsid w:val="003B0844"/>
    <w:rsid w:val="003B0C86"/>
    <w:rsid w:val="003B215E"/>
    <w:rsid w:val="003B24C5"/>
    <w:rsid w:val="003B2BF4"/>
    <w:rsid w:val="003B3C3A"/>
    <w:rsid w:val="003B3CD6"/>
    <w:rsid w:val="003B3D15"/>
    <w:rsid w:val="003B47C5"/>
    <w:rsid w:val="003B4B65"/>
    <w:rsid w:val="003B5279"/>
    <w:rsid w:val="003B554F"/>
    <w:rsid w:val="003B561C"/>
    <w:rsid w:val="003B5D0B"/>
    <w:rsid w:val="003B5FFB"/>
    <w:rsid w:val="003B6CAE"/>
    <w:rsid w:val="003B7792"/>
    <w:rsid w:val="003B7E0C"/>
    <w:rsid w:val="003B7E34"/>
    <w:rsid w:val="003C035E"/>
    <w:rsid w:val="003C27AF"/>
    <w:rsid w:val="003C2E52"/>
    <w:rsid w:val="003C38CF"/>
    <w:rsid w:val="003C64BA"/>
    <w:rsid w:val="003C6D09"/>
    <w:rsid w:val="003C74F5"/>
    <w:rsid w:val="003D0845"/>
    <w:rsid w:val="003D09D6"/>
    <w:rsid w:val="003D1208"/>
    <w:rsid w:val="003D19FA"/>
    <w:rsid w:val="003D2A49"/>
    <w:rsid w:val="003D2CCD"/>
    <w:rsid w:val="003D48C8"/>
    <w:rsid w:val="003D6BBF"/>
    <w:rsid w:val="003E0438"/>
    <w:rsid w:val="003E07F0"/>
    <w:rsid w:val="003E12E8"/>
    <w:rsid w:val="003E14D1"/>
    <w:rsid w:val="003E1997"/>
    <w:rsid w:val="003E19FA"/>
    <w:rsid w:val="003E1A42"/>
    <w:rsid w:val="003E1D24"/>
    <w:rsid w:val="003E2575"/>
    <w:rsid w:val="003E285E"/>
    <w:rsid w:val="003E2A0E"/>
    <w:rsid w:val="003E3C6D"/>
    <w:rsid w:val="003E4C17"/>
    <w:rsid w:val="003E628F"/>
    <w:rsid w:val="003E67A9"/>
    <w:rsid w:val="003E73E6"/>
    <w:rsid w:val="003F0007"/>
    <w:rsid w:val="003F064A"/>
    <w:rsid w:val="003F0B93"/>
    <w:rsid w:val="003F2C67"/>
    <w:rsid w:val="003F2FD5"/>
    <w:rsid w:val="003F302E"/>
    <w:rsid w:val="003F42DC"/>
    <w:rsid w:val="003F4964"/>
    <w:rsid w:val="0040010E"/>
    <w:rsid w:val="00400AC9"/>
    <w:rsid w:val="004016A9"/>
    <w:rsid w:val="0040256C"/>
    <w:rsid w:val="00402BF0"/>
    <w:rsid w:val="004032CE"/>
    <w:rsid w:val="004054CD"/>
    <w:rsid w:val="0040580D"/>
    <w:rsid w:val="004062AA"/>
    <w:rsid w:val="00406545"/>
    <w:rsid w:val="004069C1"/>
    <w:rsid w:val="0040719F"/>
    <w:rsid w:val="004102A6"/>
    <w:rsid w:val="0041076B"/>
    <w:rsid w:val="00411135"/>
    <w:rsid w:val="00411E0E"/>
    <w:rsid w:val="00411E62"/>
    <w:rsid w:val="004135C6"/>
    <w:rsid w:val="0041386B"/>
    <w:rsid w:val="00413E67"/>
    <w:rsid w:val="004163D5"/>
    <w:rsid w:val="00416DCC"/>
    <w:rsid w:val="004175FF"/>
    <w:rsid w:val="004217EF"/>
    <w:rsid w:val="004218C2"/>
    <w:rsid w:val="004219FC"/>
    <w:rsid w:val="00422629"/>
    <w:rsid w:val="004234BC"/>
    <w:rsid w:val="004235E3"/>
    <w:rsid w:val="00425F76"/>
    <w:rsid w:val="00426316"/>
    <w:rsid w:val="00426382"/>
    <w:rsid w:val="00426755"/>
    <w:rsid w:val="00426875"/>
    <w:rsid w:val="00427357"/>
    <w:rsid w:val="00427964"/>
    <w:rsid w:val="00427A74"/>
    <w:rsid w:val="0043135D"/>
    <w:rsid w:val="00432079"/>
    <w:rsid w:val="00433B9D"/>
    <w:rsid w:val="00433C7A"/>
    <w:rsid w:val="00433E12"/>
    <w:rsid w:val="0043478A"/>
    <w:rsid w:val="00435273"/>
    <w:rsid w:val="00435E20"/>
    <w:rsid w:val="00436490"/>
    <w:rsid w:val="00436799"/>
    <w:rsid w:val="00436982"/>
    <w:rsid w:val="00437AEE"/>
    <w:rsid w:val="00437DBC"/>
    <w:rsid w:val="00441005"/>
    <w:rsid w:val="004415BC"/>
    <w:rsid w:val="004424DB"/>
    <w:rsid w:val="00442800"/>
    <w:rsid w:val="004431CF"/>
    <w:rsid w:val="00445468"/>
    <w:rsid w:val="0044588C"/>
    <w:rsid w:val="00447625"/>
    <w:rsid w:val="00447DD7"/>
    <w:rsid w:val="00452B67"/>
    <w:rsid w:val="00454431"/>
    <w:rsid w:val="00455DCC"/>
    <w:rsid w:val="00456D48"/>
    <w:rsid w:val="00456EF3"/>
    <w:rsid w:val="00460601"/>
    <w:rsid w:val="004606D9"/>
    <w:rsid w:val="00460716"/>
    <w:rsid w:val="004609D2"/>
    <w:rsid w:val="00460CD1"/>
    <w:rsid w:val="00461406"/>
    <w:rsid w:val="00461446"/>
    <w:rsid w:val="004615C3"/>
    <w:rsid w:val="00461A8D"/>
    <w:rsid w:val="00461BDD"/>
    <w:rsid w:val="00462588"/>
    <w:rsid w:val="0046314C"/>
    <w:rsid w:val="00463486"/>
    <w:rsid w:val="00463D98"/>
    <w:rsid w:val="00464857"/>
    <w:rsid w:val="00465105"/>
    <w:rsid w:val="00465635"/>
    <w:rsid w:val="004658C4"/>
    <w:rsid w:val="00465B74"/>
    <w:rsid w:val="00466415"/>
    <w:rsid w:val="00466A84"/>
    <w:rsid w:val="0047165E"/>
    <w:rsid w:val="00472537"/>
    <w:rsid w:val="00474443"/>
    <w:rsid w:val="00474D5A"/>
    <w:rsid w:val="0047506C"/>
    <w:rsid w:val="00475406"/>
    <w:rsid w:val="004755FB"/>
    <w:rsid w:val="00475785"/>
    <w:rsid w:val="0047584A"/>
    <w:rsid w:val="004761F0"/>
    <w:rsid w:val="004762C9"/>
    <w:rsid w:val="0047670D"/>
    <w:rsid w:val="00477CDA"/>
    <w:rsid w:val="00477F9C"/>
    <w:rsid w:val="00480601"/>
    <w:rsid w:val="00480C1C"/>
    <w:rsid w:val="004811D2"/>
    <w:rsid w:val="004816F8"/>
    <w:rsid w:val="00484140"/>
    <w:rsid w:val="00484203"/>
    <w:rsid w:val="00484279"/>
    <w:rsid w:val="004844AD"/>
    <w:rsid w:val="00484BA7"/>
    <w:rsid w:val="0048525F"/>
    <w:rsid w:val="004872A9"/>
    <w:rsid w:val="0049009C"/>
    <w:rsid w:val="004911A6"/>
    <w:rsid w:val="0049154C"/>
    <w:rsid w:val="004917FA"/>
    <w:rsid w:val="00491D3B"/>
    <w:rsid w:val="0049274A"/>
    <w:rsid w:val="00492F62"/>
    <w:rsid w:val="004947D6"/>
    <w:rsid w:val="00494E7E"/>
    <w:rsid w:val="004953D5"/>
    <w:rsid w:val="00497570"/>
    <w:rsid w:val="00497DF5"/>
    <w:rsid w:val="004A0ACC"/>
    <w:rsid w:val="004A0B73"/>
    <w:rsid w:val="004A0FB4"/>
    <w:rsid w:val="004A2052"/>
    <w:rsid w:val="004A297F"/>
    <w:rsid w:val="004A54D4"/>
    <w:rsid w:val="004A62C8"/>
    <w:rsid w:val="004A6F01"/>
    <w:rsid w:val="004A7174"/>
    <w:rsid w:val="004B07D3"/>
    <w:rsid w:val="004B0BED"/>
    <w:rsid w:val="004B1605"/>
    <w:rsid w:val="004B2467"/>
    <w:rsid w:val="004B26AB"/>
    <w:rsid w:val="004B2A7C"/>
    <w:rsid w:val="004B337C"/>
    <w:rsid w:val="004B3BEA"/>
    <w:rsid w:val="004B4024"/>
    <w:rsid w:val="004B4711"/>
    <w:rsid w:val="004B536A"/>
    <w:rsid w:val="004B5C59"/>
    <w:rsid w:val="004B5DFC"/>
    <w:rsid w:val="004B6891"/>
    <w:rsid w:val="004C0CBC"/>
    <w:rsid w:val="004C0F99"/>
    <w:rsid w:val="004C1105"/>
    <w:rsid w:val="004C223F"/>
    <w:rsid w:val="004C26E3"/>
    <w:rsid w:val="004C48FD"/>
    <w:rsid w:val="004C4ACB"/>
    <w:rsid w:val="004C5057"/>
    <w:rsid w:val="004C5229"/>
    <w:rsid w:val="004C6DD0"/>
    <w:rsid w:val="004C6E8E"/>
    <w:rsid w:val="004C73E3"/>
    <w:rsid w:val="004C7616"/>
    <w:rsid w:val="004C7C32"/>
    <w:rsid w:val="004D080D"/>
    <w:rsid w:val="004D129F"/>
    <w:rsid w:val="004D196A"/>
    <w:rsid w:val="004D1EDC"/>
    <w:rsid w:val="004D20A1"/>
    <w:rsid w:val="004D20E8"/>
    <w:rsid w:val="004D3B20"/>
    <w:rsid w:val="004D494C"/>
    <w:rsid w:val="004D5F62"/>
    <w:rsid w:val="004D602F"/>
    <w:rsid w:val="004D6D81"/>
    <w:rsid w:val="004D7606"/>
    <w:rsid w:val="004D7F78"/>
    <w:rsid w:val="004E03E3"/>
    <w:rsid w:val="004E1408"/>
    <w:rsid w:val="004E2008"/>
    <w:rsid w:val="004E2B08"/>
    <w:rsid w:val="004E2DB3"/>
    <w:rsid w:val="004E41F1"/>
    <w:rsid w:val="004E4393"/>
    <w:rsid w:val="004E5842"/>
    <w:rsid w:val="004E6096"/>
    <w:rsid w:val="004E60DD"/>
    <w:rsid w:val="004E68C3"/>
    <w:rsid w:val="004E6CFD"/>
    <w:rsid w:val="004E6D1E"/>
    <w:rsid w:val="004F1968"/>
    <w:rsid w:val="004F31BE"/>
    <w:rsid w:val="004F3682"/>
    <w:rsid w:val="004F3B12"/>
    <w:rsid w:val="004F547E"/>
    <w:rsid w:val="004F56A1"/>
    <w:rsid w:val="004F5FCA"/>
    <w:rsid w:val="004F6244"/>
    <w:rsid w:val="004F6E43"/>
    <w:rsid w:val="005008ED"/>
    <w:rsid w:val="00501435"/>
    <w:rsid w:val="00501626"/>
    <w:rsid w:val="00501C42"/>
    <w:rsid w:val="00501CF0"/>
    <w:rsid w:val="00503071"/>
    <w:rsid w:val="0050381A"/>
    <w:rsid w:val="00504419"/>
    <w:rsid w:val="00504BB0"/>
    <w:rsid w:val="00505319"/>
    <w:rsid w:val="005069DA"/>
    <w:rsid w:val="0050728C"/>
    <w:rsid w:val="0050764C"/>
    <w:rsid w:val="00507AF7"/>
    <w:rsid w:val="00507D28"/>
    <w:rsid w:val="0051075B"/>
    <w:rsid w:val="005141DC"/>
    <w:rsid w:val="0051449F"/>
    <w:rsid w:val="0051505E"/>
    <w:rsid w:val="005152B8"/>
    <w:rsid w:val="005156C9"/>
    <w:rsid w:val="00515781"/>
    <w:rsid w:val="00517314"/>
    <w:rsid w:val="00517391"/>
    <w:rsid w:val="00517D9D"/>
    <w:rsid w:val="005201DE"/>
    <w:rsid w:val="005202D8"/>
    <w:rsid w:val="00520AE2"/>
    <w:rsid w:val="00520C72"/>
    <w:rsid w:val="00521B1E"/>
    <w:rsid w:val="0052349E"/>
    <w:rsid w:val="00523F25"/>
    <w:rsid w:val="005241F2"/>
    <w:rsid w:val="005242AC"/>
    <w:rsid w:val="005245AF"/>
    <w:rsid w:val="005268C7"/>
    <w:rsid w:val="00526E56"/>
    <w:rsid w:val="005274DA"/>
    <w:rsid w:val="00530A3E"/>
    <w:rsid w:val="005338D3"/>
    <w:rsid w:val="005341EE"/>
    <w:rsid w:val="0053431F"/>
    <w:rsid w:val="005344F4"/>
    <w:rsid w:val="00534DE2"/>
    <w:rsid w:val="0053668D"/>
    <w:rsid w:val="00536757"/>
    <w:rsid w:val="00536EC6"/>
    <w:rsid w:val="005371E1"/>
    <w:rsid w:val="005374B4"/>
    <w:rsid w:val="005379AA"/>
    <w:rsid w:val="00540AB4"/>
    <w:rsid w:val="00540D9F"/>
    <w:rsid w:val="0054140B"/>
    <w:rsid w:val="0054175B"/>
    <w:rsid w:val="00541B39"/>
    <w:rsid w:val="005427EA"/>
    <w:rsid w:val="00543AF4"/>
    <w:rsid w:val="00544034"/>
    <w:rsid w:val="0054453C"/>
    <w:rsid w:val="00545651"/>
    <w:rsid w:val="00545FC0"/>
    <w:rsid w:val="00546AE4"/>
    <w:rsid w:val="00546BFE"/>
    <w:rsid w:val="00546EE7"/>
    <w:rsid w:val="00547321"/>
    <w:rsid w:val="005509C5"/>
    <w:rsid w:val="00551760"/>
    <w:rsid w:val="00551A42"/>
    <w:rsid w:val="00551EA5"/>
    <w:rsid w:val="005540DD"/>
    <w:rsid w:val="0055473A"/>
    <w:rsid w:val="00554752"/>
    <w:rsid w:val="00554DFA"/>
    <w:rsid w:val="00554FE1"/>
    <w:rsid w:val="005555D5"/>
    <w:rsid w:val="005559EC"/>
    <w:rsid w:val="00555D94"/>
    <w:rsid w:val="00561371"/>
    <w:rsid w:val="00561C1D"/>
    <w:rsid w:val="00562560"/>
    <w:rsid w:val="00563D9B"/>
    <w:rsid w:val="00566A31"/>
    <w:rsid w:val="005671CF"/>
    <w:rsid w:val="00567DD8"/>
    <w:rsid w:val="00570A16"/>
    <w:rsid w:val="00570C32"/>
    <w:rsid w:val="00570F0C"/>
    <w:rsid w:val="005715B6"/>
    <w:rsid w:val="005744B1"/>
    <w:rsid w:val="00574B7C"/>
    <w:rsid w:val="00574F38"/>
    <w:rsid w:val="00576133"/>
    <w:rsid w:val="0057642F"/>
    <w:rsid w:val="0057731A"/>
    <w:rsid w:val="00577D11"/>
    <w:rsid w:val="005814B9"/>
    <w:rsid w:val="0058269F"/>
    <w:rsid w:val="00582829"/>
    <w:rsid w:val="00583D30"/>
    <w:rsid w:val="00584DDD"/>
    <w:rsid w:val="0058722C"/>
    <w:rsid w:val="00587284"/>
    <w:rsid w:val="005876F0"/>
    <w:rsid w:val="00587993"/>
    <w:rsid w:val="00591037"/>
    <w:rsid w:val="005914E1"/>
    <w:rsid w:val="00591AF1"/>
    <w:rsid w:val="0059255A"/>
    <w:rsid w:val="00592960"/>
    <w:rsid w:val="00592AB7"/>
    <w:rsid w:val="005933F2"/>
    <w:rsid w:val="00593FD2"/>
    <w:rsid w:val="0059443C"/>
    <w:rsid w:val="005946A8"/>
    <w:rsid w:val="00595A83"/>
    <w:rsid w:val="00596091"/>
    <w:rsid w:val="0059650A"/>
    <w:rsid w:val="005969C5"/>
    <w:rsid w:val="005969CF"/>
    <w:rsid w:val="00597C43"/>
    <w:rsid w:val="005A2800"/>
    <w:rsid w:val="005A28CE"/>
    <w:rsid w:val="005A2DAE"/>
    <w:rsid w:val="005A2E88"/>
    <w:rsid w:val="005A2F1D"/>
    <w:rsid w:val="005A377F"/>
    <w:rsid w:val="005A4294"/>
    <w:rsid w:val="005A49F3"/>
    <w:rsid w:val="005A6090"/>
    <w:rsid w:val="005A640F"/>
    <w:rsid w:val="005A656A"/>
    <w:rsid w:val="005A7F82"/>
    <w:rsid w:val="005B032E"/>
    <w:rsid w:val="005B2449"/>
    <w:rsid w:val="005B2B56"/>
    <w:rsid w:val="005B46FB"/>
    <w:rsid w:val="005B536C"/>
    <w:rsid w:val="005B5514"/>
    <w:rsid w:val="005B5E14"/>
    <w:rsid w:val="005B6B74"/>
    <w:rsid w:val="005C0EEF"/>
    <w:rsid w:val="005C0FCD"/>
    <w:rsid w:val="005C1943"/>
    <w:rsid w:val="005C1A91"/>
    <w:rsid w:val="005C1B51"/>
    <w:rsid w:val="005C246F"/>
    <w:rsid w:val="005C3BE9"/>
    <w:rsid w:val="005C3ED4"/>
    <w:rsid w:val="005C4A8C"/>
    <w:rsid w:val="005C53A7"/>
    <w:rsid w:val="005C5A0B"/>
    <w:rsid w:val="005C5BE4"/>
    <w:rsid w:val="005C5BE8"/>
    <w:rsid w:val="005C69AE"/>
    <w:rsid w:val="005C79AA"/>
    <w:rsid w:val="005C7CAE"/>
    <w:rsid w:val="005D1007"/>
    <w:rsid w:val="005D1F14"/>
    <w:rsid w:val="005D235B"/>
    <w:rsid w:val="005D248E"/>
    <w:rsid w:val="005D2C96"/>
    <w:rsid w:val="005D3252"/>
    <w:rsid w:val="005D3522"/>
    <w:rsid w:val="005D409D"/>
    <w:rsid w:val="005D47C3"/>
    <w:rsid w:val="005D4A4B"/>
    <w:rsid w:val="005D4D42"/>
    <w:rsid w:val="005D4D6C"/>
    <w:rsid w:val="005D51DB"/>
    <w:rsid w:val="005D595C"/>
    <w:rsid w:val="005D683C"/>
    <w:rsid w:val="005D689D"/>
    <w:rsid w:val="005D6D26"/>
    <w:rsid w:val="005E09AE"/>
    <w:rsid w:val="005E19AA"/>
    <w:rsid w:val="005E1B92"/>
    <w:rsid w:val="005E2113"/>
    <w:rsid w:val="005E3A31"/>
    <w:rsid w:val="005E45FE"/>
    <w:rsid w:val="005E490C"/>
    <w:rsid w:val="005E4D0B"/>
    <w:rsid w:val="005E4DE7"/>
    <w:rsid w:val="005E6CC3"/>
    <w:rsid w:val="005E7931"/>
    <w:rsid w:val="005F0E5F"/>
    <w:rsid w:val="005F0F95"/>
    <w:rsid w:val="005F25FD"/>
    <w:rsid w:val="005F2D88"/>
    <w:rsid w:val="005F2FC7"/>
    <w:rsid w:val="005F2FFE"/>
    <w:rsid w:val="005F34FF"/>
    <w:rsid w:val="005F3EC8"/>
    <w:rsid w:val="005F4CD2"/>
    <w:rsid w:val="005F5414"/>
    <w:rsid w:val="005F587C"/>
    <w:rsid w:val="005F59C1"/>
    <w:rsid w:val="005F7173"/>
    <w:rsid w:val="005F734F"/>
    <w:rsid w:val="005F750E"/>
    <w:rsid w:val="005F761A"/>
    <w:rsid w:val="005F767F"/>
    <w:rsid w:val="005F7E6F"/>
    <w:rsid w:val="006003BC"/>
    <w:rsid w:val="00600423"/>
    <w:rsid w:val="00601E56"/>
    <w:rsid w:val="006020DE"/>
    <w:rsid w:val="00602270"/>
    <w:rsid w:val="00602E36"/>
    <w:rsid w:val="00602F39"/>
    <w:rsid w:val="00602FCE"/>
    <w:rsid w:val="00603735"/>
    <w:rsid w:val="006038BB"/>
    <w:rsid w:val="00604905"/>
    <w:rsid w:val="006055AB"/>
    <w:rsid w:val="006060E0"/>
    <w:rsid w:val="00606D38"/>
    <w:rsid w:val="006079C7"/>
    <w:rsid w:val="006079F6"/>
    <w:rsid w:val="00607AFC"/>
    <w:rsid w:val="00607B40"/>
    <w:rsid w:val="0061053E"/>
    <w:rsid w:val="00610CFD"/>
    <w:rsid w:val="00610D61"/>
    <w:rsid w:val="00611F45"/>
    <w:rsid w:val="0061212B"/>
    <w:rsid w:val="00612520"/>
    <w:rsid w:val="006137A7"/>
    <w:rsid w:val="00613D0B"/>
    <w:rsid w:val="0061490F"/>
    <w:rsid w:val="00616A82"/>
    <w:rsid w:val="00616BB8"/>
    <w:rsid w:val="00616C2C"/>
    <w:rsid w:val="006173B3"/>
    <w:rsid w:val="00620670"/>
    <w:rsid w:val="00620705"/>
    <w:rsid w:val="00620DE2"/>
    <w:rsid w:val="00621031"/>
    <w:rsid w:val="00621B77"/>
    <w:rsid w:val="00621D37"/>
    <w:rsid w:val="00622076"/>
    <w:rsid w:val="0062243B"/>
    <w:rsid w:val="00622FD0"/>
    <w:rsid w:val="00623205"/>
    <w:rsid w:val="00623652"/>
    <w:rsid w:val="006237CA"/>
    <w:rsid w:val="00623A69"/>
    <w:rsid w:val="00623C04"/>
    <w:rsid w:val="00623FCC"/>
    <w:rsid w:val="00624F86"/>
    <w:rsid w:val="006252DD"/>
    <w:rsid w:val="00626786"/>
    <w:rsid w:val="00626E0D"/>
    <w:rsid w:val="00627283"/>
    <w:rsid w:val="006310C6"/>
    <w:rsid w:val="00631200"/>
    <w:rsid w:val="006312DE"/>
    <w:rsid w:val="006315D6"/>
    <w:rsid w:val="00631F62"/>
    <w:rsid w:val="00632321"/>
    <w:rsid w:val="00633CCF"/>
    <w:rsid w:val="00635DC6"/>
    <w:rsid w:val="0063611C"/>
    <w:rsid w:val="00637724"/>
    <w:rsid w:val="00637823"/>
    <w:rsid w:val="00637D88"/>
    <w:rsid w:val="0064043F"/>
    <w:rsid w:val="00640A62"/>
    <w:rsid w:val="00640C67"/>
    <w:rsid w:val="00643807"/>
    <w:rsid w:val="00643D63"/>
    <w:rsid w:val="00645295"/>
    <w:rsid w:val="00645319"/>
    <w:rsid w:val="00646ED3"/>
    <w:rsid w:val="0064737C"/>
    <w:rsid w:val="00650074"/>
    <w:rsid w:val="006503E0"/>
    <w:rsid w:val="00651565"/>
    <w:rsid w:val="0065252D"/>
    <w:rsid w:val="00652CE6"/>
    <w:rsid w:val="006541A3"/>
    <w:rsid w:val="0065528C"/>
    <w:rsid w:val="00656575"/>
    <w:rsid w:val="006566B6"/>
    <w:rsid w:val="00660208"/>
    <w:rsid w:val="00660BAC"/>
    <w:rsid w:val="0066232D"/>
    <w:rsid w:val="006624C6"/>
    <w:rsid w:val="006631B0"/>
    <w:rsid w:val="00663255"/>
    <w:rsid w:val="00663B6C"/>
    <w:rsid w:val="00664D98"/>
    <w:rsid w:val="00670589"/>
    <w:rsid w:val="0067116D"/>
    <w:rsid w:val="00671546"/>
    <w:rsid w:val="006717D8"/>
    <w:rsid w:val="006721AF"/>
    <w:rsid w:val="00672411"/>
    <w:rsid w:val="006726F9"/>
    <w:rsid w:val="0067279F"/>
    <w:rsid w:val="006729C5"/>
    <w:rsid w:val="00672B9A"/>
    <w:rsid w:val="00673A26"/>
    <w:rsid w:val="00673F53"/>
    <w:rsid w:val="00674969"/>
    <w:rsid w:val="0067538E"/>
    <w:rsid w:val="00675490"/>
    <w:rsid w:val="006764A4"/>
    <w:rsid w:val="006766E4"/>
    <w:rsid w:val="0067725D"/>
    <w:rsid w:val="00677C1A"/>
    <w:rsid w:val="00680005"/>
    <w:rsid w:val="006803C3"/>
    <w:rsid w:val="00680444"/>
    <w:rsid w:val="0068080F"/>
    <w:rsid w:val="00681A5B"/>
    <w:rsid w:val="00681D9D"/>
    <w:rsid w:val="0068357D"/>
    <w:rsid w:val="00684C6B"/>
    <w:rsid w:val="00686E75"/>
    <w:rsid w:val="00690164"/>
    <w:rsid w:val="00690B82"/>
    <w:rsid w:val="00690E18"/>
    <w:rsid w:val="00691116"/>
    <w:rsid w:val="006916AA"/>
    <w:rsid w:val="00692A19"/>
    <w:rsid w:val="00692CB6"/>
    <w:rsid w:val="00692D6B"/>
    <w:rsid w:val="006934FA"/>
    <w:rsid w:val="00693F8A"/>
    <w:rsid w:val="00694D51"/>
    <w:rsid w:val="00695C16"/>
    <w:rsid w:val="00696267"/>
    <w:rsid w:val="00696673"/>
    <w:rsid w:val="0069707C"/>
    <w:rsid w:val="0069759B"/>
    <w:rsid w:val="0069772B"/>
    <w:rsid w:val="00697CE5"/>
    <w:rsid w:val="006A0984"/>
    <w:rsid w:val="006A2956"/>
    <w:rsid w:val="006A4531"/>
    <w:rsid w:val="006A4A28"/>
    <w:rsid w:val="006A5173"/>
    <w:rsid w:val="006A54B0"/>
    <w:rsid w:val="006A6BDC"/>
    <w:rsid w:val="006A70EB"/>
    <w:rsid w:val="006B049F"/>
    <w:rsid w:val="006B0F59"/>
    <w:rsid w:val="006B1468"/>
    <w:rsid w:val="006B1E5D"/>
    <w:rsid w:val="006B20FA"/>
    <w:rsid w:val="006B2CAD"/>
    <w:rsid w:val="006B3005"/>
    <w:rsid w:val="006B3009"/>
    <w:rsid w:val="006B39E6"/>
    <w:rsid w:val="006B3C71"/>
    <w:rsid w:val="006B3D32"/>
    <w:rsid w:val="006B402A"/>
    <w:rsid w:val="006B473E"/>
    <w:rsid w:val="006B493F"/>
    <w:rsid w:val="006B49E9"/>
    <w:rsid w:val="006B5757"/>
    <w:rsid w:val="006B5AB1"/>
    <w:rsid w:val="006B6332"/>
    <w:rsid w:val="006B7A4D"/>
    <w:rsid w:val="006C0667"/>
    <w:rsid w:val="006C0CEC"/>
    <w:rsid w:val="006C12B9"/>
    <w:rsid w:val="006C184F"/>
    <w:rsid w:val="006C22D5"/>
    <w:rsid w:val="006C2AF6"/>
    <w:rsid w:val="006C3325"/>
    <w:rsid w:val="006C3381"/>
    <w:rsid w:val="006C3663"/>
    <w:rsid w:val="006C3E1E"/>
    <w:rsid w:val="006C4D70"/>
    <w:rsid w:val="006C5006"/>
    <w:rsid w:val="006C6D5E"/>
    <w:rsid w:val="006D0006"/>
    <w:rsid w:val="006D07BD"/>
    <w:rsid w:val="006D201A"/>
    <w:rsid w:val="006D2CCC"/>
    <w:rsid w:val="006D2FB4"/>
    <w:rsid w:val="006D3003"/>
    <w:rsid w:val="006D3661"/>
    <w:rsid w:val="006D3C5F"/>
    <w:rsid w:val="006D4D3C"/>
    <w:rsid w:val="006D5A0A"/>
    <w:rsid w:val="006D5C36"/>
    <w:rsid w:val="006D6D2C"/>
    <w:rsid w:val="006E05AF"/>
    <w:rsid w:val="006E0ABF"/>
    <w:rsid w:val="006E12BF"/>
    <w:rsid w:val="006E12EE"/>
    <w:rsid w:val="006E1602"/>
    <w:rsid w:val="006E1B9E"/>
    <w:rsid w:val="006E365B"/>
    <w:rsid w:val="006E3C04"/>
    <w:rsid w:val="006E3FE1"/>
    <w:rsid w:val="006E4136"/>
    <w:rsid w:val="006E4476"/>
    <w:rsid w:val="006E45AC"/>
    <w:rsid w:val="006E6DBF"/>
    <w:rsid w:val="006E6DD0"/>
    <w:rsid w:val="006E6F5B"/>
    <w:rsid w:val="006F0C4E"/>
    <w:rsid w:val="006F16E0"/>
    <w:rsid w:val="006F18F4"/>
    <w:rsid w:val="006F1C06"/>
    <w:rsid w:val="006F1D44"/>
    <w:rsid w:val="006F1EE0"/>
    <w:rsid w:val="006F220D"/>
    <w:rsid w:val="006F2A11"/>
    <w:rsid w:val="006F35A7"/>
    <w:rsid w:val="006F360F"/>
    <w:rsid w:val="006F494F"/>
    <w:rsid w:val="006F63DD"/>
    <w:rsid w:val="006F6FF2"/>
    <w:rsid w:val="006F77BA"/>
    <w:rsid w:val="006F7BC8"/>
    <w:rsid w:val="00700032"/>
    <w:rsid w:val="00701064"/>
    <w:rsid w:val="00701494"/>
    <w:rsid w:val="00701FF7"/>
    <w:rsid w:val="00702544"/>
    <w:rsid w:val="007025A5"/>
    <w:rsid w:val="00703796"/>
    <w:rsid w:val="00703887"/>
    <w:rsid w:val="00704102"/>
    <w:rsid w:val="00704EC4"/>
    <w:rsid w:val="00704F50"/>
    <w:rsid w:val="007052A2"/>
    <w:rsid w:val="0070536E"/>
    <w:rsid w:val="007056EB"/>
    <w:rsid w:val="00705B90"/>
    <w:rsid w:val="0070658A"/>
    <w:rsid w:val="007066F3"/>
    <w:rsid w:val="00706C50"/>
    <w:rsid w:val="00711370"/>
    <w:rsid w:val="00711876"/>
    <w:rsid w:val="00712E7F"/>
    <w:rsid w:val="00712FC9"/>
    <w:rsid w:val="00713CC5"/>
    <w:rsid w:val="00714AC9"/>
    <w:rsid w:val="00715AC8"/>
    <w:rsid w:val="00715E40"/>
    <w:rsid w:val="00715F96"/>
    <w:rsid w:val="00716377"/>
    <w:rsid w:val="00716942"/>
    <w:rsid w:val="00720150"/>
    <w:rsid w:val="00720855"/>
    <w:rsid w:val="00721B82"/>
    <w:rsid w:val="00721EBB"/>
    <w:rsid w:val="007223CF"/>
    <w:rsid w:val="00724406"/>
    <w:rsid w:val="00725655"/>
    <w:rsid w:val="007263B6"/>
    <w:rsid w:val="00726431"/>
    <w:rsid w:val="00726D32"/>
    <w:rsid w:val="007272F2"/>
    <w:rsid w:val="0072741F"/>
    <w:rsid w:val="00730D8B"/>
    <w:rsid w:val="00730D9D"/>
    <w:rsid w:val="00730DB6"/>
    <w:rsid w:val="00731216"/>
    <w:rsid w:val="0073143F"/>
    <w:rsid w:val="007319AC"/>
    <w:rsid w:val="00731A1D"/>
    <w:rsid w:val="00732326"/>
    <w:rsid w:val="00734E50"/>
    <w:rsid w:val="007358F2"/>
    <w:rsid w:val="00740261"/>
    <w:rsid w:val="00740776"/>
    <w:rsid w:val="00741334"/>
    <w:rsid w:val="007414FE"/>
    <w:rsid w:val="007421FE"/>
    <w:rsid w:val="00742393"/>
    <w:rsid w:val="00742874"/>
    <w:rsid w:val="00743498"/>
    <w:rsid w:val="0074414B"/>
    <w:rsid w:val="00744442"/>
    <w:rsid w:val="00744CFC"/>
    <w:rsid w:val="007450B4"/>
    <w:rsid w:val="00745332"/>
    <w:rsid w:val="00746763"/>
    <w:rsid w:val="00746BDE"/>
    <w:rsid w:val="00747F84"/>
    <w:rsid w:val="0075124B"/>
    <w:rsid w:val="0075144D"/>
    <w:rsid w:val="0075188B"/>
    <w:rsid w:val="00751D48"/>
    <w:rsid w:val="007539F1"/>
    <w:rsid w:val="007541B2"/>
    <w:rsid w:val="00755006"/>
    <w:rsid w:val="00755594"/>
    <w:rsid w:val="0075564B"/>
    <w:rsid w:val="007563EA"/>
    <w:rsid w:val="00756418"/>
    <w:rsid w:val="007565B9"/>
    <w:rsid w:val="00756A49"/>
    <w:rsid w:val="0075731C"/>
    <w:rsid w:val="00757A5D"/>
    <w:rsid w:val="00760F9B"/>
    <w:rsid w:val="0076123C"/>
    <w:rsid w:val="00764854"/>
    <w:rsid w:val="00765690"/>
    <w:rsid w:val="00766467"/>
    <w:rsid w:val="0077078E"/>
    <w:rsid w:val="00770D4D"/>
    <w:rsid w:val="0077107C"/>
    <w:rsid w:val="00771EFC"/>
    <w:rsid w:val="007725E7"/>
    <w:rsid w:val="00772799"/>
    <w:rsid w:val="007737D3"/>
    <w:rsid w:val="00774109"/>
    <w:rsid w:val="00774A97"/>
    <w:rsid w:val="00774BDD"/>
    <w:rsid w:val="0077548D"/>
    <w:rsid w:val="0077571E"/>
    <w:rsid w:val="007759CA"/>
    <w:rsid w:val="00775D6C"/>
    <w:rsid w:val="00775E40"/>
    <w:rsid w:val="00775E66"/>
    <w:rsid w:val="00775F10"/>
    <w:rsid w:val="00780BBA"/>
    <w:rsid w:val="00781162"/>
    <w:rsid w:val="0078175C"/>
    <w:rsid w:val="007820B3"/>
    <w:rsid w:val="00782BF9"/>
    <w:rsid w:val="00782CBA"/>
    <w:rsid w:val="00783B8E"/>
    <w:rsid w:val="007856E1"/>
    <w:rsid w:val="00785853"/>
    <w:rsid w:val="00785B02"/>
    <w:rsid w:val="00786974"/>
    <w:rsid w:val="0078754C"/>
    <w:rsid w:val="00787A42"/>
    <w:rsid w:val="00790213"/>
    <w:rsid w:val="00790EE6"/>
    <w:rsid w:val="0079172A"/>
    <w:rsid w:val="00791E18"/>
    <w:rsid w:val="00792908"/>
    <w:rsid w:val="00792BAB"/>
    <w:rsid w:val="00792E22"/>
    <w:rsid w:val="00792E4F"/>
    <w:rsid w:val="007931FA"/>
    <w:rsid w:val="0079381D"/>
    <w:rsid w:val="0079484D"/>
    <w:rsid w:val="00794E85"/>
    <w:rsid w:val="00794EE2"/>
    <w:rsid w:val="0079566C"/>
    <w:rsid w:val="007960B1"/>
    <w:rsid w:val="007969EA"/>
    <w:rsid w:val="00796A78"/>
    <w:rsid w:val="00797339"/>
    <w:rsid w:val="007A002F"/>
    <w:rsid w:val="007A06A4"/>
    <w:rsid w:val="007A0D7F"/>
    <w:rsid w:val="007A1337"/>
    <w:rsid w:val="007A2600"/>
    <w:rsid w:val="007A2BAA"/>
    <w:rsid w:val="007A4AD7"/>
    <w:rsid w:val="007A550B"/>
    <w:rsid w:val="007A6D4A"/>
    <w:rsid w:val="007B02D2"/>
    <w:rsid w:val="007B0A18"/>
    <w:rsid w:val="007B0B09"/>
    <w:rsid w:val="007B1048"/>
    <w:rsid w:val="007B10E0"/>
    <w:rsid w:val="007B12D1"/>
    <w:rsid w:val="007B147F"/>
    <w:rsid w:val="007B148C"/>
    <w:rsid w:val="007B2AB5"/>
    <w:rsid w:val="007B2B0B"/>
    <w:rsid w:val="007B3235"/>
    <w:rsid w:val="007B3866"/>
    <w:rsid w:val="007B4455"/>
    <w:rsid w:val="007B48E5"/>
    <w:rsid w:val="007B4BCF"/>
    <w:rsid w:val="007B517E"/>
    <w:rsid w:val="007B52FA"/>
    <w:rsid w:val="007B5364"/>
    <w:rsid w:val="007B5B27"/>
    <w:rsid w:val="007B5F60"/>
    <w:rsid w:val="007B64B1"/>
    <w:rsid w:val="007B74F4"/>
    <w:rsid w:val="007B765E"/>
    <w:rsid w:val="007B76C4"/>
    <w:rsid w:val="007B7819"/>
    <w:rsid w:val="007B7C1C"/>
    <w:rsid w:val="007C0217"/>
    <w:rsid w:val="007C031A"/>
    <w:rsid w:val="007C0692"/>
    <w:rsid w:val="007C2812"/>
    <w:rsid w:val="007C2A08"/>
    <w:rsid w:val="007C37D9"/>
    <w:rsid w:val="007C4824"/>
    <w:rsid w:val="007C5109"/>
    <w:rsid w:val="007C5553"/>
    <w:rsid w:val="007C67E0"/>
    <w:rsid w:val="007C68A0"/>
    <w:rsid w:val="007C78EE"/>
    <w:rsid w:val="007C7BE9"/>
    <w:rsid w:val="007D066E"/>
    <w:rsid w:val="007D0B63"/>
    <w:rsid w:val="007D0CDE"/>
    <w:rsid w:val="007D15A2"/>
    <w:rsid w:val="007D167A"/>
    <w:rsid w:val="007D1BEA"/>
    <w:rsid w:val="007D236D"/>
    <w:rsid w:val="007D2C4E"/>
    <w:rsid w:val="007D3B78"/>
    <w:rsid w:val="007D43EE"/>
    <w:rsid w:val="007D5C4E"/>
    <w:rsid w:val="007D665E"/>
    <w:rsid w:val="007D7EC8"/>
    <w:rsid w:val="007E04C7"/>
    <w:rsid w:val="007E0EE8"/>
    <w:rsid w:val="007E217C"/>
    <w:rsid w:val="007E2816"/>
    <w:rsid w:val="007E289B"/>
    <w:rsid w:val="007E2F89"/>
    <w:rsid w:val="007E3349"/>
    <w:rsid w:val="007E402C"/>
    <w:rsid w:val="007E4F28"/>
    <w:rsid w:val="007E5364"/>
    <w:rsid w:val="007E5A97"/>
    <w:rsid w:val="007E5BDA"/>
    <w:rsid w:val="007E6233"/>
    <w:rsid w:val="007E79CB"/>
    <w:rsid w:val="007F1375"/>
    <w:rsid w:val="007F1533"/>
    <w:rsid w:val="007F1997"/>
    <w:rsid w:val="007F1DE5"/>
    <w:rsid w:val="007F21D8"/>
    <w:rsid w:val="007F2668"/>
    <w:rsid w:val="007F3854"/>
    <w:rsid w:val="007F4CA7"/>
    <w:rsid w:val="007F5AB8"/>
    <w:rsid w:val="007F6C9D"/>
    <w:rsid w:val="007F7936"/>
    <w:rsid w:val="007F7E98"/>
    <w:rsid w:val="008007CE"/>
    <w:rsid w:val="008016E4"/>
    <w:rsid w:val="00801BD4"/>
    <w:rsid w:val="00802D7C"/>
    <w:rsid w:val="00802DE2"/>
    <w:rsid w:val="008032AE"/>
    <w:rsid w:val="008038C6"/>
    <w:rsid w:val="008038EE"/>
    <w:rsid w:val="00804B1E"/>
    <w:rsid w:val="00805104"/>
    <w:rsid w:val="00805477"/>
    <w:rsid w:val="00805846"/>
    <w:rsid w:val="00805D0F"/>
    <w:rsid w:val="00806217"/>
    <w:rsid w:val="00806912"/>
    <w:rsid w:val="008078D1"/>
    <w:rsid w:val="00807CEF"/>
    <w:rsid w:val="0081006C"/>
    <w:rsid w:val="00810254"/>
    <w:rsid w:val="0081034F"/>
    <w:rsid w:val="008106D4"/>
    <w:rsid w:val="008110E5"/>
    <w:rsid w:val="00812BAF"/>
    <w:rsid w:val="008134A1"/>
    <w:rsid w:val="00813D23"/>
    <w:rsid w:val="00814240"/>
    <w:rsid w:val="008142B0"/>
    <w:rsid w:val="00815489"/>
    <w:rsid w:val="0081589D"/>
    <w:rsid w:val="0081738E"/>
    <w:rsid w:val="00817937"/>
    <w:rsid w:val="00817EE3"/>
    <w:rsid w:val="00820027"/>
    <w:rsid w:val="0082027F"/>
    <w:rsid w:val="00820C46"/>
    <w:rsid w:val="00821092"/>
    <w:rsid w:val="008214A5"/>
    <w:rsid w:val="008216DA"/>
    <w:rsid w:val="0082173C"/>
    <w:rsid w:val="00821BD2"/>
    <w:rsid w:val="00821FB9"/>
    <w:rsid w:val="00822005"/>
    <w:rsid w:val="008228F3"/>
    <w:rsid w:val="0082328E"/>
    <w:rsid w:val="00823C21"/>
    <w:rsid w:val="0082483F"/>
    <w:rsid w:val="00825155"/>
    <w:rsid w:val="0082566C"/>
    <w:rsid w:val="00827791"/>
    <w:rsid w:val="008279FB"/>
    <w:rsid w:val="008306D6"/>
    <w:rsid w:val="0083075F"/>
    <w:rsid w:val="00830D7D"/>
    <w:rsid w:val="0083190C"/>
    <w:rsid w:val="00833CDB"/>
    <w:rsid w:val="0083493D"/>
    <w:rsid w:val="00835097"/>
    <w:rsid w:val="00835397"/>
    <w:rsid w:val="00835F48"/>
    <w:rsid w:val="0083774F"/>
    <w:rsid w:val="00837936"/>
    <w:rsid w:val="00840C01"/>
    <w:rsid w:val="00841A96"/>
    <w:rsid w:val="00841BA0"/>
    <w:rsid w:val="00841FBA"/>
    <w:rsid w:val="00842486"/>
    <w:rsid w:val="0084378E"/>
    <w:rsid w:val="0084689B"/>
    <w:rsid w:val="00846967"/>
    <w:rsid w:val="00847003"/>
    <w:rsid w:val="0084747A"/>
    <w:rsid w:val="00847BF1"/>
    <w:rsid w:val="008500E2"/>
    <w:rsid w:val="008502C1"/>
    <w:rsid w:val="00851AAB"/>
    <w:rsid w:val="00852549"/>
    <w:rsid w:val="0085259B"/>
    <w:rsid w:val="00852D1B"/>
    <w:rsid w:val="0085333F"/>
    <w:rsid w:val="00854C05"/>
    <w:rsid w:val="00856EB9"/>
    <w:rsid w:val="00857423"/>
    <w:rsid w:val="008578A1"/>
    <w:rsid w:val="00857C35"/>
    <w:rsid w:val="008606D7"/>
    <w:rsid w:val="008615AB"/>
    <w:rsid w:val="00861900"/>
    <w:rsid w:val="00861D51"/>
    <w:rsid w:val="00863230"/>
    <w:rsid w:val="00863B9F"/>
    <w:rsid w:val="00863FCE"/>
    <w:rsid w:val="00864856"/>
    <w:rsid w:val="0086548C"/>
    <w:rsid w:val="008660C8"/>
    <w:rsid w:val="008661EF"/>
    <w:rsid w:val="0086630F"/>
    <w:rsid w:val="00866581"/>
    <w:rsid w:val="00870028"/>
    <w:rsid w:val="008701B1"/>
    <w:rsid w:val="008705B6"/>
    <w:rsid w:val="008737FB"/>
    <w:rsid w:val="00873AA3"/>
    <w:rsid w:val="00873B81"/>
    <w:rsid w:val="008753D3"/>
    <w:rsid w:val="00875674"/>
    <w:rsid w:val="00875CED"/>
    <w:rsid w:val="00876111"/>
    <w:rsid w:val="008766EF"/>
    <w:rsid w:val="008766FA"/>
    <w:rsid w:val="0087730C"/>
    <w:rsid w:val="00877BCD"/>
    <w:rsid w:val="00880715"/>
    <w:rsid w:val="00880966"/>
    <w:rsid w:val="00880D3A"/>
    <w:rsid w:val="0088166C"/>
    <w:rsid w:val="008817E1"/>
    <w:rsid w:val="00882734"/>
    <w:rsid w:val="00884116"/>
    <w:rsid w:val="008854CD"/>
    <w:rsid w:val="00886033"/>
    <w:rsid w:val="0088603E"/>
    <w:rsid w:val="0088636E"/>
    <w:rsid w:val="0088658F"/>
    <w:rsid w:val="00886927"/>
    <w:rsid w:val="008874EE"/>
    <w:rsid w:val="00887D84"/>
    <w:rsid w:val="008904DA"/>
    <w:rsid w:val="00891A58"/>
    <w:rsid w:val="00891ABC"/>
    <w:rsid w:val="00891BFA"/>
    <w:rsid w:val="00892222"/>
    <w:rsid w:val="0089287F"/>
    <w:rsid w:val="00893DC5"/>
    <w:rsid w:val="00894538"/>
    <w:rsid w:val="00894743"/>
    <w:rsid w:val="00894A4D"/>
    <w:rsid w:val="00894B0F"/>
    <w:rsid w:val="00894D99"/>
    <w:rsid w:val="00896846"/>
    <w:rsid w:val="00896DFA"/>
    <w:rsid w:val="008970AA"/>
    <w:rsid w:val="008A0710"/>
    <w:rsid w:val="008A1275"/>
    <w:rsid w:val="008A2CEE"/>
    <w:rsid w:val="008A336C"/>
    <w:rsid w:val="008A3969"/>
    <w:rsid w:val="008A4431"/>
    <w:rsid w:val="008A49C0"/>
    <w:rsid w:val="008A5219"/>
    <w:rsid w:val="008A5FAE"/>
    <w:rsid w:val="008B1768"/>
    <w:rsid w:val="008B1E93"/>
    <w:rsid w:val="008B2068"/>
    <w:rsid w:val="008B2801"/>
    <w:rsid w:val="008B3CEA"/>
    <w:rsid w:val="008B405F"/>
    <w:rsid w:val="008B4287"/>
    <w:rsid w:val="008B4433"/>
    <w:rsid w:val="008B4547"/>
    <w:rsid w:val="008B4BB1"/>
    <w:rsid w:val="008B7161"/>
    <w:rsid w:val="008B7770"/>
    <w:rsid w:val="008B77C2"/>
    <w:rsid w:val="008B77FF"/>
    <w:rsid w:val="008C0DC4"/>
    <w:rsid w:val="008C1391"/>
    <w:rsid w:val="008C141C"/>
    <w:rsid w:val="008C1595"/>
    <w:rsid w:val="008C1E06"/>
    <w:rsid w:val="008C2F8E"/>
    <w:rsid w:val="008C32C0"/>
    <w:rsid w:val="008C32DB"/>
    <w:rsid w:val="008C3BAA"/>
    <w:rsid w:val="008C3EEE"/>
    <w:rsid w:val="008C4843"/>
    <w:rsid w:val="008C4AB8"/>
    <w:rsid w:val="008C501D"/>
    <w:rsid w:val="008C5574"/>
    <w:rsid w:val="008C5ADC"/>
    <w:rsid w:val="008C73C6"/>
    <w:rsid w:val="008C768C"/>
    <w:rsid w:val="008D07A3"/>
    <w:rsid w:val="008D24F2"/>
    <w:rsid w:val="008D3730"/>
    <w:rsid w:val="008D4373"/>
    <w:rsid w:val="008D45F9"/>
    <w:rsid w:val="008D4D18"/>
    <w:rsid w:val="008D72BE"/>
    <w:rsid w:val="008D7B72"/>
    <w:rsid w:val="008D7FF4"/>
    <w:rsid w:val="008E071B"/>
    <w:rsid w:val="008E088B"/>
    <w:rsid w:val="008E0A01"/>
    <w:rsid w:val="008E1FF3"/>
    <w:rsid w:val="008E41A4"/>
    <w:rsid w:val="008E4455"/>
    <w:rsid w:val="008E5E81"/>
    <w:rsid w:val="008E6DA9"/>
    <w:rsid w:val="008F068B"/>
    <w:rsid w:val="008F0716"/>
    <w:rsid w:val="008F1CE4"/>
    <w:rsid w:val="008F2655"/>
    <w:rsid w:val="008F38B4"/>
    <w:rsid w:val="008F4C56"/>
    <w:rsid w:val="008F5BBC"/>
    <w:rsid w:val="008F5C73"/>
    <w:rsid w:val="008F6222"/>
    <w:rsid w:val="008F6B00"/>
    <w:rsid w:val="008F76F2"/>
    <w:rsid w:val="008F7E1A"/>
    <w:rsid w:val="009008CE"/>
    <w:rsid w:val="009019A2"/>
    <w:rsid w:val="00902599"/>
    <w:rsid w:val="009030FF"/>
    <w:rsid w:val="0090410B"/>
    <w:rsid w:val="009043F4"/>
    <w:rsid w:val="00904A78"/>
    <w:rsid w:val="00904FF5"/>
    <w:rsid w:val="0090572C"/>
    <w:rsid w:val="00906649"/>
    <w:rsid w:val="00907645"/>
    <w:rsid w:val="009100B6"/>
    <w:rsid w:val="0091042E"/>
    <w:rsid w:val="00910BE2"/>
    <w:rsid w:val="00910DB8"/>
    <w:rsid w:val="009116B4"/>
    <w:rsid w:val="00912D82"/>
    <w:rsid w:val="00913ECD"/>
    <w:rsid w:val="00914FA2"/>
    <w:rsid w:val="00916019"/>
    <w:rsid w:val="00916C89"/>
    <w:rsid w:val="00917C42"/>
    <w:rsid w:val="009200B7"/>
    <w:rsid w:val="00920729"/>
    <w:rsid w:val="009217B3"/>
    <w:rsid w:val="0092260C"/>
    <w:rsid w:val="0092260F"/>
    <w:rsid w:val="00922771"/>
    <w:rsid w:val="00923205"/>
    <w:rsid w:val="00923A8D"/>
    <w:rsid w:val="009240BC"/>
    <w:rsid w:val="00925A6D"/>
    <w:rsid w:val="00926336"/>
    <w:rsid w:val="0092636F"/>
    <w:rsid w:val="00926ADC"/>
    <w:rsid w:val="009270A3"/>
    <w:rsid w:val="00927156"/>
    <w:rsid w:val="0093192A"/>
    <w:rsid w:val="00931F84"/>
    <w:rsid w:val="0093207F"/>
    <w:rsid w:val="00933B7C"/>
    <w:rsid w:val="00933C9C"/>
    <w:rsid w:val="0093464A"/>
    <w:rsid w:val="00934BE2"/>
    <w:rsid w:val="009352F5"/>
    <w:rsid w:val="00935478"/>
    <w:rsid w:val="00935DC6"/>
    <w:rsid w:val="00937144"/>
    <w:rsid w:val="0093724E"/>
    <w:rsid w:val="00937C7B"/>
    <w:rsid w:val="00937CB8"/>
    <w:rsid w:val="009403E2"/>
    <w:rsid w:val="00941843"/>
    <w:rsid w:val="009426D5"/>
    <w:rsid w:val="00946011"/>
    <w:rsid w:val="009464D1"/>
    <w:rsid w:val="00946669"/>
    <w:rsid w:val="00946A6C"/>
    <w:rsid w:val="0095132B"/>
    <w:rsid w:val="009516A4"/>
    <w:rsid w:val="009519B0"/>
    <w:rsid w:val="00952305"/>
    <w:rsid w:val="00952A60"/>
    <w:rsid w:val="00952F5E"/>
    <w:rsid w:val="0095321D"/>
    <w:rsid w:val="00953382"/>
    <w:rsid w:val="009536D1"/>
    <w:rsid w:val="00953C22"/>
    <w:rsid w:val="00953F96"/>
    <w:rsid w:val="0095513C"/>
    <w:rsid w:val="009552B4"/>
    <w:rsid w:val="00955486"/>
    <w:rsid w:val="0095571B"/>
    <w:rsid w:val="009557E1"/>
    <w:rsid w:val="00955A6C"/>
    <w:rsid w:val="00956BDE"/>
    <w:rsid w:val="0095730B"/>
    <w:rsid w:val="009575C8"/>
    <w:rsid w:val="00957C93"/>
    <w:rsid w:val="00960C40"/>
    <w:rsid w:val="00960D31"/>
    <w:rsid w:val="00961952"/>
    <w:rsid w:val="00963ED3"/>
    <w:rsid w:val="0096423F"/>
    <w:rsid w:val="0096495B"/>
    <w:rsid w:val="00964D1A"/>
    <w:rsid w:val="00965134"/>
    <w:rsid w:val="00965349"/>
    <w:rsid w:val="00965369"/>
    <w:rsid w:val="00967B8A"/>
    <w:rsid w:val="009702D5"/>
    <w:rsid w:val="00970D06"/>
    <w:rsid w:val="0097139A"/>
    <w:rsid w:val="00971560"/>
    <w:rsid w:val="00971797"/>
    <w:rsid w:val="00971C96"/>
    <w:rsid w:val="0097200B"/>
    <w:rsid w:val="009723A0"/>
    <w:rsid w:val="00972FF8"/>
    <w:rsid w:val="00973844"/>
    <w:rsid w:val="00973A93"/>
    <w:rsid w:val="00975EE0"/>
    <w:rsid w:val="00976096"/>
    <w:rsid w:val="00976666"/>
    <w:rsid w:val="00977628"/>
    <w:rsid w:val="00977653"/>
    <w:rsid w:val="00977872"/>
    <w:rsid w:val="009803CF"/>
    <w:rsid w:val="00980841"/>
    <w:rsid w:val="0098128B"/>
    <w:rsid w:val="00981A4C"/>
    <w:rsid w:val="00982AA1"/>
    <w:rsid w:val="00983ED5"/>
    <w:rsid w:val="00984860"/>
    <w:rsid w:val="00984D29"/>
    <w:rsid w:val="00984E63"/>
    <w:rsid w:val="009857F6"/>
    <w:rsid w:val="00986731"/>
    <w:rsid w:val="009873E7"/>
    <w:rsid w:val="00987844"/>
    <w:rsid w:val="0098799A"/>
    <w:rsid w:val="00987BEA"/>
    <w:rsid w:val="0099001C"/>
    <w:rsid w:val="009903F1"/>
    <w:rsid w:val="009903FD"/>
    <w:rsid w:val="00990DA1"/>
    <w:rsid w:val="0099150A"/>
    <w:rsid w:val="00991B0F"/>
    <w:rsid w:val="00991F01"/>
    <w:rsid w:val="009930FB"/>
    <w:rsid w:val="00993205"/>
    <w:rsid w:val="009939D1"/>
    <w:rsid w:val="00993CD0"/>
    <w:rsid w:val="0099410C"/>
    <w:rsid w:val="00994FEA"/>
    <w:rsid w:val="00995868"/>
    <w:rsid w:val="00995BD3"/>
    <w:rsid w:val="00995D47"/>
    <w:rsid w:val="00996662"/>
    <w:rsid w:val="00996B92"/>
    <w:rsid w:val="0099748E"/>
    <w:rsid w:val="00997F68"/>
    <w:rsid w:val="009A0536"/>
    <w:rsid w:val="009A1117"/>
    <w:rsid w:val="009A1EF6"/>
    <w:rsid w:val="009A1F14"/>
    <w:rsid w:val="009A20E7"/>
    <w:rsid w:val="009A2B22"/>
    <w:rsid w:val="009A2F2F"/>
    <w:rsid w:val="009A3016"/>
    <w:rsid w:val="009A41A5"/>
    <w:rsid w:val="009A4E66"/>
    <w:rsid w:val="009A51C4"/>
    <w:rsid w:val="009A527A"/>
    <w:rsid w:val="009A717E"/>
    <w:rsid w:val="009A7B9D"/>
    <w:rsid w:val="009A7E1A"/>
    <w:rsid w:val="009B0ADF"/>
    <w:rsid w:val="009B1996"/>
    <w:rsid w:val="009B19A2"/>
    <w:rsid w:val="009B1E78"/>
    <w:rsid w:val="009B3DD9"/>
    <w:rsid w:val="009B5813"/>
    <w:rsid w:val="009B5CBD"/>
    <w:rsid w:val="009B62ED"/>
    <w:rsid w:val="009B6871"/>
    <w:rsid w:val="009B78B4"/>
    <w:rsid w:val="009C03F7"/>
    <w:rsid w:val="009C18BC"/>
    <w:rsid w:val="009C275E"/>
    <w:rsid w:val="009C2A7E"/>
    <w:rsid w:val="009C3373"/>
    <w:rsid w:val="009C37B2"/>
    <w:rsid w:val="009C3F02"/>
    <w:rsid w:val="009C4089"/>
    <w:rsid w:val="009C446A"/>
    <w:rsid w:val="009C45BD"/>
    <w:rsid w:val="009C4943"/>
    <w:rsid w:val="009C5087"/>
    <w:rsid w:val="009C77B3"/>
    <w:rsid w:val="009C791F"/>
    <w:rsid w:val="009C7B9D"/>
    <w:rsid w:val="009D019A"/>
    <w:rsid w:val="009D0823"/>
    <w:rsid w:val="009D0CB8"/>
    <w:rsid w:val="009D1286"/>
    <w:rsid w:val="009D16EC"/>
    <w:rsid w:val="009D1DAF"/>
    <w:rsid w:val="009D2474"/>
    <w:rsid w:val="009D307B"/>
    <w:rsid w:val="009D3670"/>
    <w:rsid w:val="009D4322"/>
    <w:rsid w:val="009D4CC9"/>
    <w:rsid w:val="009D5848"/>
    <w:rsid w:val="009D58B6"/>
    <w:rsid w:val="009D5F62"/>
    <w:rsid w:val="009D615C"/>
    <w:rsid w:val="009D6540"/>
    <w:rsid w:val="009D6A1A"/>
    <w:rsid w:val="009E0291"/>
    <w:rsid w:val="009E0840"/>
    <w:rsid w:val="009E324A"/>
    <w:rsid w:val="009E395B"/>
    <w:rsid w:val="009E3B5E"/>
    <w:rsid w:val="009E3C2E"/>
    <w:rsid w:val="009E4785"/>
    <w:rsid w:val="009E4BFC"/>
    <w:rsid w:val="009E563D"/>
    <w:rsid w:val="009E5FB2"/>
    <w:rsid w:val="009E617E"/>
    <w:rsid w:val="009E6A0B"/>
    <w:rsid w:val="009E764B"/>
    <w:rsid w:val="009F04AA"/>
    <w:rsid w:val="009F072F"/>
    <w:rsid w:val="009F1ED3"/>
    <w:rsid w:val="009F1FCD"/>
    <w:rsid w:val="009F2348"/>
    <w:rsid w:val="009F249A"/>
    <w:rsid w:val="009F2870"/>
    <w:rsid w:val="009F2A37"/>
    <w:rsid w:val="009F3731"/>
    <w:rsid w:val="009F46A5"/>
    <w:rsid w:val="009F4A3F"/>
    <w:rsid w:val="009F6604"/>
    <w:rsid w:val="009F680C"/>
    <w:rsid w:val="00A00147"/>
    <w:rsid w:val="00A001BC"/>
    <w:rsid w:val="00A00D31"/>
    <w:rsid w:val="00A00F05"/>
    <w:rsid w:val="00A011BF"/>
    <w:rsid w:val="00A01A74"/>
    <w:rsid w:val="00A02201"/>
    <w:rsid w:val="00A03B8F"/>
    <w:rsid w:val="00A044DF"/>
    <w:rsid w:val="00A04DD3"/>
    <w:rsid w:val="00A053EF"/>
    <w:rsid w:val="00A06397"/>
    <w:rsid w:val="00A06AE1"/>
    <w:rsid w:val="00A07048"/>
    <w:rsid w:val="00A070A7"/>
    <w:rsid w:val="00A076C3"/>
    <w:rsid w:val="00A10459"/>
    <w:rsid w:val="00A104AE"/>
    <w:rsid w:val="00A123C8"/>
    <w:rsid w:val="00A12E6B"/>
    <w:rsid w:val="00A12F39"/>
    <w:rsid w:val="00A140C9"/>
    <w:rsid w:val="00A14175"/>
    <w:rsid w:val="00A15C22"/>
    <w:rsid w:val="00A16222"/>
    <w:rsid w:val="00A163D5"/>
    <w:rsid w:val="00A17010"/>
    <w:rsid w:val="00A17B37"/>
    <w:rsid w:val="00A17DB7"/>
    <w:rsid w:val="00A2017E"/>
    <w:rsid w:val="00A20EDB"/>
    <w:rsid w:val="00A2128A"/>
    <w:rsid w:val="00A2162D"/>
    <w:rsid w:val="00A21ABD"/>
    <w:rsid w:val="00A21E46"/>
    <w:rsid w:val="00A22701"/>
    <w:rsid w:val="00A227CD"/>
    <w:rsid w:val="00A2347E"/>
    <w:rsid w:val="00A24B90"/>
    <w:rsid w:val="00A27C3D"/>
    <w:rsid w:val="00A31728"/>
    <w:rsid w:val="00A318E7"/>
    <w:rsid w:val="00A31CA6"/>
    <w:rsid w:val="00A32D7B"/>
    <w:rsid w:val="00A330A8"/>
    <w:rsid w:val="00A33DF6"/>
    <w:rsid w:val="00A34895"/>
    <w:rsid w:val="00A34C01"/>
    <w:rsid w:val="00A36797"/>
    <w:rsid w:val="00A376D7"/>
    <w:rsid w:val="00A37728"/>
    <w:rsid w:val="00A3784A"/>
    <w:rsid w:val="00A37939"/>
    <w:rsid w:val="00A40F5A"/>
    <w:rsid w:val="00A41CC2"/>
    <w:rsid w:val="00A4299D"/>
    <w:rsid w:val="00A42E9C"/>
    <w:rsid w:val="00A43180"/>
    <w:rsid w:val="00A4391D"/>
    <w:rsid w:val="00A43AD7"/>
    <w:rsid w:val="00A43CDF"/>
    <w:rsid w:val="00A44B08"/>
    <w:rsid w:val="00A4515E"/>
    <w:rsid w:val="00A4523A"/>
    <w:rsid w:val="00A507C9"/>
    <w:rsid w:val="00A508E0"/>
    <w:rsid w:val="00A5153B"/>
    <w:rsid w:val="00A51A2B"/>
    <w:rsid w:val="00A51C36"/>
    <w:rsid w:val="00A524C2"/>
    <w:rsid w:val="00A52D90"/>
    <w:rsid w:val="00A52ED1"/>
    <w:rsid w:val="00A535D1"/>
    <w:rsid w:val="00A54744"/>
    <w:rsid w:val="00A547B3"/>
    <w:rsid w:val="00A54BAE"/>
    <w:rsid w:val="00A5560D"/>
    <w:rsid w:val="00A56DF9"/>
    <w:rsid w:val="00A57F91"/>
    <w:rsid w:val="00A620D6"/>
    <w:rsid w:val="00A63031"/>
    <w:rsid w:val="00A633AF"/>
    <w:rsid w:val="00A64084"/>
    <w:rsid w:val="00A64DDC"/>
    <w:rsid w:val="00A65C24"/>
    <w:rsid w:val="00A66621"/>
    <w:rsid w:val="00A66B27"/>
    <w:rsid w:val="00A67B5E"/>
    <w:rsid w:val="00A71D0B"/>
    <w:rsid w:val="00A71DDF"/>
    <w:rsid w:val="00A735FB"/>
    <w:rsid w:val="00A73680"/>
    <w:rsid w:val="00A736A5"/>
    <w:rsid w:val="00A7410B"/>
    <w:rsid w:val="00A74FE8"/>
    <w:rsid w:val="00A77047"/>
    <w:rsid w:val="00A771B4"/>
    <w:rsid w:val="00A775D9"/>
    <w:rsid w:val="00A77825"/>
    <w:rsid w:val="00A778B5"/>
    <w:rsid w:val="00A80247"/>
    <w:rsid w:val="00A808B5"/>
    <w:rsid w:val="00A821FF"/>
    <w:rsid w:val="00A8242A"/>
    <w:rsid w:val="00A83199"/>
    <w:rsid w:val="00A839AB"/>
    <w:rsid w:val="00A8510E"/>
    <w:rsid w:val="00A8605C"/>
    <w:rsid w:val="00A862BF"/>
    <w:rsid w:val="00A86B58"/>
    <w:rsid w:val="00A86C9C"/>
    <w:rsid w:val="00A86DAC"/>
    <w:rsid w:val="00A875DD"/>
    <w:rsid w:val="00A87D5C"/>
    <w:rsid w:val="00A87F14"/>
    <w:rsid w:val="00A90650"/>
    <w:rsid w:val="00A906B8"/>
    <w:rsid w:val="00A90A18"/>
    <w:rsid w:val="00A90A81"/>
    <w:rsid w:val="00A91DBF"/>
    <w:rsid w:val="00A921B4"/>
    <w:rsid w:val="00A92240"/>
    <w:rsid w:val="00A938F5"/>
    <w:rsid w:val="00A93F93"/>
    <w:rsid w:val="00A94338"/>
    <w:rsid w:val="00A95297"/>
    <w:rsid w:val="00A9630C"/>
    <w:rsid w:val="00AA04EC"/>
    <w:rsid w:val="00AA0F96"/>
    <w:rsid w:val="00AA1043"/>
    <w:rsid w:val="00AA17E6"/>
    <w:rsid w:val="00AA1BB6"/>
    <w:rsid w:val="00AA3656"/>
    <w:rsid w:val="00AA39F5"/>
    <w:rsid w:val="00AA3A11"/>
    <w:rsid w:val="00AA41CB"/>
    <w:rsid w:val="00AA5CCF"/>
    <w:rsid w:val="00AA600B"/>
    <w:rsid w:val="00AA62E1"/>
    <w:rsid w:val="00AA6918"/>
    <w:rsid w:val="00AA72C5"/>
    <w:rsid w:val="00AA7B68"/>
    <w:rsid w:val="00AA7DFE"/>
    <w:rsid w:val="00AB004F"/>
    <w:rsid w:val="00AB080C"/>
    <w:rsid w:val="00AB13C6"/>
    <w:rsid w:val="00AB1EEA"/>
    <w:rsid w:val="00AB1EF3"/>
    <w:rsid w:val="00AB21D1"/>
    <w:rsid w:val="00AB2E59"/>
    <w:rsid w:val="00AB3170"/>
    <w:rsid w:val="00AB359F"/>
    <w:rsid w:val="00AB3EB5"/>
    <w:rsid w:val="00AB4C78"/>
    <w:rsid w:val="00AB5105"/>
    <w:rsid w:val="00AB6B79"/>
    <w:rsid w:val="00AB7320"/>
    <w:rsid w:val="00AB7954"/>
    <w:rsid w:val="00AB7B15"/>
    <w:rsid w:val="00AC1604"/>
    <w:rsid w:val="00AC171B"/>
    <w:rsid w:val="00AC1D1D"/>
    <w:rsid w:val="00AC20A4"/>
    <w:rsid w:val="00AC2106"/>
    <w:rsid w:val="00AC2392"/>
    <w:rsid w:val="00AC24CB"/>
    <w:rsid w:val="00AC332D"/>
    <w:rsid w:val="00AC35A1"/>
    <w:rsid w:val="00AC3ECD"/>
    <w:rsid w:val="00AC44F0"/>
    <w:rsid w:val="00AC55EF"/>
    <w:rsid w:val="00AC5C40"/>
    <w:rsid w:val="00AC5F96"/>
    <w:rsid w:val="00AC6124"/>
    <w:rsid w:val="00AC679D"/>
    <w:rsid w:val="00AC6C73"/>
    <w:rsid w:val="00AC7D3C"/>
    <w:rsid w:val="00AD02C2"/>
    <w:rsid w:val="00AD0337"/>
    <w:rsid w:val="00AD0927"/>
    <w:rsid w:val="00AD1575"/>
    <w:rsid w:val="00AD26FF"/>
    <w:rsid w:val="00AD2C41"/>
    <w:rsid w:val="00AD3ADD"/>
    <w:rsid w:val="00AD4B46"/>
    <w:rsid w:val="00AD581A"/>
    <w:rsid w:val="00AD77EA"/>
    <w:rsid w:val="00AD79AF"/>
    <w:rsid w:val="00AE01F0"/>
    <w:rsid w:val="00AE083D"/>
    <w:rsid w:val="00AE0958"/>
    <w:rsid w:val="00AE0AFC"/>
    <w:rsid w:val="00AE1D38"/>
    <w:rsid w:val="00AE1DD8"/>
    <w:rsid w:val="00AE237D"/>
    <w:rsid w:val="00AE25FE"/>
    <w:rsid w:val="00AE260A"/>
    <w:rsid w:val="00AE3670"/>
    <w:rsid w:val="00AE3772"/>
    <w:rsid w:val="00AE39F7"/>
    <w:rsid w:val="00AE40EA"/>
    <w:rsid w:val="00AE4D48"/>
    <w:rsid w:val="00AE5316"/>
    <w:rsid w:val="00AE674F"/>
    <w:rsid w:val="00AE6A69"/>
    <w:rsid w:val="00AE6FC1"/>
    <w:rsid w:val="00AE7C74"/>
    <w:rsid w:val="00AF0273"/>
    <w:rsid w:val="00AF0778"/>
    <w:rsid w:val="00AF0821"/>
    <w:rsid w:val="00AF2E54"/>
    <w:rsid w:val="00AF333E"/>
    <w:rsid w:val="00AF3A43"/>
    <w:rsid w:val="00AF5DD4"/>
    <w:rsid w:val="00AF660C"/>
    <w:rsid w:val="00AF7F98"/>
    <w:rsid w:val="00B039CB"/>
    <w:rsid w:val="00B03AB5"/>
    <w:rsid w:val="00B03DCE"/>
    <w:rsid w:val="00B03F4C"/>
    <w:rsid w:val="00B046BA"/>
    <w:rsid w:val="00B05A26"/>
    <w:rsid w:val="00B064A1"/>
    <w:rsid w:val="00B06787"/>
    <w:rsid w:val="00B06903"/>
    <w:rsid w:val="00B07839"/>
    <w:rsid w:val="00B0788A"/>
    <w:rsid w:val="00B0797E"/>
    <w:rsid w:val="00B10C2C"/>
    <w:rsid w:val="00B11575"/>
    <w:rsid w:val="00B12698"/>
    <w:rsid w:val="00B13C7F"/>
    <w:rsid w:val="00B14429"/>
    <w:rsid w:val="00B15211"/>
    <w:rsid w:val="00B15AA5"/>
    <w:rsid w:val="00B15BF5"/>
    <w:rsid w:val="00B16692"/>
    <w:rsid w:val="00B16B4D"/>
    <w:rsid w:val="00B17592"/>
    <w:rsid w:val="00B1797B"/>
    <w:rsid w:val="00B201AB"/>
    <w:rsid w:val="00B20446"/>
    <w:rsid w:val="00B20C34"/>
    <w:rsid w:val="00B218B3"/>
    <w:rsid w:val="00B21F0A"/>
    <w:rsid w:val="00B2211A"/>
    <w:rsid w:val="00B24530"/>
    <w:rsid w:val="00B24606"/>
    <w:rsid w:val="00B247AD"/>
    <w:rsid w:val="00B2561B"/>
    <w:rsid w:val="00B25CA7"/>
    <w:rsid w:val="00B25CBD"/>
    <w:rsid w:val="00B2600C"/>
    <w:rsid w:val="00B260C0"/>
    <w:rsid w:val="00B261AD"/>
    <w:rsid w:val="00B262EB"/>
    <w:rsid w:val="00B2644E"/>
    <w:rsid w:val="00B2656B"/>
    <w:rsid w:val="00B26AA3"/>
    <w:rsid w:val="00B26CB4"/>
    <w:rsid w:val="00B301D1"/>
    <w:rsid w:val="00B3047E"/>
    <w:rsid w:val="00B31471"/>
    <w:rsid w:val="00B32330"/>
    <w:rsid w:val="00B324A5"/>
    <w:rsid w:val="00B33058"/>
    <w:rsid w:val="00B33A80"/>
    <w:rsid w:val="00B33C62"/>
    <w:rsid w:val="00B343A2"/>
    <w:rsid w:val="00B35388"/>
    <w:rsid w:val="00B36884"/>
    <w:rsid w:val="00B37242"/>
    <w:rsid w:val="00B373BA"/>
    <w:rsid w:val="00B3750E"/>
    <w:rsid w:val="00B375B9"/>
    <w:rsid w:val="00B37D87"/>
    <w:rsid w:val="00B37DF5"/>
    <w:rsid w:val="00B41896"/>
    <w:rsid w:val="00B41E73"/>
    <w:rsid w:val="00B41E84"/>
    <w:rsid w:val="00B4271A"/>
    <w:rsid w:val="00B42E01"/>
    <w:rsid w:val="00B42E9E"/>
    <w:rsid w:val="00B43982"/>
    <w:rsid w:val="00B43E68"/>
    <w:rsid w:val="00B44168"/>
    <w:rsid w:val="00B442EB"/>
    <w:rsid w:val="00B452DF"/>
    <w:rsid w:val="00B46687"/>
    <w:rsid w:val="00B50A38"/>
    <w:rsid w:val="00B51160"/>
    <w:rsid w:val="00B5339D"/>
    <w:rsid w:val="00B53515"/>
    <w:rsid w:val="00B538D2"/>
    <w:rsid w:val="00B549A1"/>
    <w:rsid w:val="00B552A4"/>
    <w:rsid w:val="00B555BA"/>
    <w:rsid w:val="00B559E0"/>
    <w:rsid w:val="00B569A7"/>
    <w:rsid w:val="00B56CF2"/>
    <w:rsid w:val="00B57B87"/>
    <w:rsid w:val="00B60B39"/>
    <w:rsid w:val="00B60B97"/>
    <w:rsid w:val="00B62B59"/>
    <w:rsid w:val="00B62F4E"/>
    <w:rsid w:val="00B63506"/>
    <w:rsid w:val="00B64563"/>
    <w:rsid w:val="00B64C6B"/>
    <w:rsid w:val="00B64FB6"/>
    <w:rsid w:val="00B64FE8"/>
    <w:rsid w:val="00B6515A"/>
    <w:rsid w:val="00B651E6"/>
    <w:rsid w:val="00B672BC"/>
    <w:rsid w:val="00B67FCD"/>
    <w:rsid w:val="00B706E2"/>
    <w:rsid w:val="00B707EA"/>
    <w:rsid w:val="00B7081D"/>
    <w:rsid w:val="00B70ADA"/>
    <w:rsid w:val="00B710D5"/>
    <w:rsid w:val="00B71882"/>
    <w:rsid w:val="00B71F34"/>
    <w:rsid w:val="00B72029"/>
    <w:rsid w:val="00B72792"/>
    <w:rsid w:val="00B7280C"/>
    <w:rsid w:val="00B72A87"/>
    <w:rsid w:val="00B72AEA"/>
    <w:rsid w:val="00B7394E"/>
    <w:rsid w:val="00B73B99"/>
    <w:rsid w:val="00B7449D"/>
    <w:rsid w:val="00B7483F"/>
    <w:rsid w:val="00B74EE0"/>
    <w:rsid w:val="00B754E6"/>
    <w:rsid w:val="00B769D4"/>
    <w:rsid w:val="00B76A59"/>
    <w:rsid w:val="00B7706A"/>
    <w:rsid w:val="00B77979"/>
    <w:rsid w:val="00B77AEB"/>
    <w:rsid w:val="00B77D7C"/>
    <w:rsid w:val="00B8031D"/>
    <w:rsid w:val="00B8043C"/>
    <w:rsid w:val="00B8054D"/>
    <w:rsid w:val="00B80A71"/>
    <w:rsid w:val="00B80AAA"/>
    <w:rsid w:val="00B816FD"/>
    <w:rsid w:val="00B8196D"/>
    <w:rsid w:val="00B81C26"/>
    <w:rsid w:val="00B822CF"/>
    <w:rsid w:val="00B83034"/>
    <w:rsid w:val="00B835B2"/>
    <w:rsid w:val="00B83F12"/>
    <w:rsid w:val="00B84303"/>
    <w:rsid w:val="00B84AAB"/>
    <w:rsid w:val="00B851E7"/>
    <w:rsid w:val="00B85530"/>
    <w:rsid w:val="00B85946"/>
    <w:rsid w:val="00B85CD1"/>
    <w:rsid w:val="00B90740"/>
    <w:rsid w:val="00B90965"/>
    <w:rsid w:val="00B91832"/>
    <w:rsid w:val="00B91865"/>
    <w:rsid w:val="00B926A4"/>
    <w:rsid w:val="00B930D1"/>
    <w:rsid w:val="00B93A65"/>
    <w:rsid w:val="00B93C06"/>
    <w:rsid w:val="00B94328"/>
    <w:rsid w:val="00B94379"/>
    <w:rsid w:val="00B94756"/>
    <w:rsid w:val="00B94F50"/>
    <w:rsid w:val="00B96952"/>
    <w:rsid w:val="00BA0273"/>
    <w:rsid w:val="00BA07E0"/>
    <w:rsid w:val="00BA0874"/>
    <w:rsid w:val="00BA09E7"/>
    <w:rsid w:val="00BA1069"/>
    <w:rsid w:val="00BA1874"/>
    <w:rsid w:val="00BA1B42"/>
    <w:rsid w:val="00BA1C74"/>
    <w:rsid w:val="00BA2253"/>
    <w:rsid w:val="00BA32B0"/>
    <w:rsid w:val="00BA33D8"/>
    <w:rsid w:val="00BA3851"/>
    <w:rsid w:val="00BA3D30"/>
    <w:rsid w:val="00BA51CA"/>
    <w:rsid w:val="00BA5D73"/>
    <w:rsid w:val="00BA5DFF"/>
    <w:rsid w:val="00BA647F"/>
    <w:rsid w:val="00BB0482"/>
    <w:rsid w:val="00BB08FE"/>
    <w:rsid w:val="00BB1730"/>
    <w:rsid w:val="00BB17DC"/>
    <w:rsid w:val="00BB1EB9"/>
    <w:rsid w:val="00BB2BD6"/>
    <w:rsid w:val="00BB311F"/>
    <w:rsid w:val="00BB5536"/>
    <w:rsid w:val="00BB5DEE"/>
    <w:rsid w:val="00BB5E3D"/>
    <w:rsid w:val="00BB6283"/>
    <w:rsid w:val="00BB67F7"/>
    <w:rsid w:val="00BB6A9B"/>
    <w:rsid w:val="00BB6C3F"/>
    <w:rsid w:val="00BB704C"/>
    <w:rsid w:val="00BB7634"/>
    <w:rsid w:val="00BB7EE4"/>
    <w:rsid w:val="00BB7FD9"/>
    <w:rsid w:val="00BC13FC"/>
    <w:rsid w:val="00BC1DFD"/>
    <w:rsid w:val="00BC282B"/>
    <w:rsid w:val="00BC4EFE"/>
    <w:rsid w:val="00BC590D"/>
    <w:rsid w:val="00BC5B0B"/>
    <w:rsid w:val="00BD0DBE"/>
    <w:rsid w:val="00BD14EA"/>
    <w:rsid w:val="00BD376D"/>
    <w:rsid w:val="00BD47A1"/>
    <w:rsid w:val="00BD5C3D"/>
    <w:rsid w:val="00BD6790"/>
    <w:rsid w:val="00BD6863"/>
    <w:rsid w:val="00BD7779"/>
    <w:rsid w:val="00BE0042"/>
    <w:rsid w:val="00BE00B5"/>
    <w:rsid w:val="00BE08D6"/>
    <w:rsid w:val="00BE1002"/>
    <w:rsid w:val="00BE14C1"/>
    <w:rsid w:val="00BE1E09"/>
    <w:rsid w:val="00BE2146"/>
    <w:rsid w:val="00BE254C"/>
    <w:rsid w:val="00BE29E2"/>
    <w:rsid w:val="00BE2DAE"/>
    <w:rsid w:val="00BE3FC7"/>
    <w:rsid w:val="00BE41FA"/>
    <w:rsid w:val="00BE470D"/>
    <w:rsid w:val="00BE48F5"/>
    <w:rsid w:val="00BE586E"/>
    <w:rsid w:val="00BE5CAF"/>
    <w:rsid w:val="00BE5D1E"/>
    <w:rsid w:val="00BE677D"/>
    <w:rsid w:val="00BE75C2"/>
    <w:rsid w:val="00BF0599"/>
    <w:rsid w:val="00BF0956"/>
    <w:rsid w:val="00BF0AAD"/>
    <w:rsid w:val="00BF1830"/>
    <w:rsid w:val="00BF1E57"/>
    <w:rsid w:val="00BF2917"/>
    <w:rsid w:val="00BF2D6E"/>
    <w:rsid w:val="00BF3703"/>
    <w:rsid w:val="00BF3BA3"/>
    <w:rsid w:val="00BF3EF5"/>
    <w:rsid w:val="00BF433F"/>
    <w:rsid w:val="00BF520E"/>
    <w:rsid w:val="00BF5494"/>
    <w:rsid w:val="00BF5945"/>
    <w:rsid w:val="00BF6126"/>
    <w:rsid w:val="00BF6A84"/>
    <w:rsid w:val="00BF7C11"/>
    <w:rsid w:val="00C0092B"/>
    <w:rsid w:val="00C0146C"/>
    <w:rsid w:val="00C01B69"/>
    <w:rsid w:val="00C021BB"/>
    <w:rsid w:val="00C035D7"/>
    <w:rsid w:val="00C03A43"/>
    <w:rsid w:val="00C047AE"/>
    <w:rsid w:val="00C049EF"/>
    <w:rsid w:val="00C059F3"/>
    <w:rsid w:val="00C059F6"/>
    <w:rsid w:val="00C05A6E"/>
    <w:rsid w:val="00C05DC3"/>
    <w:rsid w:val="00C05EFD"/>
    <w:rsid w:val="00C07669"/>
    <w:rsid w:val="00C07C6B"/>
    <w:rsid w:val="00C10BD5"/>
    <w:rsid w:val="00C11C02"/>
    <w:rsid w:val="00C11D8D"/>
    <w:rsid w:val="00C12CE6"/>
    <w:rsid w:val="00C138E1"/>
    <w:rsid w:val="00C13ED3"/>
    <w:rsid w:val="00C144E2"/>
    <w:rsid w:val="00C145FD"/>
    <w:rsid w:val="00C15FE5"/>
    <w:rsid w:val="00C164A6"/>
    <w:rsid w:val="00C173B5"/>
    <w:rsid w:val="00C17D8E"/>
    <w:rsid w:val="00C2041B"/>
    <w:rsid w:val="00C2059D"/>
    <w:rsid w:val="00C205EB"/>
    <w:rsid w:val="00C21209"/>
    <w:rsid w:val="00C2121A"/>
    <w:rsid w:val="00C21294"/>
    <w:rsid w:val="00C219DF"/>
    <w:rsid w:val="00C223B6"/>
    <w:rsid w:val="00C22C0B"/>
    <w:rsid w:val="00C23B5B"/>
    <w:rsid w:val="00C23C03"/>
    <w:rsid w:val="00C23C60"/>
    <w:rsid w:val="00C24662"/>
    <w:rsid w:val="00C24A8C"/>
    <w:rsid w:val="00C24DCE"/>
    <w:rsid w:val="00C25131"/>
    <w:rsid w:val="00C26B57"/>
    <w:rsid w:val="00C26E26"/>
    <w:rsid w:val="00C270B7"/>
    <w:rsid w:val="00C30F61"/>
    <w:rsid w:val="00C3109B"/>
    <w:rsid w:val="00C311CE"/>
    <w:rsid w:val="00C312C5"/>
    <w:rsid w:val="00C31BED"/>
    <w:rsid w:val="00C335AE"/>
    <w:rsid w:val="00C3364D"/>
    <w:rsid w:val="00C34885"/>
    <w:rsid w:val="00C34B70"/>
    <w:rsid w:val="00C34C25"/>
    <w:rsid w:val="00C34F1F"/>
    <w:rsid w:val="00C36B91"/>
    <w:rsid w:val="00C37702"/>
    <w:rsid w:val="00C3781A"/>
    <w:rsid w:val="00C41940"/>
    <w:rsid w:val="00C422D2"/>
    <w:rsid w:val="00C42EB3"/>
    <w:rsid w:val="00C44B6D"/>
    <w:rsid w:val="00C453A8"/>
    <w:rsid w:val="00C45CCD"/>
    <w:rsid w:val="00C45FA8"/>
    <w:rsid w:val="00C460F0"/>
    <w:rsid w:val="00C4619B"/>
    <w:rsid w:val="00C4729F"/>
    <w:rsid w:val="00C501B2"/>
    <w:rsid w:val="00C502A6"/>
    <w:rsid w:val="00C50655"/>
    <w:rsid w:val="00C517F5"/>
    <w:rsid w:val="00C523E5"/>
    <w:rsid w:val="00C5489E"/>
    <w:rsid w:val="00C54B32"/>
    <w:rsid w:val="00C54BE7"/>
    <w:rsid w:val="00C54F63"/>
    <w:rsid w:val="00C57704"/>
    <w:rsid w:val="00C57D75"/>
    <w:rsid w:val="00C57E6C"/>
    <w:rsid w:val="00C605AF"/>
    <w:rsid w:val="00C61BA8"/>
    <w:rsid w:val="00C62E49"/>
    <w:rsid w:val="00C636D9"/>
    <w:rsid w:val="00C641C7"/>
    <w:rsid w:val="00C647DB"/>
    <w:rsid w:val="00C64C6B"/>
    <w:rsid w:val="00C652A3"/>
    <w:rsid w:val="00C65636"/>
    <w:rsid w:val="00C6563B"/>
    <w:rsid w:val="00C65C7A"/>
    <w:rsid w:val="00C65C88"/>
    <w:rsid w:val="00C66760"/>
    <w:rsid w:val="00C66C83"/>
    <w:rsid w:val="00C70529"/>
    <w:rsid w:val="00C70FC8"/>
    <w:rsid w:val="00C71D7F"/>
    <w:rsid w:val="00C73D28"/>
    <w:rsid w:val="00C73D53"/>
    <w:rsid w:val="00C74864"/>
    <w:rsid w:val="00C75A9A"/>
    <w:rsid w:val="00C75D0B"/>
    <w:rsid w:val="00C75D95"/>
    <w:rsid w:val="00C763A2"/>
    <w:rsid w:val="00C775D3"/>
    <w:rsid w:val="00C779FC"/>
    <w:rsid w:val="00C80177"/>
    <w:rsid w:val="00C8098E"/>
    <w:rsid w:val="00C80CFC"/>
    <w:rsid w:val="00C81829"/>
    <w:rsid w:val="00C822AE"/>
    <w:rsid w:val="00C838B2"/>
    <w:rsid w:val="00C83CD7"/>
    <w:rsid w:val="00C845A7"/>
    <w:rsid w:val="00C8465C"/>
    <w:rsid w:val="00C850DB"/>
    <w:rsid w:val="00C85106"/>
    <w:rsid w:val="00C85FA4"/>
    <w:rsid w:val="00C863A3"/>
    <w:rsid w:val="00C870E4"/>
    <w:rsid w:val="00C8788B"/>
    <w:rsid w:val="00C904AB"/>
    <w:rsid w:val="00C90D68"/>
    <w:rsid w:val="00C932E4"/>
    <w:rsid w:val="00C936BD"/>
    <w:rsid w:val="00C93DAC"/>
    <w:rsid w:val="00C9421F"/>
    <w:rsid w:val="00C94CD9"/>
    <w:rsid w:val="00C953FF"/>
    <w:rsid w:val="00C95AF6"/>
    <w:rsid w:val="00C95BC0"/>
    <w:rsid w:val="00CA005A"/>
    <w:rsid w:val="00CA02C1"/>
    <w:rsid w:val="00CA0554"/>
    <w:rsid w:val="00CA0B6D"/>
    <w:rsid w:val="00CA1859"/>
    <w:rsid w:val="00CA2B35"/>
    <w:rsid w:val="00CA3C75"/>
    <w:rsid w:val="00CA4CDF"/>
    <w:rsid w:val="00CA58AC"/>
    <w:rsid w:val="00CA615A"/>
    <w:rsid w:val="00CA65B8"/>
    <w:rsid w:val="00CA65E0"/>
    <w:rsid w:val="00CB075B"/>
    <w:rsid w:val="00CB16B7"/>
    <w:rsid w:val="00CB19B6"/>
    <w:rsid w:val="00CB37EC"/>
    <w:rsid w:val="00CB40DA"/>
    <w:rsid w:val="00CB4D9D"/>
    <w:rsid w:val="00CB50F6"/>
    <w:rsid w:val="00CB56D6"/>
    <w:rsid w:val="00CB5FF8"/>
    <w:rsid w:val="00CB6255"/>
    <w:rsid w:val="00CB6527"/>
    <w:rsid w:val="00CB6927"/>
    <w:rsid w:val="00CB6AE3"/>
    <w:rsid w:val="00CB760D"/>
    <w:rsid w:val="00CC02B7"/>
    <w:rsid w:val="00CC0357"/>
    <w:rsid w:val="00CC0CC2"/>
    <w:rsid w:val="00CC1104"/>
    <w:rsid w:val="00CC14B0"/>
    <w:rsid w:val="00CC156D"/>
    <w:rsid w:val="00CC1759"/>
    <w:rsid w:val="00CC2C26"/>
    <w:rsid w:val="00CC40D6"/>
    <w:rsid w:val="00CC4680"/>
    <w:rsid w:val="00CC48D6"/>
    <w:rsid w:val="00CC68ED"/>
    <w:rsid w:val="00CC70A1"/>
    <w:rsid w:val="00CC7B76"/>
    <w:rsid w:val="00CD09C7"/>
    <w:rsid w:val="00CD1732"/>
    <w:rsid w:val="00CD28F0"/>
    <w:rsid w:val="00CD3BD3"/>
    <w:rsid w:val="00CD533F"/>
    <w:rsid w:val="00CD5A3C"/>
    <w:rsid w:val="00CD64A8"/>
    <w:rsid w:val="00CD6FC5"/>
    <w:rsid w:val="00CE008A"/>
    <w:rsid w:val="00CE0328"/>
    <w:rsid w:val="00CE1441"/>
    <w:rsid w:val="00CE26C2"/>
    <w:rsid w:val="00CE3127"/>
    <w:rsid w:val="00CE4332"/>
    <w:rsid w:val="00CE4BC5"/>
    <w:rsid w:val="00CE6535"/>
    <w:rsid w:val="00CE6692"/>
    <w:rsid w:val="00CE718A"/>
    <w:rsid w:val="00CE7700"/>
    <w:rsid w:val="00CF1250"/>
    <w:rsid w:val="00CF1E20"/>
    <w:rsid w:val="00CF292B"/>
    <w:rsid w:val="00CF31B9"/>
    <w:rsid w:val="00CF32F0"/>
    <w:rsid w:val="00CF3831"/>
    <w:rsid w:val="00CF39F3"/>
    <w:rsid w:val="00CF4011"/>
    <w:rsid w:val="00CF45D6"/>
    <w:rsid w:val="00CF75AB"/>
    <w:rsid w:val="00CF7605"/>
    <w:rsid w:val="00CF7B93"/>
    <w:rsid w:val="00CF7F4D"/>
    <w:rsid w:val="00D00B82"/>
    <w:rsid w:val="00D00FA4"/>
    <w:rsid w:val="00D0386D"/>
    <w:rsid w:val="00D0521A"/>
    <w:rsid w:val="00D05D60"/>
    <w:rsid w:val="00D05EFE"/>
    <w:rsid w:val="00D07430"/>
    <w:rsid w:val="00D077A3"/>
    <w:rsid w:val="00D077BE"/>
    <w:rsid w:val="00D07D14"/>
    <w:rsid w:val="00D1057C"/>
    <w:rsid w:val="00D13544"/>
    <w:rsid w:val="00D136D1"/>
    <w:rsid w:val="00D14B38"/>
    <w:rsid w:val="00D14CA8"/>
    <w:rsid w:val="00D15917"/>
    <w:rsid w:val="00D159F7"/>
    <w:rsid w:val="00D15C0C"/>
    <w:rsid w:val="00D17219"/>
    <w:rsid w:val="00D1731A"/>
    <w:rsid w:val="00D20C8A"/>
    <w:rsid w:val="00D20D76"/>
    <w:rsid w:val="00D2166C"/>
    <w:rsid w:val="00D216AB"/>
    <w:rsid w:val="00D2234C"/>
    <w:rsid w:val="00D2436B"/>
    <w:rsid w:val="00D24D28"/>
    <w:rsid w:val="00D25091"/>
    <w:rsid w:val="00D25441"/>
    <w:rsid w:val="00D272A1"/>
    <w:rsid w:val="00D27787"/>
    <w:rsid w:val="00D27C51"/>
    <w:rsid w:val="00D27CA9"/>
    <w:rsid w:val="00D30421"/>
    <w:rsid w:val="00D305D7"/>
    <w:rsid w:val="00D30765"/>
    <w:rsid w:val="00D308E0"/>
    <w:rsid w:val="00D30DEE"/>
    <w:rsid w:val="00D314E7"/>
    <w:rsid w:val="00D315D8"/>
    <w:rsid w:val="00D31799"/>
    <w:rsid w:val="00D317DD"/>
    <w:rsid w:val="00D319EF"/>
    <w:rsid w:val="00D32A09"/>
    <w:rsid w:val="00D3363D"/>
    <w:rsid w:val="00D33704"/>
    <w:rsid w:val="00D3430B"/>
    <w:rsid w:val="00D35311"/>
    <w:rsid w:val="00D35F06"/>
    <w:rsid w:val="00D35FC5"/>
    <w:rsid w:val="00D3681C"/>
    <w:rsid w:val="00D36D9E"/>
    <w:rsid w:val="00D373C2"/>
    <w:rsid w:val="00D37A89"/>
    <w:rsid w:val="00D37E1A"/>
    <w:rsid w:val="00D40927"/>
    <w:rsid w:val="00D42C65"/>
    <w:rsid w:val="00D43752"/>
    <w:rsid w:val="00D4453C"/>
    <w:rsid w:val="00D44597"/>
    <w:rsid w:val="00D44A86"/>
    <w:rsid w:val="00D45A4C"/>
    <w:rsid w:val="00D45CAA"/>
    <w:rsid w:val="00D4611B"/>
    <w:rsid w:val="00D4732D"/>
    <w:rsid w:val="00D47DA0"/>
    <w:rsid w:val="00D47F99"/>
    <w:rsid w:val="00D504B3"/>
    <w:rsid w:val="00D5055A"/>
    <w:rsid w:val="00D513DC"/>
    <w:rsid w:val="00D51BBD"/>
    <w:rsid w:val="00D53356"/>
    <w:rsid w:val="00D53A85"/>
    <w:rsid w:val="00D53F1A"/>
    <w:rsid w:val="00D54904"/>
    <w:rsid w:val="00D54A1C"/>
    <w:rsid w:val="00D54B17"/>
    <w:rsid w:val="00D55283"/>
    <w:rsid w:val="00D5582B"/>
    <w:rsid w:val="00D55AD8"/>
    <w:rsid w:val="00D5602F"/>
    <w:rsid w:val="00D563CB"/>
    <w:rsid w:val="00D60DF5"/>
    <w:rsid w:val="00D60ED0"/>
    <w:rsid w:val="00D617A3"/>
    <w:rsid w:val="00D620A4"/>
    <w:rsid w:val="00D6271A"/>
    <w:rsid w:val="00D6290D"/>
    <w:rsid w:val="00D63D3F"/>
    <w:rsid w:val="00D643CE"/>
    <w:rsid w:val="00D656D1"/>
    <w:rsid w:val="00D6580C"/>
    <w:rsid w:val="00D66612"/>
    <w:rsid w:val="00D66A64"/>
    <w:rsid w:val="00D66B27"/>
    <w:rsid w:val="00D66C01"/>
    <w:rsid w:val="00D66C40"/>
    <w:rsid w:val="00D67EE1"/>
    <w:rsid w:val="00D705F8"/>
    <w:rsid w:val="00D7068D"/>
    <w:rsid w:val="00D718F6"/>
    <w:rsid w:val="00D71F6F"/>
    <w:rsid w:val="00D72164"/>
    <w:rsid w:val="00D73235"/>
    <w:rsid w:val="00D73384"/>
    <w:rsid w:val="00D74A17"/>
    <w:rsid w:val="00D74B41"/>
    <w:rsid w:val="00D74E05"/>
    <w:rsid w:val="00D74E2C"/>
    <w:rsid w:val="00D75263"/>
    <w:rsid w:val="00D76459"/>
    <w:rsid w:val="00D773A9"/>
    <w:rsid w:val="00D834D5"/>
    <w:rsid w:val="00D83963"/>
    <w:rsid w:val="00D843A0"/>
    <w:rsid w:val="00D84FD6"/>
    <w:rsid w:val="00D85634"/>
    <w:rsid w:val="00D85BB9"/>
    <w:rsid w:val="00D86B28"/>
    <w:rsid w:val="00D87759"/>
    <w:rsid w:val="00D87884"/>
    <w:rsid w:val="00D87B95"/>
    <w:rsid w:val="00D900D6"/>
    <w:rsid w:val="00D9048A"/>
    <w:rsid w:val="00D90983"/>
    <w:rsid w:val="00D91C46"/>
    <w:rsid w:val="00D92757"/>
    <w:rsid w:val="00D9475F"/>
    <w:rsid w:val="00D94E89"/>
    <w:rsid w:val="00D9637C"/>
    <w:rsid w:val="00D96BFD"/>
    <w:rsid w:val="00D9764D"/>
    <w:rsid w:val="00D979A0"/>
    <w:rsid w:val="00D97DE5"/>
    <w:rsid w:val="00DA1593"/>
    <w:rsid w:val="00DA15B9"/>
    <w:rsid w:val="00DA17D8"/>
    <w:rsid w:val="00DA1890"/>
    <w:rsid w:val="00DA1907"/>
    <w:rsid w:val="00DA2B90"/>
    <w:rsid w:val="00DA2DD6"/>
    <w:rsid w:val="00DA31A8"/>
    <w:rsid w:val="00DA3796"/>
    <w:rsid w:val="00DA37B2"/>
    <w:rsid w:val="00DA3FBE"/>
    <w:rsid w:val="00DA4089"/>
    <w:rsid w:val="00DA49F8"/>
    <w:rsid w:val="00DA566D"/>
    <w:rsid w:val="00DA6313"/>
    <w:rsid w:val="00DA6927"/>
    <w:rsid w:val="00DA6B2D"/>
    <w:rsid w:val="00DA702E"/>
    <w:rsid w:val="00DA78E6"/>
    <w:rsid w:val="00DA7C2F"/>
    <w:rsid w:val="00DB0919"/>
    <w:rsid w:val="00DB0CAF"/>
    <w:rsid w:val="00DB1555"/>
    <w:rsid w:val="00DB260C"/>
    <w:rsid w:val="00DB36D8"/>
    <w:rsid w:val="00DB3BFA"/>
    <w:rsid w:val="00DB3E31"/>
    <w:rsid w:val="00DB3E7E"/>
    <w:rsid w:val="00DB50FE"/>
    <w:rsid w:val="00DB5A75"/>
    <w:rsid w:val="00DB63B0"/>
    <w:rsid w:val="00DB6849"/>
    <w:rsid w:val="00DB69B2"/>
    <w:rsid w:val="00DB75B9"/>
    <w:rsid w:val="00DB7765"/>
    <w:rsid w:val="00DB7E97"/>
    <w:rsid w:val="00DC04EB"/>
    <w:rsid w:val="00DC103A"/>
    <w:rsid w:val="00DC158E"/>
    <w:rsid w:val="00DC1621"/>
    <w:rsid w:val="00DC1EDC"/>
    <w:rsid w:val="00DC2246"/>
    <w:rsid w:val="00DC2475"/>
    <w:rsid w:val="00DC265A"/>
    <w:rsid w:val="00DC5713"/>
    <w:rsid w:val="00DC68AA"/>
    <w:rsid w:val="00DC6FD4"/>
    <w:rsid w:val="00DC70E3"/>
    <w:rsid w:val="00DC7CD8"/>
    <w:rsid w:val="00DD1379"/>
    <w:rsid w:val="00DD1864"/>
    <w:rsid w:val="00DD1C57"/>
    <w:rsid w:val="00DD1C72"/>
    <w:rsid w:val="00DD2A58"/>
    <w:rsid w:val="00DD3460"/>
    <w:rsid w:val="00DD34A0"/>
    <w:rsid w:val="00DD3E66"/>
    <w:rsid w:val="00DD417A"/>
    <w:rsid w:val="00DD49CC"/>
    <w:rsid w:val="00DD4FEB"/>
    <w:rsid w:val="00DD6019"/>
    <w:rsid w:val="00DD6945"/>
    <w:rsid w:val="00DD70D9"/>
    <w:rsid w:val="00DD73BE"/>
    <w:rsid w:val="00DE0AE7"/>
    <w:rsid w:val="00DE1428"/>
    <w:rsid w:val="00DE1DF2"/>
    <w:rsid w:val="00DE2541"/>
    <w:rsid w:val="00DE325B"/>
    <w:rsid w:val="00DE395C"/>
    <w:rsid w:val="00DE4013"/>
    <w:rsid w:val="00DE4189"/>
    <w:rsid w:val="00DE4533"/>
    <w:rsid w:val="00DE49B7"/>
    <w:rsid w:val="00DE5392"/>
    <w:rsid w:val="00DE6E12"/>
    <w:rsid w:val="00DE7796"/>
    <w:rsid w:val="00DE7963"/>
    <w:rsid w:val="00DF04E4"/>
    <w:rsid w:val="00DF130A"/>
    <w:rsid w:val="00DF2389"/>
    <w:rsid w:val="00DF2657"/>
    <w:rsid w:val="00DF319D"/>
    <w:rsid w:val="00DF3319"/>
    <w:rsid w:val="00DF48CF"/>
    <w:rsid w:val="00DF49E3"/>
    <w:rsid w:val="00DF4AC9"/>
    <w:rsid w:val="00DF56B9"/>
    <w:rsid w:val="00DF6652"/>
    <w:rsid w:val="00DF7221"/>
    <w:rsid w:val="00E00FDC"/>
    <w:rsid w:val="00E01B74"/>
    <w:rsid w:val="00E01FAC"/>
    <w:rsid w:val="00E0213E"/>
    <w:rsid w:val="00E02294"/>
    <w:rsid w:val="00E02745"/>
    <w:rsid w:val="00E02FB8"/>
    <w:rsid w:val="00E03B95"/>
    <w:rsid w:val="00E03DEE"/>
    <w:rsid w:val="00E043B4"/>
    <w:rsid w:val="00E0483A"/>
    <w:rsid w:val="00E052A2"/>
    <w:rsid w:val="00E06136"/>
    <w:rsid w:val="00E066A5"/>
    <w:rsid w:val="00E06D04"/>
    <w:rsid w:val="00E07328"/>
    <w:rsid w:val="00E077B4"/>
    <w:rsid w:val="00E07A86"/>
    <w:rsid w:val="00E07F91"/>
    <w:rsid w:val="00E10277"/>
    <w:rsid w:val="00E106CF"/>
    <w:rsid w:val="00E1093E"/>
    <w:rsid w:val="00E10BE7"/>
    <w:rsid w:val="00E1374C"/>
    <w:rsid w:val="00E13800"/>
    <w:rsid w:val="00E153C8"/>
    <w:rsid w:val="00E2011D"/>
    <w:rsid w:val="00E211EC"/>
    <w:rsid w:val="00E21334"/>
    <w:rsid w:val="00E2191D"/>
    <w:rsid w:val="00E22137"/>
    <w:rsid w:val="00E22844"/>
    <w:rsid w:val="00E22F91"/>
    <w:rsid w:val="00E2356C"/>
    <w:rsid w:val="00E23678"/>
    <w:rsid w:val="00E23957"/>
    <w:rsid w:val="00E23B53"/>
    <w:rsid w:val="00E23C7E"/>
    <w:rsid w:val="00E244D5"/>
    <w:rsid w:val="00E2599A"/>
    <w:rsid w:val="00E25E4E"/>
    <w:rsid w:val="00E26E13"/>
    <w:rsid w:val="00E27F54"/>
    <w:rsid w:val="00E30371"/>
    <w:rsid w:val="00E303DB"/>
    <w:rsid w:val="00E30EAD"/>
    <w:rsid w:val="00E314D4"/>
    <w:rsid w:val="00E31C9B"/>
    <w:rsid w:val="00E33188"/>
    <w:rsid w:val="00E3351F"/>
    <w:rsid w:val="00E3352F"/>
    <w:rsid w:val="00E3388A"/>
    <w:rsid w:val="00E34B5A"/>
    <w:rsid w:val="00E3523F"/>
    <w:rsid w:val="00E361A6"/>
    <w:rsid w:val="00E36C6B"/>
    <w:rsid w:val="00E36CE3"/>
    <w:rsid w:val="00E37714"/>
    <w:rsid w:val="00E37C20"/>
    <w:rsid w:val="00E40581"/>
    <w:rsid w:val="00E41F11"/>
    <w:rsid w:val="00E42D0A"/>
    <w:rsid w:val="00E43265"/>
    <w:rsid w:val="00E44912"/>
    <w:rsid w:val="00E45398"/>
    <w:rsid w:val="00E45F39"/>
    <w:rsid w:val="00E465E6"/>
    <w:rsid w:val="00E46F60"/>
    <w:rsid w:val="00E47EE5"/>
    <w:rsid w:val="00E50294"/>
    <w:rsid w:val="00E5057E"/>
    <w:rsid w:val="00E51C07"/>
    <w:rsid w:val="00E5236B"/>
    <w:rsid w:val="00E528C3"/>
    <w:rsid w:val="00E53038"/>
    <w:rsid w:val="00E5408F"/>
    <w:rsid w:val="00E5473B"/>
    <w:rsid w:val="00E559F7"/>
    <w:rsid w:val="00E56E43"/>
    <w:rsid w:val="00E60781"/>
    <w:rsid w:val="00E60871"/>
    <w:rsid w:val="00E60D20"/>
    <w:rsid w:val="00E61461"/>
    <w:rsid w:val="00E61611"/>
    <w:rsid w:val="00E6214B"/>
    <w:rsid w:val="00E6264C"/>
    <w:rsid w:val="00E62FFA"/>
    <w:rsid w:val="00E634C9"/>
    <w:rsid w:val="00E638BD"/>
    <w:rsid w:val="00E64995"/>
    <w:rsid w:val="00E64A0B"/>
    <w:rsid w:val="00E64F77"/>
    <w:rsid w:val="00E667EF"/>
    <w:rsid w:val="00E66D12"/>
    <w:rsid w:val="00E67028"/>
    <w:rsid w:val="00E676CE"/>
    <w:rsid w:val="00E67ED6"/>
    <w:rsid w:val="00E702C8"/>
    <w:rsid w:val="00E723AA"/>
    <w:rsid w:val="00E731D7"/>
    <w:rsid w:val="00E745F0"/>
    <w:rsid w:val="00E74E91"/>
    <w:rsid w:val="00E751F5"/>
    <w:rsid w:val="00E7524E"/>
    <w:rsid w:val="00E75278"/>
    <w:rsid w:val="00E77A15"/>
    <w:rsid w:val="00E8200F"/>
    <w:rsid w:val="00E8255F"/>
    <w:rsid w:val="00E837A5"/>
    <w:rsid w:val="00E84554"/>
    <w:rsid w:val="00E84628"/>
    <w:rsid w:val="00E846EA"/>
    <w:rsid w:val="00E8479F"/>
    <w:rsid w:val="00E853EB"/>
    <w:rsid w:val="00E8583B"/>
    <w:rsid w:val="00E863A8"/>
    <w:rsid w:val="00E865FE"/>
    <w:rsid w:val="00E905B3"/>
    <w:rsid w:val="00E9188D"/>
    <w:rsid w:val="00E922BD"/>
    <w:rsid w:val="00E930F6"/>
    <w:rsid w:val="00E9352C"/>
    <w:rsid w:val="00E93851"/>
    <w:rsid w:val="00E93925"/>
    <w:rsid w:val="00E93A03"/>
    <w:rsid w:val="00E93F4C"/>
    <w:rsid w:val="00E943E7"/>
    <w:rsid w:val="00E9492D"/>
    <w:rsid w:val="00E95067"/>
    <w:rsid w:val="00E952D1"/>
    <w:rsid w:val="00E958A6"/>
    <w:rsid w:val="00E9614B"/>
    <w:rsid w:val="00E9642B"/>
    <w:rsid w:val="00E97485"/>
    <w:rsid w:val="00E974B3"/>
    <w:rsid w:val="00E976A3"/>
    <w:rsid w:val="00E97AA1"/>
    <w:rsid w:val="00E97F2F"/>
    <w:rsid w:val="00EA0E7B"/>
    <w:rsid w:val="00EA1477"/>
    <w:rsid w:val="00EA1660"/>
    <w:rsid w:val="00EA2DF4"/>
    <w:rsid w:val="00EA33F8"/>
    <w:rsid w:val="00EA39FC"/>
    <w:rsid w:val="00EA5C6C"/>
    <w:rsid w:val="00EA65F8"/>
    <w:rsid w:val="00EA690B"/>
    <w:rsid w:val="00EA6C48"/>
    <w:rsid w:val="00EA71A4"/>
    <w:rsid w:val="00EA72CE"/>
    <w:rsid w:val="00EA7348"/>
    <w:rsid w:val="00EA79C9"/>
    <w:rsid w:val="00EB0975"/>
    <w:rsid w:val="00EB0F32"/>
    <w:rsid w:val="00EB18A4"/>
    <w:rsid w:val="00EB1F1D"/>
    <w:rsid w:val="00EB2543"/>
    <w:rsid w:val="00EB284E"/>
    <w:rsid w:val="00EB2F4B"/>
    <w:rsid w:val="00EB3016"/>
    <w:rsid w:val="00EB302E"/>
    <w:rsid w:val="00EB3F32"/>
    <w:rsid w:val="00EB47BA"/>
    <w:rsid w:val="00EB51A6"/>
    <w:rsid w:val="00EB5816"/>
    <w:rsid w:val="00EB5B06"/>
    <w:rsid w:val="00EB5D19"/>
    <w:rsid w:val="00EB5FB3"/>
    <w:rsid w:val="00EB6760"/>
    <w:rsid w:val="00EB6E06"/>
    <w:rsid w:val="00EB73CC"/>
    <w:rsid w:val="00EC0006"/>
    <w:rsid w:val="00EC1D34"/>
    <w:rsid w:val="00EC29AF"/>
    <w:rsid w:val="00EC3B07"/>
    <w:rsid w:val="00EC422F"/>
    <w:rsid w:val="00EC5135"/>
    <w:rsid w:val="00EC525A"/>
    <w:rsid w:val="00EC5821"/>
    <w:rsid w:val="00EC5E74"/>
    <w:rsid w:val="00EC6C14"/>
    <w:rsid w:val="00EC78BE"/>
    <w:rsid w:val="00EC7C53"/>
    <w:rsid w:val="00ED0CEF"/>
    <w:rsid w:val="00ED19AC"/>
    <w:rsid w:val="00ED24D3"/>
    <w:rsid w:val="00ED2C64"/>
    <w:rsid w:val="00ED31D8"/>
    <w:rsid w:val="00ED32E0"/>
    <w:rsid w:val="00ED5C22"/>
    <w:rsid w:val="00ED5F96"/>
    <w:rsid w:val="00ED63E1"/>
    <w:rsid w:val="00ED6444"/>
    <w:rsid w:val="00ED72AE"/>
    <w:rsid w:val="00ED7CB1"/>
    <w:rsid w:val="00EE00D7"/>
    <w:rsid w:val="00EE094E"/>
    <w:rsid w:val="00EE3497"/>
    <w:rsid w:val="00EE37D9"/>
    <w:rsid w:val="00EE39BB"/>
    <w:rsid w:val="00EE3B18"/>
    <w:rsid w:val="00EE443C"/>
    <w:rsid w:val="00EE4FC3"/>
    <w:rsid w:val="00EE61F3"/>
    <w:rsid w:val="00EE6594"/>
    <w:rsid w:val="00EE6C61"/>
    <w:rsid w:val="00EE7F5E"/>
    <w:rsid w:val="00EF0DBD"/>
    <w:rsid w:val="00EF20E8"/>
    <w:rsid w:val="00EF242F"/>
    <w:rsid w:val="00EF257F"/>
    <w:rsid w:val="00EF2B68"/>
    <w:rsid w:val="00EF303A"/>
    <w:rsid w:val="00EF3609"/>
    <w:rsid w:val="00EF4D31"/>
    <w:rsid w:val="00EF4D42"/>
    <w:rsid w:val="00EF4E26"/>
    <w:rsid w:val="00EF64E5"/>
    <w:rsid w:val="00F00782"/>
    <w:rsid w:val="00F02495"/>
    <w:rsid w:val="00F02C7C"/>
    <w:rsid w:val="00F02FB2"/>
    <w:rsid w:val="00F02FB7"/>
    <w:rsid w:val="00F038AB"/>
    <w:rsid w:val="00F04B20"/>
    <w:rsid w:val="00F05C4E"/>
    <w:rsid w:val="00F06DE3"/>
    <w:rsid w:val="00F071A7"/>
    <w:rsid w:val="00F07B6E"/>
    <w:rsid w:val="00F07FC2"/>
    <w:rsid w:val="00F106B4"/>
    <w:rsid w:val="00F11257"/>
    <w:rsid w:val="00F125AC"/>
    <w:rsid w:val="00F12DE5"/>
    <w:rsid w:val="00F1377A"/>
    <w:rsid w:val="00F13BF0"/>
    <w:rsid w:val="00F13F9B"/>
    <w:rsid w:val="00F13FEB"/>
    <w:rsid w:val="00F1405F"/>
    <w:rsid w:val="00F14398"/>
    <w:rsid w:val="00F149E0"/>
    <w:rsid w:val="00F14AB3"/>
    <w:rsid w:val="00F15587"/>
    <w:rsid w:val="00F163AE"/>
    <w:rsid w:val="00F16EBD"/>
    <w:rsid w:val="00F1798B"/>
    <w:rsid w:val="00F200D6"/>
    <w:rsid w:val="00F201AE"/>
    <w:rsid w:val="00F21A90"/>
    <w:rsid w:val="00F21C3E"/>
    <w:rsid w:val="00F22808"/>
    <w:rsid w:val="00F22C41"/>
    <w:rsid w:val="00F24367"/>
    <w:rsid w:val="00F24A6E"/>
    <w:rsid w:val="00F24F69"/>
    <w:rsid w:val="00F2582D"/>
    <w:rsid w:val="00F26A4F"/>
    <w:rsid w:val="00F2722F"/>
    <w:rsid w:val="00F27E17"/>
    <w:rsid w:val="00F306A4"/>
    <w:rsid w:val="00F31000"/>
    <w:rsid w:val="00F31617"/>
    <w:rsid w:val="00F32D26"/>
    <w:rsid w:val="00F348EC"/>
    <w:rsid w:val="00F3573C"/>
    <w:rsid w:val="00F35C43"/>
    <w:rsid w:val="00F35E5C"/>
    <w:rsid w:val="00F3694F"/>
    <w:rsid w:val="00F403AD"/>
    <w:rsid w:val="00F411FF"/>
    <w:rsid w:val="00F41433"/>
    <w:rsid w:val="00F424B8"/>
    <w:rsid w:val="00F4284E"/>
    <w:rsid w:val="00F440DE"/>
    <w:rsid w:val="00F45929"/>
    <w:rsid w:val="00F45AEE"/>
    <w:rsid w:val="00F46FEB"/>
    <w:rsid w:val="00F4770C"/>
    <w:rsid w:val="00F509E3"/>
    <w:rsid w:val="00F50C40"/>
    <w:rsid w:val="00F51ACF"/>
    <w:rsid w:val="00F52B73"/>
    <w:rsid w:val="00F52E34"/>
    <w:rsid w:val="00F53258"/>
    <w:rsid w:val="00F53616"/>
    <w:rsid w:val="00F53A3A"/>
    <w:rsid w:val="00F53C14"/>
    <w:rsid w:val="00F544CE"/>
    <w:rsid w:val="00F545BB"/>
    <w:rsid w:val="00F54A77"/>
    <w:rsid w:val="00F54FA2"/>
    <w:rsid w:val="00F5594F"/>
    <w:rsid w:val="00F55966"/>
    <w:rsid w:val="00F56C1F"/>
    <w:rsid w:val="00F573A9"/>
    <w:rsid w:val="00F60098"/>
    <w:rsid w:val="00F61A79"/>
    <w:rsid w:val="00F61ED0"/>
    <w:rsid w:val="00F624D9"/>
    <w:rsid w:val="00F62BD3"/>
    <w:rsid w:val="00F6307D"/>
    <w:rsid w:val="00F64F8E"/>
    <w:rsid w:val="00F65AED"/>
    <w:rsid w:val="00F66E82"/>
    <w:rsid w:val="00F671B5"/>
    <w:rsid w:val="00F6777A"/>
    <w:rsid w:val="00F67A20"/>
    <w:rsid w:val="00F70B36"/>
    <w:rsid w:val="00F71D5E"/>
    <w:rsid w:val="00F72F97"/>
    <w:rsid w:val="00F73997"/>
    <w:rsid w:val="00F73F8B"/>
    <w:rsid w:val="00F73FE1"/>
    <w:rsid w:val="00F74AB7"/>
    <w:rsid w:val="00F74F80"/>
    <w:rsid w:val="00F75FB9"/>
    <w:rsid w:val="00F76EA3"/>
    <w:rsid w:val="00F773EF"/>
    <w:rsid w:val="00F77BD7"/>
    <w:rsid w:val="00F77E67"/>
    <w:rsid w:val="00F77F17"/>
    <w:rsid w:val="00F8021B"/>
    <w:rsid w:val="00F80E00"/>
    <w:rsid w:val="00F81AED"/>
    <w:rsid w:val="00F822C0"/>
    <w:rsid w:val="00F82380"/>
    <w:rsid w:val="00F82ABD"/>
    <w:rsid w:val="00F83CF4"/>
    <w:rsid w:val="00F84DFD"/>
    <w:rsid w:val="00F84F9B"/>
    <w:rsid w:val="00F86228"/>
    <w:rsid w:val="00F87895"/>
    <w:rsid w:val="00F87955"/>
    <w:rsid w:val="00F87B94"/>
    <w:rsid w:val="00F9042B"/>
    <w:rsid w:val="00F9060E"/>
    <w:rsid w:val="00F90B30"/>
    <w:rsid w:val="00F91139"/>
    <w:rsid w:val="00F9159E"/>
    <w:rsid w:val="00F9185D"/>
    <w:rsid w:val="00F92888"/>
    <w:rsid w:val="00F94DE8"/>
    <w:rsid w:val="00F96C06"/>
    <w:rsid w:val="00F97900"/>
    <w:rsid w:val="00F97BA0"/>
    <w:rsid w:val="00FA0316"/>
    <w:rsid w:val="00FA0352"/>
    <w:rsid w:val="00FA051B"/>
    <w:rsid w:val="00FA0952"/>
    <w:rsid w:val="00FA0D6A"/>
    <w:rsid w:val="00FA0DC4"/>
    <w:rsid w:val="00FA118B"/>
    <w:rsid w:val="00FA125E"/>
    <w:rsid w:val="00FA17C7"/>
    <w:rsid w:val="00FA1AD6"/>
    <w:rsid w:val="00FA1F87"/>
    <w:rsid w:val="00FA44DE"/>
    <w:rsid w:val="00FA4555"/>
    <w:rsid w:val="00FA7429"/>
    <w:rsid w:val="00FA7563"/>
    <w:rsid w:val="00FB0188"/>
    <w:rsid w:val="00FB0790"/>
    <w:rsid w:val="00FB109E"/>
    <w:rsid w:val="00FB1E05"/>
    <w:rsid w:val="00FB2FD7"/>
    <w:rsid w:val="00FB3313"/>
    <w:rsid w:val="00FB423D"/>
    <w:rsid w:val="00FB54A4"/>
    <w:rsid w:val="00FB5692"/>
    <w:rsid w:val="00FB5861"/>
    <w:rsid w:val="00FB5B4B"/>
    <w:rsid w:val="00FC0063"/>
    <w:rsid w:val="00FC07D5"/>
    <w:rsid w:val="00FC09C0"/>
    <w:rsid w:val="00FC09F8"/>
    <w:rsid w:val="00FC0CF0"/>
    <w:rsid w:val="00FC575C"/>
    <w:rsid w:val="00FC60E4"/>
    <w:rsid w:val="00FC62F6"/>
    <w:rsid w:val="00FC69A7"/>
    <w:rsid w:val="00FC6F47"/>
    <w:rsid w:val="00FC754E"/>
    <w:rsid w:val="00FD083A"/>
    <w:rsid w:val="00FD0F37"/>
    <w:rsid w:val="00FD158C"/>
    <w:rsid w:val="00FD1922"/>
    <w:rsid w:val="00FD1D88"/>
    <w:rsid w:val="00FD3259"/>
    <w:rsid w:val="00FD356A"/>
    <w:rsid w:val="00FD3D87"/>
    <w:rsid w:val="00FD410B"/>
    <w:rsid w:val="00FD58C7"/>
    <w:rsid w:val="00FD5ACE"/>
    <w:rsid w:val="00FD5B0A"/>
    <w:rsid w:val="00FD5DF8"/>
    <w:rsid w:val="00FD6490"/>
    <w:rsid w:val="00FD6AE7"/>
    <w:rsid w:val="00FD719E"/>
    <w:rsid w:val="00FD7571"/>
    <w:rsid w:val="00FD7BF7"/>
    <w:rsid w:val="00FE0EB1"/>
    <w:rsid w:val="00FE1082"/>
    <w:rsid w:val="00FE1504"/>
    <w:rsid w:val="00FE2511"/>
    <w:rsid w:val="00FE3E21"/>
    <w:rsid w:val="00FE457F"/>
    <w:rsid w:val="00FE4E50"/>
    <w:rsid w:val="00FE534A"/>
    <w:rsid w:val="00FE5F69"/>
    <w:rsid w:val="00FE628B"/>
    <w:rsid w:val="00FE6BF1"/>
    <w:rsid w:val="00FF0945"/>
    <w:rsid w:val="00FF257F"/>
    <w:rsid w:val="00FF2921"/>
    <w:rsid w:val="00FF30C0"/>
    <w:rsid w:val="00FF3453"/>
    <w:rsid w:val="00FF3ACE"/>
    <w:rsid w:val="00FF3C8E"/>
    <w:rsid w:val="00FF3DA8"/>
    <w:rsid w:val="00FF3ED8"/>
    <w:rsid w:val="00FF41B8"/>
    <w:rsid w:val="00FF4DA7"/>
    <w:rsid w:val="00FF6585"/>
    <w:rsid w:val="00FF6606"/>
    <w:rsid w:val="00FF6EC5"/>
    <w:rsid w:val="00FF77F2"/>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7918A48"/>
  <w15:docId w15:val="{E7D32606-3EFF-446D-9A67-D53CD34B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E6CFD"/>
    <w:pPr>
      <w:keepNext/>
      <w:keepLines/>
      <w:spacing w:before="360" w:after="360" w:line="240" w:lineRule="auto"/>
      <w:jc w:val="center"/>
      <w:outlineLvl w:val="0"/>
    </w:pPr>
    <w:rPr>
      <w:rFonts w:ascii="Verdana" w:eastAsia="Times New Roman" w:hAnsi="Verdana" w:cs="Verdana"/>
      <w:b/>
      <w:bCs/>
      <w:caps/>
      <w:snapToGrid w:val="0"/>
      <w:sz w:val="20"/>
      <w:szCs w:val="20"/>
      <w:lang w:eastAsia="es-ES"/>
    </w:rPr>
  </w:style>
  <w:style w:type="paragraph" w:styleId="Ttulo2">
    <w:name w:val="heading 2"/>
    <w:basedOn w:val="Normal"/>
    <w:next w:val="Normal"/>
    <w:link w:val="Ttulo2Car"/>
    <w:unhideWhenUsed/>
    <w:qFormat/>
    <w:rsid w:val="001908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E4DE7"/>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060118"/>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Ttulo5"/>
    <w:next w:val="Normal"/>
    <w:link w:val="Ttulo6Car"/>
    <w:uiPriority w:val="9"/>
    <w:semiHidden/>
    <w:unhideWhenUsed/>
    <w:qFormat/>
    <w:rsid w:val="00060118"/>
    <w:pPr>
      <w:keepNext w:val="0"/>
      <w:keepLines w:val="0"/>
      <w:numPr>
        <w:ilvl w:val="4"/>
        <w:numId w:val="9"/>
      </w:numPr>
      <w:spacing w:before="0" w:line="240" w:lineRule="auto"/>
      <w:jc w:val="both"/>
      <w:outlineLvl w:val="5"/>
    </w:pPr>
    <w:rPr>
      <w:rFonts w:ascii="Verdana" w:eastAsia="Times New Roman" w:hAnsi="Verdana" w:cs="Times New Roman"/>
      <w:color w:val="auto"/>
      <w:spacing w:val="-2"/>
      <w:sz w:val="20"/>
      <w:szCs w:val="20"/>
      <w:lang w:val="es-ES_tradnl"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List Paragraph2,Lista vistosa - Énfasis 11"/>
    <w:basedOn w:val="Normal"/>
    <w:link w:val="PrrafodelistaCar"/>
    <w:qFormat/>
    <w:rsid w:val="00CB40DA"/>
    <w:pPr>
      <w:ind w:left="720"/>
      <w:contextualSpacing/>
    </w:pPr>
  </w:style>
  <w:style w:type="paragraph" w:customStyle="1" w:styleId="ColorfulList-Accent11">
    <w:name w:val="Colorful List - Accent 11"/>
    <w:aliases w:val="Párrafo de lista1,List Paragraph1,List Paragraph11"/>
    <w:basedOn w:val="Normal"/>
    <w:link w:val="ColorfulList-Accent1Char1"/>
    <w:qFormat/>
    <w:rsid w:val="009F4A3F"/>
    <w:pPr>
      <w:spacing w:after="0" w:line="240" w:lineRule="auto"/>
      <w:ind w:left="708"/>
    </w:pPr>
    <w:rPr>
      <w:rFonts w:ascii="Times New Roman" w:eastAsia="Times New Roman" w:hAnsi="Times New Roman" w:cs="Times New Roman"/>
      <w:sz w:val="24"/>
      <w:szCs w:val="24"/>
      <w:lang w:val="es-MX"/>
    </w:rPr>
  </w:style>
  <w:style w:type="character" w:customStyle="1" w:styleId="ColorfulList-Accent1Char1">
    <w:name w:val="Colorful List - Accent 1 Char1"/>
    <w:aliases w:val="Párrafo de lista1 Char,List Paragraph1 Char,Colorful List - Accent 11 Char,List Paragraph Char,Footnote Char,List Paragraph2 Char,Lista vistosa - Énfasis 11 Char"/>
    <w:link w:val="ColorfulList-Accent11"/>
    <w:rsid w:val="009F4A3F"/>
    <w:rPr>
      <w:rFonts w:ascii="Times New Roman" w:eastAsia="Times New Roman" w:hAnsi="Times New Roman" w:cs="Times New Roman"/>
      <w:sz w:val="24"/>
      <w:szCs w:val="24"/>
      <w:lang w:val="es-MX"/>
    </w:rPr>
  </w:style>
  <w:style w:type="paragraph" w:styleId="Textodeglobo">
    <w:name w:val="Balloon Text"/>
    <w:basedOn w:val="Normal"/>
    <w:link w:val="TextodegloboCar"/>
    <w:uiPriority w:val="99"/>
    <w:semiHidden/>
    <w:unhideWhenUsed/>
    <w:rsid w:val="00E102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277"/>
    <w:rPr>
      <w:rFonts w:ascii="Tahoma" w:hAnsi="Tahoma" w:cs="Tahoma"/>
      <w:sz w:val="16"/>
      <w:szCs w:val="16"/>
    </w:rPr>
  </w:style>
  <w:style w:type="paragraph" w:customStyle="1" w:styleId="Default">
    <w:name w:val="Default"/>
    <w:rsid w:val="005C1A91"/>
    <w:pPr>
      <w:autoSpaceDE w:val="0"/>
      <w:autoSpaceDN w:val="0"/>
      <w:adjustRightInd w:val="0"/>
      <w:spacing w:after="0" w:line="240" w:lineRule="auto"/>
    </w:pPr>
    <w:rPr>
      <w:rFonts w:ascii="Verdana" w:hAnsi="Verdana" w:cs="Verdana"/>
      <w:color w:val="000000"/>
      <w:sz w:val="24"/>
      <w:szCs w:val="24"/>
    </w:rPr>
  </w:style>
  <w:style w:type="paragraph" w:styleId="Textonotapie">
    <w:name w:val="footnote text"/>
    <w:aliases w:val="2. Footnote Text,Footnote Tesina,FA Fu,Footnote Text Char Char Char Char Char,Footnote Text Char Char Char Char,Footnote reference,Footnote Text Char Char Char,Footnote Text Cha,FA Fußnotentext,FA Fuﬂnotentext,Ca,C,ft,5,footnote text,Car"/>
    <w:basedOn w:val="Normal"/>
    <w:link w:val="TextonotapieCar"/>
    <w:uiPriority w:val="99"/>
    <w:unhideWhenUsed/>
    <w:qFormat/>
    <w:rsid w:val="00F1377A"/>
    <w:pPr>
      <w:spacing w:after="0" w:line="240" w:lineRule="auto"/>
    </w:pPr>
    <w:rPr>
      <w:sz w:val="20"/>
      <w:szCs w:val="20"/>
    </w:rPr>
  </w:style>
  <w:style w:type="character" w:customStyle="1" w:styleId="TextonotapieCar">
    <w:name w:val="Texto nota pie Car"/>
    <w:aliases w:val="2. Footnote Text Car,Footnote Tesina Car,FA Fu Car,Footnote Text Char Char Char Char Char Car,Footnote Text Char Char Char Char Car,Footnote reference Car,Footnote Text Char Char Char Car,Footnote Text Cha Car,FA Fußnotentext Car"/>
    <w:basedOn w:val="Fuentedeprrafopredeter"/>
    <w:link w:val="Textonotapie"/>
    <w:uiPriority w:val="99"/>
    <w:qFormat/>
    <w:rsid w:val="00F1377A"/>
    <w:rPr>
      <w:sz w:val="20"/>
      <w:szCs w:val="20"/>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4GChar"/>
    <w:uiPriority w:val="99"/>
    <w:unhideWhenUsed/>
    <w:qFormat/>
    <w:rsid w:val="00F1377A"/>
    <w:rPr>
      <w:vertAlign w:val="superscript"/>
    </w:rPr>
  </w:style>
  <w:style w:type="character" w:styleId="Textoennegrita">
    <w:name w:val="Strong"/>
    <w:aliases w:val="Heading 2.1"/>
    <w:basedOn w:val="Fuentedeprrafopredeter"/>
    <w:uiPriority w:val="22"/>
    <w:qFormat/>
    <w:rsid w:val="00F1377A"/>
    <w:rPr>
      <w:b/>
      <w:bCs/>
    </w:rPr>
  </w:style>
  <w:style w:type="character" w:styleId="Refdecomentario">
    <w:name w:val="annotation reference"/>
    <w:basedOn w:val="Fuentedeprrafopredeter"/>
    <w:uiPriority w:val="99"/>
    <w:semiHidden/>
    <w:unhideWhenUsed/>
    <w:rsid w:val="002827DA"/>
    <w:rPr>
      <w:sz w:val="16"/>
      <w:szCs w:val="16"/>
    </w:rPr>
  </w:style>
  <w:style w:type="paragraph" w:styleId="Textocomentario">
    <w:name w:val="annotation text"/>
    <w:basedOn w:val="Normal"/>
    <w:link w:val="TextocomentarioCar"/>
    <w:uiPriority w:val="99"/>
    <w:semiHidden/>
    <w:unhideWhenUsed/>
    <w:rsid w:val="002827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27DA"/>
    <w:rPr>
      <w:sz w:val="20"/>
      <w:szCs w:val="20"/>
    </w:rPr>
  </w:style>
  <w:style w:type="paragraph" w:styleId="Asuntodelcomentario">
    <w:name w:val="annotation subject"/>
    <w:basedOn w:val="Textocomentario"/>
    <w:next w:val="Textocomentario"/>
    <w:link w:val="AsuntodelcomentarioCar"/>
    <w:uiPriority w:val="99"/>
    <w:semiHidden/>
    <w:unhideWhenUsed/>
    <w:rsid w:val="002827DA"/>
    <w:rPr>
      <w:b/>
      <w:bCs/>
    </w:rPr>
  </w:style>
  <w:style w:type="character" w:customStyle="1" w:styleId="AsuntodelcomentarioCar">
    <w:name w:val="Asunto del comentario Car"/>
    <w:basedOn w:val="TextocomentarioCar"/>
    <w:link w:val="Asuntodelcomentario"/>
    <w:uiPriority w:val="99"/>
    <w:semiHidden/>
    <w:rsid w:val="002827DA"/>
    <w:rPr>
      <w:b/>
      <w:bCs/>
      <w:sz w:val="20"/>
      <w:szCs w:val="20"/>
    </w:rPr>
  </w:style>
  <w:style w:type="character" w:styleId="Hipervnculo">
    <w:name w:val="Hyperlink"/>
    <w:basedOn w:val="Fuentedeprrafopredeter"/>
    <w:uiPriority w:val="99"/>
    <w:unhideWhenUsed/>
    <w:rsid w:val="00162008"/>
    <w:rPr>
      <w:color w:val="0000FF" w:themeColor="hyperlink"/>
      <w:u w:val="single"/>
    </w:rPr>
  </w:style>
  <w:style w:type="paragraph" w:styleId="NormalWeb">
    <w:name w:val="Normal (Web)"/>
    <w:aliases w:val="Normal (Web) Char1,Normal (Web) Char Char,Normal (Web) Char1 Char,Normal (Web) Char Char Char"/>
    <w:basedOn w:val="Normal"/>
    <w:uiPriority w:val="99"/>
    <w:unhideWhenUsed/>
    <w:qFormat/>
    <w:rsid w:val="00270D5D"/>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7B5F60"/>
    <w:rPr>
      <w:i/>
      <w:iCs/>
    </w:rPr>
  </w:style>
  <w:style w:type="character" w:customStyle="1" w:styleId="Ttulo1Car">
    <w:name w:val="Título 1 Car"/>
    <w:basedOn w:val="Fuentedeprrafopredeter"/>
    <w:link w:val="Ttulo1"/>
    <w:uiPriority w:val="9"/>
    <w:rsid w:val="004E6CFD"/>
    <w:rPr>
      <w:rFonts w:ascii="Verdana" w:eastAsia="Times New Roman" w:hAnsi="Verdana" w:cs="Verdana"/>
      <w:b/>
      <w:bCs/>
      <w:caps/>
      <w:snapToGrid w:val="0"/>
      <w:sz w:val="20"/>
      <w:szCs w:val="20"/>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E6CFD"/>
    <w:pPr>
      <w:spacing w:after="0" w:line="240" w:lineRule="auto"/>
      <w:jc w:val="both"/>
    </w:pPr>
    <w:rPr>
      <w:vertAlign w:val="superscript"/>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basedOn w:val="Fuentedeprrafopredeter"/>
    <w:uiPriority w:val="99"/>
    <w:rsid w:val="004E6CFD"/>
    <w:rPr>
      <w:rFonts w:ascii="Verdana" w:eastAsia="Batang" w:hAnsi="Verdana" w:cs="Times"/>
      <w:noProof/>
      <w:sz w:val="16"/>
      <w:szCs w:val="20"/>
      <w:lang w:val="es-ES_tradnl"/>
    </w:rPr>
  </w:style>
  <w:style w:type="paragraph" w:styleId="Encabezado">
    <w:name w:val="header"/>
    <w:basedOn w:val="Normal"/>
    <w:link w:val="EncabezadoCar"/>
    <w:uiPriority w:val="99"/>
    <w:unhideWhenUsed/>
    <w:rsid w:val="000E73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730B"/>
  </w:style>
  <w:style w:type="paragraph" w:styleId="Piedepgina">
    <w:name w:val="footer"/>
    <w:basedOn w:val="Normal"/>
    <w:link w:val="PiedepginaCar"/>
    <w:uiPriority w:val="99"/>
    <w:unhideWhenUsed/>
    <w:rsid w:val="000E73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730B"/>
  </w:style>
  <w:style w:type="paragraph" w:styleId="Ttulo">
    <w:name w:val="Title"/>
    <w:basedOn w:val="Normal"/>
    <w:link w:val="TtuloCar"/>
    <w:qFormat/>
    <w:rsid w:val="005B536C"/>
    <w:pPr>
      <w:numPr>
        <w:numId w:val="1"/>
      </w:numPr>
      <w:spacing w:after="0" w:line="240" w:lineRule="auto"/>
      <w:jc w:val="both"/>
    </w:pPr>
    <w:rPr>
      <w:rFonts w:ascii="Verdana" w:eastAsia="Times New Roman" w:hAnsi="Verdana" w:cs="Times New Roman"/>
      <w:b/>
      <w:sz w:val="20"/>
      <w:szCs w:val="20"/>
      <w:lang w:val="es-ES_tradnl" w:eastAsia="es-ES" w:bidi="en-US"/>
    </w:rPr>
  </w:style>
  <w:style w:type="character" w:customStyle="1" w:styleId="TtuloCar">
    <w:name w:val="Título Car"/>
    <w:basedOn w:val="Fuentedeprrafopredeter"/>
    <w:link w:val="Ttulo"/>
    <w:rsid w:val="005B536C"/>
    <w:rPr>
      <w:rFonts w:ascii="Verdana" w:eastAsia="Times New Roman" w:hAnsi="Verdana" w:cs="Times New Roman"/>
      <w:b/>
      <w:sz w:val="20"/>
      <w:szCs w:val="20"/>
      <w:lang w:val="es-ES_tradnl" w:eastAsia="es-ES" w:bidi="en-US"/>
    </w:rPr>
  </w:style>
  <w:style w:type="paragraph" w:styleId="TDC1">
    <w:name w:val="toc 1"/>
    <w:basedOn w:val="Normal"/>
    <w:next w:val="Normal"/>
    <w:autoRedefine/>
    <w:uiPriority w:val="39"/>
    <w:unhideWhenUsed/>
    <w:rsid w:val="00B26AA3"/>
    <w:pPr>
      <w:tabs>
        <w:tab w:val="right" w:leader="dot" w:pos="9771"/>
      </w:tabs>
      <w:spacing w:after="60" w:line="240" w:lineRule="auto"/>
      <w:ind w:left="142" w:hanging="142"/>
    </w:pPr>
    <w:rPr>
      <w:rFonts w:ascii="Verdana" w:hAnsi="Verdana"/>
      <w:noProof/>
      <w:sz w:val="18"/>
    </w:rPr>
  </w:style>
  <w:style w:type="paragraph" w:styleId="TDC2">
    <w:name w:val="toc 2"/>
    <w:basedOn w:val="Normal"/>
    <w:next w:val="Normal"/>
    <w:autoRedefine/>
    <w:uiPriority w:val="39"/>
    <w:unhideWhenUsed/>
    <w:rsid w:val="005B536C"/>
    <w:pPr>
      <w:tabs>
        <w:tab w:val="left" w:pos="880"/>
        <w:tab w:val="right" w:leader="dot" w:pos="9345"/>
      </w:tabs>
      <w:spacing w:after="100"/>
      <w:ind w:left="220"/>
      <w:jc w:val="both"/>
    </w:pPr>
    <w:rPr>
      <w:rFonts w:ascii="Verdana" w:eastAsia="Times New Roman" w:hAnsi="Verdana" w:cs="Times New Roman"/>
      <w:bCs/>
      <w:i/>
      <w:iCs/>
      <w:noProof/>
      <w:sz w:val="20"/>
      <w:szCs w:val="20"/>
      <w:lang w:val="es-ES_tradnl"/>
    </w:rPr>
  </w:style>
  <w:style w:type="paragraph" w:styleId="TDC3">
    <w:name w:val="toc 3"/>
    <w:basedOn w:val="Normal"/>
    <w:next w:val="Normal"/>
    <w:autoRedefine/>
    <w:uiPriority w:val="39"/>
    <w:unhideWhenUsed/>
    <w:rsid w:val="005B536C"/>
    <w:pPr>
      <w:spacing w:after="100"/>
      <w:ind w:left="440"/>
    </w:pPr>
  </w:style>
  <w:style w:type="character" w:customStyle="1" w:styleId="Estilo1Car">
    <w:name w:val="Estilo1 Car"/>
    <w:basedOn w:val="Fuentedeprrafopredeter"/>
    <w:link w:val="Estilo1"/>
    <w:locked/>
    <w:rsid w:val="00201BDD"/>
    <w:rPr>
      <w:rFonts w:ascii="Verdana" w:eastAsia="Batang" w:hAnsi="Verdana" w:cs="Times"/>
      <w:i/>
      <w:sz w:val="20"/>
      <w:szCs w:val="24"/>
      <w:lang w:val="es-ES_tradnl"/>
    </w:rPr>
  </w:style>
  <w:style w:type="paragraph" w:customStyle="1" w:styleId="Estilo1">
    <w:name w:val="Estilo1"/>
    <w:basedOn w:val="Normal"/>
    <w:link w:val="Estilo1Car"/>
    <w:qFormat/>
    <w:rsid w:val="00201BDD"/>
    <w:pPr>
      <w:spacing w:after="120" w:line="240" w:lineRule="auto"/>
      <w:ind w:left="2018" w:right="6" w:hanging="180"/>
      <w:jc w:val="both"/>
    </w:pPr>
    <w:rPr>
      <w:rFonts w:ascii="Verdana" w:eastAsia="Batang" w:hAnsi="Verdana" w:cs="Times"/>
      <w:i/>
      <w:sz w:val="20"/>
      <w:szCs w:val="24"/>
      <w:lang w:val="es-ES_tradnl"/>
    </w:rPr>
  </w:style>
  <w:style w:type="paragraph" w:customStyle="1" w:styleId="Footnotes">
    <w:name w:val="**. Footnotes"/>
    <w:basedOn w:val="Textonotapie"/>
    <w:link w:val="FootnotesChar"/>
    <w:autoRedefine/>
    <w:qFormat/>
    <w:rsid w:val="00CC0CC2"/>
    <w:pPr>
      <w:spacing w:before="60" w:after="60"/>
      <w:jc w:val="both"/>
    </w:pPr>
    <w:rPr>
      <w:rFonts w:ascii="Verdana" w:eastAsia="Times New Roman" w:hAnsi="Verdana" w:cs="Palatino-Italic"/>
      <w:iCs/>
      <w:spacing w:val="-4"/>
      <w:sz w:val="16"/>
      <w:szCs w:val="16"/>
      <w:lang w:val="es-ES" w:bidi="en-US"/>
    </w:rPr>
  </w:style>
  <w:style w:type="character" w:customStyle="1" w:styleId="FootnotesChar">
    <w:name w:val="**. Footnotes Char"/>
    <w:basedOn w:val="Fuentedeprrafopredeter"/>
    <w:link w:val="Footnotes"/>
    <w:rsid w:val="00CC0CC2"/>
    <w:rPr>
      <w:rFonts w:ascii="Verdana" w:eastAsia="Times New Roman" w:hAnsi="Verdana" w:cs="Palatino-Italic"/>
      <w:iCs/>
      <w:spacing w:val="-4"/>
      <w:sz w:val="16"/>
      <w:szCs w:val="16"/>
      <w:lang w:val="es-ES" w:bidi="en-US"/>
    </w:rPr>
  </w:style>
  <w:style w:type="character" w:customStyle="1" w:styleId="Ttulo2Car">
    <w:name w:val="Título 2 Car"/>
    <w:basedOn w:val="Fuentedeprrafopredeter"/>
    <w:link w:val="Ttulo2"/>
    <w:rsid w:val="00190884"/>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5E4DE7"/>
    <w:rPr>
      <w:rFonts w:asciiTheme="majorHAnsi" w:eastAsiaTheme="majorEastAsia" w:hAnsiTheme="majorHAnsi" w:cstheme="majorBidi"/>
      <w:b/>
      <w:bCs/>
      <w:color w:val="4F81BD" w:themeColor="accent1"/>
    </w:rPr>
  </w:style>
  <w:style w:type="paragraph" w:customStyle="1" w:styleId="Style2">
    <w:name w:val="Style2"/>
    <w:basedOn w:val="Normal"/>
    <w:link w:val="Style2Char"/>
    <w:qFormat/>
    <w:rsid w:val="005E4DE7"/>
    <w:pPr>
      <w:numPr>
        <w:numId w:val="7"/>
      </w:numPr>
      <w:spacing w:after="0" w:line="240" w:lineRule="auto"/>
      <w:jc w:val="both"/>
    </w:pPr>
    <w:rPr>
      <w:rFonts w:ascii="Cambria" w:eastAsia="Arial Unicode MS" w:hAnsi="Cambria" w:cs="Times New Roman"/>
      <w:sz w:val="20"/>
      <w:szCs w:val="20"/>
      <w:bdr w:val="nil"/>
      <w:lang w:val="es-ES"/>
    </w:rPr>
  </w:style>
  <w:style w:type="character" w:customStyle="1" w:styleId="Style2Char">
    <w:name w:val="Style2 Char"/>
    <w:link w:val="Style2"/>
    <w:locked/>
    <w:rsid w:val="005E4DE7"/>
    <w:rPr>
      <w:rFonts w:ascii="Cambria" w:eastAsia="Arial Unicode MS" w:hAnsi="Cambria" w:cs="Times New Roman"/>
      <w:sz w:val="20"/>
      <w:szCs w:val="20"/>
      <w:bdr w:val="nil"/>
      <w:lang w:val="es-ES"/>
    </w:rPr>
  </w:style>
  <w:style w:type="character" w:customStyle="1" w:styleId="apple-converted-space">
    <w:name w:val="apple-converted-space"/>
    <w:basedOn w:val="Fuentedeprrafopredeter"/>
    <w:rsid w:val="005E4DE7"/>
  </w:style>
  <w:style w:type="character" w:customStyle="1" w:styleId="Ttulo6Car">
    <w:name w:val="Título 6 Car"/>
    <w:basedOn w:val="Fuentedeprrafopredeter"/>
    <w:link w:val="Ttulo6"/>
    <w:uiPriority w:val="9"/>
    <w:semiHidden/>
    <w:rsid w:val="00060118"/>
    <w:rPr>
      <w:rFonts w:ascii="Verdana" w:eastAsia="Times New Roman" w:hAnsi="Verdana" w:cs="Times New Roman"/>
      <w:spacing w:val="-2"/>
      <w:sz w:val="20"/>
      <w:szCs w:val="20"/>
      <w:lang w:val="es-ES_tradnl" w:eastAsia="es-CR"/>
    </w:rPr>
  </w:style>
  <w:style w:type="paragraph" w:customStyle="1" w:styleId="Prrafodelista2">
    <w:name w:val="Párrafo de lista2"/>
    <w:basedOn w:val="Normal"/>
    <w:uiPriority w:val="99"/>
    <w:rsid w:val="00060118"/>
    <w:pPr>
      <w:spacing w:after="0" w:line="240" w:lineRule="auto"/>
      <w:ind w:left="720"/>
    </w:pPr>
    <w:rPr>
      <w:rFonts w:ascii="Verdana" w:eastAsia="MS Mincho" w:hAnsi="Verdana" w:cs="Times New Roman"/>
      <w:sz w:val="20"/>
      <w:szCs w:val="20"/>
      <w:lang w:val="es-ES_tradnl" w:bidi="en-US"/>
    </w:rPr>
  </w:style>
  <w:style w:type="character" w:customStyle="1" w:styleId="Ttulo5Car">
    <w:name w:val="Título 5 Car"/>
    <w:basedOn w:val="Fuentedeprrafopredeter"/>
    <w:link w:val="Ttulo5"/>
    <w:uiPriority w:val="9"/>
    <w:semiHidden/>
    <w:rsid w:val="00060118"/>
    <w:rPr>
      <w:rFonts w:asciiTheme="majorHAnsi" w:eastAsiaTheme="majorEastAsia" w:hAnsiTheme="majorHAnsi" w:cstheme="majorBidi"/>
      <w:color w:val="243F60" w:themeColor="accent1" w:themeShade="7F"/>
    </w:rPr>
  </w:style>
  <w:style w:type="paragraph" w:customStyle="1" w:styleId="negritamayuscula">
    <w:name w:val="negrita mayuscula"/>
    <w:basedOn w:val="Normal"/>
    <w:rsid w:val="00EF257F"/>
    <w:pPr>
      <w:widowControl w:val="0"/>
      <w:tabs>
        <w:tab w:val="left" w:pos="1120"/>
      </w:tabs>
      <w:spacing w:after="0" w:line="360" w:lineRule="atLeast"/>
      <w:jc w:val="both"/>
    </w:pPr>
    <w:rPr>
      <w:rFonts w:ascii="Garamond" w:eastAsia="Times New Roman" w:hAnsi="Garamond" w:cs="Times New Roman"/>
      <w:sz w:val="20"/>
      <w:szCs w:val="20"/>
      <w:lang w:val="es-ES_tradnl"/>
    </w:rPr>
  </w:style>
  <w:style w:type="character" w:customStyle="1" w:styleId="FootnoteAnchor">
    <w:name w:val="Footnote Anchor"/>
    <w:rsid w:val="003E67A9"/>
    <w:rPr>
      <w:vertAlign w:val="superscript"/>
    </w:rPr>
  </w:style>
  <w:style w:type="character" w:customStyle="1" w:styleId="TextoindependienteCar">
    <w:name w:val="Texto independiente Car"/>
    <w:aliases w:val="Body Text Char Car Car Car Car Car Car Car Car Car Car Car Car Car Car,Body Text Char Car Car Car Car Car Car Car Car Car Car Car Car Car1"/>
    <w:basedOn w:val="Fuentedeprrafopredeter"/>
    <w:link w:val="Textoindependiente"/>
    <w:semiHidden/>
    <w:locked/>
    <w:rsid w:val="000C6343"/>
    <w:rPr>
      <w:rFonts w:ascii="Arial Unicode MS" w:eastAsia="Arial Unicode MS" w:hAnsi="Arial Unicode MS" w:cs="Arial Unicode MS"/>
      <w:sz w:val="24"/>
      <w:szCs w:val="24"/>
      <w:lang w:val="es-ES" w:eastAsia="es-ES"/>
    </w:rPr>
  </w:style>
  <w:style w:type="paragraph" w:styleId="Textoindependiente">
    <w:name w:val="Body Text"/>
    <w:aliases w:val="Body Text Char Car Car Car Car Car Car Car Car Car Car Car Car Car,Body Text Char Car Car Car Car Car Car Car Car Car Car Car Car"/>
    <w:basedOn w:val="Normal"/>
    <w:link w:val="TextoindependienteCar"/>
    <w:semiHidden/>
    <w:unhideWhenUsed/>
    <w:rsid w:val="000C6343"/>
    <w:pPr>
      <w:spacing w:after="0" w:line="240" w:lineRule="auto"/>
      <w:jc w:val="both"/>
    </w:pPr>
    <w:rPr>
      <w:rFonts w:ascii="Arial Unicode MS" w:eastAsia="Arial Unicode MS" w:hAnsi="Arial Unicode MS" w:cs="Arial Unicode MS"/>
      <w:sz w:val="24"/>
      <w:szCs w:val="24"/>
      <w:lang w:val="es-ES" w:eastAsia="es-ES"/>
    </w:rPr>
  </w:style>
  <w:style w:type="character" w:customStyle="1" w:styleId="BodyTextChar1">
    <w:name w:val="Body Text Char1"/>
    <w:basedOn w:val="Fuentedeprrafopredeter"/>
    <w:uiPriority w:val="99"/>
    <w:semiHidden/>
    <w:rsid w:val="000C6343"/>
  </w:style>
  <w:style w:type="paragraph" w:customStyle="1" w:styleId="2Footnotes">
    <w:name w:val="2. Footnotes"/>
    <w:basedOn w:val="Textonotapie"/>
    <w:link w:val="2FootnotesChar"/>
    <w:autoRedefine/>
    <w:qFormat/>
    <w:rsid w:val="009C4089"/>
    <w:pPr>
      <w:spacing w:before="120" w:after="120"/>
      <w:jc w:val="both"/>
    </w:pPr>
    <w:rPr>
      <w:rFonts w:ascii="Verdana" w:eastAsia="Times New Roman" w:hAnsi="Verdana" w:cs="Palatino-Italic"/>
      <w:iCs/>
      <w:noProof/>
      <w:sz w:val="16"/>
      <w:szCs w:val="18"/>
      <w:u w:color="000000"/>
      <w:bdr w:val="none" w:sz="0" w:space="0" w:color="auto" w:frame="1"/>
      <w:lang w:val="es-ES"/>
    </w:rPr>
  </w:style>
  <w:style w:type="character" w:customStyle="1" w:styleId="2FootnotesChar">
    <w:name w:val="2. Footnotes Char"/>
    <w:link w:val="2Footnotes"/>
    <w:rsid w:val="00BD14EA"/>
    <w:rPr>
      <w:rFonts w:ascii="Verdana" w:eastAsia="Times New Roman" w:hAnsi="Verdana" w:cs="Palatino-Italic"/>
      <w:iCs/>
      <w:noProof/>
      <w:sz w:val="16"/>
      <w:szCs w:val="18"/>
      <w:u w:color="000000"/>
      <w:bdr w:val="none" w:sz="0" w:space="0" w:color="auto" w:frame="1"/>
      <w:lang w:val="es-ES"/>
    </w:rPr>
  </w:style>
  <w:style w:type="character" w:customStyle="1" w:styleId="apple-style-span">
    <w:name w:val="apple-style-span"/>
    <w:basedOn w:val="Fuentedeprrafopredeter"/>
    <w:qFormat/>
    <w:rsid w:val="007F7E98"/>
  </w:style>
  <w:style w:type="paragraph" w:styleId="Textoindependiente2">
    <w:name w:val="Body Text 2"/>
    <w:basedOn w:val="Normal"/>
    <w:link w:val="Textoindependiente2Car"/>
    <w:rsid w:val="00DB6849"/>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DB6849"/>
    <w:rPr>
      <w:rFonts w:ascii="Times New Roman" w:eastAsia="Times New Roman" w:hAnsi="Times New Roman" w:cs="Times New Roman"/>
      <w:sz w:val="24"/>
      <w:szCs w:val="24"/>
      <w:lang w:val="es-ES" w:eastAsia="es-ES"/>
    </w:rPr>
  </w:style>
  <w:style w:type="numbering" w:customStyle="1" w:styleId="List0">
    <w:name w:val="List 0"/>
    <w:basedOn w:val="Sinlista"/>
    <w:rsid w:val="009A717E"/>
    <w:pPr>
      <w:numPr>
        <w:numId w:val="11"/>
      </w:numPr>
    </w:pPr>
  </w:style>
  <w:style w:type="character" w:customStyle="1" w:styleId="FootnoteTextChar3">
    <w:name w:val="Footnote Text Char3"/>
    <w:aliases w:val="Footnote Text Char Char Char Char Char Char3,Footnote Text Char Char Char Char Char4,Footnote reference Char3,FA Fu Char3,Footnote Text Char Char Char Char4,Footnote Text Cha Char3,FA Fußnotentext Char3,FA Fuﬂnotentext Char3,Ca Char3"/>
    <w:basedOn w:val="Fuentedeprrafopredeter"/>
    <w:uiPriority w:val="99"/>
    <w:rsid w:val="003A6DE8"/>
    <w:rPr>
      <w:rFonts w:ascii="Verdana" w:hAnsi="Verdana" w:cs="Verdana"/>
      <w:sz w:val="20"/>
      <w:szCs w:val="20"/>
      <w:lang w:val="es-ES_tradnl"/>
    </w:rPr>
  </w:style>
  <w:style w:type="character" w:customStyle="1" w:styleId="PrrafodelistaCar">
    <w:name w:val="Párrafo de lista Car"/>
    <w:aliases w:val="Footnote Car,List Paragraph2 Car,Lista vistosa - Énfasis 11 Car"/>
    <w:basedOn w:val="Fuentedeprrafopredeter"/>
    <w:link w:val="Prrafodelista"/>
    <w:rsid w:val="003A6DE8"/>
  </w:style>
  <w:style w:type="character" w:styleId="Hipervnculovisitado">
    <w:name w:val="FollowedHyperlink"/>
    <w:basedOn w:val="Fuentedeprrafopredeter"/>
    <w:uiPriority w:val="99"/>
    <w:semiHidden/>
    <w:unhideWhenUsed/>
    <w:rsid w:val="00D843A0"/>
    <w:rPr>
      <w:color w:val="800080" w:themeColor="followedHyperlink"/>
      <w:u w:val="single"/>
    </w:rPr>
  </w:style>
  <w:style w:type="character" w:styleId="Nmerodelnea">
    <w:name w:val="line number"/>
    <w:basedOn w:val="Fuentedeprrafopredeter"/>
    <w:uiPriority w:val="99"/>
    <w:semiHidden/>
    <w:unhideWhenUsed/>
    <w:rsid w:val="009E0291"/>
  </w:style>
  <w:style w:type="paragraph" w:customStyle="1" w:styleId="MediumGrid1-Accent21">
    <w:name w:val="Medium Grid 1 - Accent 21"/>
    <w:link w:val="MediumGrid1-Accent2Char"/>
    <w:qFormat/>
    <w:rsid w:val="00F45929"/>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val="en-US" w:eastAsia="es-ES"/>
    </w:rPr>
  </w:style>
  <w:style w:type="paragraph" w:styleId="Textosinformato">
    <w:name w:val="Plain Text"/>
    <w:basedOn w:val="Normal"/>
    <w:link w:val="TextosinformatoCar"/>
    <w:unhideWhenUsed/>
    <w:rsid w:val="00F45929"/>
    <w:pPr>
      <w:pBdr>
        <w:top w:val="nil"/>
        <w:left w:val="nil"/>
        <w:bottom w:val="nil"/>
        <w:right w:val="nil"/>
        <w:between w:val="nil"/>
        <w:bar w:val="nil"/>
      </w:pBdr>
      <w:spacing w:after="0" w:line="240" w:lineRule="auto"/>
    </w:pPr>
    <w:rPr>
      <w:rFonts w:ascii="Consolas" w:eastAsia="Arial Unicode MS" w:hAnsi="Consolas" w:cs="Consolas"/>
      <w:sz w:val="21"/>
      <w:szCs w:val="21"/>
      <w:bdr w:val="nil"/>
      <w:lang w:val="en-US"/>
    </w:rPr>
  </w:style>
  <w:style w:type="character" w:customStyle="1" w:styleId="TextosinformatoCar">
    <w:name w:val="Texto sin formato Car"/>
    <w:basedOn w:val="Fuentedeprrafopredeter"/>
    <w:link w:val="Textosinformato"/>
    <w:rsid w:val="00F45929"/>
    <w:rPr>
      <w:rFonts w:ascii="Consolas" w:eastAsia="Arial Unicode MS" w:hAnsi="Consolas" w:cs="Consolas"/>
      <w:sz w:val="21"/>
      <w:szCs w:val="21"/>
      <w:bdr w:val="nil"/>
      <w:lang w:val="en-US"/>
    </w:rPr>
  </w:style>
  <w:style w:type="character" w:customStyle="1" w:styleId="MediumGrid1-Accent2Char">
    <w:name w:val="Medium Grid 1 - Accent 2 Char"/>
    <w:link w:val="MediumGrid1-Accent21"/>
    <w:locked/>
    <w:rsid w:val="00F45929"/>
    <w:rPr>
      <w:rFonts w:ascii="Cambria" w:eastAsia="Cambria" w:hAnsi="Cambria" w:cs="Cambria"/>
      <w:color w:val="000000"/>
      <w:sz w:val="24"/>
      <w:szCs w:val="24"/>
      <w:u w:color="000000"/>
      <w:bdr w:val="nil"/>
      <w:lang w:val="en-US" w:eastAsia="es-ES"/>
    </w:rPr>
  </w:style>
  <w:style w:type="character" w:customStyle="1" w:styleId="Estilo1Char">
    <w:name w:val="Estilo1 Char"/>
    <w:locked/>
    <w:rsid w:val="00154BE5"/>
    <w:rPr>
      <w:rFonts w:ascii="Verdana" w:eastAsia="Calibri" w:hAnsi="Verdana" w:cs="Times New Roman"/>
      <w:sz w:val="20"/>
      <w:szCs w:val="20"/>
      <w:lang w:val="es-ES"/>
    </w:rPr>
  </w:style>
  <w:style w:type="paragraph" w:customStyle="1" w:styleId="Estilo2">
    <w:name w:val="Estilo2"/>
    <w:basedOn w:val="Normal"/>
    <w:qFormat/>
    <w:rsid w:val="00154BE5"/>
    <w:pPr>
      <w:tabs>
        <w:tab w:val="left" w:pos="567"/>
        <w:tab w:val="left" w:pos="1134"/>
        <w:tab w:val="num" w:pos="4767"/>
      </w:tabs>
      <w:spacing w:after="120" w:line="240" w:lineRule="auto"/>
      <w:ind w:left="4767" w:hanging="360"/>
      <w:jc w:val="both"/>
    </w:pPr>
    <w:rPr>
      <w:rFonts w:ascii="Verdana" w:eastAsia="Calibri" w:hAnsi="Verdana" w:cs="Times New Roman"/>
      <w:sz w:val="20"/>
      <w:szCs w:val="20"/>
      <w:lang w:val="es-ES"/>
    </w:rPr>
  </w:style>
  <w:style w:type="paragraph" w:customStyle="1" w:styleId="BlockText1">
    <w:name w:val="Block Text1"/>
    <w:basedOn w:val="Normal"/>
    <w:rsid w:val="00CF39F3"/>
    <w:pPr>
      <w:overflowPunct w:val="0"/>
      <w:autoSpaceDE w:val="0"/>
      <w:autoSpaceDN w:val="0"/>
      <w:adjustRightInd w:val="0"/>
      <w:spacing w:after="0" w:line="240" w:lineRule="auto"/>
      <w:ind w:left="720" w:right="720"/>
      <w:jc w:val="both"/>
    </w:pPr>
    <w:rPr>
      <w:rFonts w:ascii="Verdana" w:eastAsia="Times New Roman" w:hAnsi="Verdana" w:cs="Times New Roman"/>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947">
      <w:bodyDiv w:val="1"/>
      <w:marLeft w:val="0"/>
      <w:marRight w:val="0"/>
      <w:marTop w:val="0"/>
      <w:marBottom w:val="0"/>
      <w:divBdr>
        <w:top w:val="none" w:sz="0" w:space="0" w:color="auto"/>
        <w:left w:val="none" w:sz="0" w:space="0" w:color="auto"/>
        <w:bottom w:val="none" w:sz="0" w:space="0" w:color="auto"/>
        <w:right w:val="none" w:sz="0" w:space="0" w:color="auto"/>
      </w:divBdr>
    </w:div>
    <w:div w:id="18285716">
      <w:bodyDiv w:val="1"/>
      <w:marLeft w:val="0"/>
      <w:marRight w:val="0"/>
      <w:marTop w:val="0"/>
      <w:marBottom w:val="0"/>
      <w:divBdr>
        <w:top w:val="none" w:sz="0" w:space="0" w:color="auto"/>
        <w:left w:val="none" w:sz="0" w:space="0" w:color="auto"/>
        <w:bottom w:val="none" w:sz="0" w:space="0" w:color="auto"/>
        <w:right w:val="none" w:sz="0" w:space="0" w:color="auto"/>
      </w:divBdr>
    </w:div>
    <w:div w:id="67195201">
      <w:bodyDiv w:val="1"/>
      <w:marLeft w:val="0"/>
      <w:marRight w:val="0"/>
      <w:marTop w:val="0"/>
      <w:marBottom w:val="0"/>
      <w:divBdr>
        <w:top w:val="none" w:sz="0" w:space="0" w:color="auto"/>
        <w:left w:val="none" w:sz="0" w:space="0" w:color="auto"/>
        <w:bottom w:val="none" w:sz="0" w:space="0" w:color="auto"/>
        <w:right w:val="none" w:sz="0" w:space="0" w:color="auto"/>
      </w:divBdr>
    </w:div>
    <w:div w:id="81882413">
      <w:bodyDiv w:val="1"/>
      <w:marLeft w:val="0"/>
      <w:marRight w:val="0"/>
      <w:marTop w:val="0"/>
      <w:marBottom w:val="0"/>
      <w:divBdr>
        <w:top w:val="none" w:sz="0" w:space="0" w:color="auto"/>
        <w:left w:val="none" w:sz="0" w:space="0" w:color="auto"/>
        <w:bottom w:val="none" w:sz="0" w:space="0" w:color="auto"/>
        <w:right w:val="none" w:sz="0" w:space="0" w:color="auto"/>
      </w:divBdr>
    </w:div>
    <w:div w:id="120467855">
      <w:bodyDiv w:val="1"/>
      <w:marLeft w:val="0"/>
      <w:marRight w:val="0"/>
      <w:marTop w:val="0"/>
      <w:marBottom w:val="0"/>
      <w:divBdr>
        <w:top w:val="none" w:sz="0" w:space="0" w:color="auto"/>
        <w:left w:val="none" w:sz="0" w:space="0" w:color="auto"/>
        <w:bottom w:val="none" w:sz="0" w:space="0" w:color="auto"/>
        <w:right w:val="none" w:sz="0" w:space="0" w:color="auto"/>
      </w:divBdr>
    </w:div>
    <w:div w:id="155414035">
      <w:bodyDiv w:val="1"/>
      <w:marLeft w:val="0"/>
      <w:marRight w:val="0"/>
      <w:marTop w:val="0"/>
      <w:marBottom w:val="0"/>
      <w:divBdr>
        <w:top w:val="none" w:sz="0" w:space="0" w:color="auto"/>
        <w:left w:val="none" w:sz="0" w:space="0" w:color="auto"/>
        <w:bottom w:val="none" w:sz="0" w:space="0" w:color="auto"/>
        <w:right w:val="none" w:sz="0" w:space="0" w:color="auto"/>
      </w:divBdr>
    </w:div>
    <w:div w:id="166410355">
      <w:bodyDiv w:val="1"/>
      <w:marLeft w:val="0"/>
      <w:marRight w:val="0"/>
      <w:marTop w:val="0"/>
      <w:marBottom w:val="0"/>
      <w:divBdr>
        <w:top w:val="none" w:sz="0" w:space="0" w:color="auto"/>
        <w:left w:val="none" w:sz="0" w:space="0" w:color="auto"/>
        <w:bottom w:val="none" w:sz="0" w:space="0" w:color="auto"/>
        <w:right w:val="none" w:sz="0" w:space="0" w:color="auto"/>
      </w:divBdr>
    </w:div>
    <w:div w:id="173424387">
      <w:bodyDiv w:val="1"/>
      <w:marLeft w:val="0"/>
      <w:marRight w:val="0"/>
      <w:marTop w:val="0"/>
      <w:marBottom w:val="0"/>
      <w:divBdr>
        <w:top w:val="none" w:sz="0" w:space="0" w:color="auto"/>
        <w:left w:val="none" w:sz="0" w:space="0" w:color="auto"/>
        <w:bottom w:val="none" w:sz="0" w:space="0" w:color="auto"/>
        <w:right w:val="none" w:sz="0" w:space="0" w:color="auto"/>
      </w:divBdr>
    </w:div>
    <w:div w:id="189027048">
      <w:bodyDiv w:val="1"/>
      <w:marLeft w:val="0"/>
      <w:marRight w:val="0"/>
      <w:marTop w:val="0"/>
      <w:marBottom w:val="0"/>
      <w:divBdr>
        <w:top w:val="none" w:sz="0" w:space="0" w:color="auto"/>
        <w:left w:val="none" w:sz="0" w:space="0" w:color="auto"/>
        <w:bottom w:val="none" w:sz="0" w:space="0" w:color="auto"/>
        <w:right w:val="none" w:sz="0" w:space="0" w:color="auto"/>
      </w:divBdr>
    </w:div>
    <w:div w:id="201212146">
      <w:bodyDiv w:val="1"/>
      <w:marLeft w:val="0"/>
      <w:marRight w:val="0"/>
      <w:marTop w:val="0"/>
      <w:marBottom w:val="0"/>
      <w:divBdr>
        <w:top w:val="none" w:sz="0" w:space="0" w:color="auto"/>
        <w:left w:val="none" w:sz="0" w:space="0" w:color="auto"/>
        <w:bottom w:val="none" w:sz="0" w:space="0" w:color="auto"/>
        <w:right w:val="none" w:sz="0" w:space="0" w:color="auto"/>
      </w:divBdr>
    </w:div>
    <w:div w:id="201865267">
      <w:bodyDiv w:val="1"/>
      <w:marLeft w:val="0"/>
      <w:marRight w:val="0"/>
      <w:marTop w:val="0"/>
      <w:marBottom w:val="0"/>
      <w:divBdr>
        <w:top w:val="none" w:sz="0" w:space="0" w:color="auto"/>
        <w:left w:val="none" w:sz="0" w:space="0" w:color="auto"/>
        <w:bottom w:val="none" w:sz="0" w:space="0" w:color="auto"/>
        <w:right w:val="none" w:sz="0" w:space="0" w:color="auto"/>
      </w:divBdr>
    </w:div>
    <w:div w:id="303242552">
      <w:bodyDiv w:val="1"/>
      <w:marLeft w:val="0"/>
      <w:marRight w:val="0"/>
      <w:marTop w:val="0"/>
      <w:marBottom w:val="0"/>
      <w:divBdr>
        <w:top w:val="none" w:sz="0" w:space="0" w:color="auto"/>
        <w:left w:val="none" w:sz="0" w:space="0" w:color="auto"/>
        <w:bottom w:val="none" w:sz="0" w:space="0" w:color="auto"/>
        <w:right w:val="none" w:sz="0" w:space="0" w:color="auto"/>
      </w:divBdr>
    </w:div>
    <w:div w:id="311178587">
      <w:bodyDiv w:val="1"/>
      <w:marLeft w:val="0"/>
      <w:marRight w:val="0"/>
      <w:marTop w:val="0"/>
      <w:marBottom w:val="0"/>
      <w:divBdr>
        <w:top w:val="none" w:sz="0" w:space="0" w:color="auto"/>
        <w:left w:val="none" w:sz="0" w:space="0" w:color="auto"/>
        <w:bottom w:val="none" w:sz="0" w:space="0" w:color="auto"/>
        <w:right w:val="none" w:sz="0" w:space="0" w:color="auto"/>
      </w:divBdr>
    </w:div>
    <w:div w:id="334455378">
      <w:bodyDiv w:val="1"/>
      <w:marLeft w:val="0"/>
      <w:marRight w:val="0"/>
      <w:marTop w:val="0"/>
      <w:marBottom w:val="0"/>
      <w:divBdr>
        <w:top w:val="none" w:sz="0" w:space="0" w:color="auto"/>
        <w:left w:val="none" w:sz="0" w:space="0" w:color="auto"/>
        <w:bottom w:val="none" w:sz="0" w:space="0" w:color="auto"/>
        <w:right w:val="none" w:sz="0" w:space="0" w:color="auto"/>
      </w:divBdr>
    </w:div>
    <w:div w:id="335353602">
      <w:bodyDiv w:val="1"/>
      <w:marLeft w:val="0"/>
      <w:marRight w:val="0"/>
      <w:marTop w:val="0"/>
      <w:marBottom w:val="0"/>
      <w:divBdr>
        <w:top w:val="none" w:sz="0" w:space="0" w:color="auto"/>
        <w:left w:val="none" w:sz="0" w:space="0" w:color="auto"/>
        <w:bottom w:val="none" w:sz="0" w:space="0" w:color="auto"/>
        <w:right w:val="none" w:sz="0" w:space="0" w:color="auto"/>
      </w:divBdr>
    </w:div>
    <w:div w:id="352267774">
      <w:bodyDiv w:val="1"/>
      <w:marLeft w:val="0"/>
      <w:marRight w:val="0"/>
      <w:marTop w:val="0"/>
      <w:marBottom w:val="0"/>
      <w:divBdr>
        <w:top w:val="none" w:sz="0" w:space="0" w:color="auto"/>
        <w:left w:val="none" w:sz="0" w:space="0" w:color="auto"/>
        <w:bottom w:val="none" w:sz="0" w:space="0" w:color="auto"/>
        <w:right w:val="none" w:sz="0" w:space="0" w:color="auto"/>
      </w:divBdr>
    </w:div>
    <w:div w:id="370808029">
      <w:bodyDiv w:val="1"/>
      <w:marLeft w:val="0"/>
      <w:marRight w:val="0"/>
      <w:marTop w:val="0"/>
      <w:marBottom w:val="0"/>
      <w:divBdr>
        <w:top w:val="none" w:sz="0" w:space="0" w:color="auto"/>
        <w:left w:val="none" w:sz="0" w:space="0" w:color="auto"/>
        <w:bottom w:val="none" w:sz="0" w:space="0" w:color="auto"/>
        <w:right w:val="none" w:sz="0" w:space="0" w:color="auto"/>
      </w:divBdr>
    </w:div>
    <w:div w:id="391201396">
      <w:bodyDiv w:val="1"/>
      <w:marLeft w:val="0"/>
      <w:marRight w:val="0"/>
      <w:marTop w:val="0"/>
      <w:marBottom w:val="0"/>
      <w:divBdr>
        <w:top w:val="none" w:sz="0" w:space="0" w:color="auto"/>
        <w:left w:val="none" w:sz="0" w:space="0" w:color="auto"/>
        <w:bottom w:val="none" w:sz="0" w:space="0" w:color="auto"/>
        <w:right w:val="none" w:sz="0" w:space="0" w:color="auto"/>
      </w:divBdr>
    </w:div>
    <w:div w:id="420877972">
      <w:bodyDiv w:val="1"/>
      <w:marLeft w:val="0"/>
      <w:marRight w:val="0"/>
      <w:marTop w:val="0"/>
      <w:marBottom w:val="0"/>
      <w:divBdr>
        <w:top w:val="none" w:sz="0" w:space="0" w:color="auto"/>
        <w:left w:val="none" w:sz="0" w:space="0" w:color="auto"/>
        <w:bottom w:val="none" w:sz="0" w:space="0" w:color="auto"/>
        <w:right w:val="none" w:sz="0" w:space="0" w:color="auto"/>
      </w:divBdr>
    </w:div>
    <w:div w:id="434641535">
      <w:bodyDiv w:val="1"/>
      <w:marLeft w:val="0"/>
      <w:marRight w:val="0"/>
      <w:marTop w:val="0"/>
      <w:marBottom w:val="0"/>
      <w:divBdr>
        <w:top w:val="none" w:sz="0" w:space="0" w:color="auto"/>
        <w:left w:val="none" w:sz="0" w:space="0" w:color="auto"/>
        <w:bottom w:val="none" w:sz="0" w:space="0" w:color="auto"/>
        <w:right w:val="none" w:sz="0" w:space="0" w:color="auto"/>
      </w:divBdr>
    </w:div>
    <w:div w:id="439187319">
      <w:bodyDiv w:val="1"/>
      <w:marLeft w:val="0"/>
      <w:marRight w:val="0"/>
      <w:marTop w:val="0"/>
      <w:marBottom w:val="0"/>
      <w:divBdr>
        <w:top w:val="none" w:sz="0" w:space="0" w:color="auto"/>
        <w:left w:val="none" w:sz="0" w:space="0" w:color="auto"/>
        <w:bottom w:val="none" w:sz="0" w:space="0" w:color="auto"/>
        <w:right w:val="none" w:sz="0" w:space="0" w:color="auto"/>
      </w:divBdr>
    </w:div>
    <w:div w:id="456947279">
      <w:bodyDiv w:val="1"/>
      <w:marLeft w:val="0"/>
      <w:marRight w:val="0"/>
      <w:marTop w:val="0"/>
      <w:marBottom w:val="0"/>
      <w:divBdr>
        <w:top w:val="none" w:sz="0" w:space="0" w:color="auto"/>
        <w:left w:val="none" w:sz="0" w:space="0" w:color="auto"/>
        <w:bottom w:val="none" w:sz="0" w:space="0" w:color="auto"/>
        <w:right w:val="none" w:sz="0" w:space="0" w:color="auto"/>
      </w:divBdr>
    </w:div>
    <w:div w:id="495219937">
      <w:bodyDiv w:val="1"/>
      <w:marLeft w:val="0"/>
      <w:marRight w:val="0"/>
      <w:marTop w:val="0"/>
      <w:marBottom w:val="0"/>
      <w:divBdr>
        <w:top w:val="none" w:sz="0" w:space="0" w:color="auto"/>
        <w:left w:val="none" w:sz="0" w:space="0" w:color="auto"/>
        <w:bottom w:val="none" w:sz="0" w:space="0" w:color="auto"/>
        <w:right w:val="none" w:sz="0" w:space="0" w:color="auto"/>
      </w:divBdr>
    </w:div>
    <w:div w:id="545876468">
      <w:bodyDiv w:val="1"/>
      <w:marLeft w:val="0"/>
      <w:marRight w:val="0"/>
      <w:marTop w:val="0"/>
      <w:marBottom w:val="0"/>
      <w:divBdr>
        <w:top w:val="none" w:sz="0" w:space="0" w:color="auto"/>
        <w:left w:val="none" w:sz="0" w:space="0" w:color="auto"/>
        <w:bottom w:val="none" w:sz="0" w:space="0" w:color="auto"/>
        <w:right w:val="none" w:sz="0" w:space="0" w:color="auto"/>
      </w:divBdr>
    </w:div>
    <w:div w:id="575169293">
      <w:bodyDiv w:val="1"/>
      <w:marLeft w:val="0"/>
      <w:marRight w:val="0"/>
      <w:marTop w:val="0"/>
      <w:marBottom w:val="0"/>
      <w:divBdr>
        <w:top w:val="none" w:sz="0" w:space="0" w:color="auto"/>
        <w:left w:val="none" w:sz="0" w:space="0" w:color="auto"/>
        <w:bottom w:val="none" w:sz="0" w:space="0" w:color="auto"/>
        <w:right w:val="none" w:sz="0" w:space="0" w:color="auto"/>
      </w:divBdr>
    </w:div>
    <w:div w:id="578834361">
      <w:bodyDiv w:val="1"/>
      <w:marLeft w:val="0"/>
      <w:marRight w:val="0"/>
      <w:marTop w:val="0"/>
      <w:marBottom w:val="0"/>
      <w:divBdr>
        <w:top w:val="none" w:sz="0" w:space="0" w:color="auto"/>
        <w:left w:val="none" w:sz="0" w:space="0" w:color="auto"/>
        <w:bottom w:val="none" w:sz="0" w:space="0" w:color="auto"/>
        <w:right w:val="none" w:sz="0" w:space="0" w:color="auto"/>
      </w:divBdr>
    </w:div>
    <w:div w:id="597177986">
      <w:bodyDiv w:val="1"/>
      <w:marLeft w:val="0"/>
      <w:marRight w:val="0"/>
      <w:marTop w:val="0"/>
      <w:marBottom w:val="0"/>
      <w:divBdr>
        <w:top w:val="none" w:sz="0" w:space="0" w:color="auto"/>
        <w:left w:val="none" w:sz="0" w:space="0" w:color="auto"/>
        <w:bottom w:val="none" w:sz="0" w:space="0" w:color="auto"/>
        <w:right w:val="none" w:sz="0" w:space="0" w:color="auto"/>
      </w:divBdr>
    </w:div>
    <w:div w:id="660500545">
      <w:bodyDiv w:val="1"/>
      <w:marLeft w:val="0"/>
      <w:marRight w:val="0"/>
      <w:marTop w:val="0"/>
      <w:marBottom w:val="0"/>
      <w:divBdr>
        <w:top w:val="none" w:sz="0" w:space="0" w:color="auto"/>
        <w:left w:val="none" w:sz="0" w:space="0" w:color="auto"/>
        <w:bottom w:val="none" w:sz="0" w:space="0" w:color="auto"/>
        <w:right w:val="none" w:sz="0" w:space="0" w:color="auto"/>
      </w:divBdr>
    </w:div>
    <w:div w:id="675158145">
      <w:bodyDiv w:val="1"/>
      <w:marLeft w:val="0"/>
      <w:marRight w:val="0"/>
      <w:marTop w:val="0"/>
      <w:marBottom w:val="0"/>
      <w:divBdr>
        <w:top w:val="none" w:sz="0" w:space="0" w:color="auto"/>
        <w:left w:val="none" w:sz="0" w:space="0" w:color="auto"/>
        <w:bottom w:val="none" w:sz="0" w:space="0" w:color="auto"/>
        <w:right w:val="none" w:sz="0" w:space="0" w:color="auto"/>
      </w:divBdr>
    </w:div>
    <w:div w:id="695424154">
      <w:bodyDiv w:val="1"/>
      <w:marLeft w:val="0"/>
      <w:marRight w:val="0"/>
      <w:marTop w:val="0"/>
      <w:marBottom w:val="0"/>
      <w:divBdr>
        <w:top w:val="none" w:sz="0" w:space="0" w:color="auto"/>
        <w:left w:val="none" w:sz="0" w:space="0" w:color="auto"/>
        <w:bottom w:val="none" w:sz="0" w:space="0" w:color="auto"/>
        <w:right w:val="none" w:sz="0" w:space="0" w:color="auto"/>
      </w:divBdr>
    </w:div>
    <w:div w:id="697703845">
      <w:bodyDiv w:val="1"/>
      <w:marLeft w:val="0"/>
      <w:marRight w:val="0"/>
      <w:marTop w:val="0"/>
      <w:marBottom w:val="0"/>
      <w:divBdr>
        <w:top w:val="none" w:sz="0" w:space="0" w:color="auto"/>
        <w:left w:val="none" w:sz="0" w:space="0" w:color="auto"/>
        <w:bottom w:val="none" w:sz="0" w:space="0" w:color="auto"/>
        <w:right w:val="none" w:sz="0" w:space="0" w:color="auto"/>
      </w:divBdr>
    </w:div>
    <w:div w:id="802112656">
      <w:bodyDiv w:val="1"/>
      <w:marLeft w:val="0"/>
      <w:marRight w:val="0"/>
      <w:marTop w:val="0"/>
      <w:marBottom w:val="0"/>
      <w:divBdr>
        <w:top w:val="none" w:sz="0" w:space="0" w:color="auto"/>
        <w:left w:val="none" w:sz="0" w:space="0" w:color="auto"/>
        <w:bottom w:val="none" w:sz="0" w:space="0" w:color="auto"/>
        <w:right w:val="none" w:sz="0" w:space="0" w:color="auto"/>
      </w:divBdr>
    </w:div>
    <w:div w:id="810632187">
      <w:bodyDiv w:val="1"/>
      <w:marLeft w:val="0"/>
      <w:marRight w:val="0"/>
      <w:marTop w:val="0"/>
      <w:marBottom w:val="0"/>
      <w:divBdr>
        <w:top w:val="none" w:sz="0" w:space="0" w:color="auto"/>
        <w:left w:val="none" w:sz="0" w:space="0" w:color="auto"/>
        <w:bottom w:val="none" w:sz="0" w:space="0" w:color="auto"/>
        <w:right w:val="none" w:sz="0" w:space="0" w:color="auto"/>
      </w:divBdr>
    </w:div>
    <w:div w:id="846362675">
      <w:bodyDiv w:val="1"/>
      <w:marLeft w:val="0"/>
      <w:marRight w:val="0"/>
      <w:marTop w:val="0"/>
      <w:marBottom w:val="0"/>
      <w:divBdr>
        <w:top w:val="none" w:sz="0" w:space="0" w:color="auto"/>
        <w:left w:val="none" w:sz="0" w:space="0" w:color="auto"/>
        <w:bottom w:val="none" w:sz="0" w:space="0" w:color="auto"/>
        <w:right w:val="none" w:sz="0" w:space="0" w:color="auto"/>
      </w:divBdr>
    </w:div>
    <w:div w:id="848763494">
      <w:bodyDiv w:val="1"/>
      <w:marLeft w:val="0"/>
      <w:marRight w:val="0"/>
      <w:marTop w:val="0"/>
      <w:marBottom w:val="0"/>
      <w:divBdr>
        <w:top w:val="none" w:sz="0" w:space="0" w:color="auto"/>
        <w:left w:val="none" w:sz="0" w:space="0" w:color="auto"/>
        <w:bottom w:val="none" w:sz="0" w:space="0" w:color="auto"/>
        <w:right w:val="none" w:sz="0" w:space="0" w:color="auto"/>
      </w:divBdr>
    </w:div>
    <w:div w:id="858929003">
      <w:bodyDiv w:val="1"/>
      <w:marLeft w:val="0"/>
      <w:marRight w:val="0"/>
      <w:marTop w:val="0"/>
      <w:marBottom w:val="0"/>
      <w:divBdr>
        <w:top w:val="none" w:sz="0" w:space="0" w:color="auto"/>
        <w:left w:val="none" w:sz="0" w:space="0" w:color="auto"/>
        <w:bottom w:val="none" w:sz="0" w:space="0" w:color="auto"/>
        <w:right w:val="none" w:sz="0" w:space="0" w:color="auto"/>
      </w:divBdr>
    </w:div>
    <w:div w:id="899906873">
      <w:bodyDiv w:val="1"/>
      <w:marLeft w:val="0"/>
      <w:marRight w:val="0"/>
      <w:marTop w:val="0"/>
      <w:marBottom w:val="0"/>
      <w:divBdr>
        <w:top w:val="none" w:sz="0" w:space="0" w:color="auto"/>
        <w:left w:val="none" w:sz="0" w:space="0" w:color="auto"/>
        <w:bottom w:val="none" w:sz="0" w:space="0" w:color="auto"/>
        <w:right w:val="none" w:sz="0" w:space="0" w:color="auto"/>
      </w:divBdr>
    </w:div>
    <w:div w:id="940988458">
      <w:bodyDiv w:val="1"/>
      <w:marLeft w:val="0"/>
      <w:marRight w:val="0"/>
      <w:marTop w:val="0"/>
      <w:marBottom w:val="0"/>
      <w:divBdr>
        <w:top w:val="none" w:sz="0" w:space="0" w:color="auto"/>
        <w:left w:val="none" w:sz="0" w:space="0" w:color="auto"/>
        <w:bottom w:val="none" w:sz="0" w:space="0" w:color="auto"/>
        <w:right w:val="none" w:sz="0" w:space="0" w:color="auto"/>
      </w:divBdr>
    </w:div>
    <w:div w:id="964579561">
      <w:bodyDiv w:val="1"/>
      <w:marLeft w:val="0"/>
      <w:marRight w:val="0"/>
      <w:marTop w:val="0"/>
      <w:marBottom w:val="0"/>
      <w:divBdr>
        <w:top w:val="none" w:sz="0" w:space="0" w:color="auto"/>
        <w:left w:val="none" w:sz="0" w:space="0" w:color="auto"/>
        <w:bottom w:val="none" w:sz="0" w:space="0" w:color="auto"/>
        <w:right w:val="none" w:sz="0" w:space="0" w:color="auto"/>
      </w:divBdr>
    </w:div>
    <w:div w:id="1048723446">
      <w:bodyDiv w:val="1"/>
      <w:marLeft w:val="0"/>
      <w:marRight w:val="0"/>
      <w:marTop w:val="0"/>
      <w:marBottom w:val="0"/>
      <w:divBdr>
        <w:top w:val="none" w:sz="0" w:space="0" w:color="auto"/>
        <w:left w:val="none" w:sz="0" w:space="0" w:color="auto"/>
        <w:bottom w:val="none" w:sz="0" w:space="0" w:color="auto"/>
        <w:right w:val="none" w:sz="0" w:space="0" w:color="auto"/>
      </w:divBdr>
    </w:div>
    <w:div w:id="1086654040">
      <w:bodyDiv w:val="1"/>
      <w:marLeft w:val="0"/>
      <w:marRight w:val="0"/>
      <w:marTop w:val="0"/>
      <w:marBottom w:val="0"/>
      <w:divBdr>
        <w:top w:val="none" w:sz="0" w:space="0" w:color="auto"/>
        <w:left w:val="none" w:sz="0" w:space="0" w:color="auto"/>
        <w:bottom w:val="none" w:sz="0" w:space="0" w:color="auto"/>
        <w:right w:val="none" w:sz="0" w:space="0" w:color="auto"/>
      </w:divBdr>
    </w:div>
    <w:div w:id="1104574164">
      <w:bodyDiv w:val="1"/>
      <w:marLeft w:val="0"/>
      <w:marRight w:val="0"/>
      <w:marTop w:val="0"/>
      <w:marBottom w:val="0"/>
      <w:divBdr>
        <w:top w:val="none" w:sz="0" w:space="0" w:color="auto"/>
        <w:left w:val="none" w:sz="0" w:space="0" w:color="auto"/>
        <w:bottom w:val="none" w:sz="0" w:space="0" w:color="auto"/>
        <w:right w:val="none" w:sz="0" w:space="0" w:color="auto"/>
      </w:divBdr>
    </w:div>
    <w:div w:id="1140658684">
      <w:bodyDiv w:val="1"/>
      <w:marLeft w:val="0"/>
      <w:marRight w:val="0"/>
      <w:marTop w:val="0"/>
      <w:marBottom w:val="0"/>
      <w:divBdr>
        <w:top w:val="none" w:sz="0" w:space="0" w:color="auto"/>
        <w:left w:val="none" w:sz="0" w:space="0" w:color="auto"/>
        <w:bottom w:val="none" w:sz="0" w:space="0" w:color="auto"/>
        <w:right w:val="none" w:sz="0" w:space="0" w:color="auto"/>
      </w:divBdr>
    </w:div>
    <w:div w:id="1152407694">
      <w:bodyDiv w:val="1"/>
      <w:marLeft w:val="0"/>
      <w:marRight w:val="0"/>
      <w:marTop w:val="0"/>
      <w:marBottom w:val="0"/>
      <w:divBdr>
        <w:top w:val="none" w:sz="0" w:space="0" w:color="auto"/>
        <w:left w:val="none" w:sz="0" w:space="0" w:color="auto"/>
        <w:bottom w:val="none" w:sz="0" w:space="0" w:color="auto"/>
        <w:right w:val="none" w:sz="0" w:space="0" w:color="auto"/>
      </w:divBdr>
    </w:div>
    <w:div w:id="1205559531">
      <w:bodyDiv w:val="1"/>
      <w:marLeft w:val="0"/>
      <w:marRight w:val="0"/>
      <w:marTop w:val="0"/>
      <w:marBottom w:val="0"/>
      <w:divBdr>
        <w:top w:val="none" w:sz="0" w:space="0" w:color="auto"/>
        <w:left w:val="none" w:sz="0" w:space="0" w:color="auto"/>
        <w:bottom w:val="none" w:sz="0" w:space="0" w:color="auto"/>
        <w:right w:val="none" w:sz="0" w:space="0" w:color="auto"/>
      </w:divBdr>
    </w:div>
    <w:div w:id="1253204506">
      <w:bodyDiv w:val="1"/>
      <w:marLeft w:val="0"/>
      <w:marRight w:val="0"/>
      <w:marTop w:val="0"/>
      <w:marBottom w:val="0"/>
      <w:divBdr>
        <w:top w:val="none" w:sz="0" w:space="0" w:color="auto"/>
        <w:left w:val="none" w:sz="0" w:space="0" w:color="auto"/>
        <w:bottom w:val="none" w:sz="0" w:space="0" w:color="auto"/>
        <w:right w:val="none" w:sz="0" w:space="0" w:color="auto"/>
      </w:divBdr>
    </w:div>
    <w:div w:id="1339236471">
      <w:bodyDiv w:val="1"/>
      <w:marLeft w:val="0"/>
      <w:marRight w:val="0"/>
      <w:marTop w:val="0"/>
      <w:marBottom w:val="0"/>
      <w:divBdr>
        <w:top w:val="none" w:sz="0" w:space="0" w:color="auto"/>
        <w:left w:val="none" w:sz="0" w:space="0" w:color="auto"/>
        <w:bottom w:val="none" w:sz="0" w:space="0" w:color="auto"/>
        <w:right w:val="none" w:sz="0" w:space="0" w:color="auto"/>
      </w:divBdr>
    </w:div>
    <w:div w:id="1363245275">
      <w:bodyDiv w:val="1"/>
      <w:marLeft w:val="0"/>
      <w:marRight w:val="0"/>
      <w:marTop w:val="0"/>
      <w:marBottom w:val="0"/>
      <w:divBdr>
        <w:top w:val="none" w:sz="0" w:space="0" w:color="auto"/>
        <w:left w:val="none" w:sz="0" w:space="0" w:color="auto"/>
        <w:bottom w:val="none" w:sz="0" w:space="0" w:color="auto"/>
        <w:right w:val="none" w:sz="0" w:space="0" w:color="auto"/>
      </w:divBdr>
    </w:div>
    <w:div w:id="1395011056">
      <w:bodyDiv w:val="1"/>
      <w:marLeft w:val="0"/>
      <w:marRight w:val="0"/>
      <w:marTop w:val="0"/>
      <w:marBottom w:val="0"/>
      <w:divBdr>
        <w:top w:val="none" w:sz="0" w:space="0" w:color="auto"/>
        <w:left w:val="none" w:sz="0" w:space="0" w:color="auto"/>
        <w:bottom w:val="none" w:sz="0" w:space="0" w:color="auto"/>
        <w:right w:val="none" w:sz="0" w:space="0" w:color="auto"/>
      </w:divBdr>
    </w:div>
    <w:div w:id="1406491106">
      <w:bodyDiv w:val="1"/>
      <w:marLeft w:val="0"/>
      <w:marRight w:val="0"/>
      <w:marTop w:val="0"/>
      <w:marBottom w:val="0"/>
      <w:divBdr>
        <w:top w:val="none" w:sz="0" w:space="0" w:color="auto"/>
        <w:left w:val="none" w:sz="0" w:space="0" w:color="auto"/>
        <w:bottom w:val="none" w:sz="0" w:space="0" w:color="auto"/>
        <w:right w:val="none" w:sz="0" w:space="0" w:color="auto"/>
      </w:divBdr>
    </w:div>
    <w:div w:id="1424260505">
      <w:bodyDiv w:val="1"/>
      <w:marLeft w:val="0"/>
      <w:marRight w:val="0"/>
      <w:marTop w:val="0"/>
      <w:marBottom w:val="0"/>
      <w:divBdr>
        <w:top w:val="none" w:sz="0" w:space="0" w:color="auto"/>
        <w:left w:val="none" w:sz="0" w:space="0" w:color="auto"/>
        <w:bottom w:val="none" w:sz="0" w:space="0" w:color="auto"/>
        <w:right w:val="none" w:sz="0" w:space="0" w:color="auto"/>
      </w:divBdr>
    </w:div>
    <w:div w:id="1467890396">
      <w:bodyDiv w:val="1"/>
      <w:marLeft w:val="0"/>
      <w:marRight w:val="0"/>
      <w:marTop w:val="0"/>
      <w:marBottom w:val="0"/>
      <w:divBdr>
        <w:top w:val="none" w:sz="0" w:space="0" w:color="auto"/>
        <w:left w:val="none" w:sz="0" w:space="0" w:color="auto"/>
        <w:bottom w:val="none" w:sz="0" w:space="0" w:color="auto"/>
        <w:right w:val="none" w:sz="0" w:space="0" w:color="auto"/>
      </w:divBdr>
    </w:div>
    <w:div w:id="1496384166">
      <w:bodyDiv w:val="1"/>
      <w:marLeft w:val="0"/>
      <w:marRight w:val="0"/>
      <w:marTop w:val="0"/>
      <w:marBottom w:val="0"/>
      <w:divBdr>
        <w:top w:val="none" w:sz="0" w:space="0" w:color="auto"/>
        <w:left w:val="none" w:sz="0" w:space="0" w:color="auto"/>
        <w:bottom w:val="none" w:sz="0" w:space="0" w:color="auto"/>
        <w:right w:val="none" w:sz="0" w:space="0" w:color="auto"/>
      </w:divBdr>
    </w:div>
    <w:div w:id="1551989362">
      <w:bodyDiv w:val="1"/>
      <w:marLeft w:val="0"/>
      <w:marRight w:val="0"/>
      <w:marTop w:val="0"/>
      <w:marBottom w:val="0"/>
      <w:divBdr>
        <w:top w:val="none" w:sz="0" w:space="0" w:color="auto"/>
        <w:left w:val="none" w:sz="0" w:space="0" w:color="auto"/>
        <w:bottom w:val="none" w:sz="0" w:space="0" w:color="auto"/>
        <w:right w:val="none" w:sz="0" w:space="0" w:color="auto"/>
      </w:divBdr>
    </w:div>
    <w:div w:id="1562521651">
      <w:bodyDiv w:val="1"/>
      <w:marLeft w:val="0"/>
      <w:marRight w:val="0"/>
      <w:marTop w:val="0"/>
      <w:marBottom w:val="0"/>
      <w:divBdr>
        <w:top w:val="none" w:sz="0" w:space="0" w:color="auto"/>
        <w:left w:val="none" w:sz="0" w:space="0" w:color="auto"/>
        <w:bottom w:val="none" w:sz="0" w:space="0" w:color="auto"/>
        <w:right w:val="none" w:sz="0" w:space="0" w:color="auto"/>
      </w:divBdr>
    </w:div>
    <w:div w:id="1565794859">
      <w:bodyDiv w:val="1"/>
      <w:marLeft w:val="0"/>
      <w:marRight w:val="0"/>
      <w:marTop w:val="0"/>
      <w:marBottom w:val="0"/>
      <w:divBdr>
        <w:top w:val="none" w:sz="0" w:space="0" w:color="auto"/>
        <w:left w:val="none" w:sz="0" w:space="0" w:color="auto"/>
        <w:bottom w:val="none" w:sz="0" w:space="0" w:color="auto"/>
        <w:right w:val="none" w:sz="0" w:space="0" w:color="auto"/>
      </w:divBdr>
    </w:div>
    <w:div w:id="1575237442">
      <w:bodyDiv w:val="1"/>
      <w:marLeft w:val="0"/>
      <w:marRight w:val="0"/>
      <w:marTop w:val="0"/>
      <w:marBottom w:val="0"/>
      <w:divBdr>
        <w:top w:val="none" w:sz="0" w:space="0" w:color="auto"/>
        <w:left w:val="none" w:sz="0" w:space="0" w:color="auto"/>
        <w:bottom w:val="none" w:sz="0" w:space="0" w:color="auto"/>
        <w:right w:val="none" w:sz="0" w:space="0" w:color="auto"/>
      </w:divBdr>
    </w:div>
    <w:div w:id="1579896875">
      <w:bodyDiv w:val="1"/>
      <w:marLeft w:val="0"/>
      <w:marRight w:val="0"/>
      <w:marTop w:val="0"/>
      <w:marBottom w:val="0"/>
      <w:divBdr>
        <w:top w:val="none" w:sz="0" w:space="0" w:color="auto"/>
        <w:left w:val="none" w:sz="0" w:space="0" w:color="auto"/>
        <w:bottom w:val="none" w:sz="0" w:space="0" w:color="auto"/>
        <w:right w:val="none" w:sz="0" w:space="0" w:color="auto"/>
      </w:divBdr>
    </w:div>
    <w:div w:id="1582372172">
      <w:bodyDiv w:val="1"/>
      <w:marLeft w:val="0"/>
      <w:marRight w:val="0"/>
      <w:marTop w:val="0"/>
      <w:marBottom w:val="0"/>
      <w:divBdr>
        <w:top w:val="none" w:sz="0" w:space="0" w:color="auto"/>
        <w:left w:val="none" w:sz="0" w:space="0" w:color="auto"/>
        <w:bottom w:val="none" w:sz="0" w:space="0" w:color="auto"/>
        <w:right w:val="none" w:sz="0" w:space="0" w:color="auto"/>
      </w:divBdr>
    </w:div>
    <w:div w:id="1613896886">
      <w:bodyDiv w:val="1"/>
      <w:marLeft w:val="0"/>
      <w:marRight w:val="0"/>
      <w:marTop w:val="0"/>
      <w:marBottom w:val="0"/>
      <w:divBdr>
        <w:top w:val="none" w:sz="0" w:space="0" w:color="auto"/>
        <w:left w:val="none" w:sz="0" w:space="0" w:color="auto"/>
        <w:bottom w:val="none" w:sz="0" w:space="0" w:color="auto"/>
        <w:right w:val="none" w:sz="0" w:space="0" w:color="auto"/>
      </w:divBdr>
    </w:div>
    <w:div w:id="1727801952">
      <w:bodyDiv w:val="1"/>
      <w:marLeft w:val="0"/>
      <w:marRight w:val="0"/>
      <w:marTop w:val="0"/>
      <w:marBottom w:val="0"/>
      <w:divBdr>
        <w:top w:val="none" w:sz="0" w:space="0" w:color="auto"/>
        <w:left w:val="none" w:sz="0" w:space="0" w:color="auto"/>
        <w:bottom w:val="none" w:sz="0" w:space="0" w:color="auto"/>
        <w:right w:val="none" w:sz="0" w:space="0" w:color="auto"/>
      </w:divBdr>
    </w:div>
    <w:div w:id="1736316427">
      <w:bodyDiv w:val="1"/>
      <w:marLeft w:val="0"/>
      <w:marRight w:val="0"/>
      <w:marTop w:val="0"/>
      <w:marBottom w:val="0"/>
      <w:divBdr>
        <w:top w:val="none" w:sz="0" w:space="0" w:color="auto"/>
        <w:left w:val="none" w:sz="0" w:space="0" w:color="auto"/>
        <w:bottom w:val="none" w:sz="0" w:space="0" w:color="auto"/>
        <w:right w:val="none" w:sz="0" w:space="0" w:color="auto"/>
      </w:divBdr>
    </w:div>
    <w:div w:id="1742822846">
      <w:bodyDiv w:val="1"/>
      <w:marLeft w:val="0"/>
      <w:marRight w:val="0"/>
      <w:marTop w:val="0"/>
      <w:marBottom w:val="0"/>
      <w:divBdr>
        <w:top w:val="none" w:sz="0" w:space="0" w:color="auto"/>
        <w:left w:val="none" w:sz="0" w:space="0" w:color="auto"/>
        <w:bottom w:val="none" w:sz="0" w:space="0" w:color="auto"/>
        <w:right w:val="none" w:sz="0" w:space="0" w:color="auto"/>
      </w:divBdr>
    </w:div>
    <w:div w:id="1763840329">
      <w:bodyDiv w:val="1"/>
      <w:marLeft w:val="0"/>
      <w:marRight w:val="0"/>
      <w:marTop w:val="0"/>
      <w:marBottom w:val="0"/>
      <w:divBdr>
        <w:top w:val="none" w:sz="0" w:space="0" w:color="auto"/>
        <w:left w:val="none" w:sz="0" w:space="0" w:color="auto"/>
        <w:bottom w:val="none" w:sz="0" w:space="0" w:color="auto"/>
        <w:right w:val="none" w:sz="0" w:space="0" w:color="auto"/>
      </w:divBdr>
    </w:div>
    <w:div w:id="1865823520">
      <w:bodyDiv w:val="1"/>
      <w:marLeft w:val="0"/>
      <w:marRight w:val="0"/>
      <w:marTop w:val="0"/>
      <w:marBottom w:val="0"/>
      <w:divBdr>
        <w:top w:val="none" w:sz="0" w:space="0" w:color="auto"/>
        <w:left w:val="none" w:sz="0" w:space="0" w:color="auto"/>
        <w:bottom w:val="none" w:sz="0" w:space="0" w:color="auto"/>
        <w:right w:val="none" w:sz="0" w:space="0" w:color="auto"/>
      </w:divBdr>
    </w:div>
    <w:div w:id="1971669196">
      <w:bodyDiv w:val="1"/>
      <w:marLeft w:val="0"/>
      <w:marRight w:val="0"/>
      <w:marTop w:val="0"/>
      <w:marBottom w:val="0"/>
      <w:divBdr>
        <w:top w:val="none" w:sz="0" w:space="0" w:color="auto"/>
        <w:left w:val="none" w:sz="0" w:space="0" w:color="auto"/>
        <w:bottom w:val="none" w:sz="0" w:space="0" w:color="auto"/>
        <w:right w:val="none" w:sz="0" w:space="0" w:color="auto"/>
      </w:divBdr>
    </w:div>
    <w:div w:id="1992177619">
      <w:bodyDiv w:val="1"/>
      <w:marLeft w:val="0"/>
      <w:marRight w:val="0"/>
      <w:marTop w:val="0"/>
      <w:marBottom w:val="0"/>
      <w:divBdr>
        <w:top w:val="none" w:sz="0" w:space="0" w:color="auto"/>
        <w:left w:val="none" w:sz="0" w:space="0" w:color="auto"/>
        <w:bottom w:val="none" w:sz="0" w:space="0" w:color="auto"/>
        <w:right w:val="none" w:sz="0" w:space="0" w:color="auto"/>
      </w:divBdr>
    </w:div>
    <w:div w:id="2002195799">
      <w:bodyDiv w:val="1"/>
      <w:marLeft w:val="0"/>
      <w:marRight w:val="0"/>
      <w:marTop w:val="0"/>
      <w:marBottom w:val="0"/>
      <w:divBdr>
        <w:top w:val="none" w:sz="0" w:space="0" w:color="auto"/>
        <w:left w:val="none" w:sz="0" w:space="0" w:color="auto"/>
        <w:bottom w:val="none" w:sz="0" w:space="0" w:color="auto"/>
        <w:right w:val="none" w:sz="0" w:space="0" w:color="auto"/>
      </w:divBdr>
    </w:div>
    <w:div w:id="2057045132">
      <w:bodyDiv w:val="1"/>
      <w:marLeft w:val="0"/>
      <w:marRight w:val="0"/>
      <w:marTop w:val="0"/>
      <w:marBottom w:val="0"/>
      <w:divBdr>
        <w:top w:val="none" w:sz="0" w:space="0" w:color="auto"/>
        <w:left w:val="none" w:sz="0" w:space="0" w:color="auto"/>
        <w:bottom w:val="none" w:sz="0" w:space="0" w:color="auto"/>
        <w:right w:val="none" w:sz="0" w:space="0" w:color="auto"/>
      </w:divBdr>
    </w:div>
    <w:div w:id="2058240084">
      <w:bodyDiv w:val="1"/>
      <w:marLeft w:val="0"/>
      <w:marRight w:val="0"/>
      <w:marTop w:val="0"/>
      <w:marBottom w:val="0"/>
      <w:divBdr>
        <w:top w:val="none" w:sz="0" w:space="0" w:color="auto"/>
        <w:left w:val="none" w:sz="0" w:space="0" w:color="auto"/>
        <w:bottom w:val="none" w:sz="0" w:space="0" w:color="auto"/>
        <w:right w:val="none" w:sz="0" w:space="0" w:color="auto"/>
      </w:divBdr>
    </w:div>
    <w:div w:id="207731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basejurisprudencial.poderjudicial.cl/" TargetMode="External"/><Relationship Id="rId3" Type="http://schemas.openxmlformats.org/officeDocument/2006/relationships/hyperlink" Target="http://www.cidh.oas.org/annualrep/2005sp/Chile862.03sp.htm" TargetMode="External"/><Relationship Id="rId7" Type="http://schemas.openxmlformats.org/officeDocument/2006/relationships/hyperlink" Target="http://www.i-juridica.com/2015/05/21/suprema-23583-2014-imprescriptibilidad-de-la-acci&#243;n-reparatoria-en-contra-del-fisco-por-violaci&#243;n-a-derechos-humanos/" TargetMode="External"/><Relationship Id="rId2" Type="http://schemas.openxmlformats.org/officeDocument/2006/relationships/hyperlink" Target="http://www.cidh.oas.org/annualrep/2005sp/Chile698.03sp.htm" TargetMode="External"/><Relationship Id="rId1" Type="http://schemas.openxmlformats.org/officeDocument/2006/relationships/hyperlink" Target="http://www.cidh.oas.org/annualrep/2005sp/Chile511.03sp.htm" TargetMode="External"/><Relationship Id="rId6" Type="http://schemas.openxmlformats.org/officeDocument/2006/relationships/hyperlink" Target="http://www.indh.cl/wp-content/uploads/2011/10/Valech-1.pdf" TargetMode="External"/><Relationship Id="rId11" Type="http://schemas.openxmlformats.org/officeDocument/2006/relationships/hyperlink" Target="http://www.corteidh.or.cr/docs/supervisiones/maldonado_30_08_17.pdf" TargetMode="External"/><Relationship Id="rId5" Type="http://schemas.openxmlformats.org/officeDocument/2006/relationships/hyperlink" Target="http://www.oas.org/es/cidh/decisiones/corte/2017/12521FondoEs.pdf" TargetMode="External"/><Relationship Id="rId10" Type="http://schemas.openxmlformats.org/officeDocument/2006/relationships/hyperlink" Target="http://www.corteidh.or.cr/docs/supervisiones/maldonado_30_08_17.pdf" TargetMode="External"/><Relationship Id="rId4" Type="http://schemas.openxmlformats.org/officeDocument/2006/relationships/hyperlink" Target="http://www.cidh.oas.org/annualrep/2005sp/Chile381.04sp.htm" TargetMode="External"/><Relationship Id="rId9" Type="http://schemas.openxmlformats.org/officeDocument/2006/relationships/hyperlink" Target="http://basejurisprudencial.poderjudicial.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7FFC5-F6E3-4C47-B420-1BB136F0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17744</Words>
  <Characters>97594</Characters>
  <Application>Microsoft Office Word</Application>
  <DocSecurity>0</DocSecurity>
  <Lines>813</Lines>
  <Paragraphs>230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Francella Hernandez</cp:lastModifiedBy>
  <cp:revision>7</cp:revision>
  <dcterms:created xsi:type="dcterms:W3CDTF">2018-12-21T21:37:00Z</dcterms:created>
  <dcterms:modified xsi:type="dcterms:W3CDTF">2022-08-09T20:37:00Z</dcterms:modified>
</cp:coreProperties>
</file>