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FB24" w14:textId="77777777" w:rsidR="004B6D86" w:rsidRPr="00E85AD0" w:rsidRDefault="004B6D86" w:rsidP="004B6D86">
      <w:pPr>
        <w:pStyle w:val="CommentSubject"/>
        <w:widowControl w:val="0"/>
        <w:tabs>
          <w:tab w:val="left" w:pos="567"/>
        </w:tabs>
        <w:adjustRightInd w:val="0"/>
        <w:textAlignment w:val="baseline"/>
        <w:rPr>
          <w:rFonts w:cs="Verdana Bold"/>
          <w:caps/>
          <w:lang w:val="es-CR"/>
        </w:rPr>
      </w:pPr>
    </w:p>
    <w:p w14:paraId="649452A4"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2933511F"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30BBC92F"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2F21EF62"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43E95E3D"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6AD1299E"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75367BF8"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463ED6C0"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73C14EC0" w14:textId="77777777" w:rsidR="004B6D86" w:rsidRPr="00E85AD0" w:rsidRDefault="004B6D86" w:rsidP="004B6D86">
      <w:pPr>
        <w:widowControl w:val="0"/>
        <w:tabs>
          <w:tab w:val="left" w:pos="567"/>
        </w:tabs>
        <w:adjustRightInd w:val="0"/>
        <w:textAlignment w:val="baseline"/>
        <w:rPr>
          <w:rFonts w:cs="Verdana Bold"/>
          <w:b/>
          <w:bCs/>
          <w:caps/>
          <w:szCs w:val="20"/>
          <w:lang w:val="es-CR"/>
        </w:rPr>
      </w:pPr>
    </w:p>
    <w:p w14:paraId="59F71522" w14:textId="77777777" w:rsidR="004B6D86" w:rsidRPr="00B75A3D" w:rsidRDefault="004B6D86" w:rsidP="00B75A3D">
      <w:pPr>
        <w:pStyle w:val="CommentSubject"/>
        <w:widowControl w:val="0"/>
        <w:tabs>
          <w:tab w:val="left" w:pos="567"/>
        </w:tabs>
        <w:adjustRightInd w:val="0"/>
        <w:textAlignment w:val="baseline"/>
        <w:rPr>
          <w:rFonts w:cs="Verdana Bold"/>
          <w:caps/>
          <w:lang w:val="es-CR"/>
        </w:rPr>
      </w:pPr>
    </w:p>
    <w:p w14:paraId="76F29D14" w14:textId="77777777" w:rsidR="004B6D86" w:rsidRPr="00E85AD0" w:rsidRDefault="004B6D86" w:rsidP="004B6D86">
      <w:pPr>
        <w:widowControl w:val="0"/>
        <w:tabs>
          <w:tab w:val="left" w:pos="567"/>
        </w:tabs>
        <w:adjustRightInd w:val="0"/>
        <w:textAlignment w:val="baseline"/>
        <w:rPr>
          <w:b/>
          <w:szCs w:val="20"/>
          <w:lang w:val="es-CR" w:eastAsia="es-CR"/>
        </w:rPr>
      </w:pPr>
    </w:p>
    <w:p w14:paraId="5480FF67" w14:textId="77777777" w:rsidR="004B6D86" w:rsidRPr="00E85AD0" w:rsidRDefault="004B6D86" w:rsidP="004B6D86">
      <w:pPr>
        <w:widowControl w:val="0"/>
        <w:tabs>
          <w:tab w:val="left" w:pos="567"/>
        </w:tabs>
        <w:adjustRightInd w:val="0"/>
        <w:textAlignment w:val="baseline"/>
        <w:rPr>
          <w:b/>
          <w:szCs w:val="20"/>
          <w:lang w:val="es-CR" w:eastAsia="es-CR"/>
        </w:rPr>
      </w:pPr>
    </w:p>
    <w:p w14:paraId="73D2E510" w14:textId="77777777" w:rsidR="004B6D86" w:rsidRPr="00E85AD0" w:rsidRDefault="004B6D86" w:rsidP="004B6D86">
      <w:pPr>
        <w:widowControl w:val="0"/>
        <w:tabs>
          <w:tab w:val="left" w:pos="567"/>
        </w:tabs>
        <w:adjustRightInd w:val="0"/>
        <w:jc w:val="center"/>
        <w:textAlignment w:val="baseline"/>
        <w:rPr>
          <w:b/>
          <w:szCs w:val="20"/>
          <w:lang w:val="es-CR" w:eastAsia="es-CR"/>
        </w:rPr>
      </w:pPr>
    </w:p>
    <w:p w14:paraId="1EF64C88" w14:textId="77777777" w:rsidR="004C3FCA" w:rsidRPr="00292006" w:rsidRDefault="004C3FCA" w:rsidP="00B75A3D">
      <w:pPr>
        <w:jc w:val="center"/>
        <w:rPr>
          <w:b/>
          <w:lang w:val="es-CR"/>
        </w:rPr>
      </w:pPr>
      <w:r w:rsidRPr="00292006">
        <w:rPr>
          <w:b/>
          <w:lang w:val="es-CR"/>
        </w:rPr>
        <w:t>CORTE INTERAMERICANA DE DERECHOS HUMANOS</w:t>
      </w:r>
      <w:r w:rsidRPr="00292006">
        <w:rPr>
          <w:rStyle w:val="FootnoteReference"/>
          <w:b/>
          <w:spacing w:val="-4"/>
          <w:sz w:val="20"/>
          <w:lang w:val="es-CR"/>
        </w:rPr>
        <w:footnoteReference w:customMarkFollows="1" w:id="1"/>
        <w:t>*</w:t>
      </w:r>
    </w:p>
    <w:p w14:paraId="33B31157" w14:textId="77777777" w:rsidR="004B6D86" w:rsidRPr="00B75A3D" w:rsidRDefault="004B6D86" w:rsidP="00B75A3D">
      <w:pPr>
        <w:jc w:val="center"/>
        <w:rPr>
          <w:b/>
          <w:bCs/>
          <w:szCs w:val="20"/>
          <w:lang w:val="es-CR"/>
        </w:rPr>
      </w:pPr>
    </w:p>
    <w:p w14:paraId="77AD153D" w14:textId="77777777" w:rsidR="004B6D86" w:rsidRPr="00B75A3D" w:rsidRDefault="004B6D86" w:rsidP="00B75A3D">
      <w:pPr>
        <w:jc w:val="center"/>
        <w:rPr>
          <w:b/>
          <w:bCs/>
          <w:szCs w:val="20"/>
          <w:lang w:val="es-CR"/>
        </w:rPr>
      </w:pPr>
      <w:bookmarkStart w:id="0" w:name="_GoBack"/>
      <w:bookmarkEnd w:id="0"/>
      <w:r w:rsidRPr="00B75A3D">
        <w:rPr>
          <w:b/>
          <w:bCs/>
          <w:szCs w:val="20"/>
          <w:lang w:val="es-CR"/>
        </w:rPr>
        <w:t>CASO COLINDRES SCHONENBERG VS. EL SALVADOR</w:t>
      </w:r>
    </w:p>
    <w:p w14:paraId="4614AECF" w14:textId="77777777" w:rsidR="004B6D86" w:rsidRPr="00B75A3D" w:rsidRDefault="004B6D86" w:rsidP="00B75A3D">
      <w:pPr>
        <w:jc w:val="center"/>
        <w:rPr>
          <w:b/>
          <w:szCs w:val="20"/>
          <w:lang w:val="es-CR"/>
        </w:rPr>
      </w:pPr>
    </w:p>
    <w:p w14:paraId="22831989" w14:textId="1C11C21F" w:rsidR="004B6D86" w:rsidRPr="00B75A3D" w:rsidRDefault="004B6D86" w:rsidP="00B75A3D">
      <w:pPr>
        <w:jc w:val="center"/>
        <w:rPr>
          <w:b/>
          <w:szCs w:val="20"/>
          <w:lang w:val="es-CR"/>
        </w:rPr>
      </w:pPr>
      <w:bookmarkStart w:id="1" w:name="_Toc424833992"/>
      <w:bookmarkStart w:id="2" w:name="_Toc424834593"/>
      <w:bookmarkStart w:id="3" w:name="_Toc424834676"/>
      <w:bookmarkStart w:id="4" w:name="_Toc424834743"/>
      <w:r w:rsidRPr="00B75A3D">
        <w:rPr>
          <w:b/>
          <w:szCs w:val="20"/>
          <w:lang w:val="es-CR"/>
        </w:rPr>
        <w:t xml:space="preserve">SENTENCIA DE </w:t>
      </w:r>
      <w:r w:rsidR="00B75A3D">
        <w:rPr>
          <w:b/>
          <w:szCs w:val="20"/>
          <w:lang w:val="es-CR"/>
        </w:rPr>
        <w:t>4</w:t>
      </w:r>
      <w:r w:rsidRPr="00B75A3D">
        <w:rPr>
          <w:b/>
          <w:szCs w:val="20"/>
          <w:lang w:val="es-CR"/>
        </w:rPr>
        <w:t xml:space="preserve"> DE FEBRERO DE </w:t>
      </w:r>
      <w:bookmarkEnd w:id="1"/>
      <w:bookmarkEnd w:id="2"/>
      <w:bookmarkEnd w:id="3"/>
      <w:bookmarkEnd w:id="4"/>
      <w:r w:rsidRPr="00B75A3D">
        <w:rPr>
          <w:b/>
          <w:szCs w:val="20"/>
          <w:lang w:val="es-CR"/>
        </w:rPr>
        <w:t>2019</w:t>
      </w:r>
    </w:p>
    <w:p w14:paraId="1A776A8C" w14:textId="77777777" w:rsidR="004B6D86" w:rsidRPr="00B75A3D" w:rsidRDefault="004B6D86" w:rsidP="00B75A3D">
      <w:pPr>
        <w:jc w:val="center"/>
        <w:rPr>
          <w:b/>
          <w:szCs w:val="20"/>
          <w:lang w:val="es-CR"/>
        </w:rPr>
      </w:pPr>
    </w:p>
    <w:p w14:paraId="723F452A" w14:textId="77777777" w:rsidR="004B6D86" w:rsidRPr="00B75A3D" w:rsidRDefault="004B6D86" w:rsidP="00B75A3D">
      <w:pPr>
        <w:jc w:val="center"/>
        <w:rPr>
          <w:rFonts w:cs="Verdana"/>
          <w:b/>
          <w:bCs/>
          <w:caps/>
          <w:snapToGrid w:val="0"/>
          <w:szCs w:val="20"/>
          <w:lang w:val="es-CR" w:eastAsia="es-ES"/>
        </w:rPr>
      </w:pPr>
      <w:bookmarkStart w:id="5" w:name="_Toc424833993"/>
      <w:bookmarkStart w:id="6" w:name="_Toc424834594"/>
      <w:bookmarkStart w:id="7" w:name="_Toc424834677"/>
      <w:bookmarkStart w:id="8" w:name="_Toc424834744"/>
      <w:r w:rsidRPr="00B75A3D">
        <w:rPr>
          <w:b/>
          <w:szCs w:val="20"/>
          <w:lang w:val="es-CR"/>
        </w:rPr>
        <w:t>(</w:t>
      </w:r>
      <w:r w:rsidRPr="00B75A3D">
        <w:rPr>
          <w:b/>
          <w:i/>
          <w:szCs w:val="20"/>
          <w:lang w:val="es-CR"/>
        </w:rPr>
        <w:t>Fondo, Reparaciones y Costas</w:t>
      </w:r>
      <w:r w:rsidRPr="00B75A3D">
        <w:rPr>
          <w:b/>
          <w:szCs w:val="20"/>
          <w:lang w:val="es-CR"/>
        </w:rPr>
        <w:t>)</w:t>
      </w:r>
      <w:bookmarkEnd w:id="5"/>
      <w:bookmarkEnd w:id="6"/>
      <w:bookmarkEnd w:id="7"/>
      <w:bookmarkEnd w:id="8"/>
    </w:p>
    <w:p w14:paraId="004D40F7"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2EC1FC01" w14:textId="77777777" w:rsidR="004B6D86" w:rsidRPr="00E85AD0" w:rsidRDefault="004B6D86" w:rsidP="004B6D86">
      <w:pPr>
        <w:widowControl w:val="0"/>
        <w:tabs>
          <w:tab w:val="left" w:pos="6932"/>
        </w:tabs>
        <w:adjustRightInd w:val="0"/>
        <w:textAlignment w:val="baseline"/>
        <w:rPr>
          <w:rFonts w:cs="Verdana"/>
          <w:b/>
          <w:bCs/>
          <w:color w:val="00B050"/>
          <w:szCs w:val="20"/>
          <w:lang w:val="es-CR" w:eastAsia="es-CR"/>
        </w:rPr>
      </w:pPr>
      <w:r w:rsidRPr="00E85AD0">
        <w:rPr>
          <w:rFonts w:cs="Verdana"/>
          <w:b/>
          <w:bCs/>
          <w:color w:val="00B050"/>
          <w:szCs w:val="20"/>
          <w:lang w:val="es-CR" w:eastAsia="es-CR"/>
        </w:rPr>
        <w:tab/>
      </w:r>
    </w:p>
    <w:p w14:paraId="62ED75A6"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4AC74DE0" w14:textId="77777777" w:rsidR="004B6D86" w:rsidRPr="00E85AD0" w:rsidRDefault="004B6D86" w:rsidP="004B6D86">
      <w:pPr>
        <w:widowControl w:val="0"/>
        <w:tabs>
          <w:tab w:val="left" w:pos="567"/>
          <w:tab w:val="left" w:pos="720"/>
        </w:tabs>
        <w:adjustRightInd w:val="0"/>
        <w:textAlignment w:val="baseline"/>
        <w:rPr>
          <w:rFonts w:cs="Verdana"/>
          <w:i/>
          <w:iCs/>
          <w:szCs w:val="20"/>
          <w:lang w:val="es-CR" w:eastAsia="es-CR"/>
        </w:rPr>
      </w:pPr>
      <w:r w:rsidRPr="00E85AD0">
        <w:rPr>
          <w:rFonts w:cs="Verdana"/>
          <w:szCs w:val="20"/>
          <w:lang w:val="es-CR" w:eastAsia="es-CR"/>
        </w:rPr>
        <w:t>En el caso</w:t>
      </w:r>
      <w:r w:rsidRPr="00E85AD0">
        <w:rPr>
          <w:rFonts w:cs="Verdana"/>
          <w:i/>
          <w:iCs/>
          <w:szCs w:val="20"/>
          <w:lang w:val="es-CR" w:eastAsia="es-CR"/>
        </w:rPr>
        <w:t xml:space="preserve"> Colindres Schonenberg Vs. El Salvador, </w:t>
      </w:r>
    </w:p>
    <w:p w14:paraId="5B036BC8"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2D4AB698"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r w:rsidRPr="00E85AD0">
        <w:rPr>
          <w:rFonts w:cs="Verdana"/>
          <w:szCs w:val="20"/>
          <w:lang w:val="es-CR" w:eastAsia="es-CR"/>
        </w:rPr>
        <w:t>la Corte Interamericana de Derechos Humanos (en adelante “la Corte Interamericana”, “la Corte” o “este Tribunal”), integrada por los siguientes jueces:</w:t>
      </w:r>
    </w:p>
    <w:p w14:paraId="264B9E04"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3DF9CD27" w14:textId="77777777" w:rsidR="004B6D86" w:rsidRPr="00E85AD0" w:rsidRDefault="004B6D86" w:rsidP="004B6D86">
      <w:pPr>
        <w:pStyle w:val="citaindirecta"/>
        <w:tabs>
          <w:tab w:val="left" w:pos="567"/>
          <w:tab w:val="left" w:pos="851"/>
        </w:tabs>
        <w:ind w:left="0" w:right="-174"/>
        <w:rPr>
          <w:lang w:val="pt-BR"/>
        </w:rPr>
      </w:pPr>
      <w:r w:rsidRPr="00E85AD0">
        <w:rPr>
          <w:lang w:val="pt-BR"/>
        </w:rPr>
        <w:t>Eduardo Ferrer Mac-Gregor Poisot, Presidente;</w:t>
      </w:r>
    </w:p>
    <w:p w14:paraId="334038DF" w14:textId="77777777" w:rsidR="004B6D86" w:rsidRPr="00E85AD0" w:rsidRDefault="004B6D86" w:rsidP="004B6D86">
      <w:pPr>
        <w:pStyle w:val="citaindirecta"/>
        <w:tabs>
          <w:tab w:val="left" w:pos="567"/>
          <w:tab w:val="left" w:pos="851"/>
        </w:tabs>
        <w:ind w:left="0" w:right="-174"/>
        <w:rPr>
          <w:lang w:val="es-CR"/>
        </w:rPr>
      </w:pPr>
      <w:r w:rsidRPr="00E85AD0">
        <w:rPr>
          <w:lang w:val="es-CR"/>
        </w:rPr>
        <w:t>Eduardo Vio Grossi,</w:t>
      </w:r>
      <w:r w:rsidRPr="00E85AD0">
        <w:rPr>
          <w:rFonts w:cs="Verdana"/>
          <w:lang w:val="es-CR"/>
        </w:rPr>
        <w:t xml:space="preserve"> Vicepresidente;</w:t>
      </w:r>
    </w:p>
    <w:p w14:paraId="44575138" w14:textId="77777777" w:rsidR="004B6D86" w:rsidRPr="00E85AD0" w:rsidRDefault="004B6D86" w:rsidP="004B6D86">
      <w:pPr>
        <w:tabs>
          <w:tab w:val="left" w:pos="567"/>
          <w:tab w:val="left" w:pos="720"/>
          <w:tab w:val="left" w:pos="851"/>
        </w:tabs>
        <w:ind w:right="-174"/>
        <w:rPr>
          <w:rFonts w:cs="Verdana"/>
          <w:szCs w:val="20"/>
          <w:lang w:val="es-CR"/>
        </w:rPr>
      </w:pPr>
      <w:r w:rsidRPr="00E85AD0">
        <w:rPr>
          <w:rFonts w:cs="Verdana"/>
          <w:szCs w:val="20"/>
          <w:lang w:val="es-CR"/>
        </w:rPr>
        <w:t xml:space="preserve">Elizabeth Odio Benito, </w:t>
      </w:r>
      <w:r w:rsidRPr="00E85AD0">
        <w:rPr>
          <w:szCs w:val="20"/>
          <w:lang w:val="es-CR"/>
        </w:rPr>
        <w:t>Jueza;</w:t>
      </w:r>
    </w:p>
    <w:p w14:paraId="64D39826" w14:textId="77777777" w:rsidR="004B6D86" w:rsidRPr="00E85AD0" w:rsidRDefault="004B6D86" w:rsidP="004B6D86">
      <w:pPr>
        <w:tabs>
          <w:tab w:val="left" w:pos="567"/>
          <w:tab w:val="left" w:pos="720"/>
          <w:tab w:val="left" w:pos="851"/>
        </w:tabs>
        <w:ind w:right="-174"/>
        <w:rPr>
          <w:rFonts w:cs="Verdana"/>
          <w:szCs w:val="20"/>
          <w:lang w:val="es-CR"/>
        </w:rPr>
      </w:pPr>
      <w:r w:rsidRPr="00E85AD0">
        <w:rPr>
          <w:szCs w:val="20"/>
          <w:lang w:val="es-CR"/>
        </w:rPr>
        <w:t>Eugenio Raúl Zaffaroni,</w:t>
      </w:r>
      <w:r w:rsidRPr="00E85AD0">
        <w:rPr>
          <w:rFonts w:cs="Verdana"/>
          <w:szCs w:val="20"/>
          <w:lang w:val="es-CR"/>
        </w:rPr>
        <w:t xml:space="preserve"> </w:t>
      </w:r>
      <w:r w:rsidRPr="00E85AD0">
        <w:rPr>
          <w:szCs w:val="20"/>
          <w:lang w:val="es-CR"/>
        </w:rPr>
        <w:t>Juez,</w:t>
      </w:r>
      <w:r w:rsidRPr="00E85AD0">
        <w:rPr>
          <w:rFonts w:cs="Verdana"/>
          <w:szCs w:val="20"/>
          <w:lang w:val="es-CR"/>
        </w:rPr>
        <w:t xml:space="preserve"> y</w:t>
      </w:r>
    </w:p>
    <w:p w14:paraId="2480DC99" w14:textId="77777777" w:rsidR="004B6D86" w:rsidRPr="00E85AD0" w:rsidRDefault="004B6D86" w:rsidP="004B6D86">
      <w:pPr>
        <w:tabs>
          <w:tab w:val="left" w:pos="567"/>
          <w:tab w:val="left" w:pos="720"/>
          <w:tab w:val="left" w:pos="851"/>
        </w:tabs>
        <w:ind w:right="-174"/>
        <w:rPr>
          <w:rFonts w:cs="Verdana"/>
          <w:szCs w:val="20"/>
          <w:lang w:val="es-CR"/>
        </w:rPr>
      </w:pPr>
      <w:r w:rsidRPr="00E85AD0">
        <w:rPr>
          <w:rFonts w:cs="Verdana"/>
          <w:szCs w:val="20"/>
          <w:lang w:val="es-CR"/>
        </w:rPr>
        <w:t>Patricio Pazmiño Freire, Juez;</w:t>
      </w:r>
    </w:p>
    <w:p w14:paraId="7E9B978B"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3211B804"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r w:rsidRPr="00E85AD0">
        <w:rPr>
          <w:rFonts w:cs="Verdana"/>
          <w:szCs w:val="20"/>
          <w:lang w:val="es-CR" w:eastAsia="es-CR"/>
        </w:rPr>
        <w:t>presentes además,</w:t>
      </w:r>
    </w:p>
    <w:p w14:paraId="6CCD497E"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1A895106"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r w:rsidRPr="00E85AD0">
        <w:rPr>
          <w:rFonts w:cs="Verdana"/>
          <w:szCs w:val="20"/>
          <w:lang w:val="es-CR" w:eastAsia="es-CR"/>
        </w:rPr>
        <w:t xml:space="preserve">Pablo Saavedra Alessandri, Secretario, y </w:t>
      </w:r>
    </w:p>
    <w:p w14:paraId="20F61C89"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r w:rsidRPr="00E85AD0">
        <w:rPr>
          <w:rFonts w:cs="Verdana"/>
          <w:szCs w:val="20"/>
          <w:lang w:val="es-CR" w:eastAsia="es-MX"/>
        </w:rPr>
        <w:t>Emilia Segares Rodríguez, Secretaria Adjunta,</w:t>
      </w:r>
    </w:p>
    <w:p w14:paraId="1CB186F1"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619296DA" w14:textId="7A005D4E" w:rsidR="004B6D86" w:rsidRPr="00E85AD0" w:rsidRDefault="004B6D86" w:rsidP="004B6D86">
      <w:pPr>
        <w:pStyle w:val="Textoindependiente1"/>
        <w:tabs>
          <w:tab w:val="left" w:pos="567"/>
          <w:tab w:val="left" w:pos="720"/>
        </w:tabs>
        <w:adjustRightInd w:val="0"/>
        <w:textAlignment w:val="baseline"/>
        <w:rPr>
          <w:rFonts w:ascii="Verdana" w:hAnsi="Verdana" w:cs="Verdana"/>
          <w:lang w:val="es-CR" w:eastAsia="es-CR"/>
        </w:rPr>
      </w:pPr>
      <w:r w:rsidRPr="00E85AD0">
        <w:rPr>
          <w:rFonts w:ascii="Verdana" w:hAnsi="Verdana" w:cs="Verdana"/>
          <w:lang w:val="es-CR" w:eastAsia="es-CR"/>
        </w:rPr>
        <w:t>de conformidad con los artículos 62.3 y 63.1 de la Convención Americana sobre Derechos Humanos (en adelante “la Convención Americana” o “la Convención”) y con los artículos 31, 32, 65 y 67 del Reglamento de la Corte (en adelante “el Reglamento” o “Reglamento de la Corte”), dicta la presente Sentencia</w:t>
      </w:r>
      <w:r w:rsidR="00884827">
        <w:rPr>
          <w:rFonts w:ascii="Verdana" w:hAnsi="Verdana" w:cs="Verdana"/>
          <w:lang w:val="es-CR" w:eastAsia="es-CR"/>
        </w:rPr>
        <w:t>,</w:t>
      </w:r>
      <w:r w:rsidRPr="00E85AD0">
        <w:rPr>
          <w:rFonts w:ascii="Verdana" w:hAnsi="Verdana" w:cs="Verdana"/>
          <w:lang w:val="es-CR" w:eastAsia="es-CR"/>
        </w:rPr>
        <w:t xml:space="preserve"> que se estructura en el siguiente orden:</w:t>
      </w:r>
    </w:p>
    <w:p w14:paraId="4FB21817"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7E52FD99" w14:textId="77777777" w:rsidR="004B6D86" w:rsidRPr="00E85AD0" w:rsidRDefault="004B6D86" w:rsidP="004B6D86">
      <w:pPr>
        <w:widowControl w:val="0"/>
        <w:tabs>
          <w:tab w:val="left" w:pos="567"/>
          <w:tab w:val="left" w:pos="720"/>
        </w:tabs>
        <w:adjustRightInd w:val="0"/>
        <w:textAlignment w:val="baseline"/>
        <w:rPr>
          <w:rFonts w:cs="Verdana"/>
          <w:szCs w:val="20"/>
          <w:lang w:val="es-CR" w:eastAsia="es-CR"/>
        </w:rPr>
      </w:pPr>
    </w:p>
    <w:p w14:paraId="50D7CF37" w14:textId="77777777" w:rsidR="004B6D86" w:rsidRPr="00E85AD0" w:rsidRDefault="004B6D86" w:rsidP="004B6D86">
      <w:pPr>
        <w:jc w:val="center"/>
        <w:rPr>
          <w:szCs w:val="20"/>
          <w:lang w:val="es-CR"/>
        </w:rPr>
      </w:pPr>
      <w:bookmarkStart w:id="9" w:name="_Toc424834678"/>
      <w:bookmarkStart w:id="10" w:name="_Toc427932784"/>
      <w:bookmarkStart w:id="11" w:name="_Toc431584601"/>
      <w:bookmarkStart w:id="12" w:name="_Toc434850389"/>
      <w:r w:rsidRPr="00E85AD0">
        <w:rPr>
          <w:szCs w:val="20"/>
          <w:lang w:val="es-CR"/>
        </w:rPr>
        <w:br w:type="page"/>
      </w:r>
      <w:bookmarkEnd w:id="9"/>
      <w:bookmarkEnd w:id="10"/>
      <w:bookmarkEnd w:id="11"/>
      <w:bookmarkEnd w:id="12"/>
    </w:p>
    <w:p w14:paraId="64FF064C" w14:textId="3E17A8AC" w:rsidR="00C70BB1" w:rsidRPr="007E1CF1" w:rsidRDefault="00C70BB1" w:rsidP="007E1CF1">
      <w:pPr>
        <w:pStyle w:val="TOC1"/>
        <w:spacing w:before="0" w:after="0" w:line="360" w:lineRule="auto"/>
        <w:rPr>
          <w:sz w:val="18"/>
          <w:szCs w:val="18"/>
        </w:rPr>
      </w:pPr>
      <w:bookmarkStart w:id="13" w:name="_Toc424833995"/>
      <w:bookmarkStart w:id="14" w:name="_Toc424834679"/>
      <w:bookmarkStart w:id="15" w:name="_Toc424834746"/>
      <w:bookmarkStart w:id="16" w:name="_Toc427234534"/>
      <w:bookmarkStart w:id="17" w:name="_Toc427342823"/>
      <w:bookmarkStart w:id="18" w:name="_Toc427663809"/>
      <w:bookmarkStart w:id="19" w:name="_Toc427932785"/>
      <w:bookmarkStart w:id="20" w:name="_Toc427943548"/>
      <w:bookmarkStart w:id="21" w:name="_Toc427943722"/>
      <w:bookmarkStart w:id="22" w:name="_Toc431584602"/>
      <w:bookmarkStart w:id="23" w:name="_Toc431584718"/>
      <w:bookmarkStart w:id="24" w:name="_Toc431585023"/>
      <w:bookmarkStart w:id="25" w:name="_Toc431646540"/>
      <w:bookmarkStart w:id="26" w:name="_Toc431834523"/>
      <w:bookmarkStart w:id="27" w:name="_Toc431834619"/>
      <w:bookmarkStart w:id="28" w:name="_Toc308537924"/>
      <w:bookmarkStart w:id="29" w:name="_Toc308538144"/>
      <w:bookmarkStart w:id="30" w:name="_Toc434849616"/>
      <w:bookmarkStart w:id="31" w:name="_Toc434849911"/>
      <w:bookmarkStart w:id="32" w:name="_Toc434850390"/>
      <w:bookmarkStart w:id="33" w:name="_Toc469594898"/>
      <w:bookmarkStart w:id="34" w:name="_Toc469664207"/>
      <w:bookmarkStart w:id="35" w:name="_Toc469664469"/>
      <w:bookmarkStart w:id="36" w:name="_Toc469940914"/>
      <w:r w:rsidRPr="007E1CF1">
        <w:rPr>
          <w:sz w:val="18"/>
          <w:szCs w:val="18"/>
        </w:rPr>
        <w:lastRenderedPageBreak/>
        <w:t>TABLA DE CONTENIDO</w:t>
      </w:r>
    </w:p>
    <w:p w14:paraId="3F01C178" w14:textId="77777777" w:rsidR="007E1CF1" w:rsidRPr="007E1CF1" w:rsidRDefault="007F7EC7" w:rsidP="007E1CF1">
      <w:pPr>
        <w:pStyle w:val="TOC1"/>
        <w:spacing w:before="0" w:after="60"/>
        <w:rPr>
          <w:rFonts w:asciiTheme="minorHAnsi" w:eastAsiaTheme="minorEastAsia" w:hAnsiTheme="minorHAnsi" w:cstheme="minorBidi"/>
          <w:szCs w:val="20"/>
          <w:lang w:val="es-CR" w:eastAsia="es-CR"/>
        </w:rPr>
      </w:pPr>
      <w:r w:rsidRPr="007E1CF1">
        <w:rPr>
          <w:sz w:val="18"/>
          <w:szCs w:val="18"/>
        </w:rPr>
        <w:fldChar w:fldCharType="begin"/>
      </w:r>
      <w:r w:rsidRPr="007E1CF1">
        <w:rPr>
          <w:sz w:val="18"/>
          <w:szCs w:val="18"/>
        </w:rPr>
        <w:instrText xml:space="preserve"> TOC \o "1-4" \h \z \u </w:instrText>
      </w:r>
      <w:r w:rsidRPr="007E1CF1">
        <w:rPr>
          <w:sz w:val="18"/>
          <w:szCs w:val="18"/>
        </w:rPr>
        <w:fldChar w:fldCharType="separate"/>
      </w:r>
      <w:hyperlink w:anchor="_Toc192560" w:history="1">
        <w:r w:rsidR="007E1CF1" w:rsidRPr="007E1CF1">
          <w:rPr>
            <w:rStyle w:val="Hyperlink"/>
            <w:szCs w:val="20"/>
          </w:rPr>
          <w:t>I INTRODUCCIÓN DE LA CAUSA Y OBJETO DE LA CONTROVERSIA</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_Toc192560 \h </w:instrText>
        </w:r>
        <w:r w:rsidR="007E1CF1" w:rsidRPr="007E1CF1">
          <w:rPr>
            <w:webHidden/>
            <w:szCs w:val="20"/>
          </w:rPr>
        </w:r>
        <w:r w:rsidR="007E1CF1" w:rsidRPr="007E1CF1">
          <w:rPr>
            <w:webHidden/>
            <w:szCs w:val="20"/>
          </w:rPr>
          <w:fldChar w:fldCharType="separate"/>
        </w:r>
        <w:r w:rsidR="002D28B2">
          <w:rPr>
            <w:webHidden/>
            <w:szCs w:val="20"/>
          </w:rPr>
          <w:t>3</w:t>
        </w:r>
        <w:r w:rsidR="007E1CF1" w:rsidRPr="007E1CF1">
          <w:rPr>
            <w:webHidden/>
            <w:szCs w:val="20"/>
          </w:rPr>
          <w:fldChar w:fldCharType="end"/>
        </w:r>
      </w:hyperlink>
    </w:p>
    <w:p w14:paraId="4167FDD2" w14:textId="77777777" w:rsidR="007E1CF1" w:rsidRPr="007E1CF1" w:rsidRDefault="00272A2F" w:rsidP="007E1CF1">
      <w:pPr>
        <w:pStyle w:val="TOC1"/>
        <w:spacing w:before="0" w:after="60"/>
        <w:rPr>
          <w:rFonts w:asciiTheme="minorHAnsi" w:eastAsiaTheme="minorEastAsia" w:hAnsiTheme="minorHAnsi" w:cstheme="minorBidi"/>
          <w:szCs w:val="20"/>
          <w:lang w:val="es-CR" w:eastAsia="es-CR"/>
        </w:rPr>
      </w:pPr>
      <w:hyperlink w:anchor="_Toc192561" w:history="1">
        <w:r w:rsidR="007E1CF1" w:rsidRPr="007E1CF1">
          <w:rPr>
            <w:rStyle w:val="Hyperlink"/>
            <w:szCs w:val="20"/>
          </w:rPr>
          <w:t>II PROCEDIMIENTO ANTE LA CORTE</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_Toc192561 \h </w:instrText>
        </w:r>
        <w:r w:rsidR="007E1CF1" w:rsidRPr="007E1CF1">
          <w:rPr>
            <w:webHidden/>
            <w:szCs w:val="20"/>
          </w:rPr>
        </w:r>
        <w:r w:rsidR="007E1CF1" w:rsidRPr="007E1CF1">
          <w:rPr>
            <w:webHidden/>
            <w:szCs w:val="20"/>
          </w:rPr>
          <w:fldChar w:fldCharType="separate"/>
        </w:r>
        <w:r w:rsidR="002D28B2">
          <w:rPr>
            <w:webHidden/>
            <w:szCs w:val="20"/>
          </w:rPr>
          <w:t>4</w:t>
        </w:r>
        <w:r w:rsidR="007E1CF1" w:rsidRPr="007E1CF1">
          <w:rPr>
            <w:webHidden/>
            <w:szCs w:val="20"/>
          </w:rPr>
          <w:fldChar w:fldCharType="end"/>
        </w:r>
      </w:hyperlink>
    </w:p>
    <w:p w14:paraId="4D814A57" w14:textId="77777777" w:rsidR="007E1CF1" w:rsidRPr="007E1CF1" w:rsidRDefault="00272A2F" w:rsidP="007E1CF1">
      <w:pPr>
        <w:pStyle w:val="TOC1"/>
        <w:spacing w:before="0" w:after="60"/>
        <w:rPr>
          <w:rFonts w:asciiTheme="minorHAnsi" w:eastAsiaTheme="minorEastAsia" w:hAnsiTheme="minorHAnsi" w:cstheme="minorBidi"/>
          <w:szCs w:val="20"/>
          <w:lang w:val="es-CR" w:eastAsia="es-CR"/>
        </w:rPr>
      </w:pPr>
      <w:hyperlink w:anchor="_Toc192562" w:history="1">
        <w:r w:rsidR="007E1CF1" w:rsidRPr="007E1CF1">
          <w:rPr>
            <w:rStyle w:val="Hyperlink"/>
            <w:snapToGrid w:val="0"/>
            <w:szCs w:val="20"/>
          </w:rPr>
          <w:t>III COMPETENCIA</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_Toc192562 \h </w:instrText>
        </w:r>
        <w:r w:rsidR="007E1CF1" w:rsidRPr="007E1CF1">
          <w:rPr>
            <w:webHidden/>
            <w:szCs w:val="20"/>
          </w:rPr>
        </w:r>
        <w:r w:rsidR="007E1CF1" w:rsidRPr="007E1CF1">
          <w:rPr>
            <w:webHidden/>
            <w:szCs w:val="20"/>
          </w:rPr>
          <w:fldChar w:fldCharType="separate"/>
        </w:r>
        <w:r w:rsidR="002D28B2">
          <w:rPr>
            <w:webHidden/>
            <w:szCs w:val="20"/>
          </w:rPr>
          <w:t>5</w:t>
        </w:r>
        <w:r w:rsidR="007E1CF1" w:rsidRPr="007E1CF1">
          <w:rPr>
            <w:webHidden/>
            <w:szCs w:val="20"/>
          </w:rPr>
          <w:fldChar w:fldCharType="end"/>
        </w:r>
      </w:hyperlink>
    </w:p>
    <w:p w14:paraId="740DB867" w14:textId="77777777" w:rsidR="007E1CF1" w:rsidRPr="007E1CF1" w:rsidRDefault="00272A2F" w:rsidP="007E1CF1">
      <w:pPr>
        <w:pStyle w:val="TOC1"/>
        <w:spacing w:before="0" w:after="60"/>
        <w:rPr>
          <w:rFonts w:asciiTheme="minorHAnsi" w:eastAsiaTheme="minorEastAsia" w:hAnsiTheme="minorHAnsi" w:cstheme="minorBidi"/>
          <w:szCs w:val="20"/>
          <w:lang w:val="es-CR" w:eastAsia="es-CR"/>
        </w:rPr>
      </w:pPr>
      <w:hyperlink w:anchor="_Toc192563" w:history="1">
        <w:r w:rsidR="007E1CF1" w:rsidRPr="007E1CF1">
          <w:rPr>
            <w:rStyle w:val="Hyperlink"/>
            <w:szCs w:val="20"/>
          </w:rPr>
          <w:t>IV PRUEBA</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_Toc192563 \h </w:instrText>
        </w:r>
        <w:r w:rsidR="007E1CF1" w:rsidRPr="007E1CF1">
          <w:rPr>
            <w:webHidden/>
            <w:szCs w:val="20"/>
          </w:rPr>
        </w:r>
        <w:r w:rsidR="007E1CF1" w:rsidRPr="007E1CF1">
          <w:rPr>
            <w:webHidden/>
            <w:szCs w:val="20"/>
          </w:rPr>
          <w:fldChar w:fldCharType="separate"/>
        </w:r>
        <w:r w:rsidR="002D28B2">
          <w:rPr>
            <w:webHidden/>
            <w:szCs w:val="20"/>
          </w:rPr>
          <w:t>5</w:t>
        </w:r>
        <w:r w:rsidR="007E1CF1" w:rsidRPr="007E1CF1">
          <w:rPr>
            <w:webHidden/>
            <w:szCs w:val="20"/>
          </w:rPr>
          <w:fldChar w:fldCharType="end"/>
        </w:r>
      </w:hyperlink>
    </w:p>
    <w:p w14:paraId="4D684E97"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64" w:history="1">
        <w:r w:rsidR="007E1CF1" w:rsidRPr="007E1CF1">
          <w:rPr>
            <w:rStyle w:val="Hyperlink"/>
            <w:b/>
            <w:noProof/>
            <w:szCs w:val="20"/>
          </w:rPr>
          <w:t>A.</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Admisibilidad de la prueba documental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_Toc192564 \h </w:instrText>
        </w:r>
        <w:r w:rsidR="007E1CF1" w:rsidRPr="007E1CF1">
          <w:rPr>
            <w:noProof/>
            <w:webHidden/>
            <w:szCs w:val="20"/>
          </w:rPr>
        </w:r>
        <w:r w:rsidR="007E1CF1" w:rsidRPr="007E1CF1">
          <w:rPr>
            <w:noProof/>
            <w:webHidden/>
            <w:szCs w:val="20"/>
          </w:rPr>
          <w:fldChar w:fldCharType="separate"/>
        </w:r>
        <w:r w:rsidR="002D28B2">
          <w:rPr>
            <w:noProof/>
            <w:webHidden/>
            <w:szCs w:val="20"/>
          </w:rPr>
          <w:t>5</w:t>
        </w:r>
        <w:r w:rsidR="007E1CF1" w:rsidRPr="007E1CF1">
          <w:rPr>
            <w:noProof/>
            <w:webHidden/>
            <w:szCs w:val="20"/>
          </w:rPr>
          <w:fldChar w:fldCharType="end"/>
        </w:r>
      </w:hyperlink>
    </w:p>
    <w:p w14:paraId="359BC468"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65" w:history="1">
        <w:r w:rsidR="007E1CF1" w:rsidRPr="007E1CF1">
          <w:rPr>
            <w:rStyle w:val="Hyperlink"/>
            <w:b/>
            <w:noProof/>
            <w:szCs w:val="20"/>
          </w:rPr>
          <w:t xml:space="preserve">B. </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Admisibilidad de la prueba testimonial y pericial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_Toc192565 \h </w:instrText>
        </w:r>
        <w:r w:rsidR="007E1CF1" w:rsidRPr="007E1CF1">
          <w:rPr>
            <w:noProof/>
            <w:webHidden/>
            <w:szCs w:val="20"/>
          </w:rPr>
        </w:r>
        <w:r w:rsidR="007E1CF1" w:rsidRPr="007E1CF1">
          <w:rPr>
            <w:noProof/>
            <w:webHidden/>
            <w:szCs w:val="20"/>
          </w:rPr>
          <w:fldChar w:fldCharType="separate"/>
        </w:r>
        <w:r w:rsidR="002D28B2">
          <w:rPr>
            <w:noProof/>
            <w:webHidden/>
            <w:szCs w:val="20"/>
          </w:rPr>
          <w:t>7</w:t>
        </w:r>
        <w:r w:rsidR="007E1CF1" w:rsidRPr="007E1CF1">
          <w:rPr>
            <w:noProof/>
            <w:webHidden/>
            <w:szCs w:val="20"/>
          </w:rPr>
          <w:fldChar w:fldCharType="end"/>
        </w:r>
      </w:hyperlink>
    </w:p>
    <w:p w14:paraId="33CAA38C" w14:textId="77777777" w:rsidR="007E1CF1" w:rsidRPr="007E1CF1" w:rsidRDefault="00272A2F" w:rsidP="007E1CF1">
      <w:pPr>
        <w:pStyle w:val="TOC1"/>
        <w:spacing w:before="0" w:after="60"/>
        <w:rPr>
          <w:rFonts w:asciiTheme="minorHAnsi" w:eastAsiaTheme="minorEastAsia" w:hAnsiTheme="minorHAnsi" w:cstheme="minorBidi"/>
          <w:szCs w:val="20"/>
          <w:lang w:val="es-CR" w:eastAsia="es-CR"/>
        </w:rPr>
      </w:pPr>
      <w:hyperlink w:anchor="_Toc192566" w:history="1">
        <w:r w:rsidR="007E1CF1" w:rsidRPr="007E1CF1">
          <w:rPr>
            <w:rStyle w:val="Hyperlink"/>
            <w:szCs w:val="20"/>
          </w:rPr>
          <w:t>V HECHOS PROBADOS</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_Toc192566 \h </w:instrText>
        </w:r>
        <w:r w:rsidR="007E1CF1" w:rsidRPr="007E1CF1">
          <w:rPr>
            <w:webHidden/>
            <w:szCs w:val="20"/>
          </w:rPr>
        </w:r>
        <w:r w:rsidR="007E1CF1" w:rsidRPr="007E1CF1">
          <w:rPr>
            <w:webHidden/>
            <w:szCs w:val="20"/>
          </w:rPr>
          <w:fldChar w:fldCharType="separate"/>
        </w:r>
        <w:r w:rsidR="002D28B2">
          <w:rPr>
            <w:webHidden/>
            <w:szCs w:val="20"/>
          </w:rPr>
          <w:t>7</w:t>
        </w:r>
        <w:r w:rsidR="007E1CF1" w:rsidRPr="007E1CF1">
          <w:rPr>
            <w:webHidden/>
            <w:szCs w:val="20"/>
          </w:rPr>
          <w:fldChar w:fldCharType="end"/>
        </w:r>
      </w:hyperlink>
    </w:p>
    <w:p w14:paraId="7FF0FC8F"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67" w:history="1">
        <w:r w:rsidR="007E1CF1" w:rsidRPr="007E1CF1">
          <w:rPr>
            <w:rStyle w:val="Hyperlink"/>
            <w:b/>
            <w:noProof/>
            <w:szCs w:val="20"/>
          </w:rPr>
          <w:t>A.</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Marco normativo</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_Toc192567 \h </w:instrText>
        </w:r>
        <w:r w:rsidR="007E1CF1" w:rsidRPr="007E1CF1">
          <w:rPr>
            <w:noProof/>
            <w:webHidden/>
            <w:szCs w:val="20"/>
          </w:rPr>
        </w:r>
        <w:r w:rsidR="007E1CF1" w:rsidRPr="007E1CF1">
          <w:rPr>
            <w:noProof/>
            <w:webHidden/>
            <w:szCs w:val="20"/>
          </w:rPr>
          <w:fldChar w:fldCharType="separate"/>
        </w:r>
        <w:r w:rsidR="002D28B2">
          <w:rPr>
            <w:noProof/>
            <w:webHidden/>
            <w:szCs w:val="20"/>
          </w:rPr>
          <w:t>7</w:t>
        </w:r>
        <w:r w:rsidR="007E1CF1" w:rsidRPr="007E1CF1">
          <w:rPr>
            <w:noProof/>
            <w:webHidden/>
            <w:szCs w:val="20"/>
          </w:rPr>
          <w:fldChar w:fldCharType="end"/>
        </w:r>
      </w:hyperlink>
    </w:p>
    <w:p w14:paraId="5B15FDD2"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68" w:history="1">
        <w:r w:rsidR="007E1CF1" w:rsidRPr="007E1CF1">
          <w:rPr>
            <w:rStyle w:val="Hyperlink"/>
            <w:b/>
            <w:noProof/>
            <w:szCs w:val="20"/>
          </w:rPr>
          <w:t>B.</w:t>
        </w:r>
        <w:r w:rsidR="007E1CF1" w:rsidRPr="007E1CF1">
          <w:rPr>
            <w:rFonts w:asciiTheme="minorHAnsi" w:eastAsiaTheme="minorEastAsia" w:hAnsiTheme="minorHAnsi" w:cstheme="minorBidi"/>
            <w:noProof/>
            <w:szCs w:val="20"/>
            <w:lang w:val="es-CR" w:eastAsia="es-CR"/>
          </w:rPr>
          <w:tab/>
        </w:r>
        <w:r w:rsidR="007E1CF1" w:rsidRPr="007E1CF1">
          <w:rPr>
            <w:rStyle w:val="Hyperlink"/>
            <w:b/>
            <w:noProof/>
            <w:szCs w:val="20"/>
          </w:rPr>
          <w:t>Nombramiento del señor Colindres Schonenberg como magistrado y primera destitución</w:t>
        </w:r>
        <w:r w:rsidR="007E1CF1" w:rsidRPr="007E1CF1">
          <w:rPr>
            <w:noProof/>
            <w:webHidden/>
            <w:szCs w:val="20"/>
          </w:rPr>
          <w:tab/>
        </w:r>
        <w:r w:rsidR="007E1CF1" w:rsidRPr="008865BD">
          <w:rPr>
            <w:b/>
            <w:noProof/>
            <w:webHidden/>
            <w:szCs w:val="20"/>
          </w:rPr>
          <w:fldChar w:fldCharType="begin"/>
        </w:r>
        <w:r w:rsidR="007E1CF1" w:rsidRPr="008865BD">
          <w:rPr>
            <w:b/>
            <w:noProof/>
            <w:webHidden/>
            <w:szCs w:val="20"/>
          </w:rPr>
          <w:instrText xml:space="preserve"> PAGEREF _Toc192568 \h </w:instrText>
        </w:r>
        <w:r w:rsidR="007E1CF1" w:rsidRPr="008865BD">
          <w:rPr>
            <w:b/>
            <w:noProof/>
            <w:webHidden/>
            <w:szCs w:val="20"/>
          </w:rPr>
        </w:r>
        <w:r w:rsidR="007E1CF1" w:rsidRPr="008865BD">
          <w:rPr>
            <w:b/>
            <w:noProof/>
            <w:webHidden/>
            <w:szCs w:val="20"/>
          </w:rPr>
          <w:fldChar w:fldCharType="separate"/>
        </w:r>
        <w:r w:rsidR="002D28B2">
          <w:rPr>
            <w:b/>
            <w:noProof/>
            <w:webHidden/>
            <w:szCs w:val="20"/>
          </w:rPr>
          <w:t>9</w:t>
        </w:r>
        <w:r w:rsidR="007E1CF1" w:rsidRPr="008865BD">
          <w:rPr>
            <w:b/>
            <w:noProof/>
            <w:webHidden/>
            <w:szCs w:val="20"/>
          </w:rPr>
          <w:fldChar w:fldCharType="end"/>
        </w:r>
      </w:hyperlink>
    </w:p>
    <w:p w14:paraId="75B75580"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69" w:history="1">
        <w:r w:rsidR="007E1CF1" w:rsidRPr="007E1CF1">
          <w:rPr>
            <w:rStyle w:val="Hyperlink"/>
            <w:b/>
            <w:noProof/>
            <w:szCs w:val="20"/>
          </w:rPr>
          <w:t>C.</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Segunda destitución del señor Colindres Schonenberg</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_Toc192569 \h </w:instrText>
        </w:r>
        <w:r w:rsidR="007E1CF1" w:rsidRPr="007E1CF1">
          <w:rPr>
            <w:noProof/>
            <w:webHidden/>
            <w:szCs w:val="20"/>
          </w:rPr>
        </w:r>
        <w:r w:rsidR="007E1CF1" w:rsidRPr="007E1CF1">
          <w:rPr>
            <w:noProof/>
            <w:webHidden/>
            <w:szCs w:val="20"/>
          </w:rPr>
          <w:fldChar w:fldCharType="separate"/>
        </w:r>
        <w:r w:rsidR="002D28B2">
          <w:rPr>
            <w:noProof/>
            <w:webHidden/>
            <w:szCs w:val="20"/>
          </w:rPr>
          <w:t>11</w:t>
        </w:r>
        <w:r w:rsidR="007E1CF1" w:rsidRPr="007E1CF1">
          <w:rPr>
            <w:noProof/>
            <w:webHidden/>
            <w:szCs w:val="20"/>
          </w:rPr>
          <w:fldChar w:fldCharType="end"/>
        </w:r>
      </w:hyperlink>
    </w:p>
    <w:p w14:paraId="15580524"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70" w:history="1">
        <w:r w:rsidR="007E1CF1" w:rsidRPr="007E1CF1">
          <w:rPr>
            <w:rStyle w:val="Hyperlink"/>
            <w:b/>
            <w:noProof/>
            <w:szCs w:val="20"/>
            <w:lang w:val="es-ES"/>
          </w:rPr>
          <w:t>D.</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Recursos interpuestos por el señor Colindres Schonenberg</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_Toc192570 \h </w:instrText>
        </w:r>
        <w:r w:rsidR="007E1CF1" w:rsidRPr="007E1CF1">
          <w:rPr>
            <w:noProof/>
            <w:webHidden/>
            <w:szCs w:val="20"/>
          </w:rPr>
        </w:r>
        <w:r w:rsidR="007E1CF1" w:rsidRPr="007E1CF1">
          <w:rPr>
            <w:noProof/>
            <w:webHidden/>
            <w:szCs w:val="20"/>
          </w:rPr>
          <w:fldChar w:fldCharType="separate"/>
        </w:r>
        <w:r w:rsidR="002D28B2">
          <w:rPr>
            <w:noProof/>
            <w:webHidden/>
            <w:szCs w:val="20"/>
          </w:rPr>
          <w:t>12</w:t>
        </w:r>
        <w:r w:rsidR="007E1CF1" w:rsidRPr="007E1CF1">
          <w:rPr>
            <w:noProof/>
            <w:webHidden/>
            <w:szCs w:val="20"/>
          </w:rPr>
          <w:fldChar w:fldCharType="end"/>
        </w:r>
      </w:hyperlink>
    </w:p>
    <w:p w14:paraId="6CC9F04C" w14:textId="77777777" w:rsidR="007E1CF1" w:rsidRPr="007E1CF1" w:rsidRDefault="00272A2F" w:rsidP="007E1CF1">
      <w:pPr>
        <w:pStyle w:val="TOC2"/>
        <w:spacing w:after="60"/>
        <w:rPr>
          <w:rFonts w:asciiTheme="minorHAnsi" w:eastAsiaTheme="minorEastAsia" w:hAnsiTheme="minorHAnsi" w:cstheme="minorBidi"/>
          <w:noProof/>
          <w:szCs w:val="20"/>
          <w:lang w:val="es-CR" w:eastAsia="es-CR"/>
        </w:rPr>
      </w:pPr>
      <w:hyperlink w:anchor="_Toc192571" w:history="1">
        <w:r w:rsidR="007E1CF1" w:rsidRPr="007E1CF1">
          <w:rPr>
            <w:rStyle w:val="Hyperlink"/>
            <w:b/>
            <w:noProof/>
            <w:szCs w:val="20"/>
          </w:rPr>
          <w:t>E.</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Demanda de daños y perjuicios respecto de la primera destitución</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_Toc192571 \h </w:instrText>
        </w:r>
        <w:r w:rsidR="007E1CF1" w:rsidRPr="007E1CF1">
          <w:rPr>
            <w:noProof/>
            <w:webHidden/>
            <w:szCs w:val="20"/>
          </w:rPr>
        </w:r>
        <w:r w:rsidR="007E1CF1" w:rsidRPr="007E1CF1">
          <w:rPr>
            <w:noProof/>
            <w:webHidden/>
            <w:szCs w:val="20"/>
          </w:rPr>
          <w:fldChar w:fldCharType="separate"/>
        </w:r>
        <w:r w:rsidR="002D28B2">
          <w:rPr>
            <w:noProof/>
            <w:webHidden/>
            <w:szCs w:val="20"/>
          </w:rPr>
          <w:t>15</w:t>
        </w:r>
        <w:r w:rsidR="007E1CF1" w:rsidRPr="007E1CF1">
          <w:rPr>
            <w:noProof/>
            <w:webHidden/>
            <w:szCs w:val="20"/>
          </w:rPr>
          <w:fldChar w:fldCharType="end"/>
        </w:r>
      </w:hyperlink>
    </w:p>
    <w:p w14:paraId="1A14729F" w14:textId="77777777" w:rsidR="007E1CF1" w:rsidRPr="007E1CF1" w:rsidRDefault="00272A2F" w:rsidP="007E1CF1">
      <w:pPr>
        <w:pStyle w:val="TOC1"/>
        <w:spacing w:before="0" w:after="60"/>
        <w:jc w:val="both"/>
        <w:rPr>
          <w:rFonts w:asciiTheme="minorHAnsi" w:eastAsiaTheme="minorEastAsia" w:hAnsiTheme="minorHAnsi" w:cstheme="minorBidi"/>
          <w:szCs w:val="20"/>
          <w:lang w:val="es-CR" w:eastAsia="es-CR"/>
        </w:rPr>
      </w:pPr>
      <w:hyperlink w:anchor="_Toc192572" w:history="1">
        <w:r w:rsidR="007E1CF1" w:rsidRPr="007E1CF1">
          <w:rPr>
            <w:rStyle w:val="Hyperlink"/>
            <w:szCs w:val="20"/>
          </w:rPr>
          <w:t>VI FONDO</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_Toc192572 \h </w:instrText>
        </w:r>
        <w:r w:rsidR="007E1CF1" w:rsidRPr="007E1CF1">
          <w:rPr>
            <w:webHidden/>
            <w:szCs w:val="20"/>
          </w:rPr>
        </w:r>
        <w:r w:rsidR="007E1CF1" w:rsidRPr="007E1CF1">
          <w:rPr>
            <w:webHidden/>
            <w:szCs w:val="20"/>
          </w:rPr>
          <w:fldChar w:fldCharType="separate"/>
        </w:r>
        <w:r w:rsidR="002D28B2">
          <w:rPr>
            <w:webHidden/>
            <w:szCs w:val="20"/>
          </w:rPr>
          <w:t>15</w:t>
        </w:r>
        <w:r w:rsidR="007E1CF1" w:rsidRPr="007E1CF1">
          <w:rPr>
            <w:webHidden/>
            <w:szCs w:val="20"/>
          </w:rPr>
          <w:fldChar w:fldCharType="end"/>
        </w:r>
      </w:hyperlink>
    </w:p>
    <w:p w14:paraId="1D7DFD87" w14:textId="77777777" w:rsidR="007E1CF1" w:rsidRPr="007E1CF1" w:rsidRDefault="00272A2F" w:rsidP="007E1CF1">
      <w:pPr>
        <w:pStyle w:val="TOC1"/>
        <w:spacing w:before="0" w:after="60"/>
        <w:jc w:val="both"/>
        <w:rPr>
          <w:rFonts w:asciiTheme="minorHAnsi" w:eastAsiaTheme="minorEastAsia" w:hAnsiTheme="minorHAnsi" w:cstheme="minorBidi"/>
          <w:szCs w:val="20"/>
          <w:lang w:val="es-CR" w:eastAsia="es-CR"/>
        </w:rPr>
      </w:pPr>
      <w:hyperlink w:anchor="_Toc192573" w:history="1">
        <w:r w:rsidR="007E1CF1" w:rsidRPr="007E1CF1">
          <w:rPr>
            <w:rStyle w:val="Hyperlink"/>
            <w:szCs w:val="20"/>
          </w:rPr>
          <w:t>VI-1 DERECHOS A LAS GARANTÍAS JUDICIALES, PROTECCIÓN JUDICIAL Y DERECHOS POLÍTICOS, EN RELACIÓN CON LA OBLIGACIÓN DE RESPETAR LOS DERECHOS Y EL DEBER DE ADOPTAR DISPOSICIONES DE DERECHO INTERNO</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_Toc192573 \h </w:instrText>
        </w:r>
        <w:r w:rsidR="007E1CF1" w:rsidRPr="007E1CF1">
          <w:rPr>
            <w:webHidden/>
            <w:szCs w:val="20"/>
          </w:rPr>
        </w:r>
        <w:r w:rsidR="007E1CF1" w:rsidRPr="007E1CF1">
          <w:rPr>
            <w:webHidden/>
            <w:szCs w:val="20"/>
          </w:rPr>
          <w:fldChar w:fldCharType="separate"/>
        </w:r>
        <w:r w:rsidR="002D28B2">
          <w:rPr>
            <w:webHidden/>
            <w:szCs w:val="20"/>
          </w:rPr>
          <w:t>16</w:t>
        </w:r>
        <w:r w:rsidR="007E1CF1" w:rsidRPr="007E1CF1">
          <w:rPr>
            <w:webHidden/>
            <w:szCs w:val="20"/>
          </w:rPr>
          <w:fldChar w:fldCharType="end"/>
        </w:r>
      </w:hyperlink>
    </w:p>
    <w:p w14:paraId="0573EDA0"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74" w:history="1">
        <w:r w:rsidR="007E1CF1" w:rsidRPr="007E1CF1">
          <w:rPr>
            <w:rStyle w:val="Hyperlink"/>
            <w:b/>
            <w:noProof/>
            <w:szCs w:val="20"/>
          </w:rPr>
          <w:t>A.</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Alegatos de la Comisión y de las partes</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_Toc192574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16</w:t>
        </w:r>
        <w:r w:rsidR="007E1CF1" w:rsidRPr="007E1CF1">
          <w:rPr>
            <w:b/>
            <w:noProof/>
            <w:webHidden/>
            <w:szCs w:val="20"/>
          </w:rPr>
          <w:fldChar w:fldCharType="end"/>
        </w:r>
      </w:hyperlink>
    </w:p>
    <w:p w14:paraId="4B6FD4D6"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75" w:history="1">
        <w:r w:rsidR="007E1CF1" w:rsidRPr="007E1CF1">
          <w:rPr>
            <w:rStyle w:val="Hyperlink"/>
            <w:b/>
            <w:noProof/>
            <w:szCs w:val="20"/>
          </w:rPr>
          <w:t>B.</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Consideraciones de la Corte</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_Toc192575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18</w:t>
        </w:r>
        <w:r w:rsidR="007E1CF1" w:rsidRPr="007E1CF1">
          <w:rPr>
            <w:b/>
            <w:noProof/>
            <w:webHidden/>
            <w:szCs w:val="20"/>
          </w:rPr>
          <w:fldChar w:fldCharType="end"/>
        </w:r>
      </w:hyperlink>
    </w:p>
    <w:p w14:paraId="1C44FB0C"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76" w:history="1">
        <w:r w:rsidR="007E1CF1" w:rsidRPr="007E1CF1">
          <w:rPr>
            <w:rStyle w:val="Hyperlink"/>
            <w:noProof/>
            <w:szCs w:val="20"/>
          </w:rPr>
          <w:t>B.1 Primera destitución del señor Colindres Schonenberg</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_Toc192576 \h </w:instrText>
        </w:r>
        <w:r w:rsidR="007E1CF1" w:rsidRPr="007E1CF1">
          <w:rPr>
            <w:noProof/>
            <w:webHidden/>
            <w:szCs w:val="20"/>
          </w:rPr>
        </w:r>
        <w:r w:rsidR="007E1CF1" w:rsidRPr="007E1CF1">
          <w:rPr>
            <w:noProof/>
            <w:webHidden/>
            <w:szCs w:val="20"/>
          </w:rPr>
          <w:fldChar w:fldCharType="separate"/>
        </w:r>
        <w:r w:rsidR="002D28B2">
          <w:rPr>
            <w:noProof/>
            <w:webHidden/>
            <w:szCs w:val="20"/>
          </w:rPr>
          <w:t>20</w:t>
        </w:r>
        <w:r w:rsidR="007E1CF1" w:rsidRPr="007E1CF1">
          <w:rPr>
            <w:noProof/>
            <w:webHidden/>
            <w:szCs w:val="20"/>
          </w:rPr>
          <w:fldChar w:fldCharType="end"/>
        </w:r>
      </w:hyperlink>
    </w:p>
    <w:p w14:paraId="1D5FC504"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77" w:history="1">
        <w:r w:rsidR="007E1CF1" w:rsidRPr="007E1CF1">
          <w:rPr>
            <w:rStyle w:val="Hyperlink"/>
            <w:noProof/>
            <w:szCs w:val="20"/>
          </w:rPr>
          <w:t>B.2 Segunda destitución del señor Colindres Schonenberg</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_Toc192577 \h </w:instrText>
        </w:r>
        <w:r w:rsidR="007E1CF1" w:rsidRPr="007E1CF1">
          <w:rPr>
            <w:noProof/>
            <w:webHidden/>
            <w:szCs w:val="20"/>
          </w:rPr>
        </w:r>
        <w:r w:rsidR="007E1CF1" w:rsidRPr="007E1CF1">
          <w:rPr>
            <w:noProof/>
            <w:webHidden/>
            <w:szCs w:val="20"/>
          </w:rPr>
          <w:fldChar w:fldCharType="separate"/>
        </w:r>
        <w:r w:rsidR="002D28B2">
          <w:rPr>
            <w:noProof/>
            <w:webHidden/>
            <w:szCs w:val="20"/>
          </w:rPr>
          <w:t>22</w:t>
        </w:r>
        <w:r w:rsidR="007E1CF1" w:rsidRPr="007E1CF1">
          <w:rPr>
            <w:noProof/>
            <w:webHidden/>
            <w:szCs w:val="20"/>
          </w:rPr>
          <w:fldChar w:fldCharType="end"/>
        </w:r>
      </w:hyperlink>
    </w:p>
    <w:p w14:paraId="7E15F321"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78" w:history="1">
        <w:r w:rsidR="007E1CF1" w:rsidRPr="007E1CF1">
          <w:rPr>
            <w:rStyle w:val="Hyperlink"/>
            <w:noProof/>
            <w:szCs w:val="20"/>
          </w:rPr>
          <w:t>B.2.a Incompetencia de la Asamblea Legislativa</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_Toc192578 \h </w:instrText>
        </w:r>
        <w:r w:rsidR="007E1CF1" w:rsidRPr="007E1CF1">
          <w:rPr>
            <w:noProof/>
            <w:webHidden/>
            <w:szCs w:val="20"/>
          </w:rPr>
        </w:r>
        <w:r w:rsidR="007E1CF1" w:rsidRPr="007E1CF1">
          <w:rPr>
            <w:noProof/>
            <w:webHidden/>
            <w:szCs w:val="20"/>
          </w:rPr>
          <w:fldChar w:fldCharType="separate"/>
        </w:r>
        <w:r w:rsidR="002D28B2">
          <w:rPr>
            <w:noProof/>
            <w:webHidden/>
            <w:szCs w:val="20"/>
          </w:rPr>
          <w:t>22</w:t>
        </w:r>
        <w:r w:rsidR="007E1CF1" w:rsidRPr="007E1CF1">
          <w:rPr>
            <w:noProof/>
            <w:webHidden/>
            <w:szCs w:val="20"/>
          </w:rPr>
          <w:fldChar w:fldCharType="end"/>
        </w:r>
      </w:hyperlink>
    </w:p>
    <w:p w14:paraId="2B1D4089"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79" w:history="1">
        <w:r w:rsidR="007E1CF1" w:rsidRPr="007E1CF1">
          <w:rPr>
            <w:rStyle w:val="Hyperlink"/>
            <w:noProof/>
            <w:szCs w:val="20"/>
          </w:rPr>
          <w:t>B.2.b Ausencia de un procedimiento previamente establecido</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_Toc192579 \h </w:instrText>
        </w:r>
        <w:r w:rsidR="007E1CF1" w:rsidRPr="007E1CF1">
          <w:rPr>
            <w:noProof/>
            <w:webHidden/>
            <w:szCs w:val="20"/>
          </w:rPr>
        </w:r>
        <w:r w:rsidR="007E1CF1" w:rsidRPr="007E1CF1">
          <w:rPr>
            <w:noProof/>
            <w:webHidden/>
            <w:szCs w:val="20"/>
          </w:rPr>
          <w:fldChar w:fldCharType="separate"/>
        </w:r>
        <w:r w:rsidR="002D28B2">
          <w:rPr>
            <w:noProof/>
            <w:webHidden/>
            <w:szCs w:val="20"/>
          </w:rPr>
          <w:t>23</w:t>
        </w:r>
        <w:r w:rsidR="007E1CF1" w:rsidRPr="007E1CF1">
          <w:rPr>
            <w:noProof/>
            <w:webHidden/>
            <w:szCs w:val="20"/>
          </w:rPr>
          <w:fldChar w:fldCharType="end"/>
        </w:r>
      </w:hyperlink>
    </w:p>
    <w:p w14:paraId="1C4191E0"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80" w:history="1">
        <w:r w:rsidR="007E1CF1" w:rsidRPr="007E1CF1">
          <w:rPr>
            <w:rStyle w:val="Hyperlink"/>
            <w:noProof/>
            <w:szCs w:val="20"/>
          </w:rPr>
          <w:t>B.2.c Otras violaciones alegadas respecto del debido proceso y el principio de legalidad</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_Toc192580 \h </w:instrText>
        </w:r>
        <w:r w:rsidR="007E1CF1" w:rsidRPr="007E1CF1">
          <w:rPr>
            <w:noProof/>
            <w:webHidden/>
            <w:szCs w:val="20"/>
          </w:rPr>
        </w:r>
        <w:r w:rsidR="007E1CF1" w:rsidRPr="007E1CF1">
          <w:rPr>
            <w:noProof/>
            <w:webHidden/>
            <w:szCs w:val="20"/>
          </w:rPr>
          <w:fldChar w:fldCharType="separate"/>
        </w:r>
        <w:r w:rsidR="002D28B2">
          <w:rPr>
            <w:noProof/>
            <w:webHidden/>
            <w:szCs w:val="20"/>
          </w:rPr>
          <w:t>24</w:t>
        </w:r>
        <w:r w:rsidR="007E1CF1" w:rsidRPr="007E1CF1">
          <w:rPr>
            <w:noProof/>
            <w:webHidden/>
            <w:szCs w:val="20"/>
          </w:rPr>
          <w:fldChar w:fldCharType="end"/>
        </w:r>
      </w:hyperlink>
    </w:p>
    <w:p w14:paraId="1A860A81"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81" w:history="1">
        <w:r w:rsidR="007E1CF1" w:rsidRPr="007E1CF1">
          <w:rPr>
            <w:rStyle w:val="Hyperlink"/>
            <w:noProof/>
            <w:szCs w:val="20"/>
          </w:rPr>
          <w:t>B.2.d Derecho a permanecer en el cargo en condiciones generales de igualdad</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_Toc192581 \h </w:instrText>
        </w:r>
        <w:r w:rsidR="007E1CF1" w:rsidRPr="007E1CF1">
          <w:rPr>
            <w:noProof/>
            <w:webHidden/>
            <w:szCs w:val="20"/>
          </w:rPr>
        </w:r>
        <w:r w:rsidR="007E1CF1" w:rsidRPr="007E1CF1">
          <w:rPr>
            <w:noProof/>
            <w:webHidden/>
            <w:szCs w:val="20"/>
          </w:rPr>
          <w:fldChar w:fldCharType="separate"/>
        </w:r>
        <w:r w:rsidR="002D28B2">
          <w:rPr>
            <w:noProof/>
            <w:webHidden/>
            <w:szCs w:val="20"/>
          </w:rPr>
          <w:t>24</w:t>
        </w:r>
        <w:r w:rsidR="007E1CF1" w:rsidRPr="007E1CF1">
          <w:rPr>
            <w:noProof/>
            <w:webHidden/>
            <w:szCs w:val="20"/>
          </w:rPr>
          <w:fldChar w:fldCharType="end"/>
        </w:r>
      </w:hyperlink>
    </w:p>
    <w:p w14:paraId="234DBF52"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82" w:history="1">
        <w:r w:rsidR="007E1CF1" w:rsidRPr="007E1CF1">
          <w:rPr>
            <w:rStyle w:val="Hyperlink"/>
            <w:noProof/>
            <w:szCs w:val="20"/>
          </w:rPr>
          <w:t>B.2.e Falta de adecuación del derecho interno</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_Toc192582 \h </w:instrText>
        </w:r>
        <w:r w:rsidR="007E1CF1" w:rsidRPr="007E1CF1">
          <w:rPr>
            <w:noProof/>
            <w:webHidden/>
            <w:szCs w:val="20"/>
          </w:rPr>
        </w:r>
        <w:r w:rsidR="007E1CF1" w:rsidRPr="007E1CF1">
          <w:rPr>
            <w:noProof/>
            <w:webHidden/>
            <w:szCs w:val="20"/>
          </w:rPr>
          <w:fldChar w:fldCharType="separate"/>
        </w:r>
        <w:r w:rsidR="002D28B2">
          <w:rPr>
            <w:noProof/>
            <w:webHidden/>
            <w:szCs w:val="20"/>
          </w:rPr>
          <w:t>25</w:t>
        </w:r>
        <w:r w:rsidR="007E1CF1" w:rsidRPr="007E1CF1">
          <w:rPr>
            <w:noProof/>
            <w:webHidden/>
            <w:szCs w:val="20"/>
          </w:rPr>
          <w:fldChar w:fldCharType="end"/>
        </w:r>
      </w:hyperlink>
    </w:p>
    <w:p w14:paraId="78B17910" w14:textId="77777777" w:rsidR="007E1CF1" w:rsidRPr="007E1CF1" w:rsidRDefault="00272A2F" w:rsidP="007E1CF1">
      <w:pPr>
        <w:pStyle w:val="TOC4"/>
        <w:tabs>
          <w:tab w:val="right" w:leader="dot" w:pos="9487"/>
        </w:tabs>
        <w:spacing w:after="60"/>
        <w:ind w:left="0"/>
        <w:rPr>
          <w:rFonts w:asciiTheme="minorHAnsi" w:eastAsiaTheme="minorEastAsia" w:hAnsiTheme="minorHAnsi" w:cstheme="minorBidi"/>
          <w:noProof/>
          <w:szCs w:val="20"/>
          <w:lang w:val="es-CR" w:eastAsia="es-CR"/>
        </w:rPr>
      </w:pPr>
      <w:hyperlink w:anchor="_Toc192583" w:history="1">
        <w:r w:rsidR="007E1CF1" w:rsidRPr="007E1CF1">
          <w:rPr>
            <w:rStyle w:val="Hyperlink"/>
            <w:noProof/>
            <w:szCs w:val="20"/>
          </w:rPr>
          <w:t>B.2.f Conclusión respecto a la destitución del señor Colindres Schonenberg</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_Toc192583 \h </w:instrText>
        </w:r>
        <w:r w:rsidR="007E1CF1" w:rsidRPr="007E1CF1">
          <w:rPr>
            <w:noProof/>
            <w:webHidden/>
            <w:szCs w:val="20"/>
          </w:rPr>
        </w:r>
        <w:r w:rsidR="007E1CF1" w:rsidRPr="007E1CF1">
          <w:rPr>
            <w:noProof/>
            <w:webHidden/>
            <w:szCs w:val="20"/>
          </w:rPr>
          <w:fldChar w:fldCharType="separate"/>
        </w:r>
        <w:r w:rsidR="002D28B2">
          <w:rPr>
            <w:noProof/>
            <w:webHidden/>
            <w:szCs w:val="20"/>
          </w:rPr>
          <w:t>26</w:t>
        </w:r>
        <w:r w:rsidR="007E1CF1" w:rsidRPr="007E1CF1">
          <w:rPr>
            <w:noProof/>
            <w:webHidden/>
            <w:szCs w:val="20"/>
          </w:rPr>
          <w:fldChar w:fldCharType="end"/>
        </w:r>
      </w:hyperlink>
    </w:p>
    <w:p w14:paraId="4B7E5791"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84" w:history="1">
        <w:r w:rsidR="007E1CF1" w:rsidRPr="007E1CF1">
          <w:rPr>
            <w:rStyle w:val="Hyperlink"/>
            <w:noProof/>
            <w:szCs w:val="20"/>
          </w:rPr>
          <w:t>B.3</w:t>
        </w:r>
        <w:r w:rsidR="007E1CF1" w:rsidRPr="007E1CF1">
          <w:rPr>
            <w:rStyle w:val="Hyperlink"/>
            <w:rFonts w:eastAsia="Times New Roman" w:cs="Georgia"/>
            <w:noProof/>
            <w:szCs w:val="20"/>
          </w:rPr>
          <w:t xml:space="preserve"> </w:t>
        </w:r>
        <w:r w:rsidR="007E1CF1" w:rsidRPr="007E1CF1">
          <w:rPr>
            <w:rStyle w:val="Hyperlink"/>
            <w:noProof/>
            <w:szCs w:val="20"/>
          </w:rPr>
          <w:t>Derecho a la protección judicial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_Toc192584 \h </w:instrText>
        </w:r>
        <w:r w:rsidR="007E1CF1" w:rsidRPr="007E1CF1">
          <w:rPr>
            <w:noProof/>
            <w:webHidden/>
            <w:szCs w:val="20"/>
          </w:rPr>
        </w:r>
        <w:r w:rsidR="007E1CF1" w:rsidRPr="007E1CF1">
          <w:rPr>
            <w:noProof/>
            <w:webHidden/>
            <w:szCs w:val="20"/>
          </w:rPr>
          <w:fldChar w:fldCharType="separate"/>
        </w:r>
        <w:r w:rsidR="002D28B2">
          <w:rPr>
            <w:noProof/>
            <w:webHidden/>
            <w:szCs w:val="20"/>
          </w:rPr>
          <w:t>26</w:t>
        </w:r>
        <w:r w:rsidR="007E1CF1" w:rsidRPr="007E1CF1">
          <w:rPr>
            <w:noProof/>
            <w:webHidden/>
            <w:szCs w:val="20"/>
          </w:rPr>
          <w:fldChar w:fldCharType="end"/>
        </w:r>
      </w:hyperlink>
    </w:p>
    <w:p w14:paraId="48F24026"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85" w:history="1">
        <w:r w:rsidR="007E1CF1" w:rsidRPr="007E1CF1">
          <w:rPr>
            <w:rStyle w:val="Hyperlink"/>
            <w:noProof/>
            <w:szCs w:val="20"/>
          </w:rPr>
          <w:t>B.4 Plazo razonable respecto de la demanda civil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_Toc192585 \h </w:instrText>
        </w:r>
        <w:r w:rsidR="007E1CF1" w:rsidRPr="007E1CF1">
          <w:rPr>
            <w:noProof/>
            <w:webHidden/>
            <w:szCs w:val="20"/>
          </w:rPr>
        </w:r>
        <w:r w:rsidR="007E1CF1" w:rsidRPr="007E1CF1">
          <w:rPr>
            <w:noProof/>
            <w:webHidden/>
            <w:szCs w:val="20"/>
          </w:rPr>
          <w:fldChar w:fldCharType="separate"/>
        </w:r>
        <w:r w:rsidR="002D28B2">
          <w:rPr>
            <w:noProof/>
            <w:webHidden/>
            <w:szCs w:val="20"/>
          </w:rPr>
          <w:t>29</w:t>
        </w:r>
        <w:r w:rsidR="007E1CF1" w:rsidRPr="007E1CF1">
          <w:rPr>
            <w:noProof/>
            <w:webHidden/>
            <w:szCs w:val="20"/>
          </w:rPr>
          <w:fldChar w:fldCharType="end"/>
        </w:r>
      </w:hyperlink>
    </w:p>
    <w:p w14:paraId="1093CFEB" w14:textId="77777777" w:rsidR="007E1CF1" w:rsidRPr="007E1CF1" w:rsidRDefault="00272A2F" w:rsidP="007E1CF1">
      <w:pPr>
        <w:pStyle w:val="TOC1"/>
        <w:spacing w:before="0" w:after="60"/>
        <w:rPr>
          <w:rFonts w:asciiTheme="minorHAnsi" w:eastAsiaTheme="minorEastAsia" w:hAnsiTheme="minorHAnsi" w:cstheme="minorBidi"/>
          <w:szCs w:val="20"/>
          <w:lang w:val="es-CR" w:eastAsia="es-CR"/>
        </w:rPr>
      </w:pPr>
      <w:hyperlink w:anchor="_Toc192586" w:history="1">
        <w:r w:rsidR="007E1CF1" w:rsidRPr="007E1CF1">
          <w:rPr>
            <w:rStyle w:val="Hyperlink"/>
            <w:szCs w:val="20"/>
          </w:rPr>
          <w:t xml:space="preserve">VII </w:t>
        </w:r>
        <w:r w:rsidR="007E1CF1" w:rsidRPr="007E1CF1">
          <w:rPr>
            <w:rStyle w:val="Hyperlink"/>
            <w:rFonts w:eastAsiaTheme="minorHAnsi"/>
            <w:spacing w:val="-4"/>
            <w:szCs w:val="20"/>
            <w:lang w:val="es-ES_tradnl"/>
          </w:rPr>
          <w:t xml:space="preserve">REPARACIONES </w:t>
        </w:r>
        <w:r w:rsidR="007E1CF1" w:rsidRPr="007E1CF1">
          <w:rPr>
            <w:rStyle w:val="Hyperlink"/>
            <w:szCs w:val="20"/>
            <w:lang w:val="es-ES_tradnl"/>
          </w:rPr>
          <w:t>(Aplicación del artículo 63.1 de la Convención Americana)</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_Toc192586 \h </w:instrText>
        </w:r>
        <w:r w:rsidR="007E1CF1" w:rsidRPr="007E1CF1">
          <w:rPr>
            <w:webHidden/>
            <w:szCs w:val="20"/>
          </w:rPr>
        </w:r>
        <w:r w:rsidR="007E1CF1" w:rsidRPr="007E1CF1">
          <w:rPr>
            <w:webHidden/>
            <w:szCs w:val="20"/>
          </w:rPr>
          <w:fldChar w:fldCharType="separate"/>
        </w:r>
        <w:r w:rsidR="002D28B2">
          <w:rPr>
            <w:webHidden/>
            <w:szCs w:val="20"/>
          </w:rPr>
          <w:t>30</w:t>
        </w:r>
        <w:r w:rsidR="007E1CF1" w:rsidRPr="007E1CF1">
          <w:rPr>
            <w:webHidden/>
            <w:szCs w:val="20"/>
          </w:rPr>
          <w:fldChar w:fldCharType="end"/>
        </w:r>
      </w:hyperlink>
    </w:p>
    <w:p w14:paraId="119C233F"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87" w:history="1">
        <w:r w:rsidR="007E1CF1" w:rsidRPr="007E1CF1">
          <w:rPr>
            <w:rStyle w:val="Hyperlink"/>
            <w:rFonts w:eastAsiaTheme="minorHAnsi"/>
            <w:b/>
            <w:noProof/>
            <w:szCs w:val="20"/>
          </w:rPr>
          <w:t>A.</w:t>
        </w:r>
        <w:r w:rsidR="007E1CF1" w:rsidRPr="007E1CF1">
          <w:rPr>
            <w:rFonts w:asciiTheme="minorHAnsi" w:eastAsiaTheme="minorEastAsia" w:hAnsiTheme="minorHAnsi" w:cstheme="minorBidi"/>
            <w:b/>
            <w:noProof/>
            <w:szCs w:val="20"/>
            <w:lang w:val="es-CR" w:eastAsia="es-CR"/>
          </w:rPr>
          <w:tab/>
        </w:r>
        <w:r w:rsidR="007E1CF1" w:rsidRPr="007E1CF1">
          <w:rPr>
            <w:rStyle w:val="Hyperlink"/>
            <w:rFonts w:eastAsiaTheme="minorHAnsi"/>
            <w:b/>
            <w:noProof/>
            <w:szCs w:val="20"/>
          </w:rPr>
          <w:t>Parte Lesionada</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_Toc192587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31</w:t>
        </w:r>
        <w:r w:rsidR="007E1CF1" w:rsidRPr="007E1CF1">
          <w:rPr>
            <w:b/>
            <w:noProof/>
            <w:webHidden/>
            <w:szCs w:val="20"/>
          </w:rPr>
          <w:fldChar w:fldCharType="end"/>
        </w:r>
      </w:hyperlink>
    </w:p>
    <w:p w14:paraId="2E00D632"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88" w:history="1">
        <w:r w:rsidR="007E1CF1" w:rsidRPr="007E1CF1">
          <w:rPr>
            <w:rStyle w:val="Hyperlink"/>
            <w:b/>
            <w:noProof/>
            <w:szCs w:val="20"/>
          </w:rPr>
          <w:t>B.</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Medidas de satisfacción</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_Toc192588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31</w:t>
        </w:r>
        <w:r w:rsidR="007E1CF1" w:rsidRPr="007E1CF1">
          <w:rPr>
            <w:b/>
            <w:noProof/>
            <w:webHidden/>
            <w:szCs w:val="20"/>
          </w:rPr>
          <w:fldChar w:fldCharType="end"/>
        </w:r>
      </w:hyperlink>
    </w:p>
    <w:p w14:paraId="7125F961"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89" w:history="1">
        <w:r w:rsidR="007E1CF1" w:rsidRPr="007E1CF1">
          <w:rPr>
            <w:rStyle w:val="Hyperlink"/>
            <w:b/>
            <w:noProof/>
            <w:szCs w:val="20"/>
          </w:rPr>
          <w:t>C.</w:t>
        </w:r>
        <w:r w:rsidR="007E1CF1" w:rsidRPr="007E1CF1">
          <w:rPr>
            <w:rFonts w:asciiTheme="minorHAnsi" w:eastAsiaTheme="minorEastAsia" w:hAnsiTheme="minorHAnsi" w:cstheme="minorBidi"/>
            <w:b/>
            <w:noProof/>
            <w:szCs w:val="20"/>
            <w:lang w:val="es-CR" w:eastAsia="es-CR"/>
          </w:rPr>
          <w:tab/>
        </w:r>
        <w:r w:rsidR="007E1CF1" w:rsidRPr="007E1CF1">
          <w:rPr>
            <w:rStyle w:val="Hyperlink"/>
            <w:b/>
            <w:noProof/>
            <w:szCs w:val="20"/>
          </w:rPr>
          <w:t>Garantía de no repetición</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_Toc192589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31</w:t>
        </w:r>
        <w:r w:rsidR="007E1CF1" w:rsidRPr="007E1CF1">
          <w:rPr>
            <w:b/>
            <w:noProof/>
            <w:webHidden/>
            <w:szCs w:val="20"/>
          </w:rPr>
          <w:fldChar w:fldCharType="end"/>
        </w:r>
      </w:hyperlink>
    </w:p>
    <w:p w14:paraId="58DCE770"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90" w:history="1">
        <w:r w:rsidR="007E1CF1" w:rsidRPr="007E1CF1">
          <w:rPr>
            <w:rStyle w:val="Hyperlink"/>
            <w:rFonts w:eastAsiaTheme="minorHAnsi"/>
            <w:b/>
            <w:noProof/>
            <w:szCs w:val="20"/>
          </w:rPr>
          <w:t>D.</w:t>
        </w:r>
        <w:r w:rsidR="007E1CF1" w:rsidRPr="007E1CF1">
          <w:rPr>
            <w:rFonts w:asciiTheme="minorHAnsi" w:eastAsiaTheme="minorEastAsia" w:hAnsiTheme="minorHAnsi" w:cstheme="minorBidi"/>
            <w:b/>
            <w:noProof/>
            <w:szCs w:val="20"/>
            <w:lang w:val="es-CR" w:eastAsia="es-CR"/>
          </w:rPr>
          <w:tab/>
        </w:r>
        <w:r w:rsidR="007E1CF1" w:rsidRPr="007E1CF1">
          <w:rPr>
            <w:rStyle w:val="Hyperlink"/>
            <w:rFonts w:eastAsiaTheme="minorHAnsi"/>
            <w:b/>
            <w:noProof/>
            <w:szCs w:val="20"/>
          </w:rPr>
          <w:t>Otras medidas solicitadas</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_Toc192590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32</w:t>
        </w:r>
        <w:r w:rsidR="007E1CF1" w:rsidRPr="007E1CF1">
          <w:rPr>
            <w:b/>
            <w:noProof/>
            <w:webHidden/>
            <w:szCs w:val="20"/>
          </w:rPr>
          <w:fldChar w:fldCharType="end"/>
        </w:r>
      </w:hyperlink>
    </w:p>
    <w:p w14:paraId="2DA78E6D"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91" w:history="1">
        <w:r w:rsidR="007E1CF1" w:rsidRPr="007E1CF1">
          <w:rPr>
            <w:rStyle w:val="Hyperlink"/>
            <w:rFonts w:eastAsiaTheme="minorHAnsi"/>
            <w:b/>
            <w:noProof/>
            <w:szCs w:val="20"/>
          </w:rPr>
          <w:t>E.</w:t>
        </w:r>
        <w:r w:rsidR="007E1CF1" w:rsidRPr="007E1CF1">
          <w:rPr>
            <w:rFonts w:asciiTheme="minorHAnsi" w:eastAsiaTheme="minorEastAsia" w:hAnsiTheme="minorHAnsi" w:cstheme="minorBidi"/>
            <w:b/>
            <w:noProof/>
            <w:szCs w:val="20"/>
            <w:lang w:val="es-CR" w:eastAsia="es-CR"/>
          </w:rPr>
          <w:tab/>
        </w:r>
        <w:r w:rsidR="007E1CF1" w:rsidRPr="007E1CF1">
          <w:rPr>
            <w:rStyle w:val="Hyperlink"/>
            <w:rFonts w:eastAsiaTheme="minorHAnsi"/>
            <w:b/>
            <w:noProof/>
            <w:szCs w:val="20"/>
          </w:rPr>
          <w:t>Indemnizaciones compensatorias</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_Toc192591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33</w:t>
        </w:r>
        <w:r w:rsidR="007E1CF1" w:rsidRPr="007E1CF1">
          <w:rPr>
            <w:b/>
            <w:noProof/>
            <w:webHidden/>
            <w:szCs w:val="20"/>
          </w:rPr>
          <w:fldChar w:fldCharType="end"/>
        </w:r>
      </w:hyperlink>
    </w:p>
    <w:p w14:paraId="100FC42B"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92" w:history="1">
        <w:r w:rsidR="007E1CF1" w:rsidRPr="007E1CF1">
          <w:rPr>
            <w:rStyle w:val="Hyperlink"/>
            <w:rFonts w:eastAsiaTheme="minorHAnsi"/>
            <w:noProof/>
            <w:szCs w:val="20"/>
            <w:lang w:eastAsia="es-MX"/>
          </w:rPr>
          <w:t>E.1 Daño material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_Toc192592 \h </w:instrText>
        </w:r>
        <w:r w:rsidR="007E1CF1" w:rsidRPr="007E1CF1">
          <w:rPr>
            <w:noProof/>
            <w:webHidden/>
            <w:szCs w:val="20"/>
          </w:rPr>
        </w:r>
        <w:r w:rsidR="007E1CF1" w:rsidRPr="007E1CF1">
          <w:rPr>
            <w:noProof/>
            <w:webHidden/>
            <w:szCs w:val="20"/>
          </w:rPr>
          <w:fldChar w:fldCharType="separate"/>
        </w:r>
        <w:r w:rsidR="002D28B2">
          <w:rPr>
            <w:noProof/>
            <w:webHidden/>
            <w:szCs w:val="20"/>
          </w:rPr>
          <w:t>33</w:t>
        </w:r>
        <w:r w:rsidR="007E1CF1" w:rsidRPr="007E1CF1">
          <w:rPr>
            <w:noProof/>
            <w:webHidden/>
            <w:szCs w:val="20"/>
          </w:rPr>
          <w:fldChar w:fldCharType="end"/>
        </w:r>
      </w:hyperlink>
    </w:p>
    <w:p w14:paraId="47E54D8F" w14:textId="77777777" w:rsidR="007E1CF1" w:rsidRPr="007E1CF1" w:rsidRDefault="00272A2F" w:rsidP="007E1CF1">
      <w:pPr>
        <w:pStyle w:val="TOC3"/>
        <w:tabs>
          <w:tab w:val="right" w:leader="dot" w:pos="9487"/>
        </w:tabs>
        <w:spacing w:after="60"/>
        <w:ind w:left="0"/>
        <w:rPr>
          <w:rFonts w:asciiTheme="minorHAnsi" w:eastAsiaTheme="minorEastAsia" w:hAnsiTheme="minorHAnsi" w:cstheme="minorBidi"/>
          <w:noProof/>
          <w:szCs w:val="20"/>
          <w:lang w:val="es-CR" w:eastAsia="es-CR"/>
        </w:rPr>
      </w:pPr>
      <w:hyperlink w:anchor="_Toc192593" w:history="1">
        <w:r w:rsidR="007E1CF1" w:rsidRPr="007E1CF1">
          <w:rPr>
            <w:rStyle w:val="Hyperlink"/>
            <w:rFonts w:eastAsiaTheme="minorHAnsi"/>
            <w:noProof/>
            <w:szCs w:val="20"/>
            <w:lang w:eastAsia="es-MX"/>
          </w:rPr>
          <w:t>E.2 Daño inmaterial</w:t>
        </w:r>
        <w:r w:rsidR="007E1CF1" w:rsidRPr="007E1CF1">
          <w:rPr>
            <w:noProof/>
            <w:webHidden/>
            <w:szCs w:val="20"/>
          </w:rPr>
          <w:tab/>
        </w:r>
        <w:r w:rsidR="007E1CF1" w:rsidRPr="007E1CF1">
          <w:rPr>
            <w:noProof/>
            <w:webHidden/>
            <w:szCs w:val="20"/>
          </w:rPr>
          <w:fldChar w:fldCharType="begin"/>
        </w:r>
        <w:r w:rsidR="007E1CF1" w:rsidRPr="007E1CF1">
          <w:rPr>
            <w:noProof/>
            <w:webHidden/>
            <w:szCs w:val="20"/>
          </w:rPr>
          <w:instrText xml:space="preserve"> PAGEREF _Toc192593 \h </w:instrText>
        </w:r>
        <w:r w:rsidR="007E1CF1" w:rsidRPr="007E1CF1">
          <w:rPr>
            <w:noProof/>
            <w:webHidden/>
            <w:szCs w:val="20"/>
          </w:rPr>
        </w:r>
        <w:r w:rsidR="007E1CF1" w:rsidRPr="007E1CF1">
          <w:rPr>
            <w:noProof/>
            <w:webHidden/>
            <w:szCs w:val="20"/>
          </w:rPr>
          <w:fldChar w:fldCharType="separate"/>
        </w:r>
        <w:r w:rsidR="002D28B2">
          <w:rPr>
            <w:noProof/>
            <w:webHidden/>
            <w:szCs w:val="20"/>
          </w:rPr>
          <w:t>34</w:t>
        </w:r>
        <w:r w:rsidR="007E1CF1" w:rsidRPr="007E1CF1">
          <w:rPr>
            <w:noProof/>
            <w:webHidden/>
            <w:szCs w:val="20"/>
          </w:rPr>
          <w:fldChar w:fldCharType="end"/>
        </w:r>
      </w:hyperlink>
    </w:p>
    <w:p w14:paraId="42DD39AC"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94" w:history="1">
        <w:r w:rsidR="007E1CF1" w:rsidRPr="007E1CF1">
          <w:rPr>
            <w:rStyle w:val="Hyperlink"/>
            <w:rFonts w:eastAsiaTheme="minorHAnsi"/>
            <w:b/>
            <w:noProof/>
            <w:szCs w:val="20"/>
          </w:rPr>
          <w:t>F.</w:t>
        </w:r>
        <w:r w:rsidR="007E1CF1" w:rsidRPr="007E1CF1">
          <w:rPr>
            <w:rFonts w:asciiTheme="minorHAnsi" w:eastAsiaTheme="minorEastAsia" w:hAnsiTheme="minorHAnsi" w:cstheme="minorBidi"/>
            <w:b/>
            <w:noProof/>
            <w:szCs w:val="20"/>
            <w:lang w:val="es-CR" w:eastAsia="es-CR"/>
          </w:rPr>
          <w:tab/>
        </w:r>
        <w:r w:rsidR="007E1CF1" w:rsidRPr="007E1CF1">
          <w:rPr>
            <w:rStyle w:val="Hyperlink"/>
            <w:rFonts w:eastAsiaTheme="minorHAnsi"/>
            <w:b/>
            <w:noProof/>
            <w:szCs w:val="20"/>
          </w:rPr>
          <w:t>Costas y gastos</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_Toc192594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35</w:t>
        </w:r>
        <w:r w:rsidR="007E1CF1" w:rsidRPr="007E1CF1">
          <w:rPr>
            <w:b/>
            <w:noProof/>
            <w:webHidden/>
            <w:szCs w:val="20"/>
          </w:rPr>
          <w:fldChar w:fldCharType="end"/>
        </w:r>
      </w:hyperlink>
    </w:p>
    <w:p w14:paraId="3BFA4357" w14:textId="77777777" w:rsidR="007E1CF1" w:rsidRPr="007E1CF1" w:rsidRDefault="00272A2F" w:rsidP="007E1CF1">
      <w:pPr>
        <w:pStyle w:val="TOC2"/>
        <w:spacing w:after="60"/>
        <w:rPr>
          <w:rFonts w:asciiTheme="minorHAnsi" w:eastAsiaTheme="minorEastAsia" w:hAnsiTheme="minorHAnsi" w:cstheme="minorBidi"/>
          <w:b/>
          <w:noProof/>
          <w:szCs w:val="20"/>
          <w:lang w:val="es-CR" w:eastAsia="es-CR"/>
        </w:rPr>
      </w:pPr>
      <w:hyperlink w:anchor="_Toc192595" w:history="1">
        <w:r w:rsidR="007E1CF1" w:rsidRPr="007E1CF1">
          <w:rPr>
            <w:rStyle w:val="Hyperlink"/>
            <w:rFonts w:eastAsiaTheme="minorHAnsi"/>
            <w:b/>
            <w:noProof/>
            <w:szCs w:val="20"/>
          </w:rPr>
          <w:t>G.</w:t>
        </w:r>
        <w:r w:rsidR="007E1CF1" w:rsidRPr="007E1CF1">
          <w:rPr>
            <w:rFonts w:asciiTheme="minorHAnsi" w:eastAsiaTheme="minorEastAsia" w:hAnsiTheme="minorHAnsi" w:cstheme="minorBidi"/>
            <w:b/>
            <w:noProof/>
            <w:szCs w:val="20"/>
            <w:lang w:val="es-CR" w:eastAsia="es-CR"/>
          </w:rPr>
          <w:tab/>
        </w:r>
        <w:r w:rsidR="007E1CF1" w:rsidRPr="007E1CF1">
          <w:rPr>
            <w:rStyle w:val="Hyperlink"/>
            <w:rFonts w:eastAsiaTheme="minorHAnsi"/>
            <w:b/>
            <w:noProof/>
            <w:szCs w:val="20"/>
          </w:rPr>
          <w:t>Modalidad de cumplimiento de los pagos ordenados</w:t>
        </w:r>
        <w:r w:rsidR="007E1CF1" w:rsidRPr="007E1CF1">
          <w:rPr>
            <w:b/>
            <w:noProof/>
            <w:webHidden/>
            <w:szCs w:val="20"/>
          </w:rPr>
          <w:tab/>
        </w:r>
        <w:r w:rsidR="007E1CF1" w:rsidRPr="007E1CF1">
          <w:rPr>
            <w:b/>
            <w:noProof/>
            <w:webHidden/>
            <w:szCs w:val="20"/>
          </w:rPr>
          <w:fldChar w:fldCharType="begin"/>
        </w:r>
        <w:r w:rsidR="007E1CF1" w:rsidRPr="007E1CF1">
          <w:rPr>
            <w:b/>
            <w:noProof/>
            <w:webHidden/>
            <w:szCs w:val="20"/>
          </w:rPr>
          <w:instrText xml:space="preserve"> PAGEREF _Toc192595 \h </w:instrText>
        </w:r>
        <w:r w:rsidR="007E1CF1" w:rsidRPr="007E1CF1">
          <w:rPr>
            <w:b/>
            <w:noProof/>
            <w:webHidden/>
            <w:szCs w:val="20"/>
          </w:rPr>
        </w:r>
        <w:r w:rsidR="007E1CF1" w:rsidRPr="007E1CF1">
          <w:rPr>
            <w:b/>
            <w:noProof/>
            <w:webHidden/>
            <w:szCs w:val="20"/>
          </w:rPr>
          <w:fldChar w:fldCharType="separate"/>
        </w:r>
        <w:r w:rsidR="002D28B2">
          <w:rPr>
            <w:b/>
            <w:noProof/>
            <w:webHidden/>
            <w:szCs w:val="20"/>
          </w:rPr>
          <w:t>35</w:t>
        </w:r>
        <w:r w:rsidR="007E1CF1" w:rsidRPr="007E1CF1">
          <w:rPr>
            <w:b/>
            <w:noProof/>
            <w:webHidden/>
            <w:szCs w:val="20"/>
          </w:rPr>
          <w:fldChar w:fldCharType="end"/>
        </w:r>
      </w:hyperlink>
    </w:p>
    <w:p w14:paraId="0AF641DE" w14:textId="77777777" w:rsidR="007E1CF1" w:rsidRPr="007E1CF1" w:rsidRDefault="00272A2F" w:rsidP="007E1CF1">
      <w:pPr>
        <w:pStyle w:val="TOC1"/>
        <w:spacing w:before="0" w:after="60"/>
        <w:rPr>
          <w:rFonts w:asciiTheme="minorHAnsi" w:eastAsiaTheme="minorEastAsia" w:hAnsiTheme="minorHAnsi" w:cstheme="minorBidi"/>
          <w:sz w:val="18"/>
          <w:szCs w:val="18"/>
          <w:lang w:val="es-CR" w:eastAsia="es-CR"/>
        </w:rPr>
      </w:pPr>
      <w:hyperlink w:anchor="_Toc192596" w:history="1">
        <w:r w:rsidR="007E1CF1" w:rsidRPr="007E1CF1">
          <w:rPr>
            <w:rStyle w:val="Hyperlink"/>
            <w:rFonts w:cs="Verdana"/>
            <w:bCs/>
            <w:caps/>
            <w:snapToGrid w:val="0"/>
            <w:szCs w:val="20"/>
          </w:rPr>
          <w:t>VIII PUNTOS RESOLUTIVOS</w:t>
        </w:r>
        <w:r w:rsidR="007E1CF1" w:rsidRPr="007E1CF1">
          <w:rPr>
            <w:webHidden/>
            <w:szCs w:val="20"/>
          </w:rPr>
          <w:tab/>
        </w:r>
        <w:r w:rsidR="007E1CF1" w:rsidRPr="007E1CF1">
          <w:rPr>
            <w:webHidden/>
            <w:szCs w:val="20"/>
          </w:rPr>
          <w:fldChar w:fldCharType="begin"/>
        </w:r>
        <w:r w:rsidR="007E1CF1" w:rsidRPr="007E1CF1">
          <w:rPr>
            <w:webHidden/>
            <w:szCs w:val="20"/>
          </w:rPr>
          <w:instrText xml:space="preserve"> PAGEREF _Toc192596 \h </w:instrText>
        </w:r>
        <w:r w:rsidR="007E1CF1" w:rsidRPr="007E1CF1">
          <w:rPr>
            <w:webHidden/>
            <w:szCs w:val="20"/>
          </w:rPr>
        </w:r>
        <w:r w:rsidR="007E1CF1" w:rsidRPr="007E1CF1">
          <w:rPr>
            <w:webHidden/>
            <w:szCs w:val="20"/>
          </w:rPr>
          <w:fldChar w:fldCharType="separate"/>
        </w:r>
        <w:r w:rsidR="002D28B2">
          <w:rPr>
            <w:webHidden/>
            <w:szCs w:val="20"/>
          </w:rPr>
          <w:t>36</w:t>
        </w:r>
        <w:r w:rsidR="007E1CF1" w:rsidRPr="007E1CF1">
          <w:rPr>
            <w:webHidden/>
            <w:szCs w:val="20"/>
          </w:rPr>
          <w:fldChar w:fldCharType="end"/>
        </w:r>
      </w:hyperlink>
    </w:p>
    <w:p w14:paraId="59719521" w14:textId="2A973B32" w:rsidR="00C70BB1" w:rsidRPr="00C70BB1" w:rsidRDefault="007F7EC7" w:rsidP="007E1CF1">
      <w:pPr>
        <w:pStyle w:val="Title"/>
        <w:spacing w:line="360" w:lineRule="auto"/>
        <w:jc w:val="left"/>
        <w:outlineLvl w:val="9"/>
      </w:pPr>
      <w:r w:rsidRPr="007E1CF1">
        <w:rPr>
          <w:sz w:val="18"/>
          <w:szCs w:val="18"/>
        </w:rPr>
        <w:fldChar w:fldCharType="end"/>
      </w:r>
    </w:p>
    <w:p w14:paraId="02355BE8" w14:textId="645B2B58" w:rsidR="004B6D86" w:rsidRPr="00E85AD0" w:rsidRDefault="004B6D86" w:rsidP="00083001">
      <w:pPr>
        <w:pStyle w:val="Title"/>
      </w:pPr>
      <w:bookmarkStart w:id="37" w:name="_Toc192560"/>
      <w:r w:rsidRPr="00E85AD0">
        <w:lastRenderedPageBreak/>
        <w:t>I</w:t>
      </w:r>
      <w:r w:rsidR="00083001" w:rsidRPr="00E85AD0">
        <w:br/>
      </w:r>
      <w:r w:rsidRPr="00E85AD0">
        <w:t>INTRODUCCIÓN DE LA CAUSA Y OBJETO DE LA CONTROVERSIA</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4138E79" w14:textId="77777777" w:rsidR="004B6D86" w:rsidRPr="00E85AD0" w:rsidRDefault="004B6D86" w:rsidP="004B6D86">
      <w:pPr>
        <w:pStyle w:val="NoSpacing"/>
        <w:tabs>
          <w:tab w:val="left" w:pos="567"/>
        </w:tabs>
        <w:rPr>
          <w:rFonts w:ascii="Verdana" w:hAnsi="Verdana"/>
          <w:sz w:val="20"/>
          <w:szCs w:val="20"/>
          <w:lang w:val="es-CR"/>
        </w:rPr>
      </w:pPr>
    </w:p>
    <w:p w14:paraId="0D4DA4D5" w14:textId="5A11DB62" w:rsidR="004B6D86" w:rsidRPr="00E85AD0" w:rsidRDefault="004B6D86" w:rsidP="004B6D86">
      <w:pPr>
        <w:pStyle w:val="PrrafodeSentencia"/>
        <w:rPr>
          <w:rFonts w:cs="Arial"/>
          <w:b/>
          <w:color w:val="111111"/>
          <w:spacing w:val="0"/>
          <w:szCs w:val="20"/>
        </w:rPr>
      </w:pPr>
      <w:bookmarkStart w:id="38" w:name="_Ref464815030"/>
      <w:bookmarkStart w:id="39" w:name="_Ref419215582"/>
      <w:bookmarkStart w:id="40" w:name="_Ref308343890"/>
      <w:bookmarkStart w:id="41" w:name="_Ref314691210"/>
      <w:bookmarkStart w:id="42" w:name="_Ref343554304"/>
      <w:r w:rsidRPr="00E85AD0">
        <w:rPr>
          <w:i/>
          <w:spacing w:val="0"/>
          <w:szCs w:val="20"/>
        </w:rPr>
        <w:t xml:space="preserve">El caso sometido a la Corte. - </w:t>
      </w:r>
      <w:r w:rsidRPr="00E85AD0">
        <w:rPr>
          <w:spacing w:val="0"/>
          <w:szCs w:val="20"/>
        </w:rPr>
        <w:t xml:space="preserve">El 8 de septiembre de 2017 la Comisión Interamericana de Derechos Humanos (en adelante “la Comisión Interamericana” o “la Comisión”) sometió a la jurisdicción de la Corte el caso </w:t>
      </w:r>
      <w:r w:rsidRPr="00E85AD0">
        <w:rPr>
          <w:i/>
          <w:spacing w:val="0"/>
          <w:szCs w:val="20"/>
        </w:rPr>
        <w:t xml:space="preserve">Eduardo Benjamín </w:t>
      </w:r>
      <w:r w:rsidRPr="00E85AD0">
        <w:rPr>
          <w:rFonts w:cs="Verdana"/>
          <w:i/>
          <w:iCs/>
          <w:spacing w:val="0"/>
          <w:szCs w:val="20"/>
          <w:lang w:eastAsia="es-CR"/>
        </w:rPr>
        <w:t xml:space="preserve">Colindres </w:t>
      </w:r>
      <w:r w:rsidR="00D46D83">
        <w:rPr>
          <w:rFonts w:cs="Verdana"/>
          <w:i/>
          <w:iCs/>
          <w:spacing w:val="0"/>
          <w:szCs w:val="20"/>
          <w:lang w:eastAsia="es-CR"/>
        </w:rPr>
        <w:t>contra la República de</w:t>
      </w:r>
      <w:r w:rsidRPr="00E85AD0">
        <w:rPr>
          <w:rFonts w:cs="Verdana"/>
          <w:i/>
          <w:iCs/>
          <w:spacing w:val="0"/>
          <w:szCs w:val="20"/>
          <w:lang w:eastAsia="es-CR"/>
        </w:rPr>
        <w:t xml:space="preserve"> El Salvador</w:t>
      </w:r>
      <w:r w:rsidRPr="00E85AD0">
        <w:rPr>
          <w:spacing w:val="0"/>
          <w:szCs w:val="20"/>
        </w:rPr>
        <w:t xml:space="preserve"> (en adelante</w:t>
      </w:r>
      <w:r w:rsidR="00083001" w:rsidRPr="00E85AD0">
        <w:rPr>
          <w:spacing w:val="0"/>
          <w:szCs w:val="20"/>
        </w:rPr>
        <w:t xml:space="preserve"> también “el Estado”</w:t>
      </w:r>
      <w:r w:rsidRPr="00E85AD0">
        <w:rPr>
          <w:spacing w:val="0"/>
          <w:szCs w:val="20"/>
        </w:rPr>
        <w:t>). La Comisión señaló que “</w:t>
      </w:r>
      <w:r w:rsidR="00D46D83">
        <w:rPr>
          <w:spacing w:val="0"/>
          <w:szCs w:val="20"/>
        </w:rPr>
        <w:t>[</w:t>
      </w:r>
      <w:r w:rsidRPr="00E85AD0">
        <w:rPr>
          <w:spacing w:val="0"/>
          <w:szCs w:val="20"/>
        </w:rPr>
        <w:t>e</w:t>
      </w:r>
      <w:r w:rsidR="00D46D83">
        <w:rPr>
          <w:spacing w:val="0"/>
          <w:szCs w:val="20"/>
        </w:rPr>
        <w:t>]</w:t>
      </w:r>
      <w:r w:rsidRPr="00E85AD0">
        <w:rPr>
          <w:spacing w:val="0"/>
          <w:szCs w:val="20"/>
        </w:rPr>
        <w:t xml:space="preserve">l presente caso se relaciona </w:t>
      </w:r>
      <w:r w:rsidRPr="00E85AD0">
        <w:rPr>
          <w:rFonts w:cs="Arial"/>
          <w:color w:val="242424"/>
          <w:spacing w:val="0"/>
          <w:szCs w:val="20"/>
        </w:rPr>
        <w:t xml:space="preserve">con </w:t>
      </w:r>
      <w:r w:rsidRPr="00E85AD0">
        <w:rPr>
          <w:rFonts w:cs="Arial"/>
          <w:color w:val="111111"/>
          <w:spacing w:val="0"/>
          <w:szCs w:val="20"/>
        </w:rPr>
        <w:t xml:space="preserve">los </w:t>
      </w:r>
      <w:r w:rsidRPr="00E85AD0">
        <w:rPr>
          <w:rFonts w:cs="Arial"/>
          <w:color w:val="242424"/>
          <w:spacing w:val="0"/>
          <w:szCs w:val="20"/>
        </w:rPr>
        <w:t xml:space="preserve">ceses </w:t>
      </w:r>
      <w:r w:rsidRPr="00E85AD0">
        <w:rPr>
          <w:rFonts w:cs="Arial"/>
          <w:color w:val="111111"/>
          <w:spacing w:val="0"/>
          <w:szCs w:val="20"/>
        </w:rPr>
        <w:t xml:space="preserve">del </w:t>
      </w:r>
      <w:r w:rsidRPr="00E85AD0">
        <w:rPr>
          <w:rFonts w:cs="Arial"/>
          <w:color w:val="383838"/>
          <w:spacing w:val="0"/>
          <w:szCs w:val="20"/>
        </w:rPr>
        <w:t>se</w:t>
      </w:r>
      <w:r w:rsidRPr="00E85AD0">
        <w:rPr>
          <w:rFonts w:cs="Arial"/>
          <w:color w:val="111111"/>
          <w:spacing w:val="0"/>
          <w:szCs w:val="20"/>
        </w:rPr>
        <w:t xml:space="preserve">ñor Eduardo </w:t>
      </w:r>
      <w:r w:rsidR="00130542" w:rsidRPr="00E85AD0">
        <w:rPr>
          <w:rFonts w:cs="Arial"/>
          <w:color w:val="111111"/>
          <w:spacing w:val="0"/>
          <w:szCs w:val="20"/>
        </w:rPr>
        <w:t>Benjamín</w:t>
      </w:r>
      <w:r w:rsidRPr="00E85AD0">
        <w:rPr>
          <w:rFonts w:cs="Arial"/>
          <w:color w:val="111111"/>
          <w:spacing w:val="0"/>
          <w:szCs w:val="20"/>
        </w:rPr>
        <w:t xml:space="preserve"> </w:t>
      </w:r>
      <w:r w:rsidRPr="00E85AD0">
        <w:rPr>
          <w:rFonts w:cs="Arial"/>
          <w:color w:val="242424"/>
          <w:spacing w:val="0"/>
          <w:szCs w:val="20"/>
        </w:rPr>
        <w:t xml:space="preserve">Colindres de su cargo </w:t>
      </w:r>
      <w:r w:rsidRPr="00E85AD0">
        <w:rPr>
          <w:rFonts w:cs="Arial"/>
          <w:color w:val="111111"/>
          <w:spacing w:val="0"/>
          <w:szCs w:val="20"/>
        </w:rPr>
        <w:t>de magi</w:t>
      </w:r>
      <w:r w:rsidRPr="00E85AD0">
        <w:rPr>
          <w:rFonts w:cs="Arial"/>
          <w:color w:val="383838"/>
          <w:spacing w:val="0"/>
          <w:szCs w:val="20"/>
        </w:rPr>
        <w:t>s</w:t>
      </w:r>
      <w:r w:rsidRPr="00E85AD0">
        <w:rPr>
          <w:rFonts w:cs="Arial"/>
          <w:color w:val="111111"/>
          <w:spacing w:val="0"/>
          <w:szCs w:val="20"/>
        </w:rPr>
        <w:t xml:space="preserve">trado del Tribunal </w:t>
      </w:r>
      <w:r w:rsidRPr="00E85AD0">
        <w:rPr>
          <w:rFonts w:cs="Arial"/>
          <w:color w:val="242424"/>
          <w:spacing w:val="0"/>
          <w:szCs w:val="20"/>
        </w:rPr>
        <w:t xml:space="preserve">Supremo </w:t>
      </w:r>
      <w:r w:rsidRPr="00E85AD0">
        <w:rPr>
          <w:rFonts w:cs="Arial"/>
          <w:color w:val="111111"/>
          <w:spacing w:val="0"/>
          <w:szCs w:val="20"/>
        </w:rPr>
        <w:t>Electoral por part</w:t>
      </w:r>
      <w:r w:rsidRPr="00E85AD0">
        <w:rPr>
          <w:rFonts w:cs="Arial"/>
          <w:color w:val="383838"/>
          <w:spacing w:val="0"/>
          <w:szCs w:val="20"/>
        </w:rPr>
        <w:t xml:space="preserve">e </w:t>
      </w:r>
      <w:r w:rsidRPr="00E85AD0">
        <w:rPr>
          <w:rFonts w:cs="Arial"/>
          <w:color w:val="111111"/>
          <w:spacing w:val="0"/>
          <w:szCs w:val="20"/>
        </w:rPr>
        <w:t>de l</w:t>
      </w:r>
      <w:r w:rsidRPr="00E85AD0">
        <w:rPr>
          <w:rFonts w:cs="Arial"/>
          <w:color w:val="383838"/>
          <w:spacing w:val="0"/>
          <w:szCs w:val="20"/>
        </w:rPr>
        <w:t xml:space="preserve">a </w:t>
      </w:r>
      <w:r w:rsidRPr="00E85AD0">
        <w:rPr>
          <w:rFonts w:cs="Arial"/>
          <w:color w:val="111111"/>
          <w:spacing w:val="0"/>
          <w:szCs w:val="20"/>
        </w:rPr>
        <w:t xml:space="preserve">Asamblea Legislativa”. La </w:t>
      </w:r>
      <w:r w:rsidRPr="00E85AD0">
        <w:rPr>
          <w:rFonts w:cs="Arial"/>
          <w:color w:val="242424"/>
          <w:spacing w:val="0"/>
          <w:szCs w:val="20"/>
        </w:rPr>
        <w:t>Comisión</w:t>
      </w:r>
      <w:r w:rsidR="00292006">
        <w:rPr>
          <w:rFonts w:cs="Arial"/>
          <w:color w:val="111111"/>
          <w:spacing w:val="0"/>
          <w:szCs w:val="20"/>
        </w:rPr>
        <w:t xml:space="preserve"> </w:t>
      </w:r>
      <w:r w:rsidRPr="00E85AD0">
        <w:rPr>
          <w:rFonts w:cs="Arial"/>
          <w:color w:val="111111"/>
          <w:spacing w:val="0"/>
          <w:szCs w:val="20"/>
        </w:rPr>
        <w:t xml:space="preserve">determinó que </w:t>
      </w:r>
      <w:r w:rsidRPr="00E85AD0">
        <w:rPr>
          <w:rFonts w:cs="Arial"/>
          <w:color w:val="242424"/>
          <w:spacing w:val="0"/>
          <w:szCs w:val="20"/>
        </w:rPr>
        <w:t>est</w:t>
      </w:r>
      <w:r w:rsidR="00292006">
        <w:rPr>
          <w:rFonts w:cs="Arial"/>
          <w:color w:val="242424"/>
          <w:spacing w:val="0"/>
          <w:szCs w:val="20"/>
        </w:rPr>
        <w:t>os</w:t>
      </w:r>
      <w:r w:rsidRPr="00E85AD0">
        <w:rPr>
          <w:rFonts w:cs="Arial"/>
          <w:color w:val="242424"/>
          <w:spacing w:val="0"/>
          <w:szCs w:val="20"/>
        </w:rPr>
        <w:t xml:space="preserve"> cese</w:t>
      </w:r>
      <w:r w:rsidR="00292006">
        <w:rPr>
          <w:rFonts w:cs="Arial"/>
          <w:color w:val="242424"/>
          <w:spacing w:val="0"/>
          <w:szCs w:val="20"/>
        </w:rPr>
        <w:t>s</w:t>
      </w:r>
      <w:r w:rsidRPr="00E85AD0">
        <w:rPr>
          <w:rFonts w:cs="Arial"/>
          <w:color w:val="242424"/>
          <w:spacing w:val="0"/>
          <w:szCs w:val="20"/>
        </w:rPr>
        <w:t xml:space="preserve"> </w:t>
      </w:r>
      <w:r w:rsidRPr="00E85AD0">
        <w:rPr>
          <w:rFonts w:cs="Arial"/>
          <w:color w:val="111111"/>
          <w:spacing w:val="0"/>
          <w:szCs w:val="20"/>
        </w:rPr>
        <w:t>tuv</w:t>
      </w:r>
      <w:r w:rsidR="00292006">
        <w:rPr>
          <w:rFonts w:cs="Arial"/>
          <w:color w:val="111111"/>
          <w:spacing w:val="0"/>
          <w:szCs w:val="20"/>
        </w:rPr>
        <w:t>ieron</w:t>
      </w:r>
      <w:r w:rsidRPr="00E85AD0">
        <w:rPr>
          <w:rFonts w:cs="Arial"/>
          <w:color w:val="111111"/>
          <w:spacing w:val="0"/>
          <w:szCs w:val="20"/>
        </w:rPr>
        <w:t xml:space="preserve"> lugar </w:t>
      </w:r>
      <w:r w:rsidRPr="00E85AD0">
        <w:rPr>
          <w:rFonts w:cs="Arial"/>
          <w:color w:val="242424"/>
          <w:spacing w:val="0"/>
          <w:szCs w:val="20"/>
        </w:rPr>
        <w:t xml:space="preserve">en </w:t>
      </w:r>
      <w:r w:rsidRPr="00E85AD0">
        <w:rPr>
          <w:rFonts w:cs="Arial"/>
          <w:color w:val="111111"/>
          <w:spacing w:val="0"/>
          <w:szCs w:val="20"/>
        </w:rPr>
        <w:t xml:space="preserve">violación </w:t>
      </w:r>
      <w:r w:rsidRPr="00E85AD0">
        <w:rPr>
          <w:rFonts w:cs="Arial"/>
          <w:color w:val="242424"/>
          <w:spacing w:val="0"/>
          <w:szCs w:val="20"/>
        </w:rPr>
        <w:t xml:space="preserve">a múltiples garantías </w:t>
      </w:r>
      <w:r w:rsidRPr="00E85AD0">
        <w:rPr>
          <w:rFonts w:cs="Arial"/>
          <w:color w:val="111111"/>
          <w:spacing w:val="0"/>
          <w:szCs w:val="20"/>
        </w:rPr>
        <w:t xml:space="preserve">del debido </w:t>
      </w:r>
      <w:r w:rsidRPr="00E85AD0">
        <w:rPr>
          <w:rFonts w:cs="Arial"/>
          <w:color w:val="242424"/>
          <w:spacing w:val="0"/>
          <w:szCs w:val="20"/>
        </w:rPr>
        <w:t xml:space="preserve">proceso y </w:t>
      </w:r>
      <w:r w:rsidR="00D46D83">
        <w:rPr>
          <w:rFonts w:cs="Arial"/>
          <w:color w:val="242424"/>
          <w:spacing w:val="0"/>
          <w:szCs w:val="20"/>
        </w:rPr>
        <w:t>a</w:t>
      </w:r>
      <w:r w:rsidRPr="00E85AD0">
        <w:rPr>
          <w:rFonts w:cs="Arial"/>
          <w:color w:val="242424"/>
          <w:spacing w:val="0"/>
          <w:szCs w:val="20"/>
        </w:rPr>
        <w:t xml:space="preserve">l </w:t>
      </w:r>
      <w:r w:rsidRPr="00E85AD0">
        <w:rPr>
          <w:rFonts w:cs="Arial"/>
          <w:color w:val="111111"/>
          <w:spacing w:val="0"/>
          <w:szCs w:val="20"/>
        </w:rPr>
        <w:t xml:space="preserve">principio de legalidad. </w:t>
      </w:r>
      <w:r w:rsidR="00292006">
        <w:rPr>
          <w:rFonts w:cs="Arial"/>
          <w:color w:val="111111"/>
          <w:spacing w:val="0"/>
          <w:szCs w:val="20"/>
        </w:rPr>
        <w:t>“</w:t>
      </w:r>
      <w:r w:rsidRPr="00E85AD0">
        <w:rPr>
          <w:rFonts w:cs="Arial"/>
          <w:color w:val="111111"/>
          <w:spacing w:val="0"/>
          <w:szCs w:val="20"/>
        </w:rPr>
        <w:t>Estas violacione</w:t>
      </w:r>
      <w:r w:rsidRPr="00E85AD0">
        <w:rPr>
          <w:rFonts w:cs="Arial"/>
          <w:color w:val="383838"/>
          <w:spacing w:val="0"/>
          <w:szCs w:val="20"/>
        </w:rPr>
        <w:t xml:space="preserve">s </w:t>
      </w:r>
      <w:r w:rsidRPr="00E85AD0">
        <w:rPr>
          <w:rFonts w:cs="Arial"/>
          <w:color w:val="111111"/>
          <w:spacing w:val="0"/>
          <w:szCs w:val="20"/>
        </w:rPr>
        <w:t xml:space="preserve">fueron </w:t>
      </w:r>
      <w:r w:rsidRPr="00E85AD0">
        <w:rPr>
          <w:rFonts w:cs="Arial"/>
          <w:color w:val="242424"/>
          <w:spacing w:val="0"/>
          <w:szCs w:val="20"/>
        </w:rPr>
        <w:t xml:space="preserve">analizadas a </w:t>
      </w:r>
      <w:r w:rsidRPr="00E85AD0">
        <w:rPr>
          <w:rFonts w:cs="Arial"/>
          <w:color w:val="111111"/>
          <w:spacing w:val="0"/>
          <w:szCs w:val="20"/>
        </w:rPr>
        <w:t xml:space="preserve">la luz </w:t>
      </w:r>
      <w:r w:rsidRPr="00E85AD0">
        <w:rPr>
          <w:rFonts w:cs="Arial"/>
          <w:color w:val="242424"/>
          <w:spacing w:val="0"/>
          <w:szCs w:val="20"/>
        </w:rPr>
        <w:t xml:space="preserve">del </w:t>
      </w:r>
      <w:r w:rsidRPr="00E85AD0">
        <w:rPr>
          <w:rFonts w:cs="Arial"/>
          <w:color w:val="111111"/>
          <w:spacing w:val="0"/>
          <w:szCs w:val="20"/>
        </w:rPr>
        <w:t>principio d</w:t>
      </w:r>
      <w:r w:rsidRPr="00E85AD0">
        <w:rPr>
          <w:rFonts w:cs="Arial"/>
          <w:color w:val="383838"/>
          <w:spacing w:val="0"/>
          <w:szCs w:val="20"/>
        </w:rPr>
        <w:t xml:space="preserve">e </w:t>
      </w:r>
      <w:r w:rsidRPr="00E85AD0">
        <w:rPr>
          <w:rFonts w:cs="Arial"/>
          <w:color w:val="111111"/>
          <w:spacing w:val="0"/>
          <w:szCs w:val="20"/>
        </w:rPr>
        <w:t>independencia judicial</w:t>
      </w:r>
      <w:r w:rsidRPr="00E85AD0">
        <w:rPr>
          <w:rFonts w:cs="Arial"/>
          <w:color w:val="383838"/>
          <w:spacing w:val="0"/>
          <w:szCs w:val="20"/>
        </w:rPr>
        <w:t xml:space="preserve">, </w:t>
      </w:r>
      <w:r w:rsidRPr="00E85AD0">
        <w:rPr>
          <w:rFonts w:cs="Arial"/>
          <w:color w:val="111111"/>
          <w:spacing w:val="0"/>
          <w:szCs w:val="20"/>
        </w:rPr>
        <w:t xml:space="preserve">tomando </w:t>
      </w:r>
      <w:r w:rsidRPr="00E85AD0">
        <w:rPr>
          <w:rFonts w:cs="Arial"/>
          <w:color w:val="242424"/>
          <w:spacing w:val="0"/>
          <w:szCs w:val="20"/>
        </w:rPr>
        <w:t xml:space="preserve">en cuenta el cargo </w:t>
      </w:r>
      <w:r w:rsidRPr="00E85AD0">
        <w:rPr>
          <w:rFonts w:cs="Arial"/>
          <w:color w:val="111111"/>
          <w:spacing w:val="0"/>
          <w:szCs w:val="20"/>
        </w:rPr>
        <w:t xml:space="preserve">que </w:t>
      </w:r>
      <w:r w:rsidRPr="00E85AD0">
        <w:rPr>
          <w:rFonts w:cs="Arial"/>
          <w:color w:val="242424"/>
          <w:spacing w:val="0"/>
          <w:szCs w:val="20"/>
        </w:rPr>
        <w:t>ocupa</w:t>
      </w:r>
      <w:r w:rsidR="00F11965">
        <w:rPr>
          <w:rFonts w:cs="Arial"/>
          <w:color w:val="242424"/>
          <w:spacing w:val="0"/>
          <w:szCs w:val="20"/>
        </w:rPr>
        <w:t>[b</w:t>
      </w:r>
      <w:r w:rsidRPr="00E85AD0">
        <w:rPr>
          <w:rFonts w:cs="Arial"/>
          <w:color w:val="242424"/>
          <w:spacing w:val="0"/>
          <w:szCs w:val="20"/>
        </w:rPr>
        <w:t>a</w:t>
      </w:r>
      <w:r w:rsidR="00F11965">
        <w:rPr>
          <w:rFonts w:cs="Arial"/>
          <w:color w:val="242424"/>
          <w:spacing w:val="0"/>
          <w:szCs w:val="20"/>
        </w:rPr>
        <w:t>]</w:t>
      </w:r>
      <w:r w:rsidRPr="00E85AD0">
        <w:rPr>
          <w:rFonts w:cs="Arial"/>
          <w:color w:val="242424"/>
          <w:spacing w:val="0"/>
          <w:szCs w:val="20"/>
        </w:rPr>
        <w:t xml:space="preserve"> </w:t>
      </w:r>
      <w:r w:rsidRPr="00E85AD0">
        <w:rPr>
          <w:rFonts w:cs="Arial"/>
          <w:color w:val="111111"/>
          <w:spacing w:val="0"/>
          <w:szCs w:val="20"/>
        </w:rPr>
        <w:t xml:space="preserve">la </w:t>
      </w:r>
      <w:r w:rsidRPr="00E85AD0">
        <w:rPr>
          <w:rFonts w:cs="Arial"/>
          <w:color w:val="242424"/>
          <w:spacing w:val="0"/>
          <w:szCs w:val="20"/>
        </w:rPr>
        <w:t xml:space="preserve">víctima”. </w:t>
      </w:r>
      <w:bookmarkEnd w:id="38"/>
      <w:r w:rsidRPr="00E85AD0">
        <w:rPr>
          <w:rFonts w:cs="Arial"/>
          <w:color w:val="111111"/>
          <w:spacing w:val="0"/>
          <w:szCs w:val="20"/>
        </w:rPr>
        <w:t xml:space="preserve">Asimismo, la </w:t>
      </w:r>
      <w:r w:rsidRPr="00E85AD0">
        <w:rPr>
          <w:rFonts w:cs="Arial"/>
          <w:color w:val="242424"/>
          <w:spacing w:val="0"/>
          <w:szCs w:val="20"/>
        </w:rPr>
        <w:t>Comisión “</w:t>
      </w:r>
      <w:r w:rsidR="00D46D83">
        <w:rPr>
          <w:rFonts w:cs="Arial"/>
          <w:color w:val="111111"/>
          <w:spacing w:val="0"/>
          <w:szCs w:val="20"/>
        </w:rPr>
        <w:t>determin</w:t>
      </w:r>
      <w:r w:rsidRPr="00E85AD0">
        <w:rPr>
          <w:rFonts w:cs="Arial"/>
          <w:color w:val="111111"/>
          <w:spacing w:val="0"/>
          <w:szCs w:val="20"/>
        </w:rPr>
        <w:t>ó que d</w:t>
      </w:r>
      <w:r w:rsidRPr="00E85AD0">
        <w:rPr>
          <w:rFonts w:cs="Arial"/>
          <w:color w:val="383838"/>
          <w:spacing w:val="0"/>
          <w:szCs w:val="20"/>
        </w:rPr>
        <w:t>e</w:t>
      </w:r>
      <w:r w:rsidRPr="00E85AD0">
        <w:rPr>
          <w:rFonts w:cs="Arial"/>
          <w:color w:val="111111"/>
          <w:spacing w:val="0"/>
          <w:szCs w:val="20"/>
        </w:rPr>
        <w:t xml:space="preserve">rivado del cese </w:t>
      </w:r>
      <w:r w:rsidRPr="00E85AD0">
        <w:rPr>
          <w:rFonts w:cs="Arial"/>
          <w:color w:val="242424"/>
          <w:spacing w:val="0"/>
          <w:szCs w:val="20"/>
        </w:rPr>
        <w:t xml:space="preserve">arbitrario </w:t>
      </w:r>
      <w:r w:rsidR="00F11965">
        <w:rPr>
          <w:rFonts w:cs="Arial"/>
          <w:color w:val="242424"/>
          <w:spacing w:val="0"/>
          <w:szCs w:val="20"/>
        </w:rPr>
        <w:t>[…]</w:t>
      </w:r>
      <w:r w:rsidRPr="00E85AD0">
        <w:rPr>
          <w:rFonts w:cs="Arial"/>
          <w:color w:val="242424"/>
          <w:spacing w:val="0"/>
          <w:szCs w:val="20"/>
        </w:rPr>
        <w:t xml:space="preserve">, el Estado </w:t>
      </w:r>
      <w:r w:rsidRPr="00E85AD0">
        <w:rPr>
          <w:rFonts w:cs="Arial"/>
          <w:color w:val="111111"/>
          <w:spacing w:val="0"/>
          <w:szCs w:val="20"/>
        </w:rPr>
        <w:t xml:space="preserve">también </w:t>
      </w:r>
      <w:r w:rsidRPr="00E85AD0">
        <w:rPr>
          <w:rFonts w:cs="Arial"/>
          <w:color w:val="242424"/>
          <w:spacing w:val="0"/>
          <w:szCs w:val="20"/>
        </w:rPr>
        <w:t xml:space="preserve">violó el </w:t>
      </w:r>
      <w:r w:rsidRPr="00E85AD0">
        <w:rPr>
          <w:rFonts w:cs="Arial"/>
          <w:color w:val="111111"/>
          <w:spacing w:val="0"/>
          <w:szCs w:val="20"/>
        </w:rPr>
        <w:t xml:space="preserve">derecho de </w:t>
      </w:r>
      <w:r w:rsidRPr="00E85AD0">
        <w:rPr>
          <w:rFonts w:cs="Arial"/>
          <w:color w:val="242424"/>
          <w:spacing w:val="0"/>
          <w:szCs w:val="20"/>
        </w:rPr>
        <w:t xml:space="preserve">acceder </w:t>
      </w:r>
      <w:r w:rsidRPr="00E85AD0">
        <w:rPr>
          <w:rFonts w:cs="Arial"/>
          <w:color w:val="111111"/>
          <w:spacing w:val="0"/>
          <w:szCs w:val="20"/>
        </w:rPr>
        <w:t xml:space="preserve">a la </w:t>
      </w:r>
      <w:r w:rsidRPr="00E85AD0">
        <w:rPr>
          <w:rFonts w:cs="Arial"/>
          <w:color w:val="242424"/>
          <w:spacing w:val="0"/>
          <w:szCs w:val="20"/>
        </w:rPr>
        <w:t>función</w:t>
      </w:r>
      <w:r w:rsidRPr="00E85AD0">
        <w:rPr>
          <w:rFonts w:cs="Arial"/>
          <w:color w:val="111111"/>
          <w:spacing w:val="0"/>
          <w:szCs w:val="20"/>
        </w:rPr>
        <w:t xml:space="preserve"> pública </w:t>
      </w:r>
      <w:r w:rsidRPr="00E85AD0">
        <w:rPr>
          <w:rFonts w:cs="Arial"/>
          <w:color w:val="242424"/>
          <w:spacing w:val="0"/>
          <w:szCs w:val="20"/>
        </w:rPr>
        <w:t xml:space="preserve">en condiciones </w:t>
      </w:r>
      <w:r w:rsidRPr="00E85AD0">
        <w:rPr>
          <w:rFonts w:cs="Arial"/>
          <w:color w:val="111111"/>
          <w:spacing w:val="0"/>
          <w:szCs w:val="20"/>
        </w:rPr>
        <w:t>de igualdad”.</w:t>
      </w:r>
      <w:r w:rsidRPr="00E85AD0">
        <w:rPr>
          <w:b/>
          <w:spacing w:val="0"/>
          <w:szCs w:val="20"/>
        </w:rPr>
        <w:t xml:space="preserve"> </w:t>
      </w:r>
    </w:p>
    <w:p w14:paraId="76B946EF" w14:textId="77777777" w:rsidR="004B6D86" w:rsidRPr="00E85AD0" w:rsidRDefault="004B6D86" w:rsidP="004B6D86">
      <w:pPr>
        <w:pStyle w:val="PrrafodeSentencia"/>
        <w:numPr>
          <w:ilvl w:val="0"/>
          <w:numId w:val="0"/>
        </w:numPr>
        <w:rPr>
          <w:spacing w:val="0"/>
          <w:szCs w:val="20"/>
        </w:rPr>
      </w:pPr>
    </w:p>
    <w:p w14:paraId="3CE32A92" w14:textId="77777777" w:rsidR="004B6D86" w:rsidRPr="00E85AD0" w:rsidRDefault="004B6D86" w:rsidP="004B6D86">
      <w:pPr>
        <w:pStyle w:val="PrrafodeSentencia"/>
        <w:rPr>
          <w:b/>
          <w:spacing w:val="0"/>
          <w:szCs w:val="20"/>
        </w:rPr>
      </w:pPr>
      <w:bookmarkStart w:id="43" w:name="_Ref464811109"/>
      <w:r w:rsidRPr="00E85AD0">
        <w:rPr>
          <w:i/>
          <w:spacing w:val="0"/>
          <w:szCs w:val="20"/>
        </w:rPr>
        <w:t xml:space="preserve">Trámite ante la Comisión. - </w:t>
      </w:r>
      <w:r w:rsidRPr="00E85AD0">
        <w:rPr>
          <w:spacing w:val="0"/>
          <w:szCs w:val="20"/>
        </w:rPr>
        <w:t>El trámite ante la Comisión fue el siguiente:</w:t>
      </w:r>
      <w:bookmarkEnd w:id="39"/>
      <w:bookmarkEnd w:id="43"/>
    </w:p>
    <w:p w14:paraId="71E504AB" w14:textId="77777777" w:rsidR="004B6D86" w:rsidRPr="00E85AD0" w:rsidRDefault="004B6D86" w:rsidP="004B6D86">
      <w:pPr>
        <w:pStyle w:val="PrrafodeSentencia"/>
        <w:numPr>
          <w:ilvl w:val="0"/>
          <w:numId w:val="0"/>
        </w:numPr>
        <w:rPr>
          <w:spacing w:val="0"/>
          <w:szCs w:val="20"/>
        </w:rPr>
      </w:pPr>
    </w:p>
    <w:p w14:paraId="79F107F5" w14:textId="46B7FBE6" w:rsidR="004B6D86" w:rsidRPr="00E85AD0" w:rsidRDefault="004B6D86" w:rsidP="004B6D86">
      <w:pPr>
        <w:pStyle w:val="NoSpacing"/>
        <w:numPr>
          <w:ilvl w:val="0"/>
          <w:numId w:val="9"/>
        </w:numPr>
        <w:tabs>
          <w:tab w:val="left" w:pos="709"/>
          <w:tab w:val="left" w:pos="1134"/>
        </w:tabs>
        <w:jc w:val="both"/>
        <w:rPr>
          <w:rFonts w:ascii="Verdana" w:hAnsi="Verdana"/>
          <w:sz w:val="20"/>
          <w:szCs w:val="20"/>
          <w:lang w:val="es-CR"/>
        </w:rPr>
      </w:pPr>
      <w:r w:rsidRPr="00E85AD0">
        <w:rPr>
          <w:rFonts w:ascii="Verdana" w:hAnsi="Verdana"/>
          <w:i/>
          <w:sz w:val="20"/>
          <w:szCs w:val="20"/>
          <w:lang w:val="es-CR"/>
        </w:rPr>
        <w:t xml:space="preserve">Petición. – </w:t>
      </w:r>
      <w:r w:rsidRPr="00E85AD0">
        <w:rPr>
          <w:rFonts w:ascii="Verdana" w:hAnsi="Verdana"/>
          <w:sz w:val="20"/>
          <w:szCs w:val="20"/>
          <w:lang w:val="es-CR"/>
        </w:rPr>
        <w:t xml:space="preserve">El 4 de mayo de 2000 el </w:t>
      </w:r>
      <w:r w:rsidR="00652B13">
        <w:rPr>
          <w:rFonts w:ascii="Verdana" w:hAnsi="Verdana"/>
          <w:sz w:val="20"/>
          <w:szCs w:val="20"/>
          <w:lang w:val="es-CR"/>
        </w:rPr>
        <w:t>I</w:t>
      </w:r>
      <w:r w:rsidRPr="00E85AD0">
        <w:rPr>
          <w:rFonts w:ascii="Verdana" w:hAnsi="Verdana"/>
          <w:sz w:val="20"/>
          <w:szCs w:val="20"/>
          <w:lang w:val="es-CR"/>
        </w:rPr>
        <w:t>nstituto de Derechos Humanos de la Universid</w:t>
      </w:r>
      <w:r w:rsidR="00CF7407">
        <w:rPr>
          <w:rFonts w:ascii="Verdana" w:hAnsi="Verdana"/>
          <w:sz w:val="20"/>
          <w:szCs w:val="20"/>
          <w:lang w:val="es-CR"/>
        </w:rPr>
        <w:t>ad Centroamericana “José Simeón</w:t>
      </w:r>
      <w:r w:rsidRPr="00E85AD0">
        <w:rPr>
          <w:rFonts w:ascii="Verdana" w:hAnsi="Verdana"/>
          <w:sz w:val="20"/>
          <w:szCs w:val="20"/>
          <w:lang w:val="es-CR"/>
        </w:rPr>
        <w:t xml:space="preserve"> Caña</w:t>
      </w:r>
      <w:r w:rsidR="007353CB">
        <w:rPr>
          <w:rFonts w:ascii="Verdana" w:hAnsi="Verdana"/>
          <w:sz w:val="20"/>
          <w:szCs w:val="20"/>
          <w:lang w:val="es-CR"/>
        </w:rPr>
        <w:t>s</w:t>
      </w:r>
      <w:r w:rsidRPr="00E85AD0">
        <w:rPr>
          <w:rFonts w:ascii="Verdana" w:hAnsi="Verdana"/>
          <w:sz w:val="20"/>
          <w:szCs w:val="20"/>
          <w:lang w:val="es-CR"/>
        </w:rPr>
        <w:t xml:space="preserve">” presentó la petición inicial en representación </w:t>
      </w:r>
      <w:r w:rsidR="00DA55C9">
        <w:rPr>
          <w:rFonts w:ascii="Verdana" w:hAnsi="Verdana"/>
          <w:sz w:val="20"/>
          <w:szCs w:val="20"/>
          <w:lang w:val="es-CR"/>
        </w:rPr>
        <w:t xml:space="preserve">de </w:t>
      </w:r>
      <w:r w:rsidRPr="00E85AD0">
        <w:rPr>
          <w:rFonts w:ascii="Verdana" w:hAnsi="Verdana"/>
          <w:sz w:val="20"/>
          <w:szCs w:val="20"/>
          <w:lang w:val="es-CR"/>
        </w:rPr>
        <w:t xml:space="preserve">la presunta víctima. </w:t>
      </w:r>
    </w:p>
    <w:p w14:paraId="2ECB3B50" w14:textId="77777777" w:rsidR="004B6D86" w:rsidRPr="00E85AD0" w:rsidRDefault="004B6D86" w:rsidP="004B6D86">
      <w:pPr>
        <w:pStyle w:val="NoSpacing"/>
        <w:tabs>
          <w:tab w:val="left" w:pos="709"/>
          <w:tab w:val="left" w:pos="1134"/>
        </w:tabs>
        <w:jc w:val="both"/>
        <w:rPr>
          <w:rFonts w:ascii="Verdana" w:hAnsi="Verdana"/>
          <w:sz w:val="20"/>
          <w:szCs w:val="20"/>
          <w:lang w:val="es-CR"/>
        </w:rPr>
      </w:pPr>
    </w:p>
    <w:p w14:paraId="45AF48E6" w14:textId="0F71DC57" w:rsidR="004B6D86" w:rsidRPr="00E85AD0" w:rsidRDefault="004B6D86" w:rsidP="004B6D86">
      <w:pPr>
        <w:pStyle w:val="NoSpacing"/>
        <w:numPr>
          <w:ilvl w:val="0"/>
          <w:numId w:val="9"/>
        </w:numPr>
        <w:tabs>
          <w:tab w:val="left" w:pos="709"/>
          <w:tab w:val="left" w:pos="1134"/>
        </w:tabs>
        <w:jc w:val="both"/>
        <w:rPr>
          <w:rFonts w:ascii="Verdana" w:hAnsi="Verdana"/>
          <w:sz w:val="20"/>
          <w:szCs w:val="20"/>
          <w:lang w:val="es-CR"/>
        </w:rPr>
      </w:pPr>
      <w:r w:rsidRPr="00E85AD0">
        <w:rPr>
          <w:rFonts w:ascii="Verdana" w:hAnsi="Verdana"/>
          <w:i/>
          <w:sz w:val="20"/>
          <w:szCs w:val="20"/>
          <w:lang w:val="es-CR"/>
        </w:rPr>
        <w:t xml:space="preserve">Informe de Admisibilidad. - </w:t>
      </w:r>
      <w:r w:rsidRPr="00E85AD0">
        <w:rPr>
          <w:rFonts w:ascii="Verdana" w:hAnsi="Verdana"/>
          <w:sz w:val="20"/>
          <w:szCs w:val="20"/>
          <w:lang w:val="es-CR"/>
        </w:rPr>
        <w:t>El 14 de marzo de 2006 la Comisión aprobó el Informe de Admisibilidad No. 25/06</w:t>
      </w:r>
      <w:r w:rsidRPr="00E85AD0">
        <w:rPr>
          <w:rStyle w:val="FootnoteReference"/>
          <w:sz w:val="20"/>
          <w:szCs w:val="20"/>
          <w:lang w:val="es-CR"/>
        </w:rPr>
        <w:footnoteReference w:id="2"/>
      </w:r>
      <w:r w:rsidRPr="00E85AD0">
        <w:rPr>
          <w:rFonts w:ascii="Verdana" w:hAnsi="Verdana"/>
          <w:sz w:val="20"/>
          <w:szCs w:val="20"/>
          <w:lang w:val="es-CR"/>
        </w:rPr>
        <w:t>.</w:t>
      </w:r>
      <w:r w:rsidRPr="00E85AD0">
        <w:rPr>
          <w:rFonts w:ascii="Verdana" w:hAnsi="Verdana"/>
          <w:b/>
          <w:color w:val="000000"/>
          <w:sz w:val="20"/>
          <w:szCs w:val="20"/>
          <w:lang w:val="es-CR"/>
        </w:rPr>
        <w:t xml:space="preserve"> </w:t>
      </w:r>
    </w:p>
    <w:p w14:paraId="708C7B6A" w14:textId="77777777" w:rsidR="004B6D86" w:rsidRPr="00E85AD0" w:rsidRDefault="004B6D86" w:rsidP="004B6D86">
      <w:pPr>
        <w:pStyle w:val="ListParagraph"/>
        <w:ind w:hanging="360"/>
        <w:rPr>
          <w:i/>
          <w:szCs w:val="20"/>
          <w:highlight w:val="green"/>
          <w:lang w:val="es-CR"/>
        </w:rPr>
      </w:pPr>
    </w:p>
    <w:p w14:paraId="1E822A4D" w14:textId="0652DE1B" w:rsidR="00FC6500" w:rsidRDefault="004B6D86" w:rsidP="00FC6500">
      <w:pPr>
        <w:pStyle w:val="NoSpacing"/>
        <w:numPr>
          <w:ilvl w:val="0"/>
          <w:numId w:val="9"/>
        </w:numPr>
        <w:tabs>
          <w:tab w:val="left" w:pos="709"/>
          <w:tab w:val="left" w:pos="1134"/>
        </w:tabs>
        <w:jc w:val="both"/>
        <w:rPr>
          <w:rFonts w:ascii="Verdana" w:hAnsi="Verdana"/>
          <w:sz w:val="20"/>
          <w:szCs w:val="20"/>
          <w:lang w:val="es-CR"/>
        </w:rPr>
      </w:pPr>
      <w:r w:rsidRPr="00E85AD0">
        <w:rPr>
          <w:rFonts w:ascii="Verdana" w:hAnsi="Verdana"/>
          <w:i/>
          <w:sz w:val="20"/>
          <w:szCs w:val="20"/>
          <w:lang w:val="es-CR"/>
        </w:rPr>
        <w:t xml:space="preserve">Informe de Fondo. – </w:t>
      </w:r>
      <w:r w:rsidRPr="00E85AD0">
        <w:rPr>
          <w:rFonts w:ascii="Verdana" w:hAnsi="Verdana"/>
          <w:sz w:val="20"/>
          <w:szCs w:val="20"/>
          <w:lang w:val="es-CR"/>
        </w:rPr>
        <w:t xml:space="preserve">El 18 de marzo de 2017 la Comisión aprobó el Informe de Fondo No. 23/17, en </w:t>
      </w:r>
      <w:r w:rsidRPr="00FC6500">
        <w:rPr>
          <w:rFonts w:ascii="Verdana" w:hAnsi="Verdana"/>
          <w:sz w:val="20"/>
          <w:szCs w:val="20"/>
          <w:lang w:val="es-CR"/>
        </w:rPr>
        <w:t>el cual llegó a una serie de conclusiones</w:t>
      </w:r>
      <w:r w:rsidR="00FC6500" w:rsidRPr="00FC6500">
        <w:rPr>
          <w:rStyle w:val="FootnoteReference"/>
          <w:sz w:val="20"/>
          <w:szCs w:val="20"/>
          <w:lang w:val="es-CR"/>
        </w:rPr>
        <w:footnoteReference w:id="3"/>
      </w:r>
      <w:r w:rsidRPr="00FC6500">
        <w:rPr>
          <w:rFonts w:ascii="Verdana" w:hAnsi="Verdana"/>
          <w:sz w:val="20"/>
          <w:szCs w:val="20"/>
          <w:lang w:val="es-CR"/>
        </w:rPr>
        <w:t xml:space="preserve"> y formuló varias recomendaciones al Estado</w:t>
      </w:r>
      <w:r w:rsidR="00FC6500" w:rsidRPr="00FC6500">
        <w:rPr>
          <w:rStyle w:val="FootnoteReference"/>
          <w:sz w:val="20"/>
          <w:szCs w:val="20"/>
          <w:lang w:val="es-CR"/>
        </w:rPr>
        <w:footnoteReference w:id="4"/>
      </w:r>
      <w:r w:rsidR="00D46D83">
        <w:rPr>
          <w:rFonts w:ascii="Verdana" w:hAnsi="Verdana"/>
          <w:sz w:val="20"/>
          <w:szCs w:val="20"/>
          <w:lang w:val="es-CR"/>
        </w:rPr>
        <w:t>.</w:t>
      </w:r>
      <w:r w:rsidRPr="00E85AD0">
        <w:rPr>
          <w:rFonts w:ascii="Verdana" w:hAnsi="Verdana"/>
          <w:sz w:val="20"/>
          <w:szCs w:val="20"/>
          <w:lang w:val="es-CR"/>
        </w:rPr>
        <w:t xml:space="preserve"> </w:t>
      </w:r>
      <w:r w:rsidRPr="00FC6500">
        <w:rPr>
          <w:rFonts w:ascii="Verdana" w:hAnsi="Verdana"/>
          <w:sz w:val="20"/>
          <w:szCs w:val="20"/>
          <w:lang w:val="es-CR"/>
        </w:rPr>
        <w:t xml:space="preserve">El Informe </w:t>
      </w:r>
      <w:r w:rsidR="00C26623">
        <w:rPr>
          <w:rFonts w:ascii="Verdana" w:hAnsi="Verdana"/>
          <w:sz w:val="20"/>
          <w:szCs w:val="20"/>
          <w:lang w:val="es-CR"/>
        </w:rPr>
        <w:t xml:space="preserve">de Fondo </w:t>
      </w:r>
      <w:r w:rsidRPr="00FC6500">
        <w:rPr>
          <w:rFonts w:ascii="Verdana" w:hAnsi="Verdana"/>
          <w:sz w:val="20"/>
          <w:szCs w:val="20"/>
          <w:lang w:val="es-CR"/>
        </w:rPr>
        <w:t>fue notificado al Estado el 8 de junio de 2017.</w:t>
      </w:r>
      <w:r w:rsidRPr="00FC6500">
        <w:rPr>
          <w:rFonts w:ascii="Verdana" w:hAnsi="Verdana"/>
          <w:b/>
          <w:sz w:val="20"/>
          <w:szCs w:val="20"/>
          <w:lang w:val="es-CR"/>
        </w:rPr>
        <w:t xml:space="preserve"> </w:t>
      </w:r>
    </w:p>
    <w:p w14:paraId="72DE0607" w14:textId="77777777" w:rsidR="00FC6500" w:rsidRDefault="00FC6500" w:rsidP="00FC6500">
      <w:pPr>
        <w:pStyle w:val="ListParagraph"/>
        <w:rPr>
          <w:bCs/>
          <w:szCs w:val="20"/>
          <w:lang w:val="es-CR" w:eastAsia="es-CR"/>
        </w:rPr>
      </w:pPr>
    </w:p>
    <w:p w14:paraId="00CF020B" w14:textId="7FDCF11C" w:rsidR="00FC6500" w:rsidRPr="00FC6500" w:rsidRDefault="00FC6500" w:rsidP="00FC6500">
      <w:pPr>
        <w:pStyle w:val="NoSpacing"/>
        <w:numPr>
          <w:ilvl w:val="0"/>
          <w:numId w:val="9"/>
        </w:numPr>
        <w:tabs>
          <w:tab w:val="left" w:pos="709"/>
          <w:tab w:val="left" w:pos="1134"/>
        </w:tabs>
        <w:jc w:val="both"/>
        <w:rPr>
          <w:rFonts w:ascii="Verdana" w:hAnsi="Verdana"/>
          <w:sz w:val="20"/>
          <w:szCs w:val="20"/>
          <w:lang w:val="es-CR"/>
        </w:rPr>
      </w:pPr>
      <w:r w:rsidRPr="00FC6500">
        <w:rPr>
          <w:rFonts w:ascii="Verdana" w:hAnsi="Verdana"/>
          <w:bCs/>
          <w:i/>
          <w:sz w:val="20"/>
          <w:szCs w:val="20"/>
          <w:lang w:val="es-CR" w:eastAsia="es-CR"/>
        </w:rPr>
        <w:t>Informe sobre las recomendaciones de la Comisión</w:t>
      </w:r>
      <w:r>
        <w:rPr>
          <w:rFonts w:ascii="Verdana" w:hAnsi="Verdana"/>
          <w:bCs/>
          <w:i/>
          <w:sz w:val="20"/>
          <w:szCs w:val="20"/>
          <w:lang w:val="es-CR" w:eastAsia="es-CR"/>
        </w:rPr>
        <w:t xml:space="preserve">. - </w:t>
      </w:r>
      <w:r w:rsidR="004B6D86" w:rsidRPr="00FC6500">
        <w:rPr>
          <w:rFonts w:ascii="Verdana" w:hAnsi="Verdana"/>
          <w:bCs/>
          <w:sz w:val="20"/>
          <w:szCs w:val="20"/>
          <w:lang w:val="es-CR" w:eastAsia="es-CR"/>
        </w:rPr>
        <w:t>E</w:t>
      </w:r>
      <w:r w:rsidR="004B6D86" w:rsidRPr="00FC6500">
        <w:rPr>
          <w:rFonts w:ascii="Verdana" w:hAnsi="Verdana"/>
          <w:sz w:val="20"/>
          <w:szCs w:val="20"/>
          <w:lang w:val="es-CR" w:eastAsia="es-CR"/>
        </w:rPr>
        <w:t xml:space="preserve">l 14 de agosto de 2017 el Estado presentó cierta información y solicitó una prórroga. </w:t>
      </w:r>
      <w:r w:rsidR="004B6D86" w:rsidRPr="00FC6500">
        <w:rPr>
          <w:rFonts w:ascii="Verdana" w:hAnsi="Verdana"/>
          <w:sz w:val="20"/>
          <w:szCs w:val="20"/>
          <w:lang w:val="es-CR"/>
        </w:rPr>
        <w:t>Sin embargo</w:t>
      </w:r>
      <w:r w:rsidR="003F2115">
        <w:rPr>
          <w:rFonts w:ascii="Verdana" w:hAnsi="Verdana"/>
          <w:sz w:val="20"/>
          <w:szCs w:val="20"/>
          <w:lang w:val="es-CR"/>
        </w:rPr>
        <w:t>,</w:t>
      </w:r>
      <w:r w:rsidR="004B6D86" w:rsidRPr="00FC6500">
        <w:rPr>
          <w:rFonts w:ascii="Verdana" w:hAnsi="Verdana"/>
          <w:sz w:val="20"/>
          <w:szCs w:val="20"/>
          <w:lang w:val="es-CR"/>
        </w:rPr>
        <w:t xml:space="preserve"> “no aportó información con indicación de voluntad de dar cumplimiento a todas las recomendaciones del informe de fondo”, por lo que la Comisión no otorgó la prórroga solicitada. </w:t>
      </w:r>
      <w:bookmarkStart w:id="44" w:name="_Ref464815035"/>
    </w:p>
    <w:p w14:paraId="060C54F2" w14:textId="77777777" w:rsidR="00FC6500" w:rsidRPr="00A93988" w:rsidRDefault="00FC6500" w:rsidP="00FC6500">
      <w:pPr>
        <w:pStyle w:val="ListParagraph"/>
        <w:rPr>
          <w:i/>
          <w:szCs w:val="20"/>
          <w:lang w:val="es-CR"/>
        </w:rPr>
      </w:pPr>
    </w:p>
    <w:p w14:paraId="42A95BAE" w14:textId="43D20BDE" w:rsidR="004B6D86" w:rsidRPr="00FC6500" w:rsidRDefault="004B6D86" w:rsidP="00FC6500">
      <w:pPr>
        <w:pStyle w:val="NoSpacing"/>
        <w:numPr>
          <w:ilvl w:val="0"/>
          <w:numId w:val="9"/>
        </w:numPr>
        <w:tabs>
          <w:tab w:val="left" w:pos="709"/>
          <w:tab w:val="left" w:pos="1134"/>
        </w:tabs>
        <w:jc w:val="both"/>
        <w:rPr>
          <w:rFonts w:ascii="Verdana" w:hAnsi="Verdana"/>
          <w:sz w:val="20"/>
          <w:szCs w:val="20"/>
          <w:lang w:val="es-CR"/>
        </w:rPr>
      </w:pPr>
      <w:r w:rsidRPr="00FC6500">
        <w:rPr>
          <w:rFonts w:ascii="Verdana" w:hAnsi="Verdana"/>
          <w:i/>
          <w:sz w:val="20"/>
          <w:szCs w:val="20"/>
        </w:rPr>
        <w:t>Sometimiento a la Corte</w:t>
      </w:r>
      <w:r w:rsidRPr="00FC6500">
        <w:rPr>
          <w:rFonts w:ascii="Verdana" w:hAnsi="Verdana"/>
          <w:sz w:val="20"/>
          <w:szCs w:val="20"/>
        </w:rPr>
        <w:t>.</w:t>
      </w:r>
      <w:r w:rsidRPr="00FC6500">
        <w:rPr>
          <w:rFonts w:ascii="Verdana" w:hAnsi="Verdana"/>
          <w:i/>
          <w:sz w:val="20"/>
          <w:szCs w:val="20"/>
        </w:rPr>
        <w:t xml:space="preserve"> – </w:t>
      </w:r>
      <w:r w:rsidRPr="00FC6500">
        <w:rPr>
          <w:rFonts w:ascii="Verdana" w:hAnsi="Verdana"/>
          <w:sz w:val="20"/>
          <w:szCs w:val="20"/>
        </w:rPr>
        <w:t xml:space="preserve">El 8 de septiembre de 2017 la Comisión sometió el presente caso a la Corte “por la necesidad de obtención de justicia”. </w:t>
      </w:r>
      <w:bookmarkEnd w:id="44"/>
      <w:r w:rsidR="007353CB" w:rsidRPr="00FC6500">
        <w:rPr>
          <w:rFonts w:ascii="Verdana" w:hAnsi="Verdana"/>
          <w:sz w:val="20"/>
          <w:szCs w:val="20"/>
        </w:rPr>
        <w:t>La Comisión designó</w:t>
      </w:r>
      <w:r w:rsidRPr="00FC6500">
        <w:rPr>
          <w:rFonts w:ascii="Verdana" w:hAnsi="Verdana"/>
          <w:sz w:val="20"/>
          <w:szCs w:val="20"/>
        </w:rPr>
        <w:t xml:space="preserve"> a la Comisionada Margarette May Macaulay y al Secretario Ejecutivo </w:t>
      </w:r>
      <w:r w:rsidRPr="00FC6500">
        <w:rPr>
          <w:rFonts w:ascii="Verdana" w:hAnsi="Verdana"/>
          <w:sz w:val="20"/>
          <w:szCs w:val="20"/>
        </w:rPr>
        <w:lastRenderedPageBreak/>
        <w:t>Paulo Abrão, como sus delegados</w:t>
      </w:r>
      <w:r w:rsidR="00AE59A9">
        <w:rPr>
          <w:rFonts w:ascii="Verdana" w:hAnsi="Verdana"/>
          <w:sz w:val="20"/>
          <w:szCs w:val="20"/>
        </w:rPr>
        <w:t>, así como a</w:t>
      </w:r>
      <w:r w:rsidRPr="00FC6500">
        <w:rPr>
          <w:rFonts w:ascii="Verdana" w:hAnsi="Verdana"/>
          <w:sz w:val="20"/>
          <w:szCs w:val="20"/>
        </w:rPr>
        <w:t xml:space="preserve"> Elizabeth Abi-Mershed, Secretaria Ejecutiva Adjunta y Silvia Serrano Guzmán</w:t>
      </w:r>
      <w:r w:rsidR="00CA2925">
        <w:rPr>
          <w:rFonts w:ascii="Verdana" w:hAnsi="Verdana"/>
          <w:sz w:val="20"/>
          <w:szCs w:val="20"/>
        </w:rPr>
        <w:t>,</w:t>
      </w:r>
      <w:r w:rsidRPr="00FC6500">
        <w:rPr>
          <w:rFonts w:ascii="Verdana" w:hAnsi="Verdana"/>
          <w:sz w:val="20"/>
          <w:szCs w:val="20"/>
        </w:rPr>
        <w:t xml:space="preserve"> abogada de la Secretaría Ejecutiva de la CIDH, como asesoras legales. </w:t>
      </w:r>
    </w:p>
    <w:p w14:paraId="762F01D1" w14:textId="77777777" w:rsidR="004B6D86" w:rsidRPr="00E85AD0" w:rsidRDefault="004B6D86" w:rsidP="004B6D86">
      <w:pPr>
        <w:rPr>
          <w:lang w:val="es-CR" w:eastAsia="es-MX"/>
        </w:rPr>
      </w:pPr>
    </w:p>
    <w:p w14:paraId="0465A671" w14:textId="77777777" w:rsidR="004B6D86" w:rsidRPr="00E85AD0" w:rsidRDefault="004B6D86" w:rsidP="004B6D86">
      <w:pPr>
        <w:pStyle w:val="PrrafodeSentencia"/>
        <w:rPr>
          <w:spacing w:val="0"/>
          <w:szCs w:val="20"/>
        </w:rPr>
      </w:pPr>
      <w:r w:rsidRPr="00E85AD0">
        <w:rPr>
          <w:i/>
          <w:spacing w:val="0"/>
          <w:szCs w:val="20"/>
        </w:rPr>
        <w:t xml:space="preserve">Solicitudes de la Comisión. – </w:t>
      </w:r>
      <w:r w:rsidRPr="00E85AD0">
        <w:rPr>
          <w:spacing w:val="0"/>
          <w:szCs w:val="20"/>
        </w:rPr>
        <w:t>Con base en lo anterior, la Comisión Interamericana solicitó a este Tribunal que concluyera y declarara la responsabilidad internacional del Estado de El Salvador por l</w:t>
      </w:r>
      <w:bookmarkEnd w:id="40"/>
      <w:bookmarkEnd w:id="41"/>
      <w:bookmarkEnd w:id="42"/>
      <w:r w:rsidRPr="00E85AD0">
        <w:rPr>
          <w:spacing w:val="0"/>
          <w:szCs w:val="20"/>
        </w:rPr>
        <w:t>a violaciones contendidas en su Informe de Fondo y se ordenara al Estado, como medidas de reparación, las recomendaciones incluidas en dicho informe (</w:t>
      </w:r>
      <w:r w:rsidRPr="00E85AD0">
        <w:rPr>
          <w:i/>
          <w:spacing w:val="0"/>
          <w:szCs w:val="20"/>
        </w:rPr>
        <w:t xml:space="preserve">supra </w:t>
      </w:r>
      <w:r w:rsidRPr="00E85AD0">
        <w:rPr>
          <w:spacing w:val="0"/>
          <w:szCs w:val="20"/>
        </w:rPr>
        <w:t>párr.</w:t>
      </w:r>
      <w:r w:rsidR="00130542" w:rsidRPr="00E85AD0">
        <w:rPr>
          <w:spacing w:val="0"/>
          <w:szCs w:val="20"/>
        </w:rPr>
        <w:t xml:space="preserve"> </w:t>
      </w:r>
      <w:r w:rsidR="00130542" w:rsidRPr="00E85AD0">
        <w:rPr>
          <w:spacing w:val="0"/>
          <w:szCs w:val="20"/>
        </w:rPr>
        <w:fldChar w:fldCharType="begin"/>
      </w:r>
      <w:r w:rsidR="00130542" w:rsidRPr="00E85AD0">
        <w:rPr>
          <w:spacing w:val="0"/>
          <w:szCs w:val="20"/>
        </w:rPr>
        <w:instrText xml:space="preserve"> REF _Ref464811109 \r \h </w:instrText>
      </w:r>
      <w:r w:rsidR="00E85AD0">
        <w:rPr>
          <w:spacing w:val="0"/>
          <w:szCs w:val="20"/>
        </w:rPr>
        <w:instrText xml:space="preserve"> \* MERGEFORMAT </w:instrText>
      </w:r>
      <w:r w:rsidR="00130542" w:rsidRPr="00E85AD0">
        <w:rPr>
          <w:spacing w:val="0"/>
          <w:szCs w:val="20"/>
        </w:rPr>
      </w:r>
      <w:r w:rsidR="00130542" w:rsidRPr="00E85AD0">
        <w:rPr>
          <w:spacing w:val="0"/>
          <w:szCs w:val="20"/>
        </w:rPr>
        <w:fldChar w:fldCharType="separate"/>
      </w:r>
      <w:r w:rsidR="002D28B2">
        <w:rPr>
          <w:spacing w:val="0"/>
          <w:szCs w:val="20"/>
        </w:rPr>
        <w:t>2</w:t>
      </w:r>
      <w:r w:rsidR="00130542" w:rsidRPr="00E85AD0">
        <w:rPr>
          <w:spacing w:val="0"/>
          <w:szCs w:val="20"/>
        </w:rPr>
        <w:fldChar w:fldCharType="end"/>
      </w:r>
      <w:r w:rsidRPr="00E85AD0">
        <w:rPr>
          <w:spacing w:val="0"/>
          <w:szCs w:val="20"/>
        </w:rPr>
        <w:t>).</w:t>
      </w:r>
    </w:p>
    <w:p w14:paraId="4AAEE5BD" w14:textId="77777777" w:rsidR="007808C2" w:rsidRPr="00E85AD0" w:rsidRDefault="007808C2" w:rsidP="007808C2">
      <w:pPr>
        <w:rPr>
          <w:lang w:val="es-CR" w:eastAsia="es-MX"/>
        </w:rPr>
      </w:pPr>
    </w:p>
    <w:p w14:paraId="32B04F57" w14:textId="77777777" w:rsidR="004B6D86" w:rsidRPr="00E85AD0" w:rsidRDefault="004B6D86" w:rsidP="00083001">
      <w:pPr>
        <w:pStyle w:val="Title"/>
      </w:pPr>
      <w:bookmarkStart w:id="45" w:name="_Toc424834680"/>
      <w:bookmarkStart w:id="46" w:name="_Toc427932786"/>
      <w:bookmarkStart w:id="47" w:name="_Toc431584603"/>
      <w:bookmarkStart w:id="48" w:name="_Toc434850391"/>
      <w:bookmarkStart w:id="49" w:name="_Toc469593448"/>
      <w:bookmarkStart w:id="50" w:name="_Toc469594431"/>
      <w:bookmarkStart w:id="51" w:name="_Toc469594533"/>
      <w:bookmarkStart w:id="52" w:name="_Toc469594796"/>
      <w:bookmarkStart w:id="53" w:name="_Toc469594899"/>
      <w:bookmarkStart w:id="54" w:name="_Toc469940915"/>
      <w:bookmarkStart w:id="55" w:name="_Toc192561"/>
      <w:r w:rsidRPr="00E85AD0">
        <w:t>II</w:t>
      </w:r>
      <w:bookmarkStart w:id="56" w:name="_Toc424833997"/>
      <w:bookmarkStart w:id="57" w:name="_Toc424834681"/>
      <w:bookmarkStart w:id="58" w:name="_Toc424834748"/>
      <w:bookmarkStart w:id="59" w:name="_Toc427342825"/>
      <w:bookmarkStart w:id="60" w:name="_Toc427663811"/>
      <w:bookmarkStart w:id="61" w:name="_Toc427932787"/>
      <w:bookmarkStart w:id="62" w:name="_Toc427943550"/>
      <w:bookmarkStart w:id="63" w:name="_Toc427943724"/>
      <w:bookmarkStart w:id="64" w:name="_Toc431584604"/>
      <w:bookmarkStart w:id="65" w:name="_Toc431584720"/>
      <w:bookmarkStart w:id="66" w:name="_Toc431585025"/>
      <w:bookmarkStart w:id="67" w:name="_Toc431646542"/>
      <w:bookmarkStart w:id="68" w:name="_Toc431834525"/>
      <w:bookmarkStart w:id="69" w:name="_Toc431834621"/>
      <w:bookmarkStart w:id="70" w:name="_Toc308537926"/>
      <w:bookmarkStart w:id="71" w:name="_Toc308538146"/>
      <w:bookmarkStart w:id="72" w:name="_Toc434849913"/>
      <w:bookmarkStart w:id="73" w:name="_Toc434850392"/>
      <w:bookmarkStart w:id="74" w:name="_Toc469594900"/>
      <w:bookmarkStart w:id="75" w:name="_Toc469664209"/>
      <w:bookmarkStart w:id="76" w:name="_Toc469664471"/>
      <w:bookmarkStart w:id="77" w:name="_Toc469940916"/>
      <w:bookmarkEnd w:id="45"/>
      <w:bookmarkEnd w:id="46"/>
      <w:bookmarkEnd w:id="47"/>
      <w:bookmarkEnd w:id="48"/>
      <w:bookmarkEnd w:id="49"/>
      <w:bookmarkEnd w:id="50"/>
      <w:bookmarkEnd w:id="51"/>
      <w:bookmarkEnd w:id="52"/>
      <w:bookmarkEnd w:id="53"/>
      <w:bookmarkEnd w:id="54"/>
      <w:r w:rsidR="00083001" w:rsidRPr="00E85AD0">
        <w:br/>
      </w:r>
      <w:r w:rsidRPr="00E85AD0">
        <w:t>PROCEDIMIENTO ANTE LA CORTE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30E0819E" w14:textId="77777777" w:rsidR="004B6D86" w:rsidRPr="00E85AD0" w:rsidRDefault="004B6D86" w:rsidP="004B6D86">
      <w:pPr>
        <w:rPr>
          <w:szCs w:val="20"/>
          <w:lang w:val="es-CR"/>
        </w:rPr>
      </w:pPr>
    </w:p>
    <w:p w14:paraId="2FD9490A" w14:textId="251C4260" w:rsidR="004B6D86" w:rsidRPr="00E85AD0" w:rsidRDefault="004B6D86" w:rsidP="004B6D86">
      <w:pPr>
        <w:pStyle w:val="PrrafodeSentencia"/>
        <w:rPr>
          <w:b/>
          <w:spacing w:val="0"/>
          <w:szCs w:val="20"/>
        </w:rPr>
      </w:pPr>
      <w:bookmarkStart w:id="78" w:name="_Ref357172062"/>
      <w:bookmarkStart w:id="79" w:name="_Ref343555499"/>
      <w:r w:rsidRPr="00E85AD0">
        <w:rPr>
          <w:i/>
          <w:spacing w:val="0"/>
          <w:szCs w:val="20"/>
        </w:rPr>
        <w:t xml:space="preserve">Notificación al Estado y a los representantes. - </w:t>
      </w:r>
      <w:r w:rsidRPr="00E85AD0">
        <w:rPr>
          <w:spacing w:val="0"/>
          <w:szCs w:val="20"/>
        </w:rPr>
        <w:t xml:space="preserve">El sometimiento del caso </w:t>
      </w:r>
      <w:bookmarkEnd w:id="78"/>
      <w:r w:rsidRPr="00E85AD0">
        <w:rPr>
          <w:rFonts w:eastAsia="Times New Roman" w:cs="Times New Roman"/>
          <w:color w:val="161616"/>
          <w:spacing w:val="0"/>
          <w:szCs w:val="20"/>
        </w:rPr>
        <w:t xml:space="preserve">fue notificado </w:t>
      </w:r>
      <w:r w:rsidRPr="00E85AD0">
        <w:rPr>
          <w:rFonts w:eastAsia="Times New Roman" w:cs="Times New Roman"/>
          <w:color w:val="262626"/>
          <w:spacing w:val="0"/>
          <w:szCs w:val="20"/>
        </w:rPr>
        <w:t xml:space="preserve">a los representantes de la presunta víctima y al Estado </w:t>
      </w:r>
      <w:r w:rsidRPr="00E85AD0">
        <w:rPr>
          <w:rFonts w:eastAsia="Times New Roman" w:cs="Times New Roman"/>
          <w:color w:val="161616"/>
          <w:spacing w:val="0"/>
          <w:szCs w:val="20"/>
        </w:rPr>
        <w:t xml:space="preserve">de El Salvador mediante </w:t>
      </w:r>
      <w:r w:rsidRPr="00E85AD0">
        <w:rPr>
          <w:rFonts w:eastAsia="Times New Roman" w:cs="Times New Roman"/>
          <w:color w:val="262626"/>
          <w:spacing w:val="0"/>
          <w:szCs w:val="20"/>
        </w:rPr>
        <w:t xml:space="preserve">comunicación </w:t>
      </w:r>
      <w:r w:rsidRPr="00E85AD0">
        <w:rPr>
          <w:rFonts w:eastAsia="Times New Roman" w:cs="Times New Roman"/>
          <w:color w:val="161616"/>
          <w:spacing w:val="0"/>
          <w:szCs w:val="20"/>
        </w:rPr>
        <w:t>de 6 y 8 de noviembre de 2017, respectivamente</w:t>
      </w:r>
      <w:r w:rsidRPr="00E85AD0">
        <w:rPr>
          <w:spacing w:val="0"/>
          <w:szCs w:val="20"/>
        </w:rPr>
        <w:t>.</w:t>
      </w:r>
      <w:bookmarkEnd w:id="79"/>
      <w:r w:rsidRPr="00E85AD0">
        <w:rPr>
          <w:spacing w:val="0"/>
          <w:szCs w:val="20"/>
        </w:rPr>
        <w:t xml:space="preserve"> </w:t>
      </w:r>
      <w:bookmarkStart w:id="80" w:name="_Ref308343867"/>
      <w:bookmarkStart w:id="81" w:name="_Ref357172044"/>
      <w:bookmarkStart w:id="82" w:name="_Ref464815038"/>
    </w:p>
    <w:p w14:paraId="3DD3D8C7" w14:textId="77777777" w:rsidR="004B6D86" w:rsidRPr="00E85AD0" w:rsidRDefault="004B6D86" w:rsidP="004B6D86">
      <w:pPr>
        <w:rPr>
          <w:lang w:val="es-CR" w:eastAsia="es-MX"/>
        </w:rPr>
      </w:pPr>
    </w:p>
    <w:p w14:paraId="03302376" w14:textId="5C11151E" w:rsidR="004B6D86" w:rsidRPr="00E85AD0" w:rsidRDefault="004B6D86" w:rsidP="004B6D86">
      <w:pPr>
        <w:pStyle w:val="PrrafodeSentencia"/>
        <w:rPr>
          <w:spacing w:val="0"/>
          <w:szCs w:val="20"/>
        </w:rPr>
      </w:pPr>
      <w:r w:rsidRPr="00E85AD0">
        <w:rPr>
          <w:i/>
          <w:spacing w:val="0"/>
          <w:szCs w:val="20"/>
        </w:rPr>
        <w:t>Escrito de solicitudes, argumento</w:t>
      </w:r>
      <w:r w:rsidR="00AE59A9">
        <w:rPr>
          <w:i/>
          <w:spacing w:val="0"/>
          <w:szCs w:val="20"/>
        </w:rPr>
        <w:t>s</w:t>
      </w:r>
      <w:r w:rsidRPr="00E85AD0">
        <w:rPr>
          <w:i/>
          <w:spacing w:val="0"/>
          <w:szCs w:val="20"/>
        </w:rPr>
        <w:t xml:space="preserve"> y pruebas. - </w:t>
      </w:r>
      <w:r w:rsidRPr="00E85AD0">
        <w:rPr>
          <w:spacing w:val="0"/>
          <w:szCs w:val="20"/>
        </w:rPr>
        <w:t>El 20 de diciembre de 2017 el Instituto de Derechos Humanos de la Universidad Centroamericana “José Simeón Cañas” (en adelante “los representantes”)</w:t>
      </w:r>
      <w:r w:rsidR="00806EEE">
        <w:rPr>
          <w:spacing w:val="0"/>
          <w:szCs w:val="20"/>
        </w:rPr>
        <w:t>,</w:t>
      </w:r>
      <w:r w:rsidRPr="00E85AD0">
        <w:rPr>
          <w:spacing w:val="0"/>
          <w:szCs w:val="20"/>
        </w:rPr>
        <w:t xml:space="preserve"> presentaron su escrito de solicitudes, argumentos y pruebas (en adelante “escrito de solicitudes y argumentos”), conforme a los artículos 25 y 40 del Reglamento de la Corte. Los representantes </w:t>
      </w:r>
      <w:bookmarkEnd w:id="80"/>
      <w:bookmarkEnd w:id="81"/>
      <w:bookmarkEnd w:id="82"/>
      <w:r w:rsidRPr="00E85AD0">
        <w:rPr>
          <w:spacing w:val="0"/>
          <w:szCs w:val="20"/>
        </w:rPr>
        <w:t xml:space="preserve">coincidieron sustancialmente </w:t>
      </w:r>
      <w:r w:rsidRPr="00E85AD0">
        <w:rPr>
          <w:rFonts w:cs="Arial"/>
          <w:bCs/>
          <w:spacing w:val="0"/>
          <w:szCs w:val="20"/>
        </w:rPr>
        <w:t>con el objeto de la controversia presentad</w:t>
      </w:r>
      <w:r w:rsidR="006333F2">
        <w:rPr>
          <w:rFonts w:cs="Arial"/>
          <w:bCs/>
          <w:spacing w:val="0"/>
          <w:szCs w:val="20"/>
        </w:rPr>
        <w:t>a</w:t>
      </w:r>
      <w:r w:rsidRPr="00E85AD0">
        <w:rPr>
          <w:rFonts w:cs="Arial"/>
          <w:bCs/>
          <w:spacing w:val="0"/>
          <w:szCs w:val="20"/>
        </w:rPr>
        <w:t xml:space="preserve"> por la Comisión, así como con el marco fáctico y las consideraciones jurídicas</w:t>
      </w:r>
      <w:r w:rsidRPr="00E85AD0">
        <w:rPr>
          <w:spacing w:val="0"/>
          <w:szCs w:val="20"/>
        </w:rPr>
        <w:t xml:space="preserve">. En adición, alegaron la violación al derecho a la presunción de inocencia. </w:t>
      </w:r>
    </w:p>
    <w:p w14:paraId="68CD1F2F" w14:textId="77777777" w:rsidR="004B6D86" w:rsidRPr="00E85AD0" w:rsidRDefault="004B6D86" w:rsidP="004B6D86">
      <w:pPr>
        <w:rPr>
          <w:lang w:val="es-CR" w:eastAsia="es-MX"/>
        </w:rPr>
      </w:pPr>
    </w:p>
    <w:p w14:paraId="33D2F592" w14:textId="4E449507" w:rsidR="008A0925" w:rsidRDefault="004B6D86" w:rsidP="008A0925">
      <w:pPr>
        <w:pStyle w:val="PrrafodeSentencia"/>
        <w:rPr>
          <w:rFonts w:cs="Arial"/>
          <w:b/>
          <w:spacing w:val="0"/>
        </w:rPr>
      </w:pPr>
      <w:bookmarkStart w:id="83" w:name="_Ref308343874"/>
      <w:bookmarkStart w:id="84" w:name="_Ref464815040"/>
      <w:r w:rsidRPr="00E85AD0">
        <w:rPr>
          <w:i/>
          <w:spacing w:val="0"/>
          <w:szCs w:val="20"/>
        </w:rPr>
        <w:t xml:space="preserve">Escrito de contestación. - </w:t>
      </w:r>
      <w:r w:rsidRPr="00E85AD0">
        <w:rPr>
          <w:spacing w:val="0"/>
          <w:szCs w:val="20"/>
        </w:rPr>
        <w:t>El 23 de marzo de 2018 el Estado presentó ante la Corte su escrito de contestación al sometimiento del caso por parte de la Comisión, así como sus observaciones al escrito de solicitudes</w:t>
      </w:r>
      <w:r w:rsidR="007353CB">
        <w:rPr>
          <w:spacing w:val="0"/>
          <w:szCs w:val="20"/>
        </w:rPr>
        <w:t xml:space="preserve"> y</w:t>
      </w:r>
      <w:r w:rsidRPr="00E85AD0">
        <w:rPr>
          <w:spacing w:val="0"/>
          <w:szCs w:val="20"/>
        </w:rPr>
        <w:t xml:space="preserve"> </w:t>
      </w:r>
      <w:r w:rsidR="00E83CED" w:rsidRPr="00E85AD0">
        <w:rPr>
          <w:spacing w:val="0"/>
          <w:szCs w:val="20"/>
        </w:rPr>
        <w:t>argumentos</w:t>
      </w:r>
      <w:r w:rsidRPr="00E85AD0">
        <w:rPr>
          <w:spacing w:val="0"/>
          <w:szCs w:val="20"/>
        </w:rPr>
        <w:t xml:space="preserve"> (en adelante “escrito de contestación”)</w:t>
      </w:r>
      <w:r w:rsidRPr="00E85AD0">
        <w:rPr>
          <w:rStyle w:val="FootnoteReference"/>
          <w:spacing w:val="0"/>
          <w:sz w:val="20"/>
          <w:szCs w:val="20"/>
        </w:rPr>
        <w:footnoteReference w:id="5"/>
      </w:r>
      <w:r w:rsidRPr="00E85AD0">
        <w:rPr>
          <w:spacing w:val="0"/>
          <w:szCs w:val="20"/>
        </w:rPr>
        <w:t xml:space="preserve">. En dicho escrito, el Estado </w:t>
      </w:r>
      <w:bookmarkEnd w:id="83"/>
      <w:bookmarkEnd w:id="84"/>
      <w:r w:rsidRPr="00E85AD0">
        <w:rPr>
          <w:spacing w:val="0"/>
          <w:szCs w:val="20"/>
        </w:rPr>
        <w:t>se opuso a las violaciones alegadas, indicando que los hechos presentados “</w:t>
      </w:r>
      <w:r w:rsidRPr="00E85AD0">
        <w:rPr>
          <w:rFonts w:cs="Arial"/>
          <w:spacing w:val="0"/>
        </w:rPr>
        <w:t>han sido conocidos y decididos por la Sala de lo Constitucional de la Corte Suprema de Justicia de El Salvador”.</w:t>
      </w:r>
      <w:bookmarkStart w:id="85" w:name="_Ref308536157"/>
      <w:bookmarkStart w:id="86" w:name="_Ref427771015"/>
      <w:bookmarkStart w:id="87" w:name="_Ref464836612"/>
    </w:p>
    <w:p w14:paraId="09EE807A" w14:textId="77777777" w:rsidR="008A0925" w:rsidRPr="008A0925" w:rsidRDefault="008A0925" w:rsidP="008A0925">
      <w:pPr>
        <w:rPr>
          <w:lang w:val="es-CR" w:eastAsia="es-MX"/>
        </w:rPr>
      </w:pPr>
    </w:p>
    <w:p w14:paraId="361F553C" w14:textId="2432FFE8" w:rsidR="00482C2F" w:rsidRPr="008A0925" w:rsidRDefault="00482C2F" w:rsidP="008A0925">
      <w:pPr>
        <w:pStyle w:val="PrrafodeSentencia"/>
        <w:rPr>
          <w:rFonts w:cs="Arial"/>
          <w:b/>
          <w:spacing w:val="0"/>
        </w:rPr>
      </w:pPr>
      <w:r w:rsidRPr="008A0925">
        <w:rPr>
          <w:i/>
          <w:spacing w:val="0"/>
          <w:szCs w:val="20"/>
        </w:rPr>
        <w:t xml:space="preserve">Prueba superviniente. – </w:t>
      </w:r>
      <w:r w:rsidRPr="008A0925">
        <w:rPr>
          <w:spacing w:val="0"/>
          <w:szCs w:val="20"/>
        </w:rPr>
        <w:t>El 22 de mayo de 2018 los representantes presentaron determinados documentos alegando que tuvieron acceso a</w:t>
      </w:r>
      <w:r w:rsidR="00806EEE" w:rsidRPr="008A0925">
        <w:rPr>
          <w:spacing w:val="0"/>
          <w:szCs w:val="20"/>
        </w:rPr>
        <w:t xml:space="preserve"> </w:t>
      </w:r>
      <w:r w:rsidRPr="008A0925">
        <w:rPr>
          <w:spacing w:val="0"/>
          <w:szCs w:val="20"/>
        </w:rPr>
        <w:t>l</w:t>
      </w:r>
      <w:r w:rsidR="00806EEE" w:rsidRPr="008A0925">
        <w:rPr>
          <w:spacing w:val="0"/>
          <w:szCs w:val="20"/>
        </w:rPr>
        <w:t>os</w:t>
      </w:r>
      <w:r w:rsidRPr="008A0925">
        <w:rPr>
          <w:spacing w:val="0"/>
          <w:szCs w:val="20"/>
        </w:rPr>
        <w:t xml:space="preserve"> mismo</w:t>
      </w:r>
      <w:r w:rsidR="00806EEE" w:rsidRPr="008A0925">
        <w:rPr>
          <w:spacing w:val="0"/>
          <w:szCs w:val="20"/>
        </w:rPr>
        <w:t>s</w:t>
      </w:r>
      <w:r w:rsidRPr="008A0925">
        <w:rPr>
          <w:spacing w:val="0"/>
          <w:szCs w:val="20"/>
        </w:rPr>
        <w:t xml:space="preserve"> “con posterioridad a la presentación del escrito de solic</w:t>
      </w:r>
      <w:r w:rsidR="00AE28B9" w:rsidRPr="008A0925">
        <w:rPr>
          <w:spacing w:val="0"/>
          <w:szCs w:val="20"/>
        </w:rPr>
        <w:t>itu</w:t>
      </w:r>
      <w:r w:rsidRPr="008A0925">
        <w:rPr>
          <w:spacing w:val="0"/>
          <w:szCs w:val="20"/>
        </w:rPr>
        <w:t xml:space="preserve">des, argumentos y pruebas”. </w:t>
      </w:r>
      <w:r w:rsidR="00245312" w:rsidRPr="004C3FCA">
        <w:rPr>
          <w:spacing w:val="0"/>
          <w:szCs w:val="20"/>
        </w:rPr>
        <w:t>El 22 de enero</w:t>
      </w:r>
      <w:r w:rsidR="008A0925" w:rsidRPr="004C3FCA">
        <w:rPr>
          <w:spacing w:val="0"/>
          <w:szCs w:val="20"/>
        </w:rPr>
        <w:t xml:space="preserve"> de 2019 el Estado presentó </w:t>
      </w:r>
      <w:r w:rsidR="008A0925" w:rsidRPr="004C3FCA">
        <w:rPr>
          <w:rFonts w:eastAsia="Times New Roman" w:cs="79dro"/>
          <w:szCs w:val="20"/>
        </w:rPr>
        <w:t>información adicional proporcionada por el Tribunal Supremo Electoral para complementa</w:t>
      </w:r>
      <w:r w:rsidR="008D5F5C">
        <w:rPr>
          <w:rFonts w:eastAsia="Times New Roman" w:cs="79dro"/>
          <w:szCs w:val="20"/>
        </w:rPr>
        <w:t>r</w:t>
      </w:r>
      <w:r w:rsidR="008A0925" w:rsidRPr="004C3FCA">
        <w:rPr>
          <w:rFonts w:eastAsia="Times New Roman" w:cs="79dro"/>
          <w:szCs w:val="20"/>
        </w:rPr>
        <w:t xml:space="preserve"> la documentación remitida por los representantes el 22 de mayo de 2018. </w:t>
      </w:r>
    </w:p>
    <w:p w14:paraId="12AF238F" w14:textId="77777777" w:rsidR="006333F2" w:rsidRPr="006333F2" w:rsidRDefault="006333F2" w:rsidP="006333F2">
      <w:pPr>
        <w:rPr>
          <w:lang w:val="es-CR" w:eastAsia="es-MX"/>
        </w:rPr>
      </w:pPr>
    </w:p>
    <w:p w14:paraId="2636626F" w14:textId="562878B9" w:rsidR="004B6D86" w:rsidRPr="00E85AD0" w:rsidRDefault="004B6D86" w:rsidP="004B6D86">
      <w:pPr>
        <w:pStyle w:val="PrrafodeSentencia"/>
        <w:rPr>
          <w:spacing w:val="0"/>
          <w:szCs w:val="20"/>
        </w:rPr>
      </w:pPr>
      <w:r w:rsidRPr="00E85AD0">
        <w:rPr>
          <w:i/>
          <w:spacing w:val="0"/>
          <w:szCs w:val="20"/>
        </w:rPr>
        <w:t>Audiencia Pública. –</w:t>
      </w:r>
      <w:bookmarkStart w:id="88" w:name="_Ref354147731"/>
      <w:bookmarkEnd w:id="85"/>
      <w:bookmarkEnd w:id="86"/>
      <w:r w:rsidRPr="00E85AD0">
        <w:rPr>
          <w:i/>
          <w:spacing w:val="0"/>
          <w:szCs w:val="20"/>
        </w:rPr>
        <w:t xml:space="preserve"> </w:t>
      </w:r>
      <w:bookmarkEnd w:id="87"/>
      <w:r w:rsidRPr="00E85AD0">
        <w:rPr>
          <w:spacing w:val="0"/>
          <w:szCs w:val="20"/>
        </w:rPr>
        <w:t>El 21 de agosto de 2018 el Presidente emitió una Resolución mediante la cual convocó a las partes y a la Comisión a la celebración de una audiencia pública, respecto del fondo,</w:t>
      </w:r>
      <w:r w:rsidR="00F11965">
        <w:rPr>
          <w:spacing w:val="0"/>
          <w:szCs w:val="20"/>
        </w:rPr>
        <w:t xml:space="preserve"> y eventuales</w:t>
      </w:r>
      <w:r w:rsidRPr="00E85AD0">
        <w:rPr>
          <w:spacing w:val="0"/>
          <w:szCs w:val="20"/>
        </w:rPr>
        <w:t xml:space="preserve"> reparaciones y costas, para escuchar los alegatos finales orales de las partes y las observaciones finales orales de la Comisión respecto de dichos temas</w:t>
      </w:r>
      <w:bookmarkStart w:id="89" w:name="_Ref499811592"/>
      <w:r w:rsidRPr="00E85AD0">
        <w:rPr>
          <w:rStyle w:val="FootnoteReference"/>
          <w:spacing w:val="0"/>
          <w:sz w:val="20"/>
          <w:szCs w:val="20"/>
        </w:rPr>
        <w:footnoteReference w:id="6"/>
      </w:r>
      <w:bookmarkEnd w:id="89"/>
      <w:r w:rsidRPr="00E85AD0">
        <w:rPr>
          <w:spacing w:val="0"/>
          <w:szCs w:val="20"/>
        </w:rPr>
        <w:t xml:space="preserve">. Asimismo, mediante dicha Resolución, se convocó a declarar en la audiencia pública a la presunta víctima y un perito propuesto por la Comisión, sin embargo posteriormente la Comisión desistió de dicho peritaje. La audiencia pública se celebró el </w:t>
      </w:r>
      <w:r w:rsidR="007353CB">
        <w:rPr>
          <w:spacing w:val="0"/>
        </w:rPr>
        <w:t xml:space="preserve">27 de septiembre de 2018, </w:t>
      </w:r>
      <w:r w:rsidRPr="00E85AD0">
        <w:rPr>
          <w:spacing w:val="0"/>
        </w:rPr>
        <w:t>durante el 127 Período Ordinario de Sesiones, que se llev</w:t>
      </w:r>
      <w:r w:rsidR="007353CB">
        <w:rPr>
          <w:spacing w:val="0"/>
        </w:rPr>
        <w:t>ó</w:t>
      </w:r>
      <w:r w:rsidRPr="00E85AD0">
        <w:rPr>
          <w:spacing w:val="0"/>
        </w:rPr>
        <w:t xml:space="preserve"> a cabo </w:t>
      </w:r>
      <w:r w:rsidRPr="00E85AD0">
        <w:rPr>
          <w:spacing w:val="0"/>
        </w:rPr>
        <w:lastRenderedPageBreak/>
        <w:t>en su sede</w:t>
      </w:r>
      <w:r w:rsidRPr="00E85AD0">
        <w:rPr>
          <w:rStyle w:val="FootnoteReference"/>
          <w:spacing w:val="0"/>
          <w:sz w:val="20"/>
          <w:szCs w:val="20"/>
        </w:rPr>
        <w:footnoteReference w:id="7"/>
      </w:r>
      <w:r w:rsidRPr="00E85AD0">
        <w:rPr>
          <w:spacing w:val="0"/>
          <w:szCs w:val="20"/>
        </w:rPr>
        <w:t>.</w:t>
      </w:r>
      <w:r w:rsidRPr="00E85AD0">
        <w:rPr>
          <w:spacing w:val="0"/>
        </w:rPr>
        <w:t xml:space="preserve"> </w:t>
      </w:r>
      <w:r w:rsidRPr="00E85AD0">
        <w:rPr>
          <w:spacing w:val="0"/>
          <w:szCs w:val="20"/>
        </w:rPr>
        <w:t>En el curso de dicha audiencia, los Jueces de la Corte solicitaron cierta información y explicaciones a las partes y a la Comisión.</w:t>
      </w:r>
      <w:bookmarkStart w:id="90" w:name="_Ref464815046"/>
    </w:p>
    <w:p w14:paraId="0F6B02C3" w14:textId="77777777" w:rsidR="004B6D86" w:rsidRPr="00E85AD0" w:rsidRDefault="004B6D86" w:rsidP="004B6D86">
      <w:pPr>
        <w:rPr>
          <w:lang w:val="es-CR" w:eastAsia="es-MX"/>
        </w:rPr>
      </w:pPr>
    </w:p>
    <w:p w14:paraId="17559C6E" w14:textId="766A4FB7" w:rsidR="004B6D86" w:rsidRPr="00D83992" w:rsidRDefault="004B6D86" w:rsidP="004B6D86">
      <w:pPr>
        <w:pStyle w:val="PrrafodeSentencia"/>
        <w:rPr>
          <w:b/>
          <w:spacing w:val="0"/>
          <w:szCs w:val="20"/>
        </w:rPr>
      </w:pPr>
      <w:r w:rsidRPr="00E85AD0">
        <w:rPr>
          <w:i/>
          <w:spacing w:val="0"/>
          <w:szCs w:val="20"/>
        </w:rPr>
        <w:t xml:space="preserve">Prueba e información para mejor resolver. </w:t>
      </w:r>
      <w:bookmarkStart w:id="91" w:name="_Ref374886052"/>
      <w:bookmarkStart w:id="92" w:name="_Ref368677486"/>
      <w:bookmarkEnd w:id="90"/>
      <w:r w:rsidRPr="00E85AD0">
        <w:rPr>
          <w:i/>
          <w:spacing w:val="0"/>
          <w:szCs w:val="20"/>
        </w:rPr>
        <w:t xml:space="preserve">- </w:t>
      </w:r>
      <w:r w:rsidRPr="00E85AD0">
        <w:rPr>
          <w:spacing w:val="0"/>
        </w:rPr>
        <w:t xml:space="preserve">Las partes presentaron la información y prueba para mejor resolver solicitada por los Jueces en la audiencia pública junto con sus alegatos finales </w:t>
      </w:r>
      <w:r w:rsidRPr="00E85AD0">
        <w:rPr>
          <w:spacing w:val="0"/>
          <w:szCs w:val="20"/>
        </w:rPr>
        <w:t>escritos.</w:t>
      </w:r>
      <w:r w:rsidRPr="00E85AD0">
        <w:rPr>
          <w:spacing w:val="0"/>
        </w:rPr>
        <w:t xml:space="preserve"> </w:t>
      </w:r>
      <w:r w:rsidRPr="00E85AD0">
        <w:rPr>
          <w:spacing w:val="0"/>
          <w:szCs w:val="20"/>
        </w:rPr>
        <w:t xml:space="preserve">Adicionalmente, el </w:t>
      </w:r>
      <w:r w:rsidR="00083001" w:rsidRPr="00E85AD0">
        <w:rPr>
          <w:spacing w:val="0"/>
          <w:szCs w:val="20"/>
        </w:rPr>
        <w:t>9 de octubre</w:t>
      </w:r>
      <w:r w:rsidRPr="00E85AD0">
        <w:rPr>
          <w:spacing w:val="0"/>
          <w:szCs w:val="20"/>
        </w:rPr>
        <w:t xml:space="preserve"> </w:t>
      </w:r>
      <w:r w:rsidR="006333F2">
        <w:rPr>
          <w:spacing w:val="0"/>
          <w:szCs w:val="20"/>
        </w:rPr>
        <w:t xml:space="preserve">y el 30 de noviembre </w:t>
      </w:r>
      <w:r w:rsidRPr="00E85AD0">
        <w:rPr>
          <w:spacing w:val="0"/>
          <w:szCs w:val="20"/>
        </w:rPr>
        <w:t xml:space="preserve">de 2018 el Presidente de la Corte solicitó al Estado la </w:t>
      </w:r>
      <w:r w:rsidRPr="00D83992">
        <w:rPr>
          <w:spacing w:val="0"/>
          <w:szCs w:val="20"/>
        </w:rPr>
        <w:t>presentación de documentación para mejor resolver.</w:t>
      </w:r>
      <w:r w:rsidR="00083001" w:rsidRPr="00D83992">
        <w:rPr>
          <w:spacing w:val="0"/>
          <w:szCs w:val="20"/>
        </w:rPr>
        <w:t xml:space="preserve"> </w:t>
      </w:r>
      <w:r w:rsidRPr="00D83992">
        <w:rPr>
          <w:spacing w:val="0"/>
          <w:szCs w:val="20"/>
        </w:rPr>
        <w:t>El Salvador presentó</w:t>
      </w:r>
      <w:r w:rsidRPr="00D83992">
        <w:rPr>
          <w:spacing w:val="0"/>
        </w:rPr>
        <w:t xml:space="preserve"> dicha información </w:t>
      </w:r>
      <w:r w:rsidR="00083001" w:rsidRPr="00D83992">
        <w:rPr>
          <w:spacing w:val="0"/>
        </w:rPr>
        <w:t>junto con sus alegatos finales escritos</w:t>
      </w:r>
      <w:r w:rsidR="006333F2" w:rsidRPr="00D83992">
        <w:rPr>
          <w:spacing w:val="0"/>
        </w:rPr>
        <w:t xml:space="preserve"> y el </w:t>
      </w:r>
      <w:r w:rsidR="00D83992" w:rsidRPr="00D83992">
        <w:rPr>
          <w:spacing w:val="0"/>
        </w:rPr>
        <w:t>14 de diciembre de 2018</w:t>
      </w:r>
      <w:r w:rsidR="006333F2" w:rsidRPr="00D83992">
        <w:rPr>
          <w:spacing w:val="0"/>
        </w:rPr>
        <w:t>, respectivamente</w:t>
      </w:r>
      <w:r w:rsidR="00083001" w:rsidRPr="00D83992">
        <w:rPr>
          <w:spacing w:val="0"/>
        </w:rPr>
        <w:t>.</w:t>
      </w:r>
      <w:r w:rsidRPr="00D83992">
        <w:rPr>
          <w:spacing w:val="0"/>
        </w:rPr>
        <w:t xml:space="preserve"> </w:t>
      </w:r>
    </w:p>
    <w:bookmarkEnd w:id="91"/>
    <w:bookmarkEnd w:id="92"/>
    <w:p w14:paraId="4A5ED42B" w14:textId="77777777" w:rsidR="004B6D86" w:rsidRPr="00D83992" w:rsidRDefault="004B6D86" w:rsidP="004B6D86">
      <w:pPr>
        <w:rPr>
          <w:lang w:val="es-CR" w:eastAsia="es-MX"/>
        </w:rPr>
      </w:pPr>
    </w:p>
    <w:p w14:paraId="32FE55E8" w14:textId="5C0323D1" w:rsidR="004B6D86" w:rsidRPr="00D83992" w:rsidRDefault="004B6D86" w:rsidP="004B6D86">
      <w:pPr>
        <w:pStyle w:val="PrrafodeSentencia"/>
        <w:rPr>
          <w:spacing w:val="0"/>
          <w:szCs w:val="20"/>
        </w:rPr>
      </w:pPr>
      <w:r w:rsidRPr="00D83992">
        <w:rPr>
          <w:i/>
          <w:spacing w:val="0"/>
          <w:szCs w:val="20"/>
        </w:rPr>
        <w:t xml:space="preserve">Alegatos y observaciones finales escritos. </w:t>
      </w:r>
      <w:bookmarkStart w:id="93" w:name="_Ref374884810"/>
      <w:bookmarkStart w:id="94" w:name="_Ref367791100"/>
      <w:bookmarkEnd w:id="88"/>
      <w:r w:rsidRPr="00D83992">
        <w:rPr>
          <w:i/>
          <w:spacing w:val="0"/>
          <w:szCs w:val="20"/>
        </w:rPr>
        <w:t xml:space="preserve">- </w:t>
      </w:r>
      <w:r w:rsidRPr="00D83992">
        <w:rPr>
          <w:spacing w:val="0"/>
          <w:szCs w:val="20"/>
        </w:rPr>
        <w:t xml:space="preserve"> </w:t>
      </w:r>
      <w:r w:rsidR="00083001" w:rsidRPr="00D83992">
        <w:rPr>
          <w:spacing w:val="0"/>
        </w:rPr>
        <w:t>El 26 de octubre y el 5 de noviembre de 2018 los representantes y el Estado remitieron, respectivamente,</w:t>
      </w:r>
      <w:r w:rsidR="0085136B" w:rsidRPr="00D83992">
        <w:rPr>
          <w:spacing w:val="0"/>
        </w:rPr>
        <w:t xml:space="preserve"> </w:t>
      </w:r>
      <w:r w:rsidR="00083001" w:rsidRPr="00D83992">
        <w:rPr>
          <w:spacing w:val="0"/>
        </w:rPr>
        <w:t>sus alegatos finales escritos, así como determinados anexos, y la Comisión presentó sus observaciones finales escritas.</w:t>
      </w:r>
      <w:r w:rsidR="0085136B" w:rsidRPr="00D83992">
        <w:rPr>
          <w:spacing w:val="0"/>
        </w:rPr>
        <w:t xml:space="preserve"> </w:t>
      </w:r>
    </w:p>
    <w:bookmarkEnd w:id="93"/>
    <w:bookmarkEnd w:id="94"/>
    <w:p w14:paraId="6232686A" w14:textId="77777777" w:rsidR="00083001" w:rsidRPr="00D83992" w:rsidRDefault="00083001" w:rsidP="00083001">
      <w:pPr>
        <w:pStyle w:val="PrrafodeSentencia"/>
        <w:numPr>
          <w:ilvl w:val="0"/>
          <w:numId w:val="0"/>
        </w:numPr>
        <w:rPr>
          <w:spacing w:val="0"/>
          <w:szCs w:val="20"/>
        </w:rPr>
      </w:pPr>
    </w:p>
    <w:p w14:paraId="1ACCCC30" w14:textId="7F81DDE4" w:rsidR="005F2A36" w:rsidRPr="005F2A36" w:rsidRDefault="00083001" w:rsidP="00083001">
      <w:pPr>
        <w:pStyle w:val="PrrafodeSentencia"/>
        <w:rPr>
          <w:spacing w:val="0"/>
        </w:rPr>
      </w:pPr>
      <w:r w:rsidRPr="00D83992">
        <w:rPr>
          <w:i/>
          <w:spacing w:val="0"/>
          <w:szCs w:val="20"/>
        </w:rPr>
        <w:t>Observaciones a la información y prueba para mejor resolver</w:t>
      </w:r>
      <w:r w:rsidRPr="00D83992">
        <w:rPr>
          <w:spacing w:val="0"/>
          <w:szCs w:val="20"/>
        </w:rPr>
        <w:t>. –</w:t>
      </w:r>
      <w:r w:rsidR="005F2A36">
        <w:rPr>
          <w:spacing w:val="0"/>
          <w:szCs w:val="20"/>
        </w:rPr>
        <w:t xml:space="preserve"> El 20 de </w:t>
      </w:r>
      <w:r w:rsidR="005F2A36" w:rsidRPr="00D83992">
        <w:rPr>
          <w:spacing w:val="0"/>
        </w:rPr>
        <w:t>noviembre de 2018</w:t>
      </w:r>
      <w:r w:rsidR="005F2A36">
        <w:rPr>
          <w:spacing w:val="0"/>
        </w:rPr>
        <w:t xml:space="preserve"> </w:t>
      </w:r>
      <w:r w:rsidR="005F2A36" w:rsidRPr="005F2A36">
        <w:t>los representantes presentaron sus observaciones a la documentación presentada por la contraparte junto con sus alegatos finales escritos.</w:t>
      </w:r>
      <w:r w:rsidR="005F2A36">
        <w:t xml:space="preserve"> El 7 y 9 de enero de 2019 la Comisión presentó sus observaciones a la información remitida por el Estado el 14 de diciembre de 2018. </w:t>
      </w:r>
    </w:p>
    <w:p w14:paraId="28D89A0C" w14:textId="77777777" w:rsidR="00482C2F" w:rsidRPr="00F46F62" w:rsidRDefault="00482C2F" w:rsidP="00482C2F">
      <w:pPr>
        <w:rPr>
          <w:highlight w:val="green"/>
          <w:lang w:val="es-CR"/>
        </w:rPr>
      </w:pPr>
    </w:p>
    <w:p w14:paraId="707F380D" w14:textId="63D4B823" w:rsidR="004B6D86" w:rsidRPr="00E85AD0" w:rsidRDefault="004B6D86" w:rsidP="004B6D86">
      <w:pPr>
        <w:pStyle w:val="PrrafodeSentencia"/>
        <w:rPr>
          <w:spacing w:val="0"/>
          <w:szCs w:val="20"/>
        </w:rPr>
      </w:pPr>
      <w:r w:rsidRPr="00E85AD0">
        <w:rPr>
          <w:i/>
          <w:spacing w:val="0"/>
          <w:szCs w:val="20"/>
        </w:rPr>
        <w:t xml:space="preserve">Deliberación del presente caso. - </w:t>
      </w:r>
      <w:r w:rsidRPr="00E85AD0">
        <w:rPr>
          <w:spacing w:val="0"/>
          <w:szCs w:val="20"/>
        </w:rPr>
        <w:t xml:space="preserve">La Corte inició la deliberación de la presente Sentencia el </w:t>
      </w:r>
      <w:r w:rsidR="004C3FCA">
        <w:rPr>
          <w:spacing w:val="0"/>
          <w:szCs w:val="20"/>
        </w:rPr>
        <w:t>4</w:t>
      </w:r>
      <w:r w:rsidR="00934E77" w:rsidRPr="00E85AD0">
        <w:rPr>
          <w:spacing w:val="0"/>
          <w:szCs w:val="20"/>
        </w:rPr>
        <w:t xml:space="preserve"> de febrero de 2019.</w:t>
      </w:r>
    </w:p>
    <w:p w14:paraId="5B963379" w14:textId="77777777" w:rsidR="004B6D86" w:rsidRPr="00E85AD0" w:rsidRDefault="004B6D86" w:rsidP="004B6D86">
      <w:pPr>
        <w:pStyle w:val="NoSpacing"/>
        <w:tabs>
          <w:tab w:val="left" w:pos="567"/>
        </w:tabs>
        <w:rPr>
          <w:rStyle w:val="CommentReference"/>
          <w:rFonts w:eastAsia="MS Mincho"/>
          <w:sz w:val="20"/>
          <w:szCs w:val="20"/>
          <w:lang w:val="es-CR"/>
        </w:rPr>
      </w:pPr>
    </w:p>
    <w:p w14:paraId="2C418066" w14:textId="77777777" w:rsidR="004B6D86" w:rsidRPr="00E85AD0" w:rsidRDefault="004B6D86" w:rsidP="00083001">
      <w:pPr>
        <w:pStyle w:val="Title"/>
        <w:rPr>
          <w:snapToGrid w:val="0"/>
        </w:rPr>
      </w:pPr>
      <w:bookmarkStart w:id="95" w:name="_Toc424834682"/>
      <w:bookmarkStart w:id="96" w:name="_Toc427932788"/>
      <w:bookmarkStart w:id="97" w:name="_Toc431584605"/>
      <w:bookmarkStart w:id="98" w:name="_Toc434850393"/>
      <w:bookmarkStart w:id="99" w:name="_Toc469593450"/>
      <w:bookmarkStart w:id="100" w:name="_Toc469594433"/>
      <w:bookmarkStart w:id="101" w:name="_Toc469594535"/>
      <w:bookmarkStart w:id="102" w:name="_Toc469594798"/>
      <w:bookmarkStart w:id="103" w:name="_Toc469594901"/>
      <w:bookmarkStart w:id="104" w:name="_Toc469940917"/>
      <w:bookmarkStart w:id="105" w:name="_Toc192562"/>
      <w:r w:rsidRPr="00E85AD0">
        <w:rPr>
          <w:snapToGrid w:val="0"/>
        </w:rPr>
        <w:t>III</w:t>
      </w:r>
      <w:bookmarkStart w:id="106" w:name="_Toc375062724"/>
      <w:bookmarkStart w:id="107" w:name="_Toc375140874"/>
      <w:bookmarkStart w:id="108" w:name="_Toc375504833"/>
      <w:bookmarkStart w:id="109" w:name="_Toc375560907"/>
      <w:bookmarkStart w:id="110" w:name="_Toc395213493"/>
      <w:bookmarkStart w:id="111" w:name="_Toc396514850"/>
      <w:bookmarkStart w:id="112" w:name="_Toc396515126"/>
      <w:bookmarkStart w:id="113" w:name="_Toc402039405"/>
      <w:bookmarkStart w:id="114" w:name="_Toc403670648"/>
      <w:bookmarkStart w:id="115" w:name="_Toc403671384"/>
      <w:bookmarkStart w:id="116" w:name="_Toc405774576"/>
      <w:bookmarkStart w:id="117" w:name="_Toc405857779"/>
      <w:bookmarkStart w:id="118" w:name="_Toc424833999"/>
      <w:bookmarkStart w:id="119" w:name="_Toc424834683"/>
      <w:bookmarkStart w:id="120" w:name="_Toc424834750"/>
      <w:bookmarkStart w:id="121" w:name="_Toc427234538"/>
      <w:bookmarkStart w:id="122" w:name="_Toc427342827"/>
      <w:bookmarkStart w:id="123" w:name="_Toc427663813"/>
      <w:bookmarkStart w:id="124" w:name="_Toc427932789"/>
      <w:bookmarkStart w:id="125" w:name="_Toc427943552"/>
      <w:bookmarkStart w:id="126" w:name="_Toc427943726"/>
      <w:bookmarkStart w:id="127" w:name="_Toc431584606"/>
      <w:bookmarkStart w:id="128" w:name="_Toc431584722"/>
      <w:bookmarkStart w:id="129" w:name="_Toc431585027"/>
      <w:bookmarkStart w:id="130" w:name="_Toc431646544"/>
      <w:bookmarkStart w:id="131" w:name="_Toc431834623"/>
      <w:bookmarkStart w:id="132" w:name="_Toc308537928"/>
      <w:bookmarkStart w:id="133" w:name="_Toc308538148"/>
      <w:bookmarkStart w:id="134" w:name="_Toc434849915"/>
      <w:bookmarkStart w:id="135" w:name="_Toc434850394"/>
      <w:bookmarkStart w:id="136" w:name="_Toc469594902"/>
      <w:bookmarkStart w:id="137" w:name="_Toc469664211"/>
      <w:bookmarkStart w:id="138" w:name="_Toc469664473"/>
      <w:bookmarkStart w:id="139" w:name="_Toc469940918"/>
      <w:bookmarkEnd w:id="95"/>
      <w:bookmarkEnd w:id="96"/>
      <w:bookmarkEnd w:id="97"/>
      <w:bookmarkEnd w:id="98"/>
      <w:bookmarkEnd w:id="99"/>
      <w:bookmarkEnd w:id="100"/>
      <w:bookmarkEnd w:id="101"/>
      <w:bookmarkEnd w:id="102"/>
      <w:bookmarkEnd w:id="103"/>
      <w:bookmarkEnd w:id="104"/>
      <w:r w:rsidR="00083001" w:rsidRPr="00E85AD0">
        <w:rPr>
          <w:snapToGrid w:val="0"/>
        </w:rPr>
        <w:br/>
      </w:r>
      <w:r w:rsidRPr="00E85AD0">
        <w:rPr>
          <w:snapToGrid w:val="0"/>
        </w:rPr>
        <w:t>COMPETENCIA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7E7A1EB" w14:textId="77777777" w:rsidR="004B6D86" w:rsidRPr="00E85AD0" w:rsidRDefault="004B6D86" w:rsidP="004B6D86">
      <w:pPr>
        <w:pStyle w:val="NoSpacing"/>
        <w:tabs>
          <w:tab w:val="left" w:pos="567"/>
        </w:tabs>
        <w:rPr>
          <w:rFonts w:ascii="Verdana" w:hAnsi="Verdana"/>
          <w:sz w:val="20"/>
          <w:szCs w:val="20"/>
          <w:lang w:val="es-CR"/>
        </w:rPr>
      </w:pPr>
    </w:p>
    <w:p w14:paraId="3C3B9E8C" w14:textId="5A828EE1" w:rsidR="004B6D86" w:rsidRPr="00E85AD0" w:rsidRDefault="004B6D86" w:rsidP="004B6D86">
      <w:pPr>
        <w:pStyle w:val="PrrafodeSentencia"/>
        <w:rPr>
          <w:spacing w:val="0"/>
          <w:szCs w:val="20"/>
        </w:rPr>
      </w:pPr>
      <w:r w:rsidRPr="00E85AD0">
        <w:rPr>
          <w:spacing w:val="0"/>
          <w:szCs w:val="20"/>
        </w:rPr>
        <w:t xml:space="preserve">La Corte es competente para conocer el presente caso, en los términos del artículo 62.3 de la Convención, en razón de que El Salvador es Estado Parte </w:t>
      </w:r>
      <w:r w:rsidRPr="00E85AD0">
        <w:rPr>
          <w:spacing w:val="0"/>
        </w:rPr>
        <w:t>de dicho instrumento desde e</w:t>
      </w:r>
      <w:r w:rsidRPr="00E85AD0">
        <w:rPr>
          <w:spacing w:val="0"/>
          <w:szCs w:val="20"/>
        </w:rPr>
        <w:t>l 2</w:t>
      </w:r>
      <w:r w:rsidR="006B122D">
        <w:rPr>
          <w:spacing w:val="0"/>
          <w:szCs w:val="20"/>
        </w:rPr>
        <w:t>3</w:t>
      </w:r>
      <w:r w:rsidRPr="00E85AD0">
        <w:rPr>
          <w:spacing w:val="0"/>
          <w:szCs w:val="20"/>
        </w:rPr>
        <w:t xml:space="preserve"> de junio de 1978 y reconoció la competencia contenciosa de la Corte el 6 de junio de 1995. </w:t>
      </w:r>
    </w:p>
    <w:p w14:paraId="563E2318" w14:textId="77777777" w:rsidR="004B6D86" w:rsidRPr="00E85AD0" w:rsidRDefault="004B6D86" w:rsidP="004B6D86">
      <w:pPr>
        <w:rPr>
          <w:lang w:val="es-CR" w:eastAsia="es-MX"/>
        </w:rPr>
      </w:pPr>
    </w:p>
    <w:p w14:paraId="28D53F70" w14:textId="77777777" w:rsidR="004B6D86" w:rsidRPr="00E85AD0" w:rsidRDefault="004B6D86" w:rsidP="004B6D86">
      <w:pPr>
        <w:pStyle w:val="Title"/>
        <w:tabs>
          <w:tab w:val="left" w:pos="567"/>
        </w:tabs>
      </w:pPr>
      <w:bookmarkStart w:id="140" w:name="_Toc524880312"/>
      <w:bookmarkStart w:id="141" w:name="_Toc192563"/>
      <w:r w:rsidRPr="00E85AD0">
        <w:t>IV</w:t>
      </w:r>
      <w:r w:rsidRPr="00E85AD0">
        <w:br/>
        <w:t>PRUEBA</w:t>
      </w:r>
      <w:bookmarkEnd w:id="140"/>
      <w:bookmarkEnd w:id="141"/>
    </w:p>
    <w:p w14:paraId="17EF7EDC" w14:textId="77777777" w:rsidR="004B6D86" w:rsidRPr="00E85AD0" w:rsidRDefault="004B6D86" w:rsidP="004B6D86">
      <w:pPr>
        <w:tabs>
          <w:tab w:val="left" w:pos="567"/>
        </w:tabs>
        <w:rPr>
          <w:lang w:val="es-ES" w:eastAsia="es-MX"/>
        </w:rPr>
      </w:pPr>
    </w:p>
    <w:p w14:paraId="59E28939" w14:textId="77777777" w:rsidR="004B6D86" w:rsidRPr="00E85AD0" w:rsidRDefault="004B6D86" w:rsidP="00316BCD">
      <w:pPr>
        <w:pStyle w:val="Heading2"/>
        <w:numPr>
          <w:ilvl w:val="1"/>
          <w:numId w:val="10"/>
        </w:numPr>
        <w:ind w:left="567" w:firstLine="0"/>
      </w:pPr>
      <w:bookmarkStart w:id="142" w:name="_Toc524880313"/>
      <w:bookmarkStart w:id="143" w:name="_Toc516046338"/>
      <w:bookmarkStart w:id="144" w:name="_Toc486842912"/>
      <w:bookmarkStart w:id="145" w:name="_Toc486842774"/>
      <w:bookmarkStart w:id="146" w:name="_Toc486693358"/>
      <w:bookmarkStart w:id="147" w:name="_Toc192564"/>
      <w:r w:rsidRPr="00E85AD0">
        <w:t>Admisibilidad de la prueba documental</w:t>
      </w:r>
      <w:bookmarkEnd w:id="142"/>
      <w:bookmarkEnd w:id="143"/>
      <w:bookmarkEnd w:id="144"/>
      <w:bookmarkEnd w:id="145"/>
      <w:bookmarkEnd w:id="146"/>
      <w:bookmarkEnd w:id="147"/>
    </w:p>
    <w:p w14:paraId="62B73E99" w14:textId="77777777" w:rsidR="004B6D86" w:rsidRPr="00E85AD0" w:rsidRDefault="004B6D86" w:rsidP="004B6D86">
      <w:pPr>
        <w:pStyle w:val="ListParagraph"/>
        <w:tabs>
          <w:tab w:val="left" w:pos="567"/>
        </w:tabs>
        <w:autoSpaceDE w:val="0"/>
        <w:autoSpaceDN w:val="0"/>
        <w:adjustRightInd w:val="0"/>
        <w:ind w:left="900"/>
        <w:jc w:val="both"/>
        <w:rPr>
          <w:b/>
          <w:i/>
          <w:szCs w:val="20"/>
        </w:rPr>
      </w:pPr>
    </w:p>
    <w:p w14:paraId="34C7A610" w14:textId="77777777" w:rsidR="004C3FCA" w:rsidRDefault="004C3FCA" w:rsidP="004C3FCA">
      <w:pPr>
        <w:pStyle w:val="PrrafodeSentencia"/>
        <w:numPr>
          <w:ilvl w:val="0"/>
          <w:numId w:val="10"/>
        </w:numPr>
        <w:ind w:left="0" w:firstLine="0"/>
        <w:rPr>
          <w:spacing w:val="0"/>
        </w:rPr>
      </w:pPr>
      <w:r w:rsidRPr="00E85AD0">
        <w:rPr>
          <w:spacing w:val="0"/>
        </w:rPr>
        <w:t xml:space="preserve">El Tribunal </w:t>
      </w:r>
      <w:r w:rsidRPr="004C3FCA">
        <w:rPr>
          <w:spacing w:val="0"/>
        </w:rPr>
        <w:t xml:space="preserve">recibió diversos documentos presentados como prueba por la Comisión, los representantes y el Estado, así como también aquellos solicitados por la Corte o su Presidencia como </w:t>
      </w:r>
      <w:r w:rsidRPr="004C3FCA">
        <w:rPr>
          <w:spacing w:val="0"/>
          <w:szCs w:val="20"/>
        </w:rPr>
        <w:t>prueba</w:t>
      </w:r>
      <w:r w:rsidRPr="00E85AD0">
        <w:rPr>
          <w:spacing w:val="0"/>
          <w:szCs w:val="20"/>
        </w:rPr>
        <w:t xml:space="preserve"> para mejor resolver</w:t>
      </w:r>
      <w:r w:rsidRPr="00E85AD0">
        <w:rPr>
          <w:spacing w:val="0"/>
        </w:rPr>
        <w:t xml:space="preserve">, los </w:t>
      </w:r>
      <w:r w:rsidRPr="00E85AD0">
        <w:rPr>
          <w:spacing w:val="0"/>
          <w:szCs w:val="20"/>
        </w:rPr>
        <w:t>cuales, como en otros casos, admite en el entendido que fueron presentados en la debida oportunidad procesal (artículo 57 del Reglamento)</w:t>
      </w:r>
      <w:r w:rsidRPr="00E85AD0">
        <w:rPr>
          <w:rStyle w:val="FootnoteReference"/>
          <w:spacing w:val="0"/>
          <w:sz w:val="20"/>
          <w:szCs w:val="20"/>
        </w:rPr>
        <w:footnoteReference w:id="8"/>
      </w:r>
      <w:r w:rsidRPr="00E85AD0">
        <w:rPr>
          <w:spacing w:val="0"/>
          <w:szCs w:val="20"/>
        </w:rPr>
        <w:t xml:space="preserve"> y su admisibilidad no fue controvertida ni objetada</w:t>
      </w:r>
      <w:r w:rsidRPr="00E85AD0">
        <w:rPr>
          <w:rStyle w:val="FootnoteReference"/>
          <w:spacing w:val="0"/>
          <w:sz w:val="20"/>
          <w:szCs w:val="20"/>
        </w:rPr>
        <w:footnoteReference w:id="9"/>
      </w:r>
      <w:r w:rsidRPr="00E85AD0">
        <w:rPr>
          <w:spacing w:val="0"/>
          <w:szCs w:val="20"/>
        </w:rPr>
        <w:t>.</w:t>
      </w:r>
      <w:r w:rsidRPr="00E85AD0">
        <w:rPr>
          <w:spacing w:val="0"/>
        </w:rPr>
        <w:t xml:space="preserve"> </w:t>
      </w:r>
    </w:p>
    <w:p w14:paraId="2B7CB3B9" w14:textId="77777777" w:rsidR="00482C2F" w:rsidRPr="00F46F62" w:rsidRDefault="00482C2F" w:rsidP="00482C2F">
      <w:pPr>
        <w:rPr>
          <w:lang w:val="es-CR"/>
        </w:rPr>
      </w:pPr>
    </w:p>
    <w:p w14:paraId="57F34D9F" w14:textId="0E0E4C1F" w:rsidR="00482C2F" w:rsidRPr="00485504" w:rsidRDefault="00482C2F" w:rsidP="00485504">
      <w:pPr>
        <w:pStyle w:val="PrrafodeSentencia"/>
        <w:numPr>
          <w:ilvl w:val="0"/>
          <w:numId w:val="10"/>
        </w:numPr>
        <w:ind w:left="0" w:firstLine="0"/>
        <w:rPr>
          <w:spacing w:val="0"/>
        </w:rPr>
      </w:pPr>
      <w:bookmarkStart w:id="148" w:name="_Ref798064"/>
      <w:r w:rsidRPr="00482C2F">
        <w:rPr>
          <w:spacing w:val="0"/>
          <w:szCs w:val="20"/>
        </w:rPr>
        <w:t>El 22 de mayo de 2018 los representantes presentaron determinados documentos alegando que tuvieron acceso a</w:t>
      </w:r>
      <w:r w:rsidR="00743225">
        <w:rPr>
          <w:spacing w:val="0"/>
          <w:szCs w:val="20"/>
        </w:rPr>
        <w:t xml:space="preserve"> </w:t>
      </w:r>
      <w:r w:rsidRPr="00482C2F">
        <w:rPr>
          <w:spacing w:val="0"/>
          <w:szCs w:val="20"/>
        </w:rPr>
        <w:t>l</w:t>
      </w:r>
      <w:r w:rsidR="00743225">
        <w:rPr>
          <w:spacing w:val="0"/>
          <w:szCs w:val="20"/>
        </w:rPr>
        <w:t>os</w:t>
      </w:r>
      <w:r w:rsidRPr="00482C2F">
        <w:rPr>
          <w:spacing w:val="0"/>
          <w:szCs w:val="20"/>
        </w:rPr>
        <w:t xml:space="preserve"> mismo</w:t>
      </w:r>
      <w:r w:rsidR="00743225">
        <w:rPr>
          <w:spacing w:val="0"/>
          <w:szCs w:val="20"/>
        </w:rPr>
        <w:t>s</w:t>
      </w:r>
      <w:r w:rsidRPr="00482C2F">
        <w:rPr>
          <w:spacing w:val="0"/>
          <w:szCs w:val="20"/>
        </w:rPr>
        <w:t xml:space="preserve"> “con posterioridad a la presentación del escrito de solic</w:t>
      </w:r>
      <w:r w:rsidR="00D80B6E">
        <w:rPr>
          <w:spacing w:val="0"/>
          <w:szCs w:val="20"/>
        </w:rPr>
        <w:t>i</w:t>
      </w:r>
      <w:r w:rsidRPr="00482C2F">
        <w:rPr>
          <w:spacing w:val="0"/>
          <w:szCs w:val="20"/>
        </w:rPr>
        <w:t>t</w:t>
      </w:r>
      <w:r w:rsidR="00D80B6E">
        <w:rPr>
          <w:spacing w:val="0"/>
          <w:szCs w:val="20"/>
        </w:rPr>
        <w:t>u</w:t>
      </w:r>
      <w:r w:rsidRPr="00482C2F">
        <w:rPr>
          <w:spacing w:val="0"/>
          <w:szCs w:val="20"/>
        </w:rPr>
        <w:t>des, argumentos y pruebas</w:t>
      </w:r>
      <w:r w:rsidRPr="00A93988">
        <w:rPr>
          <w:spacing w:val="0"/>
          <w:szCs w:val="20"/>
        </w:rPr>
        <w:t>”</w:t>
      </w:r>
      <w:r w:rsidR="004C3FCA" w:rsidRPr="00A93988">
        <w:rPr>
          <w:rStyle w:val="FootnoteReference"/>
          <w:spacing w:val="0"/>
          <w:sz w:val="20"/>
          <w:szCs w:val="20"/>
        </w:rPr>
        <w:footnoteReference w:id="10"/>
      </w:r>
      <w:r w:rsidRPr="00A93988">
        <w:rPr>
          <w:spacing w:val="0"/>
          <w:szCs w:val="20"/>
        </w:rPr>
        <w:t>.</w:t>
      </w:r>
      <w:r w:rsidRPr="00482C2F">
        <w:rPr>
          <w:spacing w:val="0"/>
          <w:szCs w:val="20"/>
        </w:rPr>
        <w:t xml:space="preserve"> </w:t>
      </w:r>
      <w:r w:rsidR="00063C01">
        <w:rPr>
          <w:spacing w:val="0"/>
          <w:szCs w:val="20"/>
        </w:rPr>
        <w:t>El 29 de mayo de 2018 se transmitió dicha documentación al Estado y a la Comisión señalando que podrían presentar observa</w:t>
      </w:r>
      <w:r w:rsidR="00D80B6E">
        <w:rPr>
          <w:spacing w:val="0"/>
          <w:szCs w:val="20"/>
        </w:rPr>
        <w:t>c</w:t>
      </w:r>
      <w:r w:rsidR="00063C01">
        <w:rPr>
          <w:spacing w:val="0"/>
          <w:szCs w:val="20"/>
        </w:rPr>
        <w:t>iones al respecto en los alegatos finales orales o escritos. La Corte advierte que la do</w:t>
      </w:r>
      <w:r w:rsidR="00485504">
        <w:rPr>
          <w:spacing w:val="0"/>
          <w:szCs w:val="20"/>
        </w:rPr>
        <w:t>cumentación presentada fue solic</w:t>
      </w:r>
      <w:r w:rsidR="00063C01">
        <w:rPr>
          <w:spacing w:val="0"/>
          <w:szCs w:val="20"/>
        </w:rPr>
        <w:t>itada por los representantes al Tribunal Supremo Electoral</w:t>
      </w:r>
      <w:r w:rsidR="00485504">
        <w:rPr>
          <w:spacing w:val="0"/>
          <w:szCs w:val="20"/>
        </w:rPr>
        <w:t xml:space="preserve"> el 27 de noviembre </w:t>
      </w:r>
      <w:r w:rsidR="00485504" w:rsidRPr="00485504">
        <w:rPr>
          <w:spacing w:val="0"/>
          <w:szCs w:val="20"/>
        </w:rPr>
        <w:t xml:space="preserve">de 2017 y el </w:t>
      </w:r>
      <w:r w:rsidR="00E313D7">
        <w:rPr>
          <w:spacing w:val="0"/>
          <w:szCs w:val="20"/>
        </w:rPr>
        <w:t>26</w:t>
      </w:r>
      <w:r w:rsidR="00485504" w:rsidRPr="00485504">
        <w:rPr>
          <w:spacing w:val="0"/>
          <w:szCs w:val="20"/>
        </w:rPr>
        <w:t xml:space="preserve"> de enero de 2018</w:t>
      </w:r>
      <w:r w:rsidR="00485504" w:rsidRPr="00485504">
        <w:rPr>
          <w:rStyle w:val="FootnoteReference"/>
          <w:spacing w:val="0"/>
          <w:sz w:val="20"/>
          <w:szCs w:val="20"/>
        </w:rPr>
        <w:footnoteReference w:id="11"/>
      </w:r>
      <w:r w:rsidR="00485504" w:rsidRPr="00485504">
        <w:rPr>
          <w:spacing w:val="0"/>
          <w:szCs w:val="20"/>
        </w:rPr>
        <w:t xml:space="preserve">, el cual dio respuesta el </w:t>
      </w:r>
      <w:r w:rsidR="00E313D7">
        <w:rPr>
          <w:spacing w:val="0"/>
          <w:szCs w:val="20"/>
        </w:rPr>
        <w:t>5</w:t>
      </w:r>
      <w:r w:rsidR="00485504" w:rsidRPr="00485504">
        <w:rPr>
          <w:spacing w:val="0"/>
          <w:szCs w:val="20"/>
        </w:rPr>
        <w:t xml:space="preserve"> de enero y el 1</w:t>
      </w:r>
      <w:r w:rsidR="00485504">
        <w:rPr>
          <w:spacing w:val="0"/>
          <w:szCs w:val="20"/>
        </w:rPr>
        <w:t>5</w:t>
      </w:r>
      <w:r w:rsidR="00485504" w:rsidRPr="00485504">
        <w:rPr>
          <w:spacing w:val="0"/>
          <w:szCs w:val="20"/>
        </w:rPr>
        <w:t xml:space="preserve"> </w:t>
      </w:r>
      <w:r w:rsidR="00063C01" w:rsidRPr="00485504">
        <w:rPr>
          <w:spacing w:val="0"/>
          <w:szCs w:val="20"/>
        </w:rPr>
        <w:t>de mayo de 2018</w:t>
      </w:r>
      <w:r w:rsidR="00485504" w:rsidRPr="00485504">
        <w:rPr>
          <w:rStyle w:val="FootnoteReference"/>
          <w:spacing w:val="0"/>
          <w:sz w:val="20"/>
          <w:szCs w:val="20"/>
        </w:rPr>
        <w:footnoteReference w:id="12"/>
      </w:r>
      <w:r w:rsidR="00485504" w:rsidRPr="00485504">
        <w:rPr>
          <w:spacing w:val="0"/>
          <w:szCs w:val="20"/>
        </w:rPr>
        <w:t>.</w:t>
      </w:r>
      <w:r w:rsidR="00063C01" w:rsidRPr="00485504">
        <w:rPr>
          <w:b/>
          <w:spacing w:val="0"/>
          <w:szCs w:val="20"/>
        </w:rPr>
        <w:t xml:space="preserve"> </w:t>
      </w:r>
      <w:r w:rsidR="00485504">
        <w:rPr>
          <w:spacing w:val="0"/>
          <w:szCs w:val="20"/>
        </w:rPr>
        <w:t xml:space="preserve">Por tanto, los representantes no tenían acceso a la misma al momento de presentar el escrito de solicitudes y argumentos, </w:t>
      </w:r>
      <w:r w:rsidR="00063C01" w:rsidRPr="00485504">
        <w:rPr>
          <w:spacing w:val="0"/>
          <w:szCs w:val="20"/>
        </w:rPr>
        <w:t xml:space="preserve">por lo que </w:t>
      </w:r>
      <w:r w:rsidR="00360A1E">
        <w:rPr>
          <w:spacing w:val="0"/>
          <w:szCs w:val="20"/>
        </w:rPr>
        <w:t xml:space="preserve">la Corte </w:t>
      </w:r>
      <w:r w:rsidR="00063C01" w:rsidRPr="00485504">
        <w:rPr>
          <w:spacing w:val="0"/>
          <w:szCs w:val="20"/>
        </w:rPr>
        <w:t>considera que la misma debe ser admitida</w:t>
      </w:r>
      <w:r w:rsidR="00485504">
        <w:rPr>
          <w:spacing w:val="0"/>
          <w:szCs w:val="20"/>
        </w:rPr>
        <w:t>.</w:t>
      </w:r>
      <w:bookmarkEnd w:id="148"/>
      <w:r w:rsidR="00063C01" w:rsidRPr="00485504">
        <w:rPr>
          <w:spacing w:val="0"/>
          <w:szCs w:val="20"/>
        </w:rPr>
        <w:t xml:space="preserve"> </w:t>
      </w:r>
    </w:p>
    <w:p w14:paraId="580EC312" w14:textId="77777777" w:rsidR="004B6D86" w:rsidRPr="00E85AD0" w:rsidRDefault="004B6D86" w:rsidP="004B6D86">
      <w:pPr>
        <w:rPr>
          <w:lang w:val="es-CR" w:eastAsia="es-MX"/>
        </w:rPr>
      </w:pPr>
    </w:p>
    <w:p w14:paraId="02E5FE2B" w14:textId="77777777" w:rsidR="004C3FCA" w:rsidRDefault="00AE7A17" w:rsidP="004B6D86">
      <w:pPr>
        <w:pStyle w:val="PrrafodeSentencia"/>
        <w:numPr>
          <w:ilvl w:val="0"/>
          <w:numId w:val="10"/>
        </w:numPr>
        <w:ind w:left="0" w:firstLine="0"/>
      </w:pPr>
      <w:r w:rsidRPr="00293673">
        <w:rPr>
          <w:spacing w:val="0"/>
        </w:rPr>
        <w:t>Por otro lado, junto con los alegatos</w:t>
      </w:r>
      <w:r w:rsidR="00293673" w:rsidRPr="00293673">
        <w:rPr>
          <w:spacing w:val="0"/>
        </w:rPr>
        <w:t xml:space="preserve"> finales escritos </w:t>
      </w:r>
      <w:r w:rsidR="00360A1E">
        <w:rPr>
          <w:spacing w:val="0"/>
        </w:rPr>
        <w:t>el Estad</w:t>
      </w:r>
      <w:r w:rsidR="00A51186">
        <w:rPr>
          <w:spacing w:val="0"/>
        </w:rPr>
        <w:t>o</w:t>
      </w:r>
      <w:r w:rsidR="00360A1E">
        <w:rPr>
          <w:spacing w:val="0"/>
        </w:rPr>
        <w:t xml:space="preserve"> presentó </w:t>
      </w:r>
      <w:r w:rsidR="00293673" w:rsidRPr="00293673">
        <w:rPr>
          <w:spacing w:val="0"/>
        </w:rPr>
        <w:t xml:space="preserve">determinada documentación adicional a la solicitada como prueba para mejor resolver. Este Tribunal nota que los </w:t>
      </w:r>
      <w:r w:rsidR="00293673" w:rsidRPr="00743225">
        <w:rPr>
          <w:spacing w:val="0"/>
        </w:rPr>
        <w:t xml:space="preserve">anexos 3, 4, 5 y 6 ya formaban parte del expediente, </w:t>
      </w:r>
      <w:r w:rsidR="00293673" w:rsidRPr="00743225">
        <w:t>por lo cual no estima necesario un pronunciamiento separado sobre la admisibilidad de las copias aportadas junto con los alegatos finales escritos</w:t>
      </w:r>
      <w:r w:rsidR="004C3FCA" w:rsidRPr="00743225">
        <w:rPr>
          <w:rStyle w:val="FootnoteReference"/>
          <w:sz w:val="20"/>
          <w:szCs w:val="20"/>
        </w:rPr>
        <w:footnoteReference w:id="13"/>
      </w:r>
      <w:r w:rsidR="004C3FCA" w:rsidRPr="00743225">
        <w:t>.</w:t>
      </w:r>
      <w:r w:rsidR="00AF7645" w:rsidRPr="00743225">
        <w:t xml:space="preserve"> Por otro lado, los anexos 10, 11 y 16, la Corte estima que el Estado no ha justificado su presentación</w:t>
      </w:r>
      <w:r w:rsidR="00AF7645">
        <w:t xml:space="preserve"> posterior al momento procesal oportuno, es decir, el escrito de </w:t>
      </w:r>
      <w:r w:rsidR="00AF7645" w:rsidRPr="00A23DF4">
        <w:t>contestación</w:t>
      </w:r>
      <w:r w:rsidR="004C3FCA" w:rsidRPr="00A23DF4">
        <w:rPr>
          <w:rStyle w:val="FootnoteReference"/>
          <w:sz w:val="20"/>
          <w:szCs w:val="20"/>
        </w:rPr>
        <w:footnoteReference w:id="14"/>
      </w:r>
      <w:r w:rsidR="004C3FCA" w:rsidRPr="00A23DF4">
        <w:t>.</w:t>
      </w:r>
      <w:r w:rsidR="004C3FCA">
        <w:t xml:space="preserve"> </w:t>
      </w:r>
      <w:r w:rsidR="00AF7645">
        <w:t>En consecuencia, dicha</w:t>
      </w:r>
      <w:r w:rsidR="00E313D7">
        <w:t>s</w:t>
      </w:r>
      <w:r w:rsidR="00AF7645">
        <w:t xml:space="preserve"> prueba</w:t>
      </w:r>
      <w:r w:rsidR="00E313D7">
        <w:t>s</w:t>
      </w:r>
      <w:r w:rsidR="00AF7645">
        <w:t xml:space="preserve"> </w:t>
      </w:r>
      <w:r w:rsidR="00E313D7">
        <w:t>son</w:t>
      </w:r>
      <w:r w:rsidR="00AF7645">
        <w:t xml:space="preserve"> extemporánea</w:t>
      </w:r>
      <w:r w:rsidR="00E313D7">
        <w:t>s</w:t>
      </w:r>
      <w:r w:rsidR="00AF7645">
        <w:t xml:space="preserve"> y de conformidad con el artículo 57.2 del Reglamento, no procede su admisión al acervo probatorio del presente caso.</w:t>
      </w:r>
    </w:p>
    <w:p w14:paraId="69FE68C2" w14:textId="77777777" w:rsidR="00CA2925" w:rsidRPr="00CA2925" w:rsidRDefault="00CA2925" w:rsidP="00CA2925">
      <w:pPr>
        <w:rPr>
          <w:lang w:val="es-CR" w:eastAsia="es-MX"/>
        </w:rPr>
      </w:pPr>
    </w:p>
    <w:p w14:paraId="49DA2A5A" w14:textId="523FCD18" w:rsidR="00887A8E" w:rsidRPr="007B280D" w:rsidRDefault="004C3FCA" w:rsidP="004B6D86">
      <w:pPr>
        <w:pStyle w:val="PrrafodeSentencia"/>
        <w:numPr>
          <w:ilvl w:val="0"/>
          <w:numId w:val="10"/>
        </w:numPr>
        <w:ind w:left="0" w:firstLine="0"/>
        <w:rPr>
          <w:szCs w:val="20"/>
        </w:rPr>
      </w:pPr>
      <w:r w:rsidRPr="007B280D">
        <w:t xml:space="preserve">Por último, el 22 de enero de 2019 el Estado remitió documentación adicional </w:t>
      </w:r>
      <w:r w:rsidRPr="007B280D">
        <w:rPr>
          <w:rFonts w:eastAsia="Times New Roman" w:cs="79dro"/>
          <w:szCs w:val="20"/>
        </w:rPr>
        <w:t>proporcionada por el Tribunal Supremo Electoral</w:t>
      </w:r>
      <w:r w:rsidRPr="007B280D">
        <w:rPr>
          <w:rStyle w:val="FootnoteReference"/>
          <w:rFonts w:eastAsia="Times New Roman"/>
          <w:sz w:val="20"/>
          <w:szCs w:val="20"/>
        </w:rPr>
        <w:footnoteReference w:id="15"/>
      </w:r>
      <w:r w:rsidR="00D611A4">
        <w:rPr>
          <w:rFonts w:eastAsia="Times New Roman" w:cs="79dro"/>
          <w:szCs w:val="20"/>
        </w:rPr>
        <w:t>, la cu</w:t>
      </w:r>
      <w:r w:rsidR="00A10820">
        <w:rPr>
          <w:rFonts w:eastAsia="Times New Roman" w:cs="79dro"/>
          <w:szCs w:val="20"/>
        </w:rPr>
        <w:t>al</w:t>
      </w:r>
      <w:r w:rsidR="00D611A4">
        <w:rPr>
          <w:rFonts w:eastAsia="Times New Roman" w:cs="79dro"/>
          <w:szCs w:val="20"/>
        </w:rPr>
        <w:t xml:space="preserve"> fue transmitida e</w:t>
      </w:r>
      <w:r w:rsidRPr="007B280D">
        <w:rPr>
          <w:rFonts w:eastAsia="Times New Roman" w:cs="79dro"/>
          <w:szCs w:val="20"/>
        </w:rPr>
        <w:t xml:space="preserve">se mismo día </w:t>
      </w:r>
      <w:r w:rsidRPr="007B280D">
        <w:rPr>
          <w:szCs w:val="20"/>
        </w:rPr>
        <w:t xml:space="preserve">a los </w:t>
      </w:r>
      <w:r w:rsidRPr="007B280D">
        <w:rPr>
          <w:szCs w:val="20"/>
        </w:rPr>
        <w:lastRenderedPageBreak/>
        <w:t xml:space="preserve">representantes y a la Comisión </w:t>
      </w:r>
      <w:r w:rsidR="00D611A4">
        <w:rPr>
          <w:szCs w:val="20"/>
        </w:rPr>
        <w:t xml:space="preserve">y se les otorgó </w:t>
      </w:r>
      <w:r w:rsidRPr="007B280D">
        <w:rPr>
          <w:szCs w:val="20"/>
        </w:rPr>
        <w:t xml:space="preserve">un plazo hasta el 31 de enero de 2019 para presentar observaciones. La Corte advierte que no se presentaron alegatos sobre la admisibilidad de esta prueba. Tomando en cuenta que </w:t>
      </w:r>
      <w:r w:rsidR="00D611A4">
        <w:rPr>
          <w:szCs w:val="20"/>
        </w:rPr>
        <w:t>dich</w:t>
      </w:r>
      <w:r w:rsidRPr="007B280D">
        <w:rPr>
          <w:szCs w:val="20"/>
        </w:rPr>
        <w:t>a documentación complementa lo solicitado por los representantes al Tribunal Supremo Electoral, remitido por los mismos el 22 de mayo de 2018</w:t>
      </w:r>
      <w:r w:rsidR="008D5F5C">
        <w:rPr>
          <w:szCs w:val="20"/>
        </w:rPr>
        <w:t xml:space="preserve"> (</w:t>
      </w:r>
      <w:r w:rsidR="008D5F5C">
        <w:rPr>
          <w:i/>
          <w:szCs w:val="20"/>
        </w:rPr>
        <w:t xml:space="preserve">supra </w:t>
      </w:r>
      <w:r w:rsidR="008D5F5C">
        <w:rPr>
          <w:szCs w:val="20"/>
        </w:rPr>
        <w:t xml:space="preserve">párr. </w:t>
      </w:r>
      <w:r w:rsidR="008D5F5C">
        <w:rPr>
          <w:szCs w:val="20"/>
        </w:rPr>
        <w:fldChar w:fldCharType="begin"/>
      </w:r>
      <w:r w:rsidR="008D5F5C">
        <w:rPr>
          <w:szCs w:val="20"/>
        </w:rPr>
        <w:instrText xml:space="preserve"> REF _Ref798064 \r \h </w:instrText>
      </w:r>
      <w:r w:rsidR="008D5F5C">
        <w:rPr>
          <w:szCs w:val="20"/>
        </w:rPr>
      </w:r>
      <w:r w:rsidR="008D5F5C">
        <w:rPr>
          <w:szCs w:val="20"/>
        </w:rPr>
        <w:fldChar w:fldCharType="separate"/>
      </w:r>
      <w:r w:rsidR="002D28B2">
        <w:rPr>
          <w:szCs w:val="20"/>
        </w:rPr>
        <w:t>15</w:t>
      </w:r>
      <w:r w:rsidR="008D5F5C">
        <w:rPr>
          <w:szCs w:val="20"/>
        </w:rPr>
        <w:fldChar w:fldCharType="end"/>
      </w:r>
      <w:r w:rsidR="008D5F5C">
        <w:rPr>
          <w:szCs w:val="20"/>
        </w:rPr>
        <w:t>)</w:t>
      </w:r>
      <w:r w:rsidRPr="007B280D">
        <w:rPr>
          <w:szCs w:val="20"/>
        </w:rPr>
        <w:t>,</w:t>
      </w:r>
      <w:r w:rsidRPr="007B280D">
        <w:rPr>
          <w:b/>
          <w:szCs w:val="20"/>
        </w:rPr>
        <w:t xml:space="preserve"> </w:t>
      </w:r>
      <w:r w:rsidRPr="007B280D">
        <w:rPr>
          <w:szCs w:val="20"/>
        </w:rPr>
        <w:t>la Corte considera que debe ser admitida.</w:t>
      </w:r>
    </w:p>
    <w:p w14:paraId="4AFF0109" w14:textId="77777777" w:rsidR="004C3FCA" w:rsidRPr="004C3FCA" w:rsidRDefault="004C3FCA" w:rsidP="004C3FCA">
      <w:pPr>
        <w:rPr>
          <w:lang w:val="es-CR" w:eastAsia="es-MX"/>
        </w:rPr>
      </w:pPr>
    </w:p>
    <w:p w14:paraId="04D7AC54" w14:textId="77777777" w:rsidR="004B6D86" w:rsidRPr="00E85AD0" w:rsidRDefault="00146A60" w:rsidP="00146A60">
      <w:pPr>
        <w:pStyle w:val="Heading2"/>
        <w:numPr>
          <w:ilvl w:val="0"/>
          <w:numId w:val="0"/>
        </w:numPr>
        <w:tabs>
          <w:tab w:val="left" w:pos="1134"/>
        </w:tabs>
        <w:ind w:left="1134" w:hanging="567"/>
      </w:pPr>
      <w:bookmarkStart w:id="149" w:name="_Toc524880314"/>
      <w:bookmarkStart w:id="150" w:name="_Toc192565"/>
      <w:r>
        <w:t xml:space="preserve">B. </w:t>
      </w:r>
      <w:r>
        <w:tab/>
      </w:r>
      <w:r w:rsidR="004B6D86" w:rsidRPr="00E85AD0">
        <w:t>Admisibilidad de la prueba testimonial y pericial</w:t>
      </w:r>
      <w:bookmarkEnd w:id="149"/>
      <w:bookmarkEnd w:id="150"/>
    </w:p>
    <w:p w14:paraId="60FAC251" w14:textId="77777777" w:rsidR="004B6D86" w:rsidRPr="00E85AD0" w:rsidRDefault="004B6D86" w:rsidP="004B6D86">
      <w:pPr>
        <w:pStyle w:val="NoSpacing"/>
        <w:tabs>
          <w:tab w:val="left" w:pos="567"/>
        </w:tabs>
        <w:rPr>
          <w:rFonts w:ascii="Verdana" w:hAnsi="Verdana"/>
          <w:i/>
          <w:sz w:val="20"/>
          <w:szCs w:val="20"/>
          <w:lang w:val="es-CR"/>
        </w:rPr>
      </w:pPr>
      <w:r w:rsidRPr="00E85AD0">
        <w:rPr>
          <w:rFonts w:ascii="Verdana" w:hAnsi="Verdana"/>
          <w:i/>
          <w:sz w:val="20"/>
          <w:szCs w:val="20"/>
          <w:lang w:val="es-CR"/>
        </w:rPr>
        <w:t xml:space="preserve"> </w:t>
      </w:r>
    </w:p>
    <w:p w14:paraId="0EFD9949" w14:textId="74ABE184" w:rsidR="004B6D86" w:rsidRPr="00E85AD0" w:rsidRDefault="004B6D86" w:rsidP="004B6D86">
      <w:pPr>
        <w:pStyle w:val="PrrafodeSentencia"/>
        <w:numPr>
          <w:ilvl w:val="0"/>
          <w:numId w:val="10"/>
        </w:numPr>
        <w:ind w:left="0" w:firstLine="0"/>
        <w:rPr>
          <w:spacing w:val="0"/>
        </w:rPr>
      </w:pPr>
      <w:r w:rsidRPr="00E85AD0">
        <w:rPr>
          <w:spacing w:val="0"/>
        </w:rPr>
        <w:t>La Corte escuchó la declaración de la presunta víctima, Eduardo Colindres Schonenberg, rendida en audiencia pública. Este Tribunal estima pertinente admitir esta d</w:t>
      </w:r>
      <w:r w:rsidR="00360A1E">
        <w:rPr>
          <w:spacing w:val="0"/>
        </w:rPr>
        <w:t>eclaración, en lo que se ajuste</w:t>
      </w:r>
      <w:r w:rsidRPr="00E85AD0">
        <w:rPr>
          <w:spacing w:val="0"/>
        </w:rPr>
        <w:t xml:space="preserve"> al objeto que fue definido por la Presidencia en la Resolución mediante la cual se ordenó recibirl</w:t>
      </w:r>
      <w:r w:rsidR="00D611A4">
        <w:rPr>
          <w:spacing w:val="0"/>
        </w:rPr>
        <w:t>a</w:t>
      </w:r>
      <w:r w:rsidRPr="00E85AD0">
        <w:rPr>
          <w:spacing w:val="0"/>
        </w:rPr>
        <w:t xml:space="preserve"> y al objeto del presente caso.</w:t>
      </w:r>
    </w:p>
    <w:p w14:paraId="7CAFEBFB" w14:textId="77777777" w:rsidR="004B6D86" w:rsidRPr="00E85AD0" w:rsidRDefault="004B6D86" w:rsidP="004B6D86">
      <w:pPr>
        <w:rPr>
          <w:lang w:val="es-CR" w:eastAsia="es-MX"/>
        </w:rPr>
      </w:pPr>
    </w:p>
    <w:p w14:paraId="03FCFABE" w14:textId="77777777" w:rsidR="004B6D86" w:rsidRPr="00E85AD0" w:rsidRDefault="004B6D86" w:rsidP="004B6D86">
      <w:pPr>
        <w:pStyle w:val="Title"/>
        <w:tabs>
          <w:tab w:val="left" w:pos="567"/>
        </w:tabs>
      </w:pPr>
      <w:bookmarkStart w:id="151" w:name="_Toc524880315"/>
      <w:bookmarkStart w:id="152" w:name="_Toc192566"/>
      <w:r w:rsidRPr="00E85AD0">
        <w:t>V</w:t>
      </w:r>
      <w:r w:rsidRPr="00E85AD0">
        <w:br/>
        <w:t>HECHOS PROBADOS</w:t>
      </w:r>
      <w:bookmarkEnd w:id="151"/>
      <w:bookmarkEnd w:id="152"/>
    </w:p>
    <w:p w14:paraId="1B2BF68F" w14:textId="77777777" w:rsidR="00657B2B" w:rsidRPr="00E85AD0" w:rsidRDefault="00657B2B" w:rsidP="00657B2B">
      <w:pPr>
        <w:rPr>
          <w:lang w:val="es-CR" w:eastAsia="es-MX"/>
        </w:rPr>
      </w:pPr>
    </w:p>
    <w:p w14:paraId="009E93E2" w14:textId="65136620" w:rsidR="001C3520" w:rsidRPr="00E85AD0" w:rsidRDefault="001C3520" w:rsidP="00B45718">
      <w:pPr>
        <w:pStyle w:val="PrrafodeSentencia"/>
        <w:rPr>
          <w:spacing w:val="0"/>
        </w:rPr>
      </w:pPr>
      <w:r w:rsidRPr="00E85AD0">
        <w:rPr>
          <w:spacing w:val="0"/>
        </w:rPr>
        <w:t xml:space="preserve">El presente caso </w:t>
      </w:r>
      <w:r w:rsidR="008D5F5C">
        <w:rPr>
          <w:spacing w:val="0"/>
        </w:rPr>
        <w:t>se refiere a</w:t>
      </w:r>
      <w:r w:rsidRPr="00E85AD0">
        <w:rPr>
          <w:spacing w:val="0"/>
        </w:rPr>
        <w:t xml:space="preserve"> dos destituciones del señor Colindres Schonenberg de su </w:t>
      </w:r>
      <w:r w:rsidR="008D5F5C">
        <w:rPr>
          <w:spacing w:val="0"/>
        </w:rPr>
        <w:t>cargo</w:t>
      </w:r>
      <w:r w:rsidRPr="00E85AD0">
        <w:rPr>
          <w:spacing w:val="0"/>
        </w:rPr>
        <w:t xml:space="preserve"> de Magistrado Propietario del Tribunal Supremo Electoral. Al respecto, se expondrán los hechos relevantes respecto de: (a) el marco normativo; (b) el nombramiento </w:t>
      </w:r>
      <w:r w:rsidR="00B45718" w:rsidRPr="00E85AD0">
        <w:rPr>
          <w:spacing w:val="0"/>
        </w:rPr>
        <w:t>del señor Colindres Schonenberg como magistrado y</w:t>
      </w:r>
      <w:r w:rsidR="007353CB">
        <w:rPr>
          <w:spacing w:val="0"/>
        </w:rPr>
        <w:t xml:space="preserve"> </w:t>
      </w:r>
      <w:r w:rsidR="00B45718" w:rsidRPr="00E85AD0">
        <w:rPr>
          <w:spacing w:val="0"/>
        </w:rPr>
        <w:t>primera destitución</w:t>
      </w:r>
      <w:r w:rsidRPr="00E85AD0">
        <w:rPr>
          <w:spacing w:val="0"/>
        </w:rPr>
        <w:t>; (c) la segunda destitución del señor Colindres Schonenberg; (</w:t>
      </w:r>
      <w:r w:rsidR="00B45718" w:rsidRPr="00E85AD0">
        <w:rPr>
          <w:spacing w:val="0"/>
        </w:rPr>
        <w:t>d</w:t>
      </w:r>
      <w:r w:rsidRPr="00E85AD0">
        <w:rPr>
          <w:spacing w:val="0"/>
        </w:rPr>
        <w:t xml:space="preserve">) </w:t>
      </w:r>
      <w:r w:rsidR="007F5161" w:rsidRPr="00E85AD0">
        <w:rPr>
          <w:spacing w:val="0"/>
        </w:rPr>
        <w:t>recursos interpuestos por el señor Colindres</w:t>
      </w:r>
      <w:r w:rsidR="00EC6626" w:rsidRPr="00E85AD0">
        <w:rPr>
          <w:spacing w:val="0"/>
        </w:rPr>
        <w:t xml:space="preserve"> Schonenberg</w:t>
      </w:r>
      <w:r w:rsidR="007F5161" w:rsidRPr="00E85AD0">
        <w:rPr>
          <w:spacing w:val="0"/>
        </w:rPr>
        <w:t>, y (</w:t>
      </w:r>
      <w:r w:rsidR="00E313D7">
        <w:rPr>
          <w:spacing w:val="0"/>
        </w:rPr>
        <w:t>e</w:t>
      </w:r>
      <w:r w:rsidR="007F5161" w:rsidRPr="00E85AD0">
        <w:rPr>
          <w:spacing w:val="0"/>
        </w:rPr>
        <w:t xml:space="preserve">) </w:t>
      </w:r>
      <w:r w:rsidR="00F80ED9" w:rsidRPr="00E85AD0">
        <w:rPr>
          <w:spacing w:val="0"/>
        </w:rPr>
        <w:t>la d</w:t>
      </w:r>
      <w:r w:rsidR="007F5161" w:rsidRPr="00E85AD0">
        <w:rPr>
          <w:spacing w:val="0"/>
        </w:rPr>
        <w:t>emanda de daños y perjuicios respecto de la primera destitución.</w:t>
      </w:r>
      <w:r w:rsidRPr="00E85AD0">
        <w:rPr>
          <w:spacing w:val="0"/>
          <w:szCs w:val="20"/>
        </w:rPr>
        <w:t xml:space="preserve"> </w:t>
      </w:r>
    </w:p>
    <w:p w14:paraId="5E9C06F6" w14:textId="77777777" w:rsidR="001C3520" w:rsidRPr="00E85AD0" w:rsidRDefault="001C3520" w:rsidP="007F5161">
      <w:pPr>
        <w:pStyle w:val="ListParagraph"/>
        <w:ind w:left="0"/>
        <w:jc w:val="both"/>
        <w:rPr>
          <w:lang w:val="es-CR"/>
        </w:rPr>
      </w:pPr>
    </w:p>
    <w:p w14:paraId="22C3FE9C" w14:textId="77777777" w:rsidR="001C3520" w:rsidRPr="00E85AD0" w:rsidRDefault="001C3520" w:rsidP="004457B6">
      <w:pPr>
        <w:pStyle w:val="Heading2"/>
        <w:numPr>
          <w:ilvl w:val="0"/>
          <w:numId w:val="12"/>
        </w:numPr>
        <w:tabs>
          <w:tab w:val="left" w:pos="1134"/>
        </w:tabs>
        <w:ind w:left="567" w:firstLine="0"/>
      </w:pPr>
      <w:bookmarkStart w:id="153" w:name="_Toc192567"/>
      <w:r w:rsidRPr="00E85AD0">
        <w:t>Marco normativo</w:t>
      </w:r>
      <w:bookmarkEnd w:id="153"/>
    </w:p>
    <w:p w14:paraId="540B738C" w14:textId="77777777" w:rsidR="001C3520" w:rsidRPr="00E85AD0" w:rsidRDefault="001C3520" w:rsidP="00EE0128">
      <w:pPr>
        <w:pStyle w:val="Header"/>
        <w:tabs>
          <w:tab w:val="clear" w:pos="4419"/>
          <w:tab w:val="clear" w:pos="8838"/>
        </w:tabs>
        <w:rPr>
          <w:lang w:val="es-ES_tradnl" w:eastAsia="es-ES"/>
        </w:rPr>
      </w:pPr>
    </w:p>
    <w:p w14:paraId="565CA9A2" w14:textId="77777777" w:rsidR="005E30EF" w:rsidRPr="00E85AD0" w:rsidRDefault="009D216C" w:rsidP="005E30EF">
      <w:pPr>
        <w:pStyle w:val="PrrafodeSentencia"/>
        <w:rPr>
          <w:spacing w:val="0"/>
        </w:rPr>
      </w:pPr>
      <w:bookmarkStart w:id="154" w:name="_Ref789273"/>
      <w:r w:rsidRPr="00E85AD0">
        <w:rPr>
          <w:spacing w:val="0"/>
        </w:rPr>
        <w:t>La Constitución de la República de El Salvador establece que:</w:t>
      </w:r>
      <w:bookmarkEnd w:id="154"/>
    </w:p>
    <w:p w14:paraId="3BE49BA5" w14:textId="77777777" w:rsidR="009D216C" w:rsidRPr="00E85AD0" w:rsidRDefault="009D216C" w:rsidP="009D216C">
      <w:pPr>
        <w:rPr>
          <w:lang w:val="es-CR" w:eastAsia="es-MX"/>
        </w:rPr>
      </w:pPr>
    </w:p>
    <w:p w14:paraId="4C33E314" w14:textId="77777777" w:rsidR="009D216C" w:rsidRPr="00E85AD0" w:rsidRDefault="005E30EF" w:rsidP="00241D8F">
      <w:pPr>
        <w:ind w:left="567" w:right="615"/>
        <w:jc w:val="both"/>
        <w:rPr>
          <w:sz w:val="18"/>
          <w:szCs w:val="18"/>
          <w:lang w:val="es-CO"/>
        </w:rPr>
      </w:pPr>
      <w:r w:rsidRPr="00E85AD0">
        <w:rPr>
          <w:sz w:val="18"/>
          <w:szCs w:val="18"/>
          <w:lang w:val="es-CO"/>
        </w:rPr>
        <w:t>Art. 208.- Habrá un Tribunal Supremo Electoral que estará formado por cinco Magistrados, quienes durarán cinco años en sus funciones y serán elegidos por la Asamblea Legislativa. Tres de ellos de cada una de las ternas propuestas por los tres partidos políticos o coaliciones legales que hayan obtenido mayor número de votos en la última elección presidencial. Los dos Magistrados restantes serán elegidos con el voto favorable de por lo menos los dos tercios de los Diputados electos, de dos ternas propuestas por la Corte Suprema de Justicia, quienes deberán reunir los requisitos para ser Magistrados de las Cámaras de Segunda Instancia, y no tener ninguna afiliación partidista</w:t>
      </w:r>
      <w:r w:rsidR="009D216C" w:rsidRPr="00E85AD0">
        <w:rPr>
          <w:sz w:val="18"/>
          <w:szCs w:val="18"/>
          <w:lang w:val="es-CO"/>
        </w:rPr>
        <w:t>.</w:t>
      </w:r>
    </w:p>
    <w:p w14:paraId="7D9B63CF" w14:textId="77777777" w:rsidR="009D216C" w:rsidRPr="00E85AD0" w:rsidRDefault="009D216C" w:rsidP="00241D8F">
      <w:pPr>
        <w:ind w:left="567" w:right="615"/>
        <w:jc w:val="both"/>
        <w:rPr>
          <w:sz w:val="18"/>
          <w:szCs w:val="18"/>
          <w:lang w:val="es-CO"/>
        </w:rPr>
      </w:pPr>
    </w:p>
    <w:p w14:paraId="4D50EB78" w14:textId="77777777" w:rsidR="009D216C" w:rsidRPr="00E85AD0" w:rsidRDefault="009D216C" w:rsidP="00241D8F">
      <w:pPr>
        <w:ind w:left="567" w:right="615"/>
        <w:jc w:val="both"/>
        <w:rPr>
          <w:sz w:val="18"/>
          <w:szCs w:val="18"/>
          <w:lang w:val="es-CR"/>
        </w:rPr>
      </w:pPr>
      <w:r w:rsidRPr="00E85AD0">
        <w:rPr>
          <w:sz w:val="18"/>
          <w:szCs w:val="18"/>
          <w:lang w:val="es-CR"/>
        </w:rPr>
        <w:t xml:space="preserve">Habrá cinco Magistrados suplentes elegidos en igual forma que los propietarios. Si por cualquier circunstancia no se propusiere alguna terna, la Asamblea Legislativa hará la respectiva elección sin la terna que faltare. </w:t>
      </w:r>
    </w:p>
    <w:p w14:paraId="34662A65" w14:textId="77777777" w:rsidR="009D216C" w:rsidRPr="00E85AD0" w:rsidRDefault="009D216C" w:rsidP="00241D8F">
      <w:pPr>
        <w:ind w:left="567" w:right="615"/>
        <w:jc w:val="both"/>
        <w:rPr>
          <w:sz w:val="18"/>
          <w:szCs w:val="18"/>
          <w:lang w:val="es-CR"/>
        </w:rPr>
      </w:pPr>
    </w:p>
    <w:p w14:paraId="4E752953" w14:textId="77777777" w:rsidR="009D216C" w:rsidRPr="00E85AD0" w:rsidRDefault="009D216C" w:rsidP="00241D8F">
      <w:pPr>
        <w:ind w:left="567" w:right="615"/>
        <w:jc w:val="both"/>
        <w:rPr>
          <w:sz w:val="18"/>
          <w:szCs w:val="18"/>
          <w:lang w:val="es-CR"/>
        </w:rPr>
      </w:pPr>
      <w:r w:rsidRPr="00E85AD0">
        <w:rPr>
          <w:sz w:val="18"/>
          <w:szCs w:val="18"/>
          <w:lang w:val="es-CR"/>
        </w:rPr>
        <w:t xml:space="preserve">El Magistrado Presidente será el propuesto por el partido o coalición legal que obtuvo el mayor número de votos en la última elección presidencial. </w:t>
      </w:r>
    </w:p>
    <w:p w14:paraId="7FBF3DAC" w14:textId="77777777" w:rsidR="009D216C" w:rsidRPr="00E85AD0" w:rsidRDefault="009D216C" w:rsidP="00241D8F">
      <w:pPr>
        <w:ind w:left="567" w:right="615"/>
        <w:jc w:val="both"/>
        <w:rPr>
          <w:sz w:val="18"/>
          <w:szCs w:val="18"/>
          <w:lang w:val="es-CR"/>
        </w:rPr>
      </w:pPr>
    </w:p>
    <w:p w14:paraId="66ADFE98" w14:textId="77777777" w:rsidR="005E30EF" w:rsidRPr="00E85AD0" w:rsidRDefault="009D216C" w:rsidP="00241D8F">
      <w:pPr>
        <w:ind w:left="567" w:right="615"/>
        <w:jc w:val="both"/>
        <w:rPr>
          <w:sz w:val="18"/>
          <w:szCs w:val="18"/>
          <w:lang w:val="es-CO"/>
        </w:rPr>
      </w:pPr>
      <w:r w:rsidRPr="00E85AD0">
        <w:rPr>
          <w:sz w:val="18"/>
          <w:szCs w:val="18"/>
          <w:lang w:val="es-CR"/>
        </w:rPr>
        <w:t>El Tribunal Supremo Electoral será la autoridad máxima en esta materia, sin perjuicio de los recursos que establece esta Constitución, por violación de la misma</w:t>
      </w:r>
      <w:r w:rsidR="005E30EF" w:rsidRPr="00E85AD0">
        <w:rPr>
          <w:rStyle w:val="FootnoteReference"/>
          <w:sz w:val="18"/>
          <w:szCs w:val="18"/>
          <w:lang w:val="es-CO"/>
        </w:rPr>
        <w:footnoteReference w:id="16"/>
      </w:r>
      <w:r w:rsidR="005E30EF" w:rsidRPr="00E85AD0">
        <w:rPr>
          <w:sz w:val="18"/>
          <w:szCs w:val="18"/>
          <w:lang w:val="es-CO"/>
        </w:rPr>
        <w:t xml:space="preserve">. </w:t>
      </w:r>
    </w:p>
    <w:p w14:paraId="3C0D0B06" w14:textId="77777777" w:rsidR="009D216C" w:rsidRPr="00E85AD0" w:rsidRDefault="009D216C" w:rsidP="005E30EF">
      <w:pPr>
        <w:ind w:left="708" w:right="899"/>
        <w:jc w:val="both"/>
        <w:rPr>
          <w:sz w:val="18"/>
          <w:szCs w:val="18"/>
          <w:lang w:val="es-CO"/>
        </w:rPr>
      </w:pPr>
    </w:p>
    <w:p w14:paraId="5B6CBE0B" w14:textId="5199DB6F" w:rsidR="00F15815" w:rsidRPr="00E85AD0" w:rsidRDefault="009D216C" w:rsidP="00F15815">
      <w:pPr>
        <w:pStyle w:val="PrrafodeSentencia"/>
        <w:rPr>
          <w:spacing w:val="0"/>
          <w:szCs w:val="20"/>
          <w:shd w:val="clear" w:color="auto" w:fill="FFFFFF"/>
        </w:rPr>
      </w:pPr>
      <w:r w:rsidRPr="00E85AD0">
        <w:rPr>
          <w:spacing w:val="0"/>
          <w:szCs w:val="20"/>
          <w:lang w:val="es-ES"/>
        </w:rPr>
        <w:t xml:space="preserve">El Tribunal Supremo Electoral </w:t>
      </w:r>
      <w:r w:rsidRPr="00E85AD0">
        <w:rPr>
          <w:spacing w:val="0"/>
        </w:rPr>
        <w:t>“es un organismo con plena autonomía jurisdiccional, administrativa y financiera en materia electoral y de consiguiente, no s</w:t>
      </w:r>
      <w:r w:rsidR="0037283C">
        <w:rPr>
          <w:spacing w:val="0"/>
        </w:rPr>
        <w:t>upeditado a organismo alguno de</w:t>
      </w:r>
      <w:r w:rsidRPr="00E85AD0">
        <w:rPr>
          <w:spacing w:val="0"/>
        </w:rPr>
        <w:t xml:space="preserve"> </w:t>
      </w:r>
      <w:r w:rsidR="003131E7">
        <w:rPr>
          <w:spacing w:val="0"/>
        </w:rPr>
        <w:t>[E</w:t>
      </w:r>
      <w:r w:rsidR="003131E7">
        <w:rPr>
          <w:spacing w:val="0"/>
          <w:szCs w:val="20"/>
        </w:rPr>
        <w:t>]</w:t>
      </w:r>
      <w:r w:rsidRPr="00E85AD0">
        <w:rPr>
          <w:spacing w:val="0"/>
          <w:szCs w:val="20"/>
        </w:rPr>
        <w:t>stado”</w:t>
      </w:r>
      <w:r w:rsidRPr="00E85AD0">
        <w:rPr>
          <w:rStyle w:val="FootnoteReference"/>
          <w:spacing w:val="0"/>
          <w:sz w:val="20"/>
          <w:szCs w:val="20"/>
        </w:rPr>
        <w:footnoteReference w:id="17"/>
      </w:r>
      <w:r w:rsidRPr="00E85AD0">
        <w:rPr>
          <w:spacing w:val="0"/>
          <w:szCs w:val="20"/>
        </w:rPr>
        <w:t>.</w:t>
      </w:r>
      <w:r w:rsidR="0037283C">
        <w:rPr>
          <w:spacing w:val="0"/>
          <w:szCs w:val="20"/>
        </w:rPr>
        <w:t xml:space="preserve"> Entre las </w:t>
      </w:r>
      <w:r w:rsidR="003131E7">
        <w:rPr>
          <w:spacing w:val="0"/>
          <w:szCs w:val="20"/>
        </w:rPr>
        <w:t>obligaciones y atribuciones</w:t>
      </w:r>
      <w:r w:rsidR="0037283C">
        <w:rPr>
          <w:spacing w:val="0"/>
          <w:szCs w:val="20"/>
        </w:rPr>
        <w:t xml:space="preserve"> de</w:t>
      </w:r>
      <w:r w:rsidR="0037283C">
        <w:rPr>
          <w:spacing w:val="0"/>
          <w:szCs w:val="20"/>
          <w:shd w:val="clear" w:color="auto" w:fill="FFFFFF"/>
        </w:rPr>
        <w:t xml:space="preserve">l Tribunal Supremo </w:t>
      </w:r>
      <w:r w:rsidR="0037283C">
        <w:rPr>
          <w:spacing w:val="0"/>
          <w:szCs w:val="20"/>
          <w:shd w:val="clear" w:color="auto" w:fill="FFFFFF"/>
        </w:rPr>
        <w:lastRenderedPageBreak/>
        <w:t xml:space="preserve">Electoral se encuentran </w:t>
      </w:r>
      <w:r w:rsidR="003131E7">
        <w:rPr>
          <w:spacing w:val="0"/>
          <w:szCs w:val="20"/>
          <w:shd w:val="clear" w:color="auto" w:fill="FFFFFF"/>
        </w:rPr>
        <w:t>“</w:t>
      </w:r>
      <w:r w:rsidR="000D0FAB" w:rsidRPr="00E85AD0">
        <w:rPr>
          <w:spacing w:val="0"/>
          <w:szCs w:val="20"/>
          <w:shd w:val="clear" w:color="auto" w:fill="FFFFFF"/>
        </w:rPr>
        <w:t xml:space="preserve">convocar, </w:t>
      </w:r>
      <w:r w:rsidR="00241D8F" w:rsidRPr="00E85AD0">
        <w:rPr>
          <w:spacing w:val="0"/>
          <w:szCs w:val="20"/>
          <w:shd w:val="clear" w:color="auto" w:fill="FFFFFF"/>
        </w:rPr>
        <w:t xml:space="preserve">organizar, dirigir y </w:t>
      </w:r>
      <w:r w:rsidR="000D0FAB" w:rsidRPr="00E85AD0">
        <w:rPr>
          <w:spacing w:val="0"/>
          <w:szCs w:val="20"/>
          <w:shd w:val="clear" w:color="auto" w:fill="FFFFFF"/>
        </w:rPr>
        <w:t>vigilar</w:t>
      </w:r>
      <w:r w:rsidR="00241D8F" w:rsidRPr="00E85AD0">
        <w:rPr>
          <w:spacing w:val="0"/>
          <w:szCs w:val="20"/>
          <w:shd w:val="clear" w:color="auto" w:fill="FFFFFF"/>
        </w:rPr>
        <w:t xml:space="preserve"> </w:t>
      </w:r>
      <w:r w:rsidR="003131E7">
        <w:rPr>
          <w:spacing w:val="0"/>
          <w:szCs w:val="20"/>
          <w:shd w:val="clear" w:color="auto" w:fill="FFFFFF"/>
        </w:rPr>
        <w:t xml:space="preserve">los </w:t>
      </w:r>
      <w:r w:rsidR="00241D8F" w:rsidRPr="00E85AD0">
        <w:rPr>
          <w:spacing w:val="0"/>
          <w:szCs w:val="20"/>
          <w:shd w:val="clear" w:color="auto" w:fill="FFFFFF"/>
        </w:rPr>
        <w:t>procesos electorales</w:t>
      </w:r>
      <w:r w:rsidR="003131E7">
        <w:rPr>
          <w:spacing w:val="0"/>
          <w:szCs w:val="20"/>
          <w:shd w:val="clear" w:color="auto" w:fill="FFFFFF"/>
        </w:rPr>
        <w:t>”</w:t>
      </w:r>
      <w:r w:rsidR="000D0FAB" w:rsidRPr="00E85AD0">
        <w:rPr>
          <w:rStyle w:val="FootnoteReference"/>
          <w:spacing w:val="0"/>
          <w:sz w:val="20"/>
          <w:szCs w:val="20"/>
        </w:rPr>
        <w:footnoteReference w:id="18"/>
      </w:r>
      <w:r w:rsidR="00241D8F" w:rsidRPr="00E85AD0">
        <w:rPr>
          <w:spacing w:val="0"/>
          <w:szCs w:val="20"/>
          <w:shd w:val="clear" w:color="auto" w:fill="FFFFFF"/>
        </w:rPr>
        <w:t xml:space="preserve">, </w:t>
      </w:r>
      <w:r w:rsidR="00F15815" w:rsidRPr="00E85AD0">
        <w:rPr>
          <w:spacing w:val="0"/>
          <w:szCs w:val="20"/>
          <w:shd w:val="clear" w:color="auto" w:fill="FFFFFF"/>
        </w:rPr>
        <w:t xml:space="preserve">y </w:t>
      </w:r>
      <w:r w:rsidR="003131E7">
        <w:rPr>
          <w:spacing w:val="0"/>
          <w:szCs w:val="20"/>
          <w:shd w:val="clear" w:color="auto" w:fill="FFFFFF"/>
        </w:rPr>
        <w:t>“</w:t>
      </w:r>
      <w:r w:rsidR="00F15815" w:rsidRPr="00E85AD0">
        <w:rPr>
          <w:spacing w:val="0"/>
          <w:szCs w:val="20"/>
          <w:shd w:val="clear" w:color="auto" w:fill="FFFFFF"/>
        </w:rPr>
        <w:t xml:space="preserve">conocer y resolver </w:t>
      </w:r>
      <w:r w:rsidR="00F15815" w:rsidRPr="00E85AD0">
        <w:rPr>
          <w:rFonts w:eastAsia="Times New Roman"/>
          <w:spacing w:val="0"/>
          <w:szCs w:val="20"/>
        </w:rPr>
        <w:t>de toda clase de acción, excepción, petición, recursos e incidentes que pudieren interponerse”</w:t>
      </w:r>
      <w:r w:rsidR="00F15815" w:rsidRPr="00E85AD0">
        <w:rPr>
          <w:rStyle w:val="FootnoteReference"/>
          <w:spacing w:val="0"/>
          <w:sz w:val="20"/>
          <w:szCs w:val="20"/>
        </w:rPr>
        <w:footnoteReference w:id="19"/>
      </w:r>
      <w:r w:rsidR="00F15815" w:rsidRPr="00E85AD0">
        <w:rPr>
          <w:rFonts w:eastAsia="Times New Roman"/>
          <w:spacing w:val="0"/>
          <w:szCs w:val="20"/>
        </w:rPr>
        <w:t>.</w:t>
      </w:r>
    </w:p>
    <w:p w14:paraId="75C3962B" w14:textId="77777777" w:rsidR="00241D8F" w:rsidRPr="00E85AD0" w:rsidRDefault="00241D8F" w:rsidP="00241D8F">
      <w:pPr>
        <w:rPr>
          <w:lang w:val="es-CR" w:eastAsia="es-MX"/>
        </w:rPr>
      </w:pPr>
    </w:p>
    <w:p w14:paraId="6B64D838" w14:textId="77777777" w:rsidR="00241D8F" w:rsidRPr="00E85AD0" w:rsidRDefault="00241D8F" w:rsidP="00241D8F">
      <w:pPr>
        <w:pStyle w:val="PrrafodeSentencia"/>
        <w:rPr>
          <w:spacing w:val="0"/>
        </w:rPr>
      </w:pPr>
      <w:bookmarkStart w:id="155" w:name="_Ref536612804"/>
      <w:r w:rsidRPr="00E85AD0">
        <w:rPr>
          <w:spacing w:val="0"/>
        </w:rPr>
        <w:t>De acuerdo al Código Electoral existen diferentes requisitos para ser Magistrado o Magistrada del Tribunal Supremo Electoral, dependiendo de si e</w:t>
      </w:r>
      <w:r w:rsidR="007353CB">
        <w:rPr>
          <w:spacing w:val="0"/>
        </w:rPr>
        <w:t>l magistrado e</w:t>
      </w:r>
      <w:r w:rsidRPr="00E85AD0">
        <w:rPr>
          <w:spacing w:val="0"/>
        </w:rPr>
        <w:t xml:space="preserve">s electo por terna de partido político o </w:t>
      </w:r>
      <w:r w:rsidR="007353CB">
        <w:rPr>
          <w:spacing w:val="0"/>
        </w:rPr>
        <w:t>de</w:t>
      </w:r>
      <w:r w:rsidRPr="00E85AD0">
        <w:rPr>
          <w:spacing w:val="0"/>
        </w:rPr>
        <w:t xml:space="preserve"> la Corte Suprema de Justicia. </w:t>
      </w:r>
      <w:r w:rsidR="007E332D" w:rsidRPr="00E85AD0">
        <w:rPr>
          <w:spacing w:val="0"/>
        </w:rPr>
        <w:t>En este sentido, se establece que:</w:t>
      </w:r>
      <w:bookmarkEnd w:id="155"/>
    </w:p>
    <w:p w14:paraId="16C7CC11" w14:textId="77777777" w:rsidR="00241D8F" w:rsidRPr="00E85AD0" w:rsidRDefault="00241D8F" w:rsidP="00241D8F">
      <w:pPr>
        <w:rPr>
          <w:lang w:val="es-CR" w:eastAsia="es-MX"/>
        </w:rPr>
      </w:pPr>
    </w:p>
    <w:p w14:paraId="09EC5510" w14:textId="5E01D5B1" w:rsidR="00241D8F" w:rsidRPr="00E85AD0" w:rsidRDefault="00241D8F" w:rsidP="00241D8F">
      <w:pPr>
        <w:pStyle w:val="BlockText"/>
      </w:pPr>
      <w:r w:rsidRPr="00E85AD0">
        <w:t xml:space="preserve">a. Para los tres Magistrados propuestos por los </w:t>
      </w:r>
      <w:r w:rsidR="0037283C">
        <w:t>Partidos P</w:t>
      </w:r>
      <w:r w:rsidRPr="00E85AD0">
        <w:t xml:space="preserve">olíticos o </w:t>
      </w:r>
      <w:r w:rsidR="0037283C">
        <w:t>C</w:t>
      </w:r>
      <w:r w:rsidRPr="00E85AD0">
        <w:t>oaliciones que hayan obtenido el mayor número de votos en la última elección presidencial, se requiere ser salvadoreño, mayor de treinta años de edad, del estado seglar, de notoria instrucción y honradez, estar en el ejercicio de los derechos de ciudadano o ciudadana y haberlo estado en los cinc</w:t>
      </w:r>
      <w:r w:rsidR="009A1FAD">
        <w:t>o años anteriores a su elección,</w:t>
      </w:r>
      <w:r w:rsidRPr="00E85AD0">
        <w:t xml:space="preserve"> y,</w:t>
      </w:r>
    </w:p>
    <w:p w14:paraId="4A87F2B8" w14:textId="77777777" w:rsidR="00241D8F" w:rsidRPr="00E85AD0" w:rsidRDefault="00241D8F" w:rsidP="00241D8F">
      <w:pPr>
        <w:pStyle w:val="BlockText"/>
      </w:pPr>
      <w:r w:rsidRPr="00E85AD0">
        <w:t xml:space="preserve"> </w:t>
      </w:r>
    </w:p>
    <w:p w14:paraId="5C77679D" w14:textId="243C6B26" w:rsidR="00241D8F" w:rsidRPr="00E85AD0" w:rsidRDefault="00241D8F" w:rsidP="00241D8F">
      <w:pPr>
        <w:ind w:left="562" w:right="615"/>
        <w:jc w:val="both"/>
        <w:rPr>
          <w:lang w:val="es-CR" w:eastAsia="es-MX"/>
        </w:rPr>
      </w:pPr>
      <w:r w:rsidRPr="00E85AD0">
        <w:rPr>
          <w:sz w:val="18"/>
          <w:szCs w:val="18"/>
          <w:lang w:val="es-CR"/>
        </w:rPr>
        <w:t>b. Los dos Magistrados restantes propuestos por la Corte Suprema de Justicia deberán reunir los</w:t>
      </w:r>
      <w:r w:rsidR="0037283C">
        <w:rPr>
          <w:sz w:val="18"/>
          <w:szCs w:val="18"/>
          <w:lang w:val="es-CR"/>
        </w:rPr>
        <w:t xml:space="preserve"> requisitos para ser Magistrados </w:t>
      </w:r>
      <w:r w:rsidRPr="00E85AD0">
        <w:rPr>
          <w:sz w:val="18"/>
          <w:szCs w:val="18"/>
          <w:lang w:val="es-CR"/>
        </w:rPr>
        <w:t>de las Cámaras de Segunda Instancia y no tener ninguna afiliación partidista</w:t>
      </w:r>
      <w:r w:rsidRPr="00E85AD0">
        <w:rPr>
          <w:sz w:val="18"/>
          <w:szCs w:val="18"/>
          <w:vertAlign w:val="superscript"/>
        </w:rPr>
        <w:footnoteReference w:id="20"/>
      </w:r>
      <w:r w:rsidRPr="00E85AD0">
        <w:rPr>
          <w:lang w:val="es-CR"/>
        </w:rPr>
        <w:t>.</w:t>
      </w:r>
    </w:p>
    <w:p w14:paraId="6BCEEC04" w14:textId="77777777" w:rsidR="00241D8F" w:rsidRPr="00E85AD0" w:rsidRDefault="00241D8F" w:rsidP="00241D8F">
      <w:pPr>
        <w:rPr>
          <w:lang w:val="es-CR" w:eastAsia="es-MX"/>
        </w:rPr>
      </w:pPr>
    </w:p>
    <w:p w14:paraId="7C414A90" w14:textId="41C375DB" w:rsidR="009D216C" w:rsidRPr="00F23223" w:rsidRDefault="00241D8F" w:rsidP="00F23223">
      <w:pPr>
        <w:pStyle w:val="PrrafodeSentencia"/>
        <w:rPr>
          <w:spacing w:val="0"/>
        </w:rPr>
      </w:pPr>
      <w:bookmarkStart w:id="156" w:name="_Ref536612800"/>
      <w:r w:rsidRPr="00E85AD0">
        <w:rPr>
          <w:spacing w:val="0"/>
        </w:rPr>
        <w:t xml:space="preserve">Respecto a la responsabilidad </w:t>
      </w:r>
      <w:r w:rsidRPr="00E85AD0">
        <w:rPr>
          <w:spacing w:val="0"/>
          <w:szCs w:val="20"/>
        </w:rPr>
        <w:t>de los magistrados,</w:t>
      </w:r>
      <w:r w:rsidR="003964F7" w:rsidRPr="00E85AD0">
        <w:rPr>
          <w:spacing w:val="0"/>
          <w:szCs w:val="20"/>
        </w:rPr>
        <w:t xml:space="preserve"> la Constitución establece que “el Presidente y Magistrados del Tribunal Supremo Electoral[…] responderán ante la Asamblea Legislativa por los delitos oficiales y comunes que cometan”</w:t>
      </w:r>
      <w:r w:rsidR="00331E32" w:rsidRPr="00E85AD0">
        <w:rPr>
          <w:rStyle w:val="FootnoteReference"/>
          <w:spacing w:val="0"/>
          <w:sz w:val="20"/>
          <w:szCs w:val="20"/>
          <w:lang w:val="es-CO"/>
        </w:rPr>
        <w:footnoteReference w:id="21"/>
      </w:r>
      <w:r w:rsidR="003964F7" w:rsidRPr="00E85AD0">
        <w:rPr>
          <w:spacing w:val="0"/>
          <w:szCs w:val="20"/>
        </w:rPr>
        <w:t>.</w:t>
      </w:r>
      <w:r w:rsidR="00331E32" w:rsidRPr="00E85AD0">
        <w:rPr>
          <w:spacing w:val="0"/>
          <w:szCs w:val="20"/>
        </w:rPr>
        <w:t xml:space="preserve"> </w:t>
      </w:r>
      <w:r w:rsidR="00AE59A9">
        <w:rPr>
          <w:spacing w:val="0"/>
        </w:rPr>
        <w:t xml:space="preserve">De forma similar, </w:t>
      </w:r>
      <w:r w:rsidR="00AE59A9" w:rsidRPr="00E85AD0">
        <w:rPr>
          <w:spacing w:val="0"/>
        </w:rPr>
        <w:t>el Código Electoral e</w:t>
      </w:r>
      <w:r w:rsidR="00F23223">
        <w:rPr>
          <w:spacing w:val="0"/>
        </w:rPr>
        <w:t>stablece que “[l]os Magistrados</w:t>
      </w:r>
      <w:r w:rsidR="00AE59A9" w:rsidRPr="00F23223">
        <w:rPr>
          <w:spacing w:val="0"/>
        </w:rPr>
        <w:t xml:space="preserve">, responderán ante el </w:t>
      </w:r>
      <w:r w:rsidR="00F23223">
        <w:rPr>
          <w:spacing w:val="0"/>
        </w:rPr>
        <w:t>[Ó]</w:t>
      </w:r>
      <w:r w:rsidR="00AE59A9" w:rsidRPr="00F23223">
        <w:rPr>
          <w:spacing w:val="0"/>
        </w:rPr>
        <w:t xml:space="preserve">rgano Legislativo por los delitos oficiales y </w:t>
      </w:r>
      <w:r w:rsidR="00AE59A9" w:rsidRPr="00F23223">
        <w:rPr>
          <w:spacing w:val="0"/>
          <w:szCs w:val="20"/>
        </w:rPr>
        <w:t>comunes que cometan, de conformidad a lo establecido en [.</w:t>
      </w:r>
      <w:r w:rsidR="00CA2925">
        <w:rPr>
          <w:spacing w:val="0"/>
          <w:szCs w:val="20"/>
        </w:rPr>
        <w:t>.</w:t>
      </w:r>
      <w:r w:rsidR="00AE59A9" w:rsidRPr="00F23223">
        <w:rPr>
          <w:spacing w:val="0"/>
          <w:szCs w:val="20"/>
        </w:rPr>
        <w:t>.] la Constitución”</w:t>
      </w:r>
      <w:r w:rsidR="00AE59A9" w:rsidRPr="00E85AD0">
        <w:rPr>
          <w:spacing w:val="0"/>
          <w:szCs w:val="20"/>
          <w:vertAlign w:val="superscript"/>
          <w:lang w:val="en-US"/>
        </w:rPr>
        <w:footnoteReference w:id="22"/>
      </w:r>
      <w:r w:rsidR="00AE59A9" w:rsidRPr="00F23223">
        <w:rPr>
          <w:spacing w:val="0"/>
          <w:szCs w:val="20"/>
        </w:rPr>
        <w:t>.</w:t>
      </w:r>
      <w:r w:rsidR="00F23223">
        <w:rPr>
          <w:spacing w:val="0"/>
          <w:szCs w:val="20"/>
        </w:rPr>
        <w:t xml:space="preserve"> </w:t>
      </w:r>
      <w:r w:rsidR="00331E32" w:rsidRPr="00F23223">
        <w:rPr>
          <w:spacing w:val="0"/>
          <w:szCs w:val="20"/>
        </w:rPr>
        <w:t>La Constitución establece un procedimiento particular que debe llevarse a cabo en estos casos</w:t>
      </w:r>
      <w:r w:rsidR="00331E32" w:rsidRPr="00E85AD0">
        <w:rPr>
          <w:rStyle w:val="FootnoteReference"/>
          <w:spacing w:val="0"/>
          <w:sz w:val="20"/>
          <w:szCs w:val="20"/>
          <w:lang w:val="es-CO"/>
        </w:rPr>
        <w:footnoteReference w:id="23"/>
      </w:r>
      <w:r w:rsidR="00331E32" w:rsidRPr="00F23223">
        <w:rPr>
          <w:spacing w:val="0"/>
          <w:szCs w:val="20"/>
          <w:lang w:val="es-CO"/>
        </w:rPr>
        <w:t>.</w:t>
      </w:r>
      <w:bookmarkEnd w:id="156"/>
      <w:r w:rsidR="00331E32" w:rsidRPr="00F23223">
        <w:rPr>
          <w:spacing w:val="0"/>
        </w:rPr>
        <w:t xml:space="preserve"> </w:t>
      </w:r>
    </w:p>
    <w:p w14:paraId="4E0213B5" w14:textId="77777777" w:rsidR="008A2413" w:rsidRPr="00E85AD0" w:rsidRDefault="008A2413" w:rsidP="008A2413">
      <w:pPr>
        <w:rPr>
          <w:lang w:val="es-CR" w:eastAsia="es-MX"/>
        </w:rPr>
      </w:pPr>
    </w:p>
    <w:p w14:paraId="40BAEC35" w14:textId="10BE2EFC" w:rsidR="003964F7" w:rsidRDefault="008A2413" w:rsidP="003964F7">
      <w:pPr>
        <w:pStyle w:val="PrrafodeSentencia"/>
        <w:rPr>
          <w:spacing w:val="0"/>
        </w:rPr>
      </w:pPr>
      <w:r w:rsidRPr="00E85AD0">
        <w:rPr>
          <w:spacing w:val="0"/>
        </w:rPr>
        <w:t>Por otro lado, la Constitución e</w:t>
      </w:r>
      <w:r w:rsidR="009A1FAD">
        <w:rPr>
          <w:spacing w:val="0"/>
        </w:rPr>
        <w:t>stablece que “[n]inguna persona</w:t>
      </w:r>
      <w:r w:rsidRPr="00E85AD0">
        <w:rPr>
          <w:spacing w:val="0"/>
        </w:rPr>
        <w:t xml:space="preserve"> puede ser privada del derecho a la vida, a la libertad, a la propiedad y posesión, ni de cualquier otro de sus derechos sin ser previamente oída y vencida en juicio con arreglo a las leyes; ni puede ser enjuiciada dos veces por la misma causa”</w:t>
      </w:r>
      <w:r w:rsidRPr="00E85AD0">
        <w:rPr>
          <w:rStyle w:val="FootnoteReference"/>
          <w:spacing w:val="0"/>
          <w:sz w:val="20"/>
          <w:szCs w:val="20"/>
          <w:lang w:val="es-CO"/>
        </w:rPr>
        <w:footnoteReference w:id="24"/>
      </w:r>
      <w:r w:rsidRPr="00E85AD0">
        <w:rPr>
          <w:spacing w:val="0"/>
        </w:rPr>
        <w:t>.</w:t>
      </w:r>
    </w:p>
    <w:p w14:paraId="5E0484D8" w14:textId="77777777" w:rsidR="001C3520" w:rsidRDefault="001C3520" w:rsidP="001C3520">
      <w:pPr>
        <w:jc w:val="both"/>
        <w:rPr>
          <w:szCs w:val="20"/>
          <w:lang w:val="es-ES"/>
        </w:rPr>
      </w:pPr>
    </w:p>
    <w:p w14:paraId="7415E60A" w14:textId="77777777" w:rsidR="00A343F8" w:rsidRDefault="00A343F8" w:rsidP="001C3520">
      <w:pPr>
        <w:jc w:val="both"/>
        <w:rPr>
          <w:szCs w:val="20"/>
          <w:lang w:val="es-ES"/>
        </w:rPr>
      </w:pPr>
    </w:p>
    <w:p w14:paraId="0726F99C" w14:textId="77777777" w:rsidR="00A343F8" w:rsidRDefault="00A343F8" w:rsidP="001C3520">
      <w:pPr>
        <w:jc w:val="both"/>
        <w:rPr>
          <w:szCs w:val="20"/>
          <w:lang w:val="es-ES"/>
        </w:rPr>
      </w:pPr>
    </w:p>
    <w:p w14:paraId="7D427F67" w14:textId="77777777" w:rsidR="00A343F8" w:rsidRDefault="00A343F8" w:rsidP="001C3520">
      <w:pPr>
        <w:jc w:val="both"/>
        <w:rPr>
          <w:szCs w:val="20"/>
          <w:lang w:val="es-ES"/>
        </w:rPr>
      </w:pPr>
    </w:p>
    <w:p w14:paraId="7B1E9949" w14:textId="77777777" w:rsidR="00A343F8" w:rsidRPr="00E85AD0" w:rsidRDefault="00A343F8" w:rsidP="001C3520">
      <w:pPr>
        <w:jc w:val="both"/>
        <w:rPr>
          <w:szCs w:val="20"/>
          <w:lang w:val="es-ES"/>
        </w:rPr>
      </w:pPr>
    </w:p>
    <w:p w14:paraId="55C6EDFF" w14:textId="11BC3D36" w:rsidR="000D0FAB" w:rsidRDefault="001C3520" w:rsidP="00A343F8">
      <w:pPr>
        <w:pStyle w:val="Heading2"/>
        <w:ind w:left="567" w:firstLine="0"/>
      </w:pPr>
      <w:bookmarkStart w:id="157" w:name="_Toc192568"/>
      <w:r w:rsidRPr="00E85AD0">
        <w:t xml:space="preserve">Nombramiento </w:t>
      </w:r>
      <w:r w:rsidR="007E332D" w:rsidRPr="00E85AD0">
        <w:t xml:space="preserve">del señor Colindres Schonenberg </w:t>
      </w:r>
      <w:r w:rsidRPr="00E85AD0">
        <w:t xml:space="preserve">como </w:t>
      </w:r>
      <w:r w:rsidR="007E332D" w:rsidRPr="00E85AD0">
        <w:t>m</w:t>
      </w:r>
      <w:r w:rsidRPr="00E85AD0">
        <w:t>agistrado</w:t>
      </w:r>
      <w:r w:rsidR="007E332D" w:rsidRPr="00E85AD0">
        <w:t xml:space="preserve"> y primera destitución</w:t>
      </w:r>
      <w:bookmarkEnd w:id="157"/>
    </w:p>
    <w:p w14:paraId="7D850B78" w14:textId="77777777" w:rsidR="00A343F8" w:rsidRPr="00A343F8" w:rsidRDefault="00A343F8" w:rsidP="00A343F8">
      <w:pPr>
        <w:rPr>
          <w:lang w:val="es-CR" w:eastAsia="es-ES"/>
        </w:rPr>
      </w:pPr>
    </w:p>
    <w:p w14:paraId="4BA5390F" w14:textId="2D2BF99B" w:rsidR="004D047F" w:rsidRPr="00E85AD0" w:rsidRDefault="00A65FF2" w:rsidP="009D216C">
      <w:pPr>
        <w:pStyle w:val="PrrafodeSentencia"/>
        <w:rPr>
          <w:spacing w:val="0"/>
          <w:szCs w:val="20"/>
          <w:lang w:val="es-CO"/>
        </w:rPr>
      </w:pPr>
      <w:r w:rsidRPr="00E85AD0">
        <w:rPr>
          <w:spacing w:val="0"/>
          <w:szCs w:val="20"/>
          <w:lang w:val="es-ES"/>
        </w:rPr>
        <w:t xml:space="preserve">El señor </w:t>
      </w:r>
      <w:r w:rsidRPr="00E85AD0">
        <w:rPr>
          <w:spacing w:val="0"/>
          <w:szCs w:val="20"/>
          <w:lang w:val="es-CO"/>
        </w:rPr>
        <w:t xml:space="preserve">Eduardo </w:t>
      </w:r>
      <w:r w:rsidR="007D6783">
        <w:rPr>
          <w:spacing w:val="0"/>
          <w:szCs w:val="20"/>
          <w:lang w:val="es-CO"/>
        </w:rPr>
        <w:t xml:space="preserve">Benjamín </w:t>
      </w:r>
      <w:r w:rsidRPr="00E85AD0">
        <w:rPr>
          <w:spacing w:val="0"/>
          <w:szCs w:val="20"/>
          <w:lang w:val="es-CO"/>
        </w:rPr>
        <w:t>Colindres</w:t>
      </w:r>
      <w:r w:rsidR="002F11BA" w:rsidRPr="00E85AD0">
        <w:rPr>
          <w:spacing w:val="0"/>
          <w:szCs w:val="20"/>
          <w:lang w:val="es-CO"/>
        </w:rPr>
        <w:t xml:space="preserve"> Schonenberg</w:t>
      </w:r>
      <w:r w:rsidRPr="00E85AD0">
        <w:rPr>
          <w:spacing w:val="0"/>
          <w:szCs w:val="20"/>
          <w:lang w:val="es-CO"/>
        </w:rPr>
        <w:t xml:space="preserve"> </w:t>
      </w:r>
      <w:r w:rsidR="005B57E4" w:rsidRPr="00E85AD0">
        <w:rPr>
          <w:spacing w:val="0"/>
          <w:szCs w:val="20"/>
          <w:lang w:val="es-CO"/>
        </w:rPr>
        <w:t>es</w:t>
      </w:r>
      <w:r w:rsidRPr="00E85AD0">
        <w:rPr>
          <w:spacing w:val="0"/>
          <w:szCs w:val="20"/>
          <w:lang w:val="es-CO"/>
        </w:rPr>
        <w:t xml:space="preserve"> abogado, licenciado en Sociología y Doctor en Historia</w:t>
      </w:r>
      <w:r w:rsidRPr="00E85AD0">
        <w:rPr>
          <w:rStyle w:val="FootnoteReference"/>
          <w:spacing w:val="0"/>
          <w:sz w:val="20"/>
          <w:szCs w:val="20"/>
          <w:lang w:val="es-CO"/>
        </w:rPr>
        <w:footnoteReference w:id="25"/>
      </w:r>
      <w:r w:rsidRPr="00E85AD0">
        <w:rPr>
          <w:spacing w:val="0"/>
          <w:szCs w:val="20"/>
          <w:lang w:val="es-CO"/>
        </w:rPr>
        <w:t>.</w:t>
      </w:r>
      <w:r w:rsidRPr="00E85AD0">
        <w:rPr>
          <w:spacing w:val="0"/>
          <w:szCs w:val="20"/>
          <w:lang w:val="es-ES"/>
        </w:rPr>
        <w:t xml:space="preserve"> </w:t>
      </w:r>
      <w:r w:rsidR="004D047F" w:rsidRPr="00E85AD0">
        <w:rPr>
          <w:spacing w:val="0"/>
          <w:szCs w:val="20"/>
          <w:lang w:val="es-ES"/>
        </w:rPr>
        <w:t xml:space="preserve">El </w:t>
      </w:r>
      <w:r w:rsidR="004D047F" w:rsidRPr="00E85AD0">
        <w:rPr>
          <w:spacing w:val="0"/>
          <w:szCs w:val="20"/>
          <w:lang w:val="es-CO"/>
        </w:rPr>
        <w:t xml:space="preserve">11 de agosto de 1994 </w:t>
      </w:r>
      <w:r w:rsidR="004D047F" w:rsidRPr="00E85AD0">
        <w:rPr>
          <w:spacing w:val="0"/>
          <w:szCs w:val="20"/>
          <w:lang w:val="es-ES"/>
        </w:rPr>
        <w:t>f</w:t>
      </w:r>
      <w:r w:rsidRPr="00E85AD0">
        <w:rPr>
          <w:spacing w:val="0"/>
          <w:szCs w:val="20"/>
          <w:lang w:val="es-ES"/>
        </w:rPr>
        <w:t>ue nombrado como Magistrado Propietario del Tribunal Supremo Electoral</w:t>
      </w:r>
      <w:r w:rsidR="00A4406D">
        <w:rPr>
          <w:spacing w:val="0"/>
          <w:szCs w:val="20"/>
          <w:lang w:val="es-ES"/>
        </w:rPr>
        <w:t xml:space="preserve"> (en adelante “TSE”)</w:t>
      </w:r>
      <w:r w:rsidRPr="00E85AD0">
        <w:rPr>
          <w:spacing w:val="0"/>
          <w:szCs w:val="20"/>
          <w:lang w:val="es-ES"/>
        </w:rPr>
        <w:t xml:space="preserve"> mediante </w:t>
      </w:r>
      <w:r w:rsidR="004D047F" w:rsidRPr="00E85AD0">
        <w:rPr>
          <w:spacing w:val="0"/>
          <w:szCs w:val="20"/>
          <w:lang w:val="es-CO"/>
        </w:rPr>
        <w:t>d</w:t>
      </w:r>
      <w:r w:rsidRPr="00E85AD0">
        <w:rPr>
          <w:spacing w:val="0"/>
          <w:szCs w:val="20"/>
          <w:lang w:val="es-CO"/>
        </w:rPr>
        <w:t>ecreto de la Asamblea Legislativa</w:t>
      </w:r>
      <w:r w:rsidR="004D047F" w:rsidRPr="00E85AD0">
        <w:rPr>
          <w:rStyle w:val="FootnoteReference"/>
          <w:spacing w:val="0"/>
          <w:sz w:val="20"/>
          <w:szCs w:val="20"/>
          <w:lang w:val="es-CO"/>
        </w:rPr>
        <w:footnoteReference w:id="26"/>
      </w:r>
      <w:r w:rsidR="004D047F" w:rsidRPr="00E85AD0">
        <w:rPr>
          <w:spacing w:val="0"/>
          <w:szCs w:val="20"/>
          <w:lang w:val="es-CO"/>
        </w:rPr>
        <w:t xml:space="preserve">. </w:t>
      </w:r>
    </w:p>
    <w:p w14:paraId="1C8AE418" w14:textId="77777777" w:rsidR="002F11BA" w:rsidRPr="00E85AD0" w:rsidRDefault="002F11BA" w:rsidP="002F11BA">
      <w:pPr>
        <w:rPr>
          <w:lang w:val="es-CO" w:eastAsia="es-MX"/>
        </w:rPr>
      </w:pPr>
    </w:p>
    <w:p w14:paraId="175D38EC" w14:textId="0956F397" w:rsidR="005B57E4" w:rsidRPr="00E85AD0" w:rsidRDefault="00A65FF2" w:rsidP="009D216C">
      <w:pPr>
        <w:pStyle w:val="PrrafodeSentencia"/>
        <w:rPr>
          <w:spacing w:val="0"/>
          <w:szCs w:val="20"/>
          <w:lang w:val="es-CO"/>
        </w:rPr>
      </w:pPr>
      <w:r w:rsidRPr="00E85AD0">
        <w:rPr>
          <w:spacing w:val="0"/>
          <w:szCs w:val="20"/>
          <w:lang w:val="es-CO"/>
        </w:rPr>
        <w:t xml:space="preserve">El señor Colindres </w:t>
      </w:r>
      <w:r w:rsidR="00030576" w:rsidRPr="00E85AD0">
        <w:rPr>
          <w:spacing w:val="0"/>
          <w:szCs w:val="20"/>
          <w:lang w:val="es-CO"/>
        </w:rPr>
        <w:t xml:space="preserve">Schonenberg </w:t>
      </w:r>
      <w:r w:rsidRPr="00E85AD0">
        <w:rPr>
          <w:spacing w:val="0"/>
          <w:szCs w:val="20"/>
          <w:lang w:val="es-CO"/>
        </w:rPr>
        <w:t xml:space="preserve">fue uno de los tres magistrados que, conforme al procedimiento constitucional, debía ser elegido </w:t>
      </w:r>
      <w:r w:rsidR="00642E02">
        <w:rPr>
          <w:spacing w:val="0"/>
          <w:szCs w:val="20"/>
          <w:lang w:val="es-CO"/>
        </w:rPr>
        <w:t>de una de las</w:t>
      </w:r>
      <w:r w:rsidRPr="00E85AD0">
        <w:rPr>
          <w:spacing w:val="0"/>
          <w:szCs w:val="20"/>
          <w:lang w:val="es-CO"/>
        </w:rPr>
        <w:t xml:space="preserve"> ternas de los partidos políticos o coaliciones legales que hubieran obtenido mayor número de votos en la última elección presidencial</w:t>
      </w:r>
      <w:r w:rsidR="007E332D" w:rsidRPr="00E85AD0">
        <w:rPr>
          <w:spacing w:val="0"/>
          <w:szCs w:val="20"/>
          <w:lang w:val="es-CO"/>
        </w:rPr>
        <w:t xml:space="preserve"> (</w:t>
      </w:r>
      <w:r w:rsidR="007E332D" w:rsidRPr="00E85AD0">
        <w:rPr>
          <w:i/>
          <w:spacing w:val="0"/>
          <w:szCs w:val="20"/>
          <w:lang w:val="es-CO"/>
        </w:rPr>
        <w:t xml:space="preserve">supra </w:t>
      </w:r>
      <w:r w:rsidR="007E332D" w:rsidRPr="00E85AD0">
        <w:rPr>
          <w:spacing w:val="0"/>
          <w:szCs w:val="20"/>
          <w:lang w:val="es-CO"/>
        </w:rPr>
        <w:t>párr.</w:t>
      </w:r>
      <w:r w:rsidR="00E938D8">
        <w:rPr>
          <w:spacing w:val="0"/>
          <w:szCs w:val="20"/>
          <w:lang w:val="es-CO"/>
        </w:rPr>
        <w:t xml:space="preserve"> </w:t>
      </w:r>
      <w:r w:rsidR="00E938D8">
        <w:rPr>
          <w:spacing w:val="0"/>
          <w:szCs w:val="20"/>
          <w:lang w:val="es-CO"/>
        </w:rPr>
        <w:fldChar w:fldCharType="begin"/>
      </w:r>
      <w:r w:rsidR="00E938D8">
        <w:rPr>
          <w:spacing w:val="0"/>
          <w:szCs w:val="20"/>
          <w:lang w:val="es-CO"/>
        </w:rPr>
        <w:instrText xml:space="preserve"> REF _Ref789273 \r \h </w:instrText>
      </w:r>
      <w:r w:rsidR="00E938D8">
        <w:rPr>
          <w:spacing w:val="0"/>
          <w:szCs w:val="20"/>
          <w:lang w:val="es-CO"/>
        </w:rPr>
      </w:r>
      <w:r w:rsidR="00E938D8">
        <w:rPr>
          <w:spacing w:val="0"/>
          <w:szCs w:val="20"/>
          <w:lang w:val="es-CO"/>
        </w:rPr>
        <w:fldChar w:fldCharType="separate"/>
      </w:r>
      <w:r w:rsidR="002D28B2">
        <w:rPr>
          <w:spacing w:val="0"/>
          <w:szCs w:val="20"/>
          <w:lang w:val="es-CO"/>
        </w:rPr>
        <w:t>20</w:t>
      </w:r>
      <w:r w:rsidR="00E938D8">
        <w:rPr>
          <w:spacing w:val="0"/>
          <w:szCs w:val="20"/>
          <w:lang w:val="es-CO"/>
        </w:rPr>
        <w:fldChar w:fldCharType="end"/>
      </w:r>
      <w:r w:rsidR="007E332D" w:rsidRPr="00E85AD0">
        <w:rPr>
          <w:spacing w:val="0"/>
          <w:szCs w:val="20"/>
          <w:lang w:val="es-CO"/>
        </w:rPr>
        <w:t>)</w:t>
      </w:r>
      <w:r w:rsidRPr="00E85AD0">
        <w:rPr>
          <w:spacing w:val="0"/>
          <w:szCs w:val="20"/>
          <w:lang w:val="es-CO"/>
        </w:rPr>
        <w:t xml:space="preserve">. El señor Colindres </w:t>
      </w:r>
      <w:r w:rsidR="00853C58">
        <w:rPr>
          <w:spacing w:val="0"/>
          <w:szCs w:val="20"/>
          <w:lang w:val="es-CO"/>
        </w:rPr>
        <w:t xml:space="preserve">Schonenberg </w:t>
      </w:r>
      <w:r w:rsidRPr="00E85AD0">
        <w:rPr>
          <w:spacing w:val="0"/>
          <w:szCs w:val="20"/>
          <w:lang w:val="es-CO"/>
        </w:rPr>
        <w:t>fue ele</w:t>
      </w:r>
      <w:r w:rsidR="002F11BA" w:rsidRPr="00E85AD0">
        <w:rPr>
          <w:spacing w:val="0"/>
          <w:szCs w:val="20"/>
          <w:lang w:val="es-CO"/>
        </w:rPr>
        <w:t xml:space="preserve">cto </w:t>
      </w:r>
      <w:r w:rsidRPr="00E85AD0">
        <w:rPr>
          <w:spacing w:val="0"/>
          <w:szCs w:val="20"/>
          <w:lang w:val="es-CO"/>
        </w:rPr>
        <w:t>e</w:t>
      </w:r>
      <w:r w:rsidR="002F11BA" w:rsidRPr="00E85AD0">
        <w:rPr>
          <w:spacing w:val="0"/>
          <w:szCs w:val="20"/>
          <w:lang w:val="es-CO"/>
        </w:rPr>
        <w:t>n la</w:t>
      </w:r>
      <w:r w:rsidRPr="00E85AD0">
        <w:rPr>
          <w:spacing w:val="0"/>
          <w:szCs w:val="20"/>
          <w:lang w:val="es-CO"/>
        </w:rPr>
        <w:t xml:space="preserve"> terna presentada por el Partido Demócrata Cristiano</w:t>
      </w:r>
      <w:r w:rsidR="004D047F" w:rsidRPr="00E85AD0">
        <w:rPr>
          <w:spacing w:val="0"/>
          <w:szCs w:val="20"/>
          <w:lang w:val="es-CO"/>
        </w:rPr>
        <w:t xml:space="preserve"> (en adelante “PDC”)</w:t>
      </w:r>
      <w:r w:rsidR="005B57E4" w:rsidRPr="00E85AD0">
        <w:rPr>
          <w:rStyle w:val="FootnoteReference"/>
          <w:spacing w:val="0"/>
          <w:sz w:val="20"/>
          <w:szCs w:val="20"/>
          <w:lang w:val="es-CO"/>
        </w:rPr>
        <w:footnoteReference w:id="27"/>
      </w:r>
      <w:r w:rsidRPr="00E85AD0">
        <w:rPr>
          <w:spacing w:val="0"/>
          <w:szCs w:val="20"/>
          <w:lang w:val="es-CO"/>
        </w:rPr>
        <w:t xml:space="preserve">. </w:t>
      </w:r>
      <w:r w:rsidR="00EB3297" w:rsidRPr="00E85AD0">
        <w:rPr>
          <w:spacing w:val="0"/>
          <w:szCs w:val="20"/>
          <w:lang w:val="es-CO"/>
        </w:rPr>
        <w:t>Su mandato terminaba e</w:t>
      </w:r>
      <w:r w:rsidR="007353CB">
        <w:rPr>
          <w:spacing w:val="0"/>
          <w:szCs w:val="20"/>
          <w:lang w:val="es-CO"/>
        </w:rPr>
        <w:t xml:space="preserve">l </w:t>
      </w:r>
      <w:r w:rsidR="00570A25">
        <w:rPr>
          <w:spacing w:val="0"/>
          <w:szCs w:val="20"/>
          <w:lang w:val="es-CO"/>
        </w:rPr>
        <w:t>30</w:t>
      </w:r>
      <w:r w:rsidR="007353CB">
        <w:rPr>
          <w:spacing w:val="0"/>
          <w:szCs w:val="20"/>
          <w:lang w:val="es-CO"/>
        </w:rPr>
        <w:t xml:space="preserve"> de</w:t>
      </w:r>
      <w:r w:rsidR="00EB3297" w:rsidRPr="00E85AD0">
        <w:rPr>
          <w:spacing w:val="0"/>
          <w:szCs w:val="20"/>
          <w:lang w:val="es-CO"/>
        </w:rPr>
        <w:t xml:space="preserve"> julio de 1999</w:t>
      </w:r>
      <w:r w:rsidR="00EB3297" w:rsidRPr="00E85AD0">
        <w:rPr>
          <w:rStyle w:val="FootnoteReference"/>
          <w:spacing w:val="0"/>
          <w:sz w:val="20"/>
          <w:szCs w:val="20"/>
          <w:lang w:val="es-CO"/>
        </w:rPr>
        <w:footnoteReference w:id="28"/>
      </w:r>
      <w:r w:rsidR="00EB3297" w:rsidRPr="00E85AD0">
        <w:rPr>
          <w:spacing w:val="0"/>
          <w:szCs w:val="20"/>
          <w:lang w:val="es-CO"/>
        </w:rPr>
        <w:t>.</w:t>
      </w:r>
      <w:r w:rsidR="00570A25">
        <w:rPr>
          <w:spacing w:val="0"/>
          <w:szCs w:val="20"/>
          <w:lang w:val="es-CO"/>
        </w:rPr>
        <w:t xml:space="preserve"> </w:t>
      </w:r>
    </w:p>
    <w:p w14:paraId="6E5D8528" w14:textId="77777777" w:rsidR="005B57E4" w:rsidRPr="00E85AD0" w:rsidRDefault="005B57E4" w:rsidP="005B57E4">
      <w:pPr>
        <w:rPr>
          <w:szCs w:val="20"/>
          <w:lang w:val="es-ES"/>
        </w:rPr>
      </w:pPr>
    </w:p>
    <w:p w14:paraId="14CA3E0E" w14:textId="541F4065" w:rsidR="00EB2EB3" w:rsidRDefault="00A65FF2" w:rsidP="00EB2EB3">
      <w:pPr>
        <w:pStyle w:val="PrrafodeSentencia"/>
        <w:rPr>
          <w:spacing w:val="0"/>
        </w:rPr>
      </w:pPr>
      <w:r w:rsidRPr="00E85AD0">
        <w:rPr>
          <w:spacing w:val="0"/>
          <w:szCs w:val="20"/>
          <w:lang w:val="es-CO"/>
        </w:rPr>
        <w:t>En 1996</w:t>
      </w:r>
      <w:r w:rsidR="004029DC">
        <w:rPr>
          <w:spacing w:val="0"/>
          <w:szCs w:val="20"/>
          <w:lang w:val="es-CO"/>
        </w:rPr>
        <w:t xml:space="preserve"> surgió una disputa referente a </w:t>
      </w:r>
      <w:r w:rsidR="00CA6DBF" w:rsidRPr="00E85AD0">
        <w:rPr>
          <w:spacing w:val="0"/>
          <w:szCs w:val="20"/>
          <w:lang w:val="es-CO"/>
        </w:rPr>
        <w:t xml:space="preserve">quién era el legítimo Secretario General del </w:t>
      </w:r>
      <w:r w:rsidR="00A57455">
        <w:rPr>
          <w:spacing w:val="0"/>
          <w:szCs w:val="20"/>
          <w:lang w:val="es-CO"/>
        </w:rPr>
        <w:t>PDC</w:t>
      </w:r>
      <w:r w:rsidR="00CA6DBF" w:rsidRPr="00E85AD0">
        <w:rPr>
          <w:rStyle w:val="FootnoteReference"/>
          <w:spacing w:val="0"/>
          <w:sz w:val="20"/>
          <w:szCs w:val="20"/>
          <w:lang w:val="es-CO"/>
        </w:rPr>
        <w:footnoteReference w:id="29"/>
      </w:r>
      <w:r w:rsidR="00CA6DBF" w:rsidRPr="00E85AD0">
        <w:rPr>
          <w:spacing w:val="0"/>
          <w:szCs w:val="20"/>
          <w:lang w:val="es-CO"/>
        </w:rPr>
        <w:t>.</w:t>
      </w:r>
      <w:r w:rsidR="00497F62">
        <w:rPr>
          <w:spacing w:val="0"/>
          <w:szCs w:val="20"/>
          <w:lang w:val="es-CO"/>
        </w:rPr>
        <w:t xml:space="preserve"> </w:t>
      </w:r>
      <w:r w:rsidR="00000064" w:rsidRPr="00E85AD0">
        <w:rPr>
          <w:spacing w:val="0"/>
          <w:szCs w:val="20"/>
          <w:lang w:val="es-CO"/>
        </w:rPr>
        <w:t xml:space="preserve">El TSE tuvo que </w:t>
      </w:r>
      <w:r w:rsidR="00CA6DBF" w:rsidRPr="00E85AD0">
        <w:rPr>
          <w:spacing w:val="0"/>
          <w:szCs w:val="20"/>
          <w:lang w:val="es-CO"/>
        </w:rPr>
        <w:t>dirimir</w:t>
      </w:r>
      <w:r w:rsidR="00360A1E">
        <w:rPr>
          <w:spacing w:val="0"/>
          <w:szCs w:val="20"/>
          <w:lang w:val="es-CO"/>
        </w:rPr>
        <w:t xml:space="preserve"> </w:t>
      </w:r>
      <w:r w:rsidR="004029DC">
        <w:rPr>
          <w:spacing w:val="0"/>
          <w:szCs w:val="20"/>
          <w:lang w:val="es-CO"/>
        </w:rPr>
        <w:t>dicha d</w:t>
      </w:r>
      <w:r w:rsidR="00CA2925">
        <w:rPr>
          <w:spacing w:val="0"/>
          <w:szCs w:val="20"/>
          <w:lang w:val="es-CO"/>
        </w:rPr>
        <w:t>i</w:t>
      </w:r>
      <w:r w:rsidR="004029DC">
        <w:rPr>
          <w:spacing w:val="0"/>
          <w:szCs w:val="20"/>
          <w:lang w:val="es-CO"/>
        </w:rPr>
        <w:t>sputa</w:t>
      </w:r>
      <w:r w:rsidR="00AB3B30" w:rsidRPr="00E85AD0">
        <w:rPr>
          <w:rStyle w:val="FootnoteReference"/>
          <w:spacing w:val="0"/>
          <w:sz w:val="20"/>
          <w:szCs w:val="20"/>
          <w:lang w:val="es-CO"/>
        </w:rPr>
        <w:footnoteReference w:id="30"/>
      </w:r>
      <w:r w:rsidR="00AB3B30" w:rsidRPr="00E85AD0">
        <w:rPr>
          <w:spacing w:val="0"/>
          <w:szCs w:val="20"/>
          <w:lang w:val="es-CO"/>
        </w:rPr>
        <w:t>.</w:t>
      </w:r>
      <w:r w:rsidR="00A93DC0" w:rsidRPr="00E85AD0">
        <w:rPr>
          <w:spacing w:val="0"/>
          <w:szCs w:val="20"/>
          <w:lang w:val="es-CO"/>
        </w:rPr>
        <w:t xml:space="preserve"> Miembros del PDC cuestionaron el actuar del</w:t>
      </w:r>
      <w:r w:rsidR="00000064" w:rsidRPr="00E85AD0">
        <w:rPr>
          <w:spacing w:val="0"/>
          <w:szCs w:val="20"/>
          <w:lang w:val="es-CO"/>
        </w:rPr>
        <w:t xml:space="preserve"> señor Colindres Schonenberg </w:t>
      </w:r>
      <w:r w:rsidR="00A93DC0" w:rsidRPr="00E85AD0">
        <w:rPr>
          <w:spacing w:val="0"/>
          <w:szCs w:val="20"/>
          <w:lang w:val="es-CO"/>
        </w:rPr>
        <w:t>ante este conflicto</w:t>
      </w:r>
      <w:r w:rsidR="00A93DC0" w:rsidRPr="00E85AD0">
        <w:rPr>
          <w:rStyle w:val="FootnoteReference"/>
          <w:spacing w:val="0"/>
          <w:sz w:val="20"/>
        </w:rPr>
        <w:footnoteReference w:id="31"/>
      </w:r>
      <w:r w:rsidR="00A93DC0" w:rsidRPr="00E85AD0">
        <w:rPr>
          <w:spacing w:val="0"/>
        </w:rPr>
        <w:t>.</w:t>
      </w:r>
    </w:p>
    <w:p w14:paraId="07F071C2" w14:textId="77777777" w:rsidR="00900F6F" w:rsidRPr="00900F6F" w:rsidRDefault="00900F6F" w:rsidP="00900F6F">
      <w:pPr>
        <w:rPr>
          <w:lang w:val="es-CR"/>
        </w:rPr>
      </w:pPr>
    </w:p>
    <w:p w14:paraId="05E83529" w14:textId="64EF504C" w:rsidR="00A65FF2" w:rsidRPr="00E85AD0" w:rsidRDefault="00A93DC0" w:rsidP="00A93DC0">
      <w:pPr>
        <w:pStyle w:val="PrrafodeSentencia"/>
        <w:rPr>
          <w:spacing w:val="0"/>
          <w:szCs w:val="20"/>
          <w:lang w:val="es-ES"/>
        </w:rPr>
      </w:pPr>
      <w:bookmarkStart w:id="158" w:name="_Ref536621235"/>
      <w:r w:rsidRPr="00E85AD0">
        <w:rPr>
          <w:spacing w:val="0"/>
          <w:szCs w:val="20"/>
          <w:lang w:val="es-CO"/>
        </w:rPr>
        <w:t>El 2</w:t>
      </w:r>
      <w:r w:rsidR="004029DC">
        <w:rPr>
          <w:spacing w:val="0"/>
          <w:szCs w:val="20"/>
          <w:lang w:val="es-CO"/>
        </w:rPr>
        <w:t>1</w:t>
      </w:r>
      <w:r w:rsidRPr="00E85AD0">
        <w:rPr>
          <w:spacing w:val="0"/>
          <w:szCs w:val="20"/>
          <w:lang w:val="es-CO"/>
        </w:rPr>
        <w:t xml:space="preserve"> de noviembre de 1996 miembros del PDC solicitaron la destitución del señor Colindres Schonenberg</w:t>
      </w:r>
      <w:r w:rsidR="00CF5718" w:rsidRPr="00E85AD0">
        <w:rPr>
          <w:rStyle w:val="FootnoteReference"/>
          <w:spacing w:val="0"/>
          <w:sz w:val="20"/>
          <w:szCs w:val="20"/>
          <w:lang w:val="es-CO"/>
        </w:rPr>
        <w:footnoteReference w:id="32"/>
      </w:r>
      <w:r w:rsidRPr="00E85AD0">
        <w:rPr>
          <w:spacing w:val="0"/>
          <w:szCs w:val="20"/>
          <w:lang w:val="es-CO"/>
        </w:rPr>
        <w:t xml:space="preserve">. </w:t>
      </w:r>
      <w:r w:rsidR="004029DC">
        <w:rPr>
          <w:spacing w:val="0"/>
          <w:szCs w:val="20"/>
          <w:lang w:val="es-CO"/>
        </w:rPr>
        <w:t>Al día siguiente</w:t>
      </w:r>
      <w:r w:rsidR="00A65FF2" w:rsidRPr="00E85AD0">
        <w:rPr>
          <w:spacing w:val="0"/>
          <w:szCs w:val="20"/>
          <w:lang w:val="es-CO"/>
        </w:rPr>
        <w:t xml:space="preserve"> la Asamblea Leg</w:t>
      </w:r>
      <w:r w:rsidR="007B711F" w:rsidRPr="00E85AD0">
        <w:rPr>
          <w:spacing w:val="0"/>
          <w:szCs w:val="20"/>
          <w:lang w:val="es-CO"/>
        </w:rPr>
        <w:t>islativa resolvió por medio de un d</w:t>
      </w:r>
      <w:r w:rsidR="00A65FF2" w:rsidRPr="00E85AD0">
        <w:rPr>
          <w:spacing w:val="0"/>
          <w:szCs w:val="20"/>
          <w:lang w:val="es-CO"/>
        </w:rPr>
        <w:t xml:space="preserve">ecreto </w:t>
      </w:r>
      <w:r w:rsidR="007B711F" w:rsidRPr="00E85AD0">
        <w:rPr>
          <w:spacing w:val="0"/>
          <w:szCs w:val="20"/>
          <w:lang w:val="es-CO"/>
        </w:rPr>
        <w:t>l</w:t>
      </w:r>
      <w:r w:rsidR="007353CB">
        <w:rPr>
          <w:spacing w:val="0"/>
          <w:szCs w:val="20"/>
          <w:lang w:val="es-CO"/>
        </w:rPr>
        <w:t>egislativo</w:t>
      </w:r>
      <w:r w:rsidR="00A65FF2" w:rsidRPr="00E85AD0">
        <w:rPr>
          <w:spacing w:val="0"/>
          <w:szCs w:val="20"/>
          <w:lang w:val="es-CO"/>
        </w:rPr>
        <w:t xml:space="preserve"> hacer cesar como magistrado del TSE al señor Colindres</w:t>
      </w:r>
      <w:r w:rsidR="007B711F" w:rsidRPr="00E85AD0">
        <w:rPr>
          <w:spacing w:val="0"/>
          <w:szCs w:val="20"/>
          <w:lang w:val="es-CO"/>
        </w:rPr>
        <w:t xml:space="preserve"> Schonenberg</w:t>
      </w:r>
      <w:r w:rsidR="007B711F" w:rsidRPr="00E85AD0">
        <w:rPr>
          <w:rStyle w:val="FootnoteReference"/>
          <w:spacing w:val="0"/>
          <w:sz w:val="20"/>
          <w:szCs w:val="20"/>
          <w:lang w:val="es-CO"/>
        </w:rPr>
        <w:footnoteReference w:id="33"/>
      </w:r>
      <w:r w:rsidR="007B711F" w:rsidRPr="00E85AD0">
        <w:rPr>
          <w:spacing w:val="0"/>
          <w:szCs w:val="20"/>
          <w:lang w:val="es-CO"/>
        </w:rPr>
        <w:t>.</w:t>
      </w:r>
      <w:r w:rsidR="00A65FF2" w:rsidRPr="00E85AD0">
        <w:rPr>
          <w:spacing w:val="0"/>
          <w:szCs w:val="20"/>
          <w:lang w:val="es-CO"/>
        </w:rPr>
        <w:t xml:space="preserve"> </w:t>
      </w:r>
      <w:r w:rsidR="007B711F" w:rsidRPr="00E85AD0">
        <w:rPr>
          <w:spacing w:val="0"/>
          <w:szCs w:val="20"/>
          <w:lang w:val="es-CO"/>
        </w:rPr>
        <w:t>El decreto señala</w:t>
      </w:r>
      <w:r w:rsidR="007353CB">
        <w:rPr>
          <w:spacing w:val="0"/>
          <w:szCs w:val="20"/>
          <w:lang w:val="es-CO"/>
        </w:rPr>
        <w:t>ba</w:t>
      </w:r>
      <w:r w:rsidR="007B711F" w:rsidRPr="00E85AD0">
        <w:rPr>
          <w:spacing w:val="0"/>
          <w:szCs w:val="20"/>
          <w:lang w:val="es-CO"/>
        </w:rPr>
        <w:t>:</w:t>
      </w:r>
      <w:bookmarkEnd w:id="158"/>
    </w:p>
    <w:p w14:paraId="384C2450" w14:textId="77777777" w:rsidR="00A65FF2" w:rsidRPr="00E85AD0" w:rsidRDefault="00A65FF2" w:rsidP="00A65FF2">
      <w:pPr>
        <w:pStyle w:val="ListParagraph"/>
        <w:tabs>
          <w:tab w:val="num" w:pos="1440"/>
        </w:tabs>
        <w:rPr>
          <w:szCs w:val="20"/>
          <w:lang w:val="es-ES"/>
        </w:rPr>
      </w:pPr>
    </w:p>
    <w:p w14:paraId="5C19D04D" w14:textId="47A717E9" w:rsidR="00A81C84" w:rsidRPr="00E85AD0" w:rsidRDefault="00A81C84" w:rsidP="00A81C84">
      <w:pPr>
        <w:autoSpaceDE w:val="0"/>
        <w:autoSpaceDN w:val="0"/>
        <w:adjustRightInd w:val="0"/>
        <w:ind w:left="567" w:right="615"/>
        <w:jc w:val="both"/>
        <w:rPr>
          <w:rFonts w:eastAsia="Times New Roman" w:cs="Arial"/>
          <w:color w:val="171717"/>
          <w:sz w:val="18"/>
          <w:szCs w:val="18"/>
          <w:lang w:val="es-CR"/>
        </w:rPr>
      </w:pPr>
      <w:r w:rsidRPr="00E85AD0">
        <w:rPr>
          <w:rFonts w:eastAsia="Times New Roman" w:cs="Arial"/>
          <w:color w:val="171717"/>
          <w:sz w:val="18"/>
          <w:szCs w:val="18"/>
          <w:lang w:val="es-CR"/>
        </w:rPr>
        <w:t xml:space="preserve">Que el período de elección [de cinco años], no significa en manera alguna, que dichos funcionarios no puedan ser removidos de sus cargos si algunos de éstos dejare de reunir los requisitos que para ser Magistrados del Tribunal Supremo Electoral, </w:t>
      </w:r>
      <w:r w:rsidR="00642E02">
        <w:rPr>
          <w:rFonts w:eastAsia="Times New Roman" w:cs="Arial"/>
          <w:color w:val="171717"/>
          <w:sz w:val="18"/>
          <w:szCs w:val="18"/>
          <w:lang w:val="es-CR"/>
        </w:rPr>
        <w:t xml:space="preserve">[que] </w:t>
      </w:r>
      <w:r w:rsidRPr="00E85AD0">
        <w:rPr>
          <w:rFonts w:eastAsia="Times New Roman" w:cs="Arial"/>
          <w:color w:val="171717"/>
          <w:sz w:val="18"/>
          <w:szCs w:val="18"/>
          <w:lang w:val="es-CR"/>
        </w:rPr>
        <w:t xml:space="preserve">establece el Art. 60 del Código Electoral; lo que viene a constituir una causa justa y legal, para que el </w:t>
      </w:r>
      <w:r w:rsidRPr="00E85AD0">
        <w:rPr>
          <w:rFonts w:eastAsia="Times New Roman" w:cs="Arial"/>
          <w:color w:val="171717"/>
          <w:sz w:val="18"/>
          <w:szCs w:val="18"/>
          <w:lang w:val="es-CR"/>
        </w:rPr>
        <w:lastRenderedPageBreak/>
        <w:t>Magistrado que dejare de reunir esos requisitos, sea separado de su cargo antes del vencimiento del período para el que fue electo</w:t>
      </w:r>
      <w:r w:rsidRPr="00E85AD0">
        <w:rPr>
          <w:sz w:val="18"/>
          <w:szCs w:val="18"/>
          <w:lang w:val="es-CO"/>
        </w:rPr>
        <w:t>[;]</w:t>
      </w:r>
    </w:p>
    <w:p w14:paraId="6558FF80" w14:textId="77777777" w:rsidR="00A81C84" w:rsidRPr="00E85AD0" w:rsidRDefault="00A81C84" w:rsidP="00A81C84">
      <w:pPr>
        <w:ind w:left="567" w:right="615"/>
        <w:jc w:val="both"/>
        <w:rPr>
          <w:sz w:val="18"/>
          <w:szCs w:val="18"/>
          <w:lang w:val="es-CO"/>
        </w:rPr>
      </w:pPr>
    </w:p>
    <w:p w14:paraId="224EB010" w14:textId="610D3D7C" w:rsidR="00A65FF2" w:rsidRPr="00E85AD0" w:rsidRDefault="00A81C84" w:rsidP="00A81C84">
      <w:pPr>
        <w:ind w:left="567" w:right="615"/>
        <w:jc w:val="both"/>
        <w:rPr>
          <w:sz w:val="18"/>
          <w:szCs w:val="18"/>
          <w:lang w:val="es-CO"/>
        </w:rPr>
      </w:pPr>
      <w:r w:rsidRPr="00E85AD0">
        <w:rPr>
          <w:sz w:val="18"/>
          <w:szCs w:val="18"/>
          <w:lang w:val="es-CO"/>
        </w:rPr>
        <w:t>Que</w:t>
      </w:r>
      <w:r w:rsidR="00A65FF2" w:rsidRPr="00E85AD0">
        <w:rPr>
          <w:sz w:val="18"/>
          <w:szCs w:val="18"/>
          <w:lang w:val="es-CO"/>
        </w:rPr>
        <w:t xml:space="preserve"> la actuación del doctor Eduardo Benjamín Colindres como Magistrado Propietario del </w:t>
      </w:r>
      <w:r w:rsidR="004029DC">
        <w:rPr>
          <w:sz w:val="18"/>
          <w:szCs w:val="18"/>
          <w:lang w:val="es-CO"/>
        </w:rPr>
        <w:t>[</w:t>
      </w:r>
      <w:r w:rsidR="00A65FF2" w:rsidRPr="00E85AD0">
        <w:rPr>
          <w:sz w:val="18"/>
          <w:szCs w:val="18"/>
          <w:lang w:val="es-CO"/>
        </w:rPr>
        <w:t>TSE</w:t>
      </w:r>
      <w:r w:rsidR="004029DC">
        <w:rPr>
          <w:sz w:val="18"/>
          <w:szCs w:val="18"/>
          <w:lang w:val="es-CO"/>
        </w:rPr>
        <w:t>]</w:t>
      </w:r>
      <w:r w:rsidR="00A65FF2" w:rsidRPr="00E85AD0">
        <w:rPr>
          <w:sz w:val="18"/>
          <w:szCs w:val="18"/>
          <w:lang w:val="es-CO"/>
        </w:rPr>
        <w:t xml:space="preserve"> ha causado malestar general en los organismos de la Administración Pública obstaculizando la buena marcha del mismo</w:t>
      </w:r>
      <w:r w:rsidRPr="00E85AD0">
        <w:rPr>
          <w:sz w:val="18"/>
          <w:szCs w:val="18"/>
          <w:lang w:val="es-CO"/>
        </w:rPr>
        <w:t>,</w:t>
      </w:r>
      <w:r w:rsidR="00A65FF2" w:rsidRPr="00E85AD0">
        <w:rPr>
          <w:sz w:val="18"/>
          <w:szCs w:val="18"/>
          <w:lang w:val="es-CO"/>
        </w:rPr>
        <w:t xml:space="preserve"> no respondiendo a las necesidades y exigencias que la dinámica administrativa demanda de ese Tribunal, agravándose al carecer de instrucción notoria y honradez en el desempeño de su cargo, al parcializar su actuación en su calidad de juzgador, en la problemática interna del </w:t>
      </w:r>
      <w:r w:rsidRPr="00E85AD0">
        <w:rPr>
          <w:sz w:val="18"/>
          <w:szCs w:val="18"/>
          <w:lang w:val="es-CO"/>
        </w:rPr>
        <w:t>P</w:t>
      </w:r>
      <w:r w:rsidR="00A65FF2" w:rsidRPr="00E85AD0">
        <w:rPr>
          <w:sz w:val="18"/>
          <w:szCs w:val="18"/>
          <w:lang w:val="es-CO"/>
        </w:rPr>
        <w:t xml:space="preserve">artido </w:t>
      </w:r>
      <w:r w:rsidRPr="00E85AD0">
        <w:rPr>
          <w:sz w:val="18"/>
          <w:szCs w:val="18"/>
          <w:lang w:val="es-CO"/>
        </w:rPr>
        <w:t>D</w:t>
      </w:r>
      <w:r w:rsidR="00A65FF2" w:rsidRPr="00E85AD0">
        <w:rPr>
          <w:sz w:val="18"/>
          <w:szCs w:val="18"/>
          <w:lang w:val="es-CO"/>
        </w:rPr>
        <w:t xml:space="preserve">emócrata </w:t>
      </w:r>
      <w:r w:rsidRPr="00E85AD0">
        <w:rPr>
          <w:sz w:val="18"/>
          <w:szCs w:val="18"/>
          <w:lang w:val="es-CO"/>
        </w:rPr>
        <w:t>C</w:t>
      </w:r>
      <w:r w:rsidR="00A65FF2" w:rsidRPr="00E85AD0">
        <w:rPr>
          <w:sz w:val="18"/>
          <w:szCs w:val="18"/>
          <w:lang w:val="es-CO"/>
        </w:rPr>
        <w:t>ristiano y no excusarse de conocer en la referida crisis; perdiendo la objetividad e imparcialidad que impon</w:t>
      </w:r>
      <w:r w:rsidR="004029DC">
        <w:rPr>
          <w:sz w:val="18"/>
          <w:szCs w:val="18"/>
          <w:lang w:val="es-CO"/>
        </w:rPr>
        <w:t>[</w:t>
      </w:r>
      <w:r w:rsidR="00A65FF2" w:rsidRPr="00E85AD0">
        <w:rPr>
          <w:sz w:val="18"/>
          <w:szCs w:val="18"/>
          <w:lang w:val="es-CO"/>
        </w:rPr>
        <w:t>ía</w:t>
      </w:r>
      <w:r w:rsidR="004029DC">
        <w:rPr>
          <w:sz w:val="18"/>
          <w:szCs w:val="18"/>
          <w:lang w:val="es-CO"/>
        </w:rPr>
        <w:t>]</w:t>
      </w:r>
      <w:r w:rsidR="00A65FF2" w:rsidRPr="00E85AD0">
        <w:rPr>
          <w:sz w:val="18"/>
          <w:szCs w:val="18"/>
          <w:lang w:val="es-CO"/>
        </w:rPr>
        <w:t xml:space="preserve"> su investidura</w:t>
      </w:r>
      <w:r w:rsidR="00A65FF2" w:rsidRPr="00E85AD0">
        <w:rPr>
          <w:rStyle w:val="FootnoteReference"/>
          <w:sz w:val="18"/>
          <w:szCs w:val="18"/>
          <w:lang w:val="es-CO"/>
        </w:rPr>
        <w:footnoteReference w:id="34"/>
      </w:r>
      <w:r w:rsidR="00A65FF2" w:rsidRPr="00E85AD0">
        <w:rPr>
          <w:sz w:val="18"/>
          <w:szCs w:val="18"/>
          <w:lang w:val="es-CO"/>
        </w:rPr>
        <w:t>.</w:t>
      </w:r>
    </w:p>
    <w:p w14:paraId="3FC51221" w14:textId="77777777" w:rsidR="002A3AF9" w:rsidRPr="00E85AD0" w:rsidRDefault="002A3AF9" w:rsidP="002A3AF9">
      <w:pPr>
        <w:rPr>
          <w:lang w:val="es-CO" w:eastAsia="es-MX"/>
        </w:rPr>
      </w:pPr>
    </w:p>
    <w:p w14:paraId="06555E4C" w14:textId="15EE0FE6" w:rsidR="002A3AF9" w:rsidRPr="00E85AD0" w:rsidRDefault="00A65FF2" w:rsidP="009D216C">
      <w:pPr>
        <w:pStyle w:val="PrrafodeSentencia"/>
        <w:rPr>
          <w:spacing w:val="0"/>
          <w:szCs w:val="20"/>
          <w:lang w:val="es-ES"/>
        </w:rPr>
      </w:pPr>
      <w:r w:rsidRPr="00E85AD0">
        <w:rPr>
          <w:spacing w:val="0"/>
          <w:szCs w:val="20"/>
          <w:lang w:val="es-ES"/>
        </w:rPr>
        <w:t>El 2 de diciembre de 1996 el señor Colindres</w:t>
      </w:r>
      <w:r w:rsidR="00642E02">
        <w:rPr>
          <w:spacing w:val="0"/>
          <w:szCs w:val="20"/>
          <w:lang w:val="es-ES"/>
        </w:rPr>
        <w:t xml:space="preserve"> Schonenberg</w:t>
      </w:r>
      <w:r w:rsidRPr="00E85AD0">
        <w:rPr>
          <w:spacing w:val="0"/>
          <w:szCs w:val="20"/>
          <w:lang w:val="es-ES"/>
        </w:rPr>
        <w:t xml:space="preserve"> </w:t>
      </w:r>
      <w:r w:rsidR="00642E02">
        <w:rPr>
          <w:spacing w:val="0"/>
          <w:szCs w:val="20"/>
          <w:lang w:val="es-ES"/>
        </w:rPr>
        <w:t>presentó un</w:t>
      </w:r>
      <w:r w:rsidR="00A54F66">
        <w:rPr>
          <w:spacing w:val="0"/>
          <w:szCs w:val="20"/>
          <w:lang w:val="es-ES"/>
        </w:rPr>
        <w:t>a acción de</w:t>
      </w:r>
      <w:r w:rsidRPr="00E85AD0">
        <w:rPr>
          <w:spacing w:val="0"/>
          <w:szCs w:val="20"/>
          <w:lang w:val="es-CO"/>
        </w:rPr>
        <w:t xml:space="preserve"> amparo ante la Sala de lo Constitucional de la Corte Suprema de Justicia en contra del </w:t>
      </w:r>
      <w:r w:rsidR="00E35CDF" w:rsidRPr="00E85AD0">
        <w:rPr>
          <w:spacing w:val="0"/>
          <w:szCs w:val="20"/>
          <w:lang w:val="es-CO"/>
        </w:rPr>
        <w:t xml:space="preserve">decreto </w:t>
      </w:r>
      <w:r w:rsidR="00AD1793" w:rsidRPr="00E85AD0">
        <w:rPr>
          <w:spacing w:val="0"/>
          <w:szCs w:val="20"/>
          <w:lang w:val="es-CO"/>
        </w:rPr>
        <w:t>que lo destituy</w:t>
      </w:r>
      <w:r w:rsidR="00360A1E">
        <w:rPr>
          <w:spacing w:val="0"/>
          <w:szCs w:val="20"/>
          <w:lang w:val="es-CO"/>
        </w:rPr>
        <w:t>ó</w:t>
      </w:r>
      <w:r w:rsidRPr="00E85AD0">
        <w:rPr>
          <w:rStyle w:val="FootnoteReference"/>
          <w:spacing w:val="0"/>
          <w:sz w:val="20"/>
          <w:szCs w:val="20"/>
          <w:lang w:val="es-CO"/>
        </w:rPr>
        <w:footnoteReference w:id="35"/>
      </w:r>
      <w:r w:rsidRPr="00E85AD0">
        <w:rPr>
          <w:spacing w:val="0"/>
          <w:szCs w:val="20"/>
          <w:lang w:val="es-CO"/>
        </w:rPr>
        <w:t>.</w:t>
      </w:r>
      <w:r w:rsidRPr="00E85AD0">
        <w:rPr>
          <w:spacing w:val="0"/>
          <w:szCs w:val="20"/>
          <w:lang w:val="es-ES"/>
        </w:rPr>
        <w:t xml:space="preserve"> </w:t>
      </w:r>
    </w:p>
    <w:p w14:paraId="140F4914" w14:textId="77777777" w:rsidR="002A3AF9" w:rsidRPr="00E85AD0" w:rsidRDefault="002A3AF9" w:rsidP="002A3AF9">
      <w:pPr>
        <w:rPr>
          <w:lang w:val="es-ES" w:eastAsia="es-MX"/>
        </w:rPr>
      </w:pPr>
    </w:p>
    <w:p w14:paraId="297331F9" w14:textId="32A4242E" w:rsidR="00CF5718" w:rsidRPr="00E85AD0" w:rsidRDefault="00A65FF2" w:rsidP="006E753A">
      <w:pPr>
        <w:pStyle w:val="PrrafodeSentencia"/>
        <w:rPr>
          <w:spacing w:val="0"/>
          <w:szCs w:val="20"/>
          <w:lang w:val="es-CO"/>
        </w:rPr>
      </w:pPr>
      <w:bookmarkStart w:id="159" w:name="_Ref178864"/>
      <w:r w:rsidRPr="00E85AD0">
        <w:rPr>
          <w:spacing w:val="0"/>
          <w:szCs w:val="20"/>
          <w:lang w:val="es-CO"/>
        </w:rPr>
        <w:t xml:space="preserve">El 4 de noviembre de 1997 la Sala </w:t>
      </w:r>
      <w:r w:rsidR="00601847">
        <w:rPr>
          <w:spacing w:val="0"/>
          <w:szCs w:val="20"/>
          <w:lang w:val="es-CO"/>
        </w:rPr>
        <w:t xml:space="preserve">de lo Constitucional </w:t>
      </w:r>
      <w:r w:rsidRPr="00E85AD0">
        <w:rPr>
          <w:spacing w:val="0"/>
          <w:szCs w:val="20"/>
          <w:lang w:val="es-CO"/>
        </w:rPr>
        <w:t>restituyó al señor Col</w:t>
      </w:r>
      <w:r w:rsidR="00A726C8" w:rsidRPr="00E85AD0">
        <w:rPr>
          <w:spacing w:val="0"/>
          <w:szCs w:val="20"/>
          <w:lang w:val="es-CO"/>
        </w:rPr>
        <w:t>indres</w:t>
      </w:r>
      <w:r w:rsidR="00A60D0E">
        <w:rPr>
          <w:spacing w:val="0"/>
          <w:szCs w:val="20"/>
          <w:lang w:val="es-CO"/>
        </w:rPr>
        <w:t xml:space="preserve"> Schonenberg</w:t>
      </w:r>
      <w:r w:rsidR="00A726C8" w:rsidRPr="00E85AD0">
        <w:rPr>
          <w:spacing w:val="0"/>
          <w:szCs w:val="20"/>
          <w:lang w:val="es-CO"/>
        </w:rPr>
        <w:t xml:space="preserve"> como magistrado del TSE, ya que su destitución no garantizó su derecho de audiencia</w:t>
      </w:r>
      <w:r w:rsidR="00FC1818" w:rsidRPr="00E85AD0">
        <w:rPr>
          <w:spacing w:val="0"/>
          <w:szCs w:val="20"/>
          <w:lang w:val="es-CO"/>
        </w:rPr>
        <w:t xml:space="preserve">, ordenó que se le pagara </w:t>
      </w:r>
      <w:r w:rsidR="004C3FCA" w:rsidRPr="00A23DF4">
        <w:rPr>
          <w:spacing w:val="0"/>
          <w:szCs w:val="20"/>
          <w:lang w:val="es-CO"/>
        </w:rPr>
        <w:t xml:space="preserve">“los sueldos </w:t>
      </w:r>
      <w:r w:rsidR="00A23DF4" w:rsidRPr="00A23DF4">
        <w:rPr>
          <w:spacing w:val="0"/>
          <w:szCs w:val="20"/>
          <w:lang w:val="es-CO"/>
        </w:rPr>
        <w:t xml:space="preserve">que dejó </w:t>
      </w:r>
      <w:r w:rsidR="004C3FCA" w:rsidRPr="00A23DF4">
        <w:rPr>
          <w:spacing w:val="0"/>
          <w:szCs w:val="20"/>
          <w:lang w:val="es-CO"/>
        </w:rPr>
        <w:t>de percibir”</w:t>
      </w:r>
      <w:r w:rsidR="004C3FCA">
        <w:rPr>
          <w:spacing w:val="0"/>
          <w:szCs w:val="20"/>
          <w:lang w:val="es-CO"/>
        </w:rPr>
        <w:t xml:space="preserve"> </w:t>
      </w:r>
      <w:r w:rsidR="00F6115F">
        <w:rPr>
          <w:spacing w:val="0"/>
          <w:szCs w:val="20"/>
          <w:lang w:val="es-CO"/>
        </w:rPr>
        <w:t>e indicó que</w:t>
      </w:r>
      <w:r w:rsidR="00F6115F" w:rsidRPr="00E85AD0">
        <w:rPr>
          <w:spacing w:val="0"/>
          <w:szCs w:val="20"/>
        </w:rPr>
        <w:t xml:space="preserve"> procedía “la acción civil de indemnización de daños y perjuicios contra el Estado</w:t>
      </w:r>
      <w:r w:rsidR="00F6115F">
        <w:rPr>
          <w:spacing w:val="0"/>
          <w:szCs w:val="20"/>
        </w:rPr>
        <w:t>”</w:t>
      </w:r>
      <w:r w:rsidR="00F6115F" w:rsidRPr="00E85AD0">
        <w:rPr>
          <w:rStyle w:val="FootnoteReference"/>
          <w:spacing w:val="0"/>
          <w:sz w:val="20"/>
          <w:szCs w:val="20"/>
          <w:lang w:val="es-CO"/>
        </w:rPr>
        <w:footnoteReference w:id="36"/>
      </w:r>
      <w:r w:rsidR="00F6115F">
        <w:rPr>
          <w:spacing w:val="0"/>
          <w:szCs w:val="20"/>
        </w:rPr>
        <w:t>.</w:t>
      </w:r>
      <w:r w:rsidR="006E753A" w:rsidRPr="00E85AD0">
        <w:rPr>
          <w:spacing w:val="0"/>
          <w:szCs w:val="20"/>
          <w:lang w:val="es-CO"/>
        </w:rPr>
        <w:t xml:space="preserve"> </w:t>
      </w:r>
      <w:r w:rsidR="003B48FC" w:rsidRPr="00E85AD0">
        <w:rPr>
          <w:spacing w:val="0"/>
          <w:szCs w:val="20"/>
          <w:lang w:val="es-ES"/>
        </w:rPr>
        <w:t xml:space="preserve">La Sala </w:t>
      </w:r>
      <w:r w:rsidR="00601847">
        <w:rPr>
          <w:spacing w:val="0"/>
          <w:szCs w:val="20"/>
          <w:lang w:val="es-CO"/>
        </w:rPr>
        <w:t xml:space="preserve">de lo Constitucional </w:t>
      </w:r>
      <w:r w:rsidR="003B48FC" w:rsidRPr="00E85AD0">
        <w:rPr>
          <w:spacing w:val="0"/>
          <w:szCs w:val="20"/>
          <w:lang w:val="es-ES"/>
        </w:rPr>
        <w:t xml:space="preserve">señaló que </w:t>
      </w:r>
      <w:r w:rsidR="00373894">
        <w:rPr>
          <w:spacing w:val="0"/>
          <w:szCs w:val="20"/>
          <w:lang w:val="es-ES"/>
        </w:rPr>
        <w:t xml:space="preserve">en la legislación </w:t>
      </w:r>
      <w:r w:rsidR="003B48FC" w:rsidRPr="00E85AD0">
        <w:rPr>
          <w:spacing w:val="0"/>
          <w:szCs w:val="20"/>
          <w:lang w:val="es-ES"/>
        </w:rPr>
        <w:t>“no hay motivos expresos de destitución o remoción antes de la finalización del período [de los magistrados del TSE]”</w:t>
      </w:r>
      <w:r w:rsidR="003B48FC" w:rsidRPr="00E85AD0">
        <w:rPr>
          <w:rStyle w:val="FootnoteReference"/>
          <w:spacing w:val="0"/>
          <w:sz w:val="20"/>
          <w:szCs w:val="20"/>
          <w:lang w:val="es-CO"/>
        </w:rPr>
        <w:footnoteReference w:id="37"/>
      </w:r>
      <w:r w:rsidR="003B48FC" w:rsidRPr="00E85AD0">
        <w:rPr>
          <w:spacing w:val="0"/>
          <w:szCs w:val="20"/>
          <w:lang w:val="es-CO"/>
        </w:rPr>
        <w:t>.</w:t>
      </w:r>
      <w:r w:rsidR="003B48FC" w:rsidRPr="00E85AD0">
        <w:rPr>
          <w:spacing w:val="0"/>
          <w:szCs w:val="20"/>
          <w:lang w:val="es-ES"/>
        </w:rPr>
        <w:t xml:space="preserve"> Al respecto, la Sala </w:t>
      </w:r>
      <w:r w:rsidR="00601847">
        <w:rPr>
          <w:spacing w:val="0"/>
          <w:szCs w:val="20"/>
          <w:lang w:val="es-CO"/>
        </w:rPr>
        <w:t xml:space="preserve">de lo Constitucional </w:t>
      </w:r>
      <w:r w:rsidR="003B48FC" w:rsidRPr="00E85AD0">
        <w:rPr>
          <w:spacing w:val="0"/>
          <w:szCs w:val="20"/>
          <w:lang w:val="es-ES"/>
        </w:rPr>
        <w:t>advirtió que</w:t>
      </w:r>
      <w:r w:rsidR="009823A8" w:rsidRPr="00E85AD0">
        <w:rPr>
          <w:spacing w:val="0"/>
          <w:szCs w:val="20"/>
          <w:lang w:val="es-ES"/>
        </w:rPr>
        <w:t>:</w:t>
      </w:r>
      <w:bookmarkEnd w:id="159"/>
    </w:p>
    <w:p w14:paraId="4350EFA7" w14:textId="77777777" w:rsidR="003B48FC" w:rsidRPr="00A4406D" w:rsidRDefault="003B48FC" w:rsidP="003B48FC">
      <w:pPr>
        <w:rPr>
          <w:sz w:val="18"/>
          <w:szCs w:val="18"/>
          <w:lang w:val="es-ES" w:eastAsia="es-MX"/>
        </w:rPr>
      </w:pPr>
    </w:p>
    <w:p w14:paraId="1306BD7A" w14:textId="0F0E6A1F" w:rsidR="003B48FC" w:rsidRPr="004C3FCA" w:rsidRDefault="003B48FC" w:rsidP="003B48FC">
      <w:pPr>
        <w:autoSpaceDE w:val="0"/>
        <w:autoSpaceDN w:val="0"/>
        <w:adjustRightInd w:val="0"/>
        <w:ind w:left="562" w:right="615"/>
        <w:jc w:val="both"/>
        <w:rPr>
          <w:rFonts w:eastAsia="Times New Roman"/>
          <w:iCs/>
          <w:sz w:val="18"/>
          <w:szCs w:val="18"/>
          <w:lang w:val="es-CR"/>
        </w:rPr>
      </w:pPr>
      <w:r w:rsidRPr="004C3FCA">
        <w:rPr>
          <w:rFonts w:eastAsia="Times New Roman"/>
          <w:sz w:val="18"/>
          <w:szCs w:val="18"/>
          <w:lang w:val="es-CR"/>
        </w:rPr>
        <w:t xml:space="preserve">precisamente </w:t>
      </w:r>
      <w:r w:rsidRPr="004C3FCA">
        <w:rPr>
          <w:rFonts w:eastAsia="Times New Roman"/>
          <w:iCs/>
          <w:sz w:val="18"/>
          <w:szCs w:val="18"/>
          <w:lang w:val="es-CR"/>
        </w:rPr>
        <w:t>para garantizar la actuación independiente de la entidad electora</w:t>
      </w:r>
      <w:r w:rsidR="00A60D0E" w:rsidRPr="004C3FCA">
        <w:rPr>
          <w:rFonts w:eastAsia="Times New Roman"/>
          <w:iCs/>
          <w:sz w:val="18"/>
          <w:szCs w:val="18"/>
          <w:lang w:val="es-CR"/>
        </w:rPr>
        <w:t>l</w:t>
      </w:r>
      <w:r w:rsidRPr="004C3FCA">
        <w:rPr>
          <w:rFonts w:eastAsia="Times New Roman"/>
          <w:iCs/>
          <w:sz w:val="18"/>
          <w:szCs w:val="18"/>
          <w:lang w:val="es-CR"/>
        </w:rPr>
        <w:t xml:space="preserve"> es indispensable que el magistrado se mantenga en una posición </w:t>
      </w:r>
      <w:r w:rsidRPr="004C3FCA">
        <w:rPr>
          <w:rFonts w:eastAsia="Times New Roman" w:cs="Arial"/>
          <w:iCs/>
          <w:sz w:val="18"/>
          <w:szCs w:val="18"/>
          <w:lang w:val="es-CR"/>
        </w:rPr>
        <w:t xml:space="preserve">tal que </w:t>
      </w:r>
      <w:r w:rsidRPr="004C3FCA">
        <w:rPr>
          <w:rFonts w:eastAsia="Times New Roman"/>
          <w:iCs/>
          <w:sz w:val="18"/>
          <w:szCs w:val="18"/>
          <w:lang w:val="es-CR"/>
        </w:rPr>
        <w:t xml:space="preserve">se reduzcan o se vuelvan fútiles las presiones y/o influencias. </w:t>
      </w:r>
      <w:r w:rsidRPr="004C3FCA">
        <w:rPr>
          <w:rFonts w:eastAsia="Times New Roman"/>
          <w:sz w:val="18"/>
          <w:szCs w:val="18"/>
          <w:lang w:val="es-CR"/>
        </w:rPr>
        <w:t xml:space="preserve">Por ello, </w:t>
      </w:r>
      <w:r w:rsidRPr="004C3FCA">
        <w:rPr>
          <w:rFonts w:eastAsia="Times New Roman"/>
          <w:iCs/>
          <w:sz w:val="18"/>
          <w:szCs w:val="18"/>
          <w:lang w:val="es-CR"/>
        </w:rPr>
        <w:t xml:space="preserve">los requisitos que la Constitución </w:t>
      </w:r>
      <w:r w:rsidRPr="004C3FCA">
        <w:rPr>
          <w:rFonts w:eastAsia="Times New Roman" w:cs="Arial"/>
          <w:iCs/>
          <w:sz w:val="18"/>
          <w:szCs w:val="18"/>
          <w:lang w:val="es-CR"/>
        </w:rPr>
        <w:t>y</w:t>
      </w:r>
      <w:r w:rsidRPr="004C3FCA">
        <w:rPr>
          <w:rFonts w:eastAsia="Times New Roman"/>
          <w:iCs/>
          <w:sz w:val="18"/>
          <w:szCs w:val="18"/>
          <w:lang w:val="es-CR"/>
        </w:rPr>
        <w:t xml:space="preserve"> l</w:t>
      </w:r>
      <w:r w:rsidRPr="004C3FCA">
        <w:rPr>
          <w:rFonts w:eastAsia="Times New Roman" w:cs="Arial"/>
          <w:iCs/>
          <w:sz w:val="18"/>
          <w:szCs w:val="18"/>
          <w:lang w:val="es-CR"/>
        </w:rPr>
        <w:t xml:space="preserve">a </w:t>
      </w:r>
      <w:r w:rsidRPr="004C3FCA">
        <w:rPr>
          <w:rFonts w:eastAsia="Times New Roman"/>
          <w:iCs/>
          <w:sz w:val="18"/>
          <w:szCs w:val="18"/>
          <w:lang w:val="es-CR"/>
        </w:rPr>
        <w:t>ley contemplan para ocupar el cargo de magistrado del Tribunal Supremo Electoral deben cumplirse, no s</w:t>
      </w:r>
      <w:r w:rsidR="00A60D0E" w:rsidRPr="004C3FCA">
        <w:rPr>
          <w:rFonts w:eastAsia="Times New Roman"/>
          <w:iCs/>
          <w:sz w:val="18"/>
          <w:szCs w:val="18"/>
          <w:lang w:val="es-CR"/>
        </w:rPr>
        <w:t>[</w:t>
      </w:r>
      <w:r w:rsidRPr="004C3FCA">
        <w:rPr>
          <w:rFonts w:eastAsia="Times New Roman"/>
          <w:iCs/>
          <w:sz w:val="18"/>
          <w:szCs w:val="18"/>
          <w:lang w:val="es-CR"/>
        </w:rPr>
        <w:t>o</w:t>
      </w:r>
      <w:r w:rsidR="00A60D0E" w:rsidRPr="004C3FCA">
        <w:rPr>
          <w:rFonts w:eastAsia="Times New Roman"/>
          <w:iCs/>
          <w:sz w:val="18"/>
          <w:szCs w:val="18"/>
          <w:lang w:val="es-CR"/>
        </w:rPr>
        <w:t>]</w:t>
      </w:r>
      <w:r w:rsidRPr="004C3FCA">
        <w:rPr>
          <w:rFonts w:eastAsia="Times New Roman"/>
          <w:iCs/>
          <w:sz w:val="18"/>
          <w:szCs w:val="18"/>
          <w:lang w:val="es-CR"/>
        </w:rPr>
        <w:t xml:space="preserve">lo </w:t>
      </w:r>
      <w:r w:rsidRPr="004C3FCA">
        <w:rPr>
          <w:rFonts w:eastAsia="Times New Roman" w:cs="Arial"/>
          <w:iCs/>
          <w:sz w:val="18"/>
          <w:szCs w:val="18"/>
          <w:lang w:val="es-CR"/>
        </w:rPr>
        <w:t xml:space="preserve">al </w:t>
      </w:r>
      <w:r w:rsidRPr="004C3FCA">
        <w:rPr>
          <w:rFonts w:eastAsia="Times New Roman"/>
          <w:iCs/>
          <w:sz w:val="18"/>
          <w:szCs w:val="18"/>
          <w:lang w:val="es-CR"/>
        </w:rPr>
        <w:t>momento de la elección por la Asamblea Legislativa, sino que también han de mantenerse durante la vigencia del plazo para el cual fueron electos.</w:t>
      </w:r>
    </w:p>
    <w:p w14:paraId="049FA2B4" w14:textId="6AFB6AE8" w:rsidR="003B48FC" w:rsidRPr="004C3FCA" w:rsidRDefault="003B48FC" w:rsidP="003B48FC">
      <w:pPr>
        <w:autoSpaceDE w:val="0"/>
        <w:autoSpaceDN w:val="0"/>
        <w:adjustRightInd w:val="0"/>
        <w:ind w:left="562" w:right="615"/>
        <w:jc w:val="both"/>
        <w:rPr>
          <w:sz w:val="18"/>
          <w:szCs w:val="18"/>
          <w:lang w:val="es-ES" w:eastAsia="es-MX"/>
        </w:rPr>
      </w:pPr>
      <w:r w:rsidRPr="004C3FCA">
        <w:rPr>
          <w:rFonts w:eastAsia="Times New Roman"/>
          <w:iCs/>
          <w:sz w:val="18"/>
          <w:szCs w:val="18"/>
          <w:lang w:val="es-CR"/>
        </w:rPr>
        <w:t xml:space="preserve">No se trata aquí </w:t>
      </w:r>
      <w:r w:rsidR="00A60D0E" w:rsidRPr="004C3FCA">
        <w:rPr>
          <w:rFonts w:eastAsia="Times New Roman"/>
          <w:iCs/>
          <w:sz w:val="18"/>
          <w:szCs w:val="18"/>
          <w:lang w:val="es-CR"/>
        </w:rPr>
        <w:t xml:space="preserve">[de] </w:t>
      </w:r>
      <w:r w:rsidRPr="004C3FCA">
        <w:rPr>
          <w:rFonts w:eastAsia="Times New Roman"/>
          <w:iCs/>
          <w:sz w:val="18"/>
          <w:szCs w:val="18"/>
          <w:lang w:val="es-CR"/>
        </w:rPr>
        <w:t>que el magistrado, una vez electo, deba conservar la confianza política del partido político que lo propuso o de los grupos parlamentarios que intervinieron en su elección, sino que debe posicionarse frente a los mismos de modo independiente y, por ello, ha de cumplir con los requisitos y no ha de</w:t>
      </w:r>
      <w:r w:rsidR="00A60D0E" w:rsidRPr="004C3FCA">
        <w:rPr>
          <w:rFonts w:eastAsia="Times New Roman"/>
          <w:iCs/>
          <w:sz w:val="18"/>
          <w:szCs w:val="18"/>
          <w:lang w:val="es-CR"/>
        </w:rPr>
        <w:t xml:space="preserve"> incurrir en las inhabilidades para [dicho] </w:t>
      </w:r>
      <w:r w:rsidRPr="004C3FCA">
        <w:rPr>
          <w:rFonts w:eastAsia="Times New Roman"/>
          <w:iCs/>
          <w:sz w:val="18"/>
          <w:szCs w:val="18"/>
          <w:lang w:val="es-CR"/>
        </w:rPr>
        <w:t>cargo</w:t>
      </w:r>
      <w:r w:rsidRPr="004C3FCA">
        <w:rPr>
          <w:rFonts w:eastAsia="Times New Roman"/>
          <w:iCs/>
          <w:sz w:val="18"/>
          <w:szCs w:val="18"/>
          <w:vertAlign w:val="superscript"/>
          <w:lang w:val="es-CO"/>
        </w:rPr>
        <w:footnoteReference w:id="38"/>
      </w:r>
      <w:r w:rsidRPr="004C3FCA">
        <w:rPr>
          <w:rFonts w:eastAsia="Times New Roman"/>
          <w:iCs/>
          <w:sz w:val="18"/>
          <w:szCs w:val="18"/>
          <w:lang w:val="es-CR"/>
        </w:rPr>
        <w:t xml:space="preserve">. </w:t>
      </w:r>
    </w:p>
    <w:p w14:paraId="7B317B66" w14:textId="77777777" w:rsidR="003B48FC" w:rsidRPr="00E85AD0" w:rsidRDefault="003B48FC" w:rsidP="003B48FC">
      <w:pPr>
        <w:rPr>
          <w:lang w:val="es-ES" w:eastAsia="es-MX"/>
        </w:rPr>
      </w:pPr>
    </w:p>
    <w:p w14:paraId="33EC6E60" w14:textId="5E0CB64D" w:rsidR="00A65FF2" w:rsidRDefault="00A65FF2" w:rsidP="00570A25">
      <w:pPr>
        <w:pStyle w:val="PrrafodeSentencia"/>
      </w:pPr>
      <w:r w:rsidRPr="00E85AD0">
        <w:rPr>
          <w:spacing w:val="0"/>
          <w:szCs w:val="20"/>
          <w:lang w:val="es-CO"/>
        </w:rPr>
        <w:t xml:space="preserve">La Sala </w:t>
      </w:r>
      <w:r w:rsidR="00601847">
        <w:rPr>
          <w:spacing w:val="0"/>
          <w:szCs w:val="20"/>
          <w:lang w:val="es-CO"/>
        </w:rPr>
        <w:t xml:space="preserve">de lo Constitucional </w:t>
      </w:r>
      <w:r w:rsidRPr="00E85AD0">
        <w:rPr>
          <w:spacing w:val="0"/>
          <w:szCs w:val="20"/>
          <w:lang w:val="es-CO"/>
        </w:rPr>
        <w:t>reconoció que “la normativa constitucional e in</w:t>
      </w:r>
      <w:r w:rsidR="00CA2925">
        <w:rPr>
          <w:spacing w:val="0"/>
          <w:szCs w:val="20"/>
          <w:lang w:val="es-CO"/>
        </w:rPr>
        <w:t>fra constitucional no establecen</w:t>
      </w:r>
      <w:r w:rsidRPr="00E85AD0">
        <w:rPr>
          <w:spacing w:val="0"/>
          <w:szCs w:val="20"/>
          <w:lang w:val="es-CO"/>
        </w:rPr>
        <w:t xml:space="preserve"> procedimiento expreso para la destitución de los magistrados” del TSE</w:t>
      </w:r>
      <w:r w:rsidRPr="00E85AD0">
        <w:rPr>
          <w:rStyle w:val="FootnoteReference"/>
          <w:spacing w:val="0"/>
          <w:sz w:val="20"/>
          <w:szCs w:val="20"/>
          <w:lang w:val="es-CO"/>
        </w:rPr>
        <w:footnoteReference w:id="39"/>
      </w:r>
      <w:r w:rsidRPr="00E85AD0">
        <w:rPr>
          <w:spacing w:val="0"/>
          <w:szCs w:val="20"/>
          <w:lang w:val="es-CO"/>
        </w:rPr>
        <w:t xml:space="preserve">. Sin embargo, indicó que </w:t>
      </w:r>
      <w:r w:rsidRPr="00E85AD0">
        <w:rPr>
          <w:spacing w:val="0"/>
          <w:szCs w:val="20"/>
          <w:lang w:val="es-ES"/>
        </w:rPr>
        <w:t>si la Asamblea Legislativa era el órgano competente para no</w:t>
      </w:r>
      <w:r w:rsidR="00601847">
        <w:rPr>
          <w:spacing w:val="0"/>
          <w:szCs w:val="20"/>
          <w:lang w:val="es-ES"/>
        </w:rPr>
        <w:t>mbrar a los magistrados del TSE</w:t>
      </w:r>
      <w:r w:rsidRPr="00E85AD0">
        <w:rPr>
          <w:spacing w:val="0"/>
          <w:szCs w:val="20"/>
          <w:lang w:val="es-CO"/>
        </w:rPr>
        <w:t xml:space="preserve"> “puede perfectamente interpretarse –en atención al o</w:t>
      </w:r>
      <w:r w:rsidR="00A60D0E">
        <w:rPr>
          <w:spacing w:val="0"/>
          <w:szCs w:val="20"/>
          <w:lang w:val="es-CO"/>
        </w:rPr>
        <w:t>rigen político del nombramiento</w:t>
      </w:r>
      <w:r w:rsidR="00373894">
        <w:rPr>
          <w:spacing w:val="0"/>
          <w:szCs w:val="20"/>
          <w:lang w:val="es-CO"/>
        </w:rPr>
        <w:t>-</w:t>
      </w:r>
      <w:r w:rsidRPr="00E85AD0">
        <w:rPr>
          <w:spacing w:val="0"/>
          <w:szCs w:val="20"/>
          <w:lang w:val="es-CO"/>
        </w:rPr>
        <w:t xml:space="preserve"> que </w:t>
      </w:r>
      <w:r w:rsidR="00A60D0E">
        <w:rPr>
          <w:spacing w:val="0"/>
          <w:szCs w:val="20"/>
          <w:lang w:val="es-CO"/>
        </w:rPr>
        <w:t>[</w:t>
      </w:r>
      <w:r w:rsidRPr="00E85AD0">
        <w:rPr>
          <w:spacing w:val="0"/>
          <w:szCs w:val="20"/>
          <w:lang w:val="es-CO"/>
        </w:rPr>
        <w:t>era también competente</w:t>
      </w:r>
      <w:r w:rsidR="00A60D0E">
        <w:rPr>
          <w:spacing w:val="0"/>
          <w:szCs w:val="20"/>
          <w:lang w:val="es-CO"/>
        </w:rPr>
        <w:t>]</w:t>
      </w:r>
      <w:r w:rsidRPr="00E85AD0">
        <w:rPr>
          <w:spacing w:val="0"/>
          <w:szCs w:val="20"/>
          <w:lang w:val="es-CO"/>
        </w:rPr>
        <w:t xml:space="preserve"> para decidir sobre su destitución</w:t>
      </w:r>
      <w:r w:rsidR="00A60D0E">
        <w:rPr>
          <w:spacing w:val="0"/>
          <w:szCs w:val="20"/>
          <w:lang w:val="es-CO"/>
        </w:rPr>
        <w:t>”</w:t>
      </w:r>
      <w:r w:rsidR="002D0DC7" w:rsidRPr="00E85AD0">
        <w:rPr>
          <w:rStyle w:val="FootnoteReference"/>
          <w:spacing w:val="0"/>
          <w:sz w:val="20"/>
          <w:szCs w:val="20"/>
          <w:lang w:val="es-CO"/>
        </w:rPr>
        <w:footnoteReference w:id="40"/>
      </w:r>
      <w:r w:rsidRPr="00E85AD0">
        <w:rPr>
          <w:spacing w:val="0"/>
          <w:szCs w:val="20"/>
          <w:lang w:val="es-CO"/>
        </w:rPr>
        <w:t xml:space="preserve">. </w:t>
      </w:r>
      <w:r w:rsidR="007B7B15">
        <w:rPr>
          <w:spacing w:val="0"/>
          <w:szCs w:val="20"/>
          <w:lang w:val="es-CO"/>
        </w:rPr>
        <w:t>Además advirtió</w:t>
      </w:r>
      <w:r w:rsidR="002D0DC7" w:rsidRPr="00E85AD0">
        <w:rPr>
          <w:spacing w:val="0"/>
          <w:szCs w:val="20"/>
          <w:lang w:val="es-CO"/>
        </w:rPr>
        <w:t xml:space="preserve"> que “para que la destitución o separación del cargo a un magistrado del Tribunal Supremo Electora</w:t>
      </w:r>
      <w:r w:rsidR="0083400B">
        <w:rPr>
          <w:spacing w:val="0"/>
          <w:szCs w:val="20"/>
          <w:lang w:val="es-CO"/>
        </w:rPr>
        <w:t>l</w:t>
      </w:r>
      <w:r w:rsidR="002D0DC7" w:rsidRPr="00E85AD0">
        <w:rPr>
          <w:spacing w:val="0"/>
          <w:szCs w:val="20"/>
          <w:lang w:val="es-CO"/>
        </w:rPr>
        <w:t xml:space="preserve">, sea coherente con [el] sistema constitucional, es necesario respetarle su derecho de audiencia”, de conformidad con el artículo 11 de la </w:t>
      </w:r>
      <w:r w:rsidR="00CA2925">
        <w:rPr>
          <w:spacing w:val="0"/>
          <w:szCs w:val="20"/>
          <w:lang w:val="es-CO"/>
        </w:rPr>
        <w:t>C</w:t>
      </w:r>
      <w:r w:rsidR="002D0DC7" w:rsidRPr="00E85AD0">
        <w:rPr>
          <w:spacing w:val="0"/>
          <w:szCs w:val="20"/>
          <w:lang w:val="es-CO"/>
        </w:rPr>
        <w:t>onstitución</w:t>
      </w:r>
      <w:r w:rsidRPr="00E85AD0">
        <w:rPr>
          <w:rStyle w:val="FootnoteReference"/>
          <w:spacing w:val="0"/>
          <w:sz w:val="20"/>
          <w:szCs w:val="20"/>
          <w:lang w:val="es-CO"/>
        </w:rPr>
        <w:footnoteReference w:id="41"/>
      </w:r>
      <w:r w:rsidRPr="00E85AD0">
        <w:rPr>
          <w:spacing w:val="0"/>
          <w:szCs w:val="20"/>
          <w:lang w:val="es-CO"/>
        </w:rPr>
        <w:t xml:space="preserve">. </w:t>
      </w:r>
    </w:p>
    <w:p w14:paraId="493C68D0" w14:textId="77777777" w:rsidR="00570A25" w:rsidRPr="00F46F62" w:rsidRDefault="00570A25" w:rsidP="00570A25">
      <w:pPr>
        <w:rPr>
          <w:lang w:val="es-CR"/>
        </w:rPr>
      </w:pPr>
    </w:p>
    <w:p w14:paraId="10532C0C" w14:textId="77777777" w:rsidR="00A65FF2" w:rsidRPr="00E85AD0" w:rsidRDefault="00F62646" w:rsidP="00316BCD">
      <w:pPr>
        <w:pStyle w:val="Heading2"/>
        <w:ind w:left="567" w:firstLine="0"/>
      </w:pPr>
      <w:bookmarkStart w:id="160" w:name="_Toc484623837"/>
      <w:bookmarkStart w:id="161" w:name="_Toc192569"/>
      <w:r w:rsidRPr="00E85AD0">
        <w:t>S</w:t>
      </w:r>
      <w:r w:rsidR="00A65FF2" w:rsidRPr="00E85AD0">
        <w:t xml:space="preserve">egunda destitución del señor Colindres </w:t>
      </w:r>
      <w:bookmarkEnd w:id="160"/>
      <w:r w:rsidR="001C3520" w:rsidRPr="00E85AD0">
        <w:t>Schonenberg</w:t>
      </w:r>
      <w:bookmarkEnd w:id="161"/>
    </w:p>
    <w:p w14:paraId="61CD93A9" w14:textId="77777777" w:rsidR="00A65FF2" w:rsidRPr="00E85AD0" w:rsidRDefault="00A65FF2" w:rsidP="00A65FF2">
      <w:pPr>
        <w:pStyle w:val="ListParagraph"/>
        <w:ind w:left="1440"/>
        <w:jc w:val="both"/>
        <w:rPr>
          <w:b/>
          <w:szCs w:val="20"/>
          <w:lang w:val="es-ES"/>
        </w:rPr>
      </w:pPr>
    </w:p>
    <w:p w14:paraId="26A6A94A" w14:textId="28BA8DA7" w:rsidR="005B1F07" w:rsidRPr="00E85AD0" w:rsidRDefault="00A65FF2" w:rsidP="009D216C">
      <w:pPr>
        <w:pStyle w:val="PrrafodeSentencia"/>
        <w:rPr>
          <w:spacing w:val="0"/>
          <w:szCs w:val="20"/>
          <w:lang w:val="es-UY"/>
        </w:rPr>
      </w:pPr>
      <w:r w:rsidRPr="00E85AD0">
        <w:rPr>
          <w:spacing w:val="0"/>
          <w:szCs w:val="20"/>
          <w:lang w:val="es-CO"/>
        </w:rPr>
        <w:t xml:space="preserve">El </w:t>
      </w:r>
      <w:r w:rsidR="009D3ED8">
        <w:rPr>
          <w:spacing w:val="0"/>
          <w:szCs w:val="20"/>
          <w:lang w:val="es-CO"/>
        </w:rPr>
        <w:t>23</w:t>
      </w:r>
      <w:r w:rsidRPr="00E85AD0">
        <w:rPr>
          <w:spacing w:val="0"/>
          <w:szCs w:val="20"/>
          <w:lang w:val="es-CO"/>
        </w:rPr>
        <w:t xml:space="preserve"> de marzo de 1998 diputados del PDC presentaron a la Asamblea Legislativa una “solicitud de moción” para cesar al </w:t>
      </w:r>
      <w:r w:rsidR="00CA2925">
        <w:rPr>
          <w:spacing w:val="0"/>
          <w:szCs w:val="20"/>
          <w:lang w:val="es-CO"/>
        </w:rPr>
        <w:t>M</w:t>
      </w:r>
      <w:r w:rsidRPr="00E85AD0">
        <w:rPr>
          <w:spacing w:val="0"/>
          <w:szCs w:val="20"/>
          <w:lang w:val="es-CO"/>
        </w:rPr>
        <w:t>agistrado Colindres</w:t>
      </w:r>
      <w:r w:rsidR="00601847">
        <w:rPr>
          <w:spacing w:val="0"/>
          <w:szCs w:val="20"/>
          <w:lang w:val="es-CO"/>
        </w:rPr>
        <w:t xml:space="preserve"> Schonenberg</w:t>
      </w:r>
      <w:r w:rsidRPr="00E85AD0">
        <w:rPr>
          <w:rStyle w:val="FootnoteReference"/>
          <w:spacing w:val="0"/>
          <w:sz w:val="20"/>
          <w:szCs w:val="20"/>
          <w:lang w:val="es-CO"/>
        </w:rPr>
        <w:footnoteReference w:id="42"/>
      </w:r>
      <w:r w:rsidR="007115DE" w:rsidRPr="00E85AD0">
        <w:rPr>
          <w:spacing w:val="0"/>
          <w:szCs w:val="20"/>
          <w:lang w:val="es-CO"/>
        </w:rPr>
        <w:t>.</w:t>
      </w:r>
      <w:r w:rsidRPr="00E85AD0">
        <w:rPr>
          <w:spacing w:val="0"/>
          <w:szCs w:val="20"/>
          <w:lang w:val="es-CO"/>
        </w:rPr>
        <w:t xml:space="preserve"> </w:t>
      </w:r>
      <w:r w:rsidR="009D3ED8">
        <w:rPr>
          <w:spacing w:val="0"/>
          <w:szCs w:val="20"/>
          <w:lang w:val="es-CO"/>
        </w:rPr>
        <w:t>Al respecto</w:t>
      </w:r>
      <w:r w:rsidR="00373894">
        <w:rPr>
          <w:spacing w:val="0"/>
          <w:szCs w:val="20"/>
          <w:lang w:val="es-CO"/>
        </w:rPr>
        <w:t>,</w:t>
      </w:r>
      <w:r w:rsidR="009D3ED8">
        <w:rPr>
          <w:spacing w:val="0"/>
          <w:szCs w:val="20"/>
          <w:lang w:val="es-CO"/>
        </w:rPr>
        <w:t xml:space="preserve"> señalaron que </w:t>
      </w:r>
      <w:r w:rsidR="005B1F07" w:rsidRPr="00E85AD0">
        <w:rPr>
          <w:spacing w:val="0"/>
          <w:szCs w:val="20"/>
          <w:lang w:val="es-CO"/>
        </w:rPr>
        <w:t>aún subsist</w:t>
      </w:r>
      <w:r w:rsidR="00406FDC">
        <w:rPr>
          <w:spacing w:val="0"/>
          <w:szCs w:val="20"/>
          <w:lang w:val="es-CO"/>
        </w:rPr>
        <w:t>ían</w:t>
      </w:r>
      <w:r w:rsidR="005B1F07" w:rsidRPr="00E85AD0">
        <w:rPr>
          <w:spacing w:val="0"/>
          <w:szCs w:val="20"/>
          <w:lang w:val="es-CO"/>
        </w:rPr>
        <w:t xml:space="preserve"> y se ha</w:t>
      </w:r>
      <w:r w:rsidR="00406FDC">
        <w:rPr>
          <w:spacing w:val="0"/>
          <w:szCs w:val="20"/>
          <w:lang w:val="es-CO"/>
        </w:rPr>
        <w:t>bían potenciado la</w:t>
      </w:r>
      <w:r w:rsidR="007D6783">
        <w:rPr>
          <w:spacing w:val="0"/>
          <w:szCs w:val="20"/>
          <w:lang w:val="es-CO"/>
        </w:rPr>
        <w:t>s</w:t>
      </w:r>
      <w:r w:rsidR="005B1F07" w:rsidRPr="00E85AD0">
        <w:rPr>
          <w:spacing w:val="0"/>
          <w:szCs w:val="20"/>
          <w:lang w:val="es-CO"/>
        </w:rPr>
        <w:t xml:space="preserve"> causas que motivaro</w:t>
      </w:r>
      <w:r w:rsidR="00DC143D">
        <w:rPr>
          <w:spacing w:val="0"/>
          <w:szCs w:val="20"/>
          <w:lang w:val="es-CO"/>
        </w:rPr>
        <w:t xml:space="preserve">n la cesación de las funciones </w:t>
      </w:r>
      <w:r w:rsidR="005B1F07" w:rsidRPr="00E85AD0">
        <w:rPr>
          <w:spacing w:val="0"/>
          <w:szCs w:val="20"/>
          <w:lang w:val="es-CO"/>
        </w:rPr>
        <w:t>del Magistrado Colindres</w:t>
      </w:r>
      <w:r w:rsidR="00601847">
        <w:rPr>
          <w:spacing w:val="0"/>
          <w:szCs w:val="20"/>
          <w:lang w:val="es-CO"/>
        </w:rPr>
        <w:t xml:space="preserve"> Schonenberg</w:t>
      </w:r>
      <w:r w:rsidRPr="00E85AD0">
        <w:rPr>
          <w:rStyle w:val="FootnoteReference"/>
          <w:spacing w:val="0"/>
          <w:sz w:val="20"/>
          <w:szCs w:val="20"/>
          <w:lang w:val="es-CO"/>
        </w:rPr>
        <w:footnoteReference w:id="43"/>
      </w:r>
      <w:r w:rsidR="008800FB" w:rsidRPr="00E85AD0">
        <w:rPr>
          <w:spacing w:val="0"/>
          <w:szCs w:val="20"/>
          <w:lang w:val="es-CO"/>
        </w:rPr>
        <w:t>.</w:t>
      </w:r>
      <w:r w:rsidRPr="00E85AD0">
        <w:rPr>
          <w:spacing w:val="0"/>
          <w:szCs w:val="20"/>
          <w:lang w:val="es-UY"/>
        </w:rPr>
        <w:t xml:space="preserve"> </w:t>
      </w:r>
    </w:p>
    <w:p w14:paraId="62B94F20" w14:textId="77777777" w:rsidR="00EB2EB3" w:rsidRPr="00E85AD0" w:rsidRDefault="00EB2EB3" w:rsidP="00EB2EB3">
      <w:pPr>
        <w:rPr>
          <w:lang w:val="es-UY" w:eastAsia="es-MX"/>
        </w:rPr>
      </w:pPr>
    </w:p>
    <w:p w14:paraId="7A1D7742" w14:textId="77777777" w:rsidR="00B56846" w:rsidRPr="00E85AD0" w:rsidRDefault="005B1F07" w:rsidP="009D216C">
      <w:pPr>
        <w:pStyle w:val="PrrafodeSentencia"/>
        <w:rPr>
          <w:spacing w:val="0"/>
          <w:szCs w:val="20"/>
          <w:lang w:val="es-UY"/>
        </w:rPr>
      </w:pPr>
      <w:r w:rsidRPr="00E85AD0">
        <w:rPr>
          <w:spacing w:val="0"/>
          <w:szCs w:val="20"/>
          <w:lang w:val="es-CO"/>
        </w:rPr>
        <w:t>El 24 de marzo de 1998 la Asamblea Legislativa</w:t>
      </w:r>
      <w:r w:rsidR="00A65FF2" w:rsidRPr="00E85AD0">
        <w:rPr>
          <w:spacing w:val="0"/>
          <w:szCs w:val="20"/>
          <w:lang w:val="es-CO"/>
        </w:rPr>
        <w:t xml:space="preserve"> </w:t>
      </w:r>
      <w:r w:rsidRPr="00E85AD0">
        <w:rPr>
          <w:spacing w:val="0"/>
          <w:szCs w:val="20"/>
          <w:lang w:val="es-CO"/>
        </w:rPr>
        <w:t xml:space="preserve">acordó integrar una </w:t>
      </w:r>
      <w:r w:rsidR="00A65FF2" w:rsidRPr="00E85AD0">
        <w:rPr>
          <w:spacing w:val="0"/>
          <w:szCs w:val="20"/>
          <w:lang w:val="es-CO"/>
        </w:rPr>
        <w:t xml:space="preserve">Comisión Especial </w:t>
      </w:r>
      <w:r w:rsidRPr="00E85AD0">
        <w:rPr>
          <w:spacing w:val="0"/>
          <w:szCs w:val="20"/>
          <w:lang w:val="es-CO"/>
        </w:rPr>
        <w:t>de cinco diputados “a efectos de que instruyan un informativo que garantice el derecho de audiencia al Doctor Eduardo Benjamín Colindres”</w:t>
      </w:r>
      <w:r w:rsidR="00A65FF2" w:rsidRPr="00E85AD0">
        <w:rPr>
          <w:rStyle w:val="FootnoteReference"/>
          <w:spacing w:val="0"/>
          <w:sz w:val="20"/>
          <w:szCs w:val="20"/>
          <w:lang w:val="es-CO"/>
        </w:rPr>
        <w:footnoteReference w:id="44"/>
      </w:r>
      <w:r w:rsidR="00A65FF2" w:rsidRPr="00E85AD0">
        <w:rPr>
          <w:spacing w:val="0"/>
          <w:szCs w:val="20"/>
          <w:lang w:val="es-CO"/>
        </w:rPr>
        <w:t>.</w:t>
      </w:r>
    </w:p>
    <w:p w14:paraId="577509C0" w14:textId="77777777" w:rsidR="00B56846" w:rsidRPr="00E85AD0" w:rsidRDefault="00B56846" w:rsidP="006D4258">
      <w:pPr>
        <w:pStyle w:val="PrrafodeSentencia"/>
        <w:numPr>
          <w:ilvl w:val="0"/>
          <w:numId w:val="0"/>
        </w:numPr>
        <w:tabs>
          <w:tab w:val="clear" w:pos="567"/>
        </w:tabs>
        <w:rPr>
          <w:rFonts w:eastAsia="MS Mincho" w:cs="Times New Roman"/>
          <w:spacing w:val="0"/>
          <w:szCs w:val="20"/>
          <w:lang w:val="es-UY" w:eastAsia="en-US"/>
        </w:rPr>
      </w:pPr>
    </w:p>
    <w:p w14:paraId="4003DE72" w14:textId="3CF8659C" w:rsidR="00A84C43" w:rsidRPr="00E85AD0" w:rsidRDefault="00A65FF2" w:rsidP="00316BCD">
      <w:pPr>
        <w:pStyle w:val="PrrafodeSentencia"/>
        <w:rPr>
          <w:spacing w:val="0"/>
          <w:szCs w:val="20"/>
          <w:lang w:val="es-UY"/>
        </w:rPr>
      </w:pPr>
      <w:r w:rsidRPr="00E85AD0">
        <w:rPr>
          <w:spacing w:val="0"/>
          <w:szCs w:val="20"/>
          <w:lang w:val="es-CO"/>
        </w:rPr>
        <w:t>El 15 de abril de 1998</w:t>
      </w:r>
      <w:r w:rsidR="006D4258" w:rsidRPr="00E85AD0">
        <w:rPr>
          <w:spacing w:val="0"/>
          <w:szCs w:val="20"/>
          <w:lang w:val="es-CO"/>
        </w:rPr>
        <w:t xml:space="preserve"> tres </w:t>
      </w:r>
      <w:r w:rsidRPr="00E85AD0">
        <w:rPr>
          <w:spacing w:val="0"/>
          <w:szCs w:val="20"/>
          <w:lang w:val="es-CO"/>
        </w:rPr>
        <w:t>diputados del PDC presentaron una ampliación</w:t>
      </w:r>
      <w:r w:rsidR="008800FB" w:rsidRPr="00E85AD0">
        <w:rPr>
          <w:spacing w:val="0"/>
          <w:szCs w:val="20"/>
          <w:lang w:val="es-CO"/>
        </w:rPr>
        <w:t xml:space="preserve"> de la solicitud de destitución</w:t>
      </w:r>
      <w:r w:rsidRPr="00E85AD0">
        <w:rPr>
          <w:spacing w:val="0"/>
          <w:szCs w:val="20"/>
          <w:lang w:val="es-CO"/>
        </w:rPr>
        <w:t xml:space="preserve"> ante la Comisión Especial</w:t>
      </w:r>
      <w:r w:rsidR="006D4258" w:rsidRPr="00E85AD0">
        <w:rPr>
          <w:spacing w:val="0"/>
          <w:szCs w:val="20"/>
          <w:lang w:val="es-CO"/>
        </w:rPr>
        <w:t>, indicando que “en reiteradas oportunidades [el señor Colindres</w:t>
      </w:r>
      <w:r w:rsidR="00601847">
        <w:rPr>
          <w:spacing w:val="0"/>
          <w:szCs w:val="20"/>
          <w:lang w:val="es-CO"/>
        </w:rPr>
        <w:t xml:space="preserve"> Schonenberg</w:t>
      </w:r>
      <w:r w:rsidR="006D4258" w:rsidRPr="00E85AD0">
        <w:rPr>
          <w:spacing w:val="0"/>
          <w:szCs w:val="20"/>
          <w:lang w:val="es-CO"/>
        </w:rPr>
        <w:t>] ha manifestado públicamente no pertenecer al Partido Demócrata Cristiano, cuando fue [este partido] quien lo propuso como su magistrado ante el [TSE]”</w:t>
      </w:r>
      <w:r w:rsidR="009274DC" w:rsidRPr="00E85AD0">
        <w:rPr>
          <w:rStyle w:val="FootnoteReference"/>
          <w:spacing w:val="0"/>
          <w:sz w:val="20"/>
          <w:szCs w:val="20"/>
          <w:lang w:val="es-CO"/>
        </w:rPr>
        <w:footnoteReference w:id="45"/>
      </w:r>
      <w:r w:rsidR="006D4258" w:rsidRPr="00E85AD0">
        <w:rPr>
          <w:spacing w:val="0"/>
          <w:szCs w:val="20"/>
          <w:lang w:val="es-CO"/>
        </w:rPr>
        <w:t>.</w:t>
      </w:r>
      <w:r w:rsidR="009033F1" w:rsidRPr="00E85AD0">
        <w:rPr>
          <w:spacing w:val="0"/>
          <w:szCs w:val="20"/>
          <w:lang w:val="es-CO"/>
        </w:rPr>
        <w:t xml:space="preserve"> </w:t>
      </w:r>
      <w:r w:rsidR="006F6F26" w:rsidRPr="00E85AD0">
        <w:rPr>
          <w:spacing w:val="0"/>
          <w:szCs w:val="20"/>
          <w:lang w:val="es-CO"/>
        </w:rPr>
        <w:t>Además, s</w:t>
      </w:r>
      <w:r w:rsidR="009033F1" w:rsidRPr="00E85AD0">
        <w:rPr>
          <w:spacing w:val="0"/>
          <w:szCs w:val="20"/>
          <w:lang w:val="es-CO"/>
        </w:rPr>
        <w:t xml:space="preserve">eñalaron que </w:t>
      </w:r>
      <w:r w:rsidR="009274DC">
        <w:rPr>
          <w:spacing w:val="0"/>
          <w:szCs w:val="20"/>
          <w:lang w:val="es-CO"/>
        </w:rPr>
        <w:t>con relación a la disputa dentro del PDC “no ha mantenido la compostura adecuada como juzgador”</w:t>
      </w:r>
      <w:r w:rsidR="006D4258" w:rsidRPr="00E85AD0">
        <w:rPr>
          <w:rStyle w:val="FootnoteReference"/>
          <w:spacing w:val="0"/>
          <w:sz w:val="20"/>
          <w:szCs w:val="20"/>
          <w:lang w:val="es-CO"/>
        </w:rPr>
        <w:footnoteReference w:id="46"/>
      </w:r>
      <w:r w:rsidR="006D4258" w:rsidRPr="00E85AD0">
        <w:rPr>
          <w:spacing w:val="0"/>
          <w:szCs w:val="20"/>
          <w:lang w:val="es-CO"/>
        </w:rPr>
        <w:t>.</w:t>
      </w:r>
      <w:r w:rsidR="00316BCD" w:rsidRPr="00E85AD0">
        <w:rPr>
          <w:spacing w:val="0"/>
          <w:szCs w:val="20"/>
          <w:lang w:val="es-UY"/>
        </w:rPr>
        <w:t xml:space="preserve"> Ese mismo día</w:t>
      </w:r>
      <w:r w:rsidR="00DC143D">
        <w:rPr>
          <w:spacing w:val="0"/>
          <w:szCs w:val="20"/>
          <w:lang w:val="es-UY"/>
        </w:rPr>
        <w:t>,</w:t>
      </w:r>
      <w:r w:rsidRPr="00E85AD0">
        <w:rPr>
          <w:spacing w:val="0"/>
          <w:szCs w:val="20"/>
          <w:lang w:val="es-UY"/>
        </w:rPr>
        <w:t xml:space="preserve"> l</w:t>
      </w:r>
      <w:r w:rsidRPr="00E85AD0">
        <w:rPr>
          <w:spacing w:val="0"/>
          <w:szCs w:val="20"/>
          <w:lang w:val="es-CO"/>
        </w:rPr>
        <w:t xml:space="preserve">a Comisión Especial </w:t>
      </w:r>
      <w:r w:rsidR="00515A2A" w:rsidRPr="00E85AD0">
        <w:rPr>
          <w:spacing w:val="0"/>
          <w:szCs w:val="20"/>
          <w:lang w:val="es-CO"/>
        </w:rPr>
        <w:t xml:space="preserve">dio por recibida la ampliación de la solicitud de destitución y </w:t>
      </w:r>
      <w:r w:rsidRPr="00E85AD0">
        <w:rPr>
          <w:spacing w:val="0"/>
          <w:szCs w:val="20"/>
          <w:lang w:val="es-CO"/>
        </w:rPr>
        <w:t xml:space="preserve">acordó </w:t>
      </w:r>
      <w:r w:rsidR="00515A2A" w:rsidRPr="00E85AD0">
        <w:rPr>
          <w:spacing w:val="0"/>
          <w:szCs w:val="20"/>
          <w:lang w:val="es-CO"/>
        </w:rPr>
        <w:t>“dar audiencia, por tercero día</w:t>
      </w:r>
      <w:r w:rsidRPr="00E85AD0">
        <w:rPr>
          <w:spacing w:val="0"/>
          <w:szCs w:val="20"/>
          <w:lang w:val="es-CO"/>
        </w:rPr>
        <w:t xml:space="preserve"> al </w:t>
      </w:r>
      <w:r w:rsidR="00515A2A" w:rsidRPr="00E85AD0">
        <w:rPr>
          <w:spacing w:val="0"/>
          <w:szCs w:val="20"/>
          <w:lang w:val="es-CO"/>
        </w:rPr>
        <w:t>[señor</w:t>
      </w:r>
      <w:r w:rsidRPr="00E85AD0">
        <w:rPr>
          <w:spacing w:val="0"/>
          <w:szCs w:val="20"/>
          <w:lang w:val="es-CO"/>
        </w:rPr>
        <w:t xml:space="preserve"> Colindres</w:t>
      </w:r>
      <w:r w:rsidR="00601847">
        <w:rPr>
          <w:spacing w:val="0"/>
          <w:szCs w:val="20"/>
          <w:lang w:val="es-CO"/>
        </w:rPr>
        <w:t xml:space="preserve"> Schonenberg</w:t>
      </w:r>
      <w:r w:rsidR="00DC143D">
        <w:rPr>
          <w:spacing w:val="0"/>
          <w:szCs w:val="20"/>
          <w:lang w:val="es-CO"/>
        </w:rPr>
        <w:t>] a efecto</w:t>
      </w:r>
      <w:r w:rsidR="00515A2A" w:rsidRPr="00E85AD0">
        <w:rPr>
          <w:spacing w:val="0"/>
          <w:szCs w:val="20"/>
          <w:lang w:val="es-CO"/>
        </w:rPr>
        <w:t xml:space="preserve"> de que, en forma escrita, presente a esta comisión sus alegatos, sobre la solicitud y ampliaci</w:t>
      </w:r>
      <w:r w:rsidR="00DC143D">
        <w:rPr>
          <w:spacing w:val="0"/>
          <w:szCs w:val="20"/>
          <w:lang w:val="es-CO"/>
        </w:rPr>
        <w:t>[</w:t>
      </w:r>
      <w:r w:rsidR="00515A2A" w:rsidRPr="00E85AD0">
        <w:rPr>
          <w:spacing w:val="0"/>
          <w:szCs w:val="20"/>
          <w:lang w:val="es-CO"/>
        </w:rPr>
        <w:t>ones</w:t>
      </w:r>
      <w:r w:rsidR="00DC143D">
        <w:rPr>
          <w:spacing w:val="0"/>
          <w:szCs w:val="20"/>
          <w:lang w:val="es-CO"/>
        </w:rPr>
        <w:t>]</w:t>
      </w:r>
      <w:r w:rsidR="00515A2A" w:rsidRPr="00E85AD0">
        <w:rPr>
          <w:spacing w:val="0"/>
          <w:szCs w:val="20"/>
          <w:lang w:val="es-CO"/>
        </w:rPr>
        <w:t xml:space="preserve"> referidas”</w:t>
      </w:r>
      <w:r w:rsidRPr="00E85AD0">
        <w:rPr>
          <w:rStyle w:val="FootnoteReference"/>
          <w:spacing w:val="0"/>
          <w:sz w:val="20"/>
          <w:szCs w:val="20"/>
          <w:lang w:val="es-CO"/>
        </w:rPr>
        <w:footnoteReference w:id="47"/>
      </w:r>
      <w:r w:rsidRPr="00E85AD0">
        <w:rPr>
          <w:spacing w:val="0"/>
          <w:szCs w:val="20"/>
          <w:lang w:val="es-CO"/>
        </w:rPr>
        <w:t xml:space="preserve">. </w:t>
      </w:r>
    </w:p>
    <w:p w14:paraId="6F799121" w14:textId="77777777" w:rsidR="00A84C43" w:rsidRPr="00E85AD0" w:rsidRDefault="00A84C43" w:rsidP="00A84C43">
      <w:pPr>
        <w:rPr>
          <w:lang w:val="es-CO" w:eastAsia="es-MX"/>
        </w:rPr>
      </w:pPr>
    </w:p>
    <w:p w14:paraId="25C19766" w14:textId="2F8EA5CE" w:rsidR="00A84C43" w:rsidRPr="00E85AD0" w:rsidRDefault="00A65FF2" w:rsidP="009D216C">
      <w:pPr>
        <w:pStyle w:val="PrrafodeSentencia"/>
        <w:rPr>
          <w:spacing w:val="0"/>
          <w:szCs w:val="20"/>
          <w:lang w:val="es-CO"/>
        </w:rPr>
      </w:pPr>
      <w:r w:rsidRPr="00E85AD0">
        <w:rPr>
          <w:spacing w:val="0"/>
          <w:szCs w:val="20"/>
          <w:lang w:val="es-CO"/>
        </w:rPr>
        <w:t xml:space="preserve">El 20 de abril de 1998 el señor Colindres </w:t>
      </w:r>
      <w:r w:rsidR="00601847">
        <w:rPr>
          <w:spacing w:val="0"/>
          <w:szCs w:val="20"/>
          <w:lang w:val="es-CO"/>
        </w:rPr>
        <w:t>Schonenberg</w:t>
      </w:r>
      <w:r w:rsidR="00601847" w:rsidRPr="00E85AD0">
        <w:rPr>
          <w:spacing w:val="0"/>
          <w:szCs w:val="20"/>
          <w:lang w:val="es-CO"/>
        </w:rPr>
        <w:t xml:space="preserve"> </w:t>
      </w:r>
      <w:r w:rsidRPr="00E85AD0">
        <w:rPr>
          <w:spacing w:val="0"/>
          <w:szCs w:val="20"/>
          <w:lang w:val="es-CO"/>
        </w:rPr>
        <w:t xml:space="preserve">presentó un escrito dirigido a la Comisión Especial </w:t>
      </w:r>
      <w:r w:rsidR="009274DC">
        <w:rPr>
          <w:spacing w:val="0"/>
          <w:szCs w:val="20"/>
          <w:lang w:val="es-CO"/>
        </w:rPr>
        <w:t>indicando que</w:t>
      </w:r>
      <w:r w:rsidR="00A84C43" w:rsidRPr="00E85AD0">
        <w:rPr>
          <w:spacing w:val="0"/>
          <w:szCs w:val="20"/>
          <w:lang w:val="es-CO"/>
        </w:rPr>
        <w:t xml:space="preserve"> el derecho de audiencia deb</w:t>
      </w:r>
      <w:r w:rsidR="00D611A4">
        <w:rPr>
          <w:spacing w:val="0"/>
          <w:szCs w:val="20"/>
          <w:lang w:val="es-CO"/>
        </w:rPr>
        <w:t>ía</w:t>
      </w:r>
      <w:r w:rsidR="00A84C43" w:rsidRPr="00E85AD0">
        <w:rPr>
          <w:spacing w:val="0"/>
          <w:szCs w:val="20"/>
          <w:lang w:val="es-CO"/>
        </w:rPr>
        <w:t xml:space="preserve"> realizarse ante el </w:t>
      </w:r>
      <w:r w:rsidR="00CA2925">
        <w:rPr>
          <w:spacing w:val="0"/>
          <w:szCs w:val="20"/>
          <w:lang w:val="es-CO"/>
        </w:rPr>
        <w:t>P</w:t>
      </w:r>
      <w:r w:rsidR="00642E02">
        <w:rPr>
          <w:spacing w:val="0"/>
          <w:szCs w:val="20"/>
          <w:lang w:val="es-CO"/>
        </w:rPr>
        <w:t>leno de la Asamblea Legislativa. Asimismo señaló que él deb</w:t>
      </w:r>
      <w:r w:rsidR="00D611A4">
        <w:rPr>
          <w:spacing w:val="0"/>
          <w:szCs w:val="20"/>
          <w:lang w:val="es-CO"/>
        </w:rPr>
        <w:t>ía</w:t>
      </w:r>
      <w:r w:rsidR="00A84C43" w:rsidRPr="00E85AD0">
        <w:rPr>
          <w:spacing w:val="0"/>
          <w:szCs w:val="20"/>
          <w:lang w:val="es-CO"/>
        </w:rPr>
        <w:t xml:space="preserve"> “sab</w:t>
      </w:r>
      <w:r w:rsidR="00642E02">
        <w:rPr>
          <w:spacing w:val="0"/>
          <w:szCs w:val="20"/>
          <w:lang w:val="es-CO"/>
        </w:rPr>
        <w:t>er</w:t>
      </w:r>
      <w:r w:rsidR="00A84C43" w:rsidRPr="00E85AD0">
        <w:rPr>
          <w:spacing w:val="0"/>
          <w:szCs w:val="20"/>
          <w:lang w:val="es-CO"/>
        </w:rPr>
        <w:t xml:space="preserve"> previamente cuál es el procedimiento que se empleará, los plazos, estar presente </w:t>
      </w:r>
      <w:r w:rsidR="009274DC">
        <w:rPr>
          <w:spacing w:val="0"/>
          <w:szCs w:val="20"/>
          <w:lang w:val="es-CO"/>
        </w:rPr>
        <w:t xml:space="preserve">[…] </w:t>
      </w:r>
      <w:r w:rsidR="00A84C43" w:rsidRPr="00E85AD0">
        <w:rPr>
          <w:spacing w:val="0"/>
          <w:szCs w:val="20"/>
          <w:lang w:val="es-CO"/>
        </w:rPr>
        <w:t>cuando se presenten pruebas en [su] contra y tener la posibilidad y plazo suficie</w:t>
      </w:r>
      <w:r w:rsidR="007D6783">
        <w:rPr>
          <w:spacing w:val="0"/>
          <w:szCs w:val="20"/>
          <w:lang w:val="es-CO"/>
        </w:rPr>
        <w:t>nte para poder defender[se]”, y</w:t>
      </w:r>
      <w:r w:rsidR="00A84C43" w:rsidRPr="00E85AD0">
        <w:rPr>
          <w:spacing w:val="0"/>
          <w:szCs w:val="20"/>
          <w:lang w:val="es-CO"/>
        </w:rPr>
        <w:t xml:space="preserve"> que las causales formuladas en su contra deberían ser probadas</w:t>
      </w:r>
      <w:r w:rsidR="00A84C43" w:rsidRPr="00E85AD0">
        <w:rPr>
          <w:rStyle w:val="FootnoteReference"/>
          <w:spacing w:val="0"/>
          <w:sz w:val="20"/>
          <w:szCs w:val="20"/>
          <w:lang w:val="es-CO"/>
        </w:rPr>
        <w:footnoteReference w:id="48"/>
      </w:r>
      <w:r w:rsidR="00A84C43" w:rsidRPr="00E85AD0">
        <w:rPr>
          <w:spacing w:val="0"/>
          <w:szCs w:val="20"/>
          <w:lang w:val="es-CO"/>
        </w:rPr>
        <w:t>.</w:t>
      </w:r>
    </w:p>
    <w:p w14:paraId="0ED9FA00" w14:textId="77777777" w:rsidR="00A84C43" w:rsidRPr="00E85AD0" w:rsidRDefault="00A84C43" w:rsidP="00A84C43">
      <w:pPr>
        <w:rPr>
          <w:lang w:val="es-CO" w:eastAsia="es-MX"/>
        </w:rPr>
      </w:pPr>
    </w:p>
    <w:p w14:paraId="5B589296" w14:textId="032BE74F" w:rsidR="00F80ED9" w:rsidRPr="00E85AD0" w:rsidRDefault="00A65FF2" w:rsidP="00F80ED9">
      <w:pPr>
        <w:pStyle w:val="PrrafodeSentencia"/>
        <w:rPr>
          <w:color w:val="00B050"/>
          <w:spacing w:val="0"/>
          <w:szCs w:val="20"/>
          <w:lang w:val="es-CO"/>
        </w:rPr>
      </w:pPr>
      <w:r w:rsidRPr="00E85AD0">
        <w:rPr>
          <w:spacing w:val="0"/>
          <w:szCs w:val="20"/>
          <w:lang w:val="es-CO"/>
        </w:rPr>
        <w:t>El 21 de abril de 1998 la Comisión Especial dio por evacuada la audiencia y requirió diversa información al TSE</w:t>
      </w:r>
      <w:r w:rsidR="00E92BC1" w:rsidRPr="00E85AD0">
        <w:rPr>
          <w:rStyle w:val="FootnoteReference"/>
          <w:spacing w:val="0"/>
          <w:sz w:val="20"/>
          <w:szCs w:val="20"/>
          <w:lang w:val="es-CO"/>
        </w:rPr>
        <w:footnoteReference w:id="49"/>
      </w:r>
      <w:r w:rsidRPr="00E85AD0">
        <w:rPr>
          <w:spacing w:val="0"/>
          <w:szCs w:val="20"/>
          <w:lang w:val="es-CO"/>
        </w:rPr>
        <w:t xml:space="preserve">. </w:t>
      </w:r>
      <w:r w:rsidR="007D6783">
        <w:rPr>
          <w:spacing w:val="0"/>
          <w:szCs w:val="20"/>
          <w:lang w:val="es-CO"/>
        </w:rPr>
        <w:t>De acuerdo a una comunicación del TSE, e</w:t>
      </w:r>
      <w:r w:rsidRPr="00E85AD0">
        <w:rPr>
          <w:spacing w:val="0"/>
          <w:szCs w:val="20"/>
          <w:lang w:val="es-CO"/>
        </w:rPr>
        <w:t xml:space="preserve">sta información fue enviada por el TSE </w:t>
      </w:r>
      <w:r w:rsidR="001A44C3" w:rsidRPr="00E85AD0">
        <w:rPr>
          <w:spacing w:val="0"/>
          <w:szCs w:val="20"/>
          <w:lang w:val="es-CO"/>
        </w:rPr>
        <w:t xml:space="preserve">a la Comisión Especial </w:t>
      </w:r>
      <w:r w:rsidRPr="00E85AD0">
        <w:rPr>
          <w:spacing w:val="0"/>
          <w:szCs w:val="20"/>
          <w:lang w:val="es-CO"/>
        </w:rPr>
        <w:t>el 28 de abril de 1998</w:t>
      </w:r>
      <w:r w:rsidR="001A44C3" w:rsidRPr="00E85AD0">
        <w:rPr>
          <w:spacing w:val="0"/>
          <w:szCs w:val="20"/>
          <w:lang w:val="es-CO"/>
        </w:rPr>
        <w:t xml:space="preserve"> y a la Comisión Política el 26 de mayo de 1998</w:t>
      </w:r>
      <w:r w:rsidRPr="00E85AD0">
        <w:rPr>
          <w:rStyle w:val="FootnoteReference"/>
          <w:spacing w:val="0"/>
          <w:sz w:val="20"/>
          <w:szCs w:val="20"/>
          <w:lang w:val="es-CO"/>
        </w:rPr>
        <w:footnoteReference w:id="50"/>
      </w:r>
      <w:r w:rsidRPr="00E85AD0">
        <w:rPr>
          <w:spacing w:val="0"/>
          <w:szCs w:val="20"/>
          <w:lang w:val="es-CO"/>
        </w:rPr>
        <w:t>.</w:t>
      </w:r>
      <w:r w:rsidR="00F73D58" w:rsidRPr="00E85AD0">
        <w:rPr>
          <w:spacing w:val="0"/>
          <w:szCs w:val="20"/>
          <w:lang w:val="es-CO"/>
        </w:rPr>
        <w:t xml:space="preserve"> </w:t>
      </w:r>
    </w:p>
    <w:p w14:paraId="6FFC745C" w14:textId="77777777" w:rsidR="00A65FF2" w:rsidRPr="00E85AD0" w:rsidRDefault="00A65FF2" w:rsidP="006D4173">
      <w:pPr>
        <w:pStyle w:val="ListParagraph"/>
        <w:tabs>
          <w:tab w:val="num" w:pos="567"/>
        </w:tabs>
        <w:rPr>
          <w:szCs w:val="20"/>
          <w:lang w:val="es-CO"/>
        </w:rPr>
      </w:pPr>
    </w:p>
    <w:p w14:paraId="4308CE87" w14:textId="4AF8BD51" w:rsidR="00382BBE" w:rsidRPr="00E85AD0" w:rsidRDefault="00A65FF2" w:rsidP="009D216C">
      <w:pPr>
        <w:pStyle w:val="PrrafodeSentencia"/>
        <w:rPr>
          <w:spacing w:val="0"/>
          <w:szCs w:val="20"/>
          <w:lang w:val="es-CO"/>
        </w:rPr>
      </w:pPr>
      <w:r w:rsidRPr="00E85AD0">
        <w:rPr>
          <w:spacing w:val="0"/>
          <w:szCs w:val="20"/>
          <w:lang w:val="es-CO"/>
        </w:rPr>
        <w:t xml:space="preserve">El 21 de mayo de 1998, la Comisión Especial presentó </w:t>
      </w:r>
      <w:r w:rsidR="009274DC">
        <w:rPr>
          <w:spacing w:val="0"/>
          <w:szCs w:val="20"/>
          <w:lang w:val="es-CO"/>
        </w:rPr>
        <w:t>un</w:t>
      </w:r>
      <w:r w:rsidRPr="00E85AD0">
        <w:rPr>
          <w:spacing w:val="0"/>
          <w:szCs w:val="20"/>
          <w:lang w:val="es-CO"/>
        </w:rPr>
        <w:t xml:space="preserve"> informe para conocimiento de</w:t>
      </w:r>
      <w:r w:rsidR="00E92BC1" w:rsidRPr="00E85AD0">
        <w:rPr>
          <w:spacing w:val="0"/>
          <w:szCs w:val="20"/>
          <w:lang w:val="es-CO"/>
        </w:rPr>
        <w:t xml:space="preserve">l </w:t>
      </w:r>
      <w:r w:rsidR="00CA2925">
        <w:rPr>
          <w:spacing w:val="0"/>
          <w:szCs w:val="20"/>
          <w:lang w:val="es-CO"/>
        </w:rPr>
        <w:t>P</w:t>
      </w:r>
      <w:r w:rsidR="00E92BC1" w:rsidRPr="00E85AD0">
        <w:rPr>
          <w:spacing w:val="0"/>
          <w:szCs w:val="20"/>
          <w:lang w:val="es-CO"/>
        </w:rPr>
        <w:t>leno de la Asamblea</w:t>
      </w:r>
      <w:r w:rsidRPr="00E85AD0">
        <w:rPr>
          <w:rStyle w:val="FootnoteReference"/>
          <w:spacing w:val="0"/>
          <w:sz w:val="20"/>
          <w:szCs w:val="20"/>
          <w:lang w:val="es-CO"/>
        </w:rPr>
        <w:footnoteReference w:id="51"/>
      </w:r>
      <w:r w:rsidR="00E92BC1" w:rsidRPr="00E85AD0">
        <w:rPr>
          <w:spacing w:val="0"/>
          <w:szCs w:val="20"/>
          <w:lang w:val="es-CO"/>
        </w:rPr>
        <w:t xml:space="preserve">. En este informe </w:t>
      </w:r>
      <w:r w:rsidR="009274DC">
        <w:rPr>
          <w:spacing w:val="0"/>
          <w:szCs w:val="20"/>
          <w:lang w:val="es-CO"/>
        </w:rPr>
        <w:t>la Comisión Especial afirmó no haber recibido</w:t>
      </w:r>
      <w:r w:rsidR="00E92BC1" w:rsidRPr="00E85AD0">
        <w:rPr>
          <w:spacing w:val="0"/>
          <w:szCs w:val="20"/>
          <w:lang w:val="es-CO"/>
        </w:rPr>
        <w:t xml:space="preserve"> </w:t>
      </w:r>
      <w:r w:rsidRPr="00E85AD0">
        <w:rPr>
          <w:spacing w:val="0"/>
          <w:szCs w:val="20"/>
          <w:lang w:val="es-CO"/>
        </w:rPr>
        <w:t>la documentación solicitada al TSE</w:t>
      </w:r>
      <w:r w:rsidRPr="00E85AD0">
        <w:rPr>
          <w:rStyle w:val="FootnoteReference"/>
          <w:spacing w:val="0"/>
          <w:sz w:val="20"/>
          <w:szCs w:val="20"/>
          <w:lang w:val="es-CO"/>
        </w:rPr>
        <w:footnoteReference w:id="52"/>
      </w:r>
      <w:r w:rsidR="00E92BC1" w:rsidRPr="00E85AD0">
        <w:rPr>
          <w:spacing w:val="0"/>
          <w:szCs w:val="20"/>
          <w:lang w:val="es-CO"/>
        </w:rPr>
        <w:t xml:space="preserve">. </w:t>
      </w:r>
      <w:r w:rsidR="009F1A79" w:rsidRPr="00E85AD0">
        <w:rPr>
          <w:spacing w:val="0"/>
          <w:szCs w:val="20"/>
          <w:lang w:val="es-CO"/>
        </w:rPr>
        <w:t xml:space="preserve">El </w:t>
      </w:r>
      <w:r w:rsidR="00F62AA1">
        <w:rPr>
          <w:spacing w:val="0"/>
          <w:szCs w:val="20"/>
          <w:lang w:val="es-CO"/>
        </w:rPr>
        <w:t xml:space="preserve">25 de junio de 1998 se </w:t>
      </w:r>
      <w:r w:rsidR="009F1A79" w:rsidRPr="00E85AD0">
        <w:rPr>
          <w:spacing w:val="0"/>
          <w:szCs w:val="20"/>
          <w:lang w:val="es-CO"/>
        </w:rPr>
        <w:t>remitió este informe a la Comisión Política</w:t>
      </w:r>
      <w:r w:rsidR="00373894">
        <w:rPr>
          <w:spacing w:val="0"/>
          <w:szCs w:val="20"/>
          <w:lang w:val="es-CO"/>
        </w:rPr>
        <w:t xml:space="preserve"> </w:t>
      </w:r>
      <w:r w:rsidR="00373894" w:rsidRPr="00E85AD0">
        <w:rPr>
          <w:spacing w:val="0"/>
          <w:szCs w:val="20"/>
          <w:lang w:val="es-CO"/>
        </w:rPr>
        <w:t>de la Asamblea Legislativa</w:t>
      </w:r>
      <w:r w:rsidR="009F1A79" w:rsidRPr="00E85AD0">
        <w:rPr>
          <w:rStyle w:val="FootnoteReference"/>
          <w:spacing w:val="0"/>
          <w:sz w:val="20"/>
          <w:szCs w:val="20"/>
          <w:lang w:val="es-CO"/>
        </w:rPr>
        <w:footnoteReference w:id="53"/>
      </w:r>
      <w:r w:rsidR="009F1A79" w:rsidRPr="00E85AD0">
        <w:rPr>
          <w:spacing w:val="0"/>
          <w:szCs w:val="20"/>
          <w:lang w:val="es-CO"/>
        </w:rPr>
        <w:t>.</w:t>
      </w:r>
    </w:p>
    <w:p w14:paraId="43E7FA78" w14:textId="77777777" w:rsidR="006D4173" w:rsidRPr="00E85AD0" w:rsidRDefault="006D4173" w:rsidP="006D4173">
      <w:pPr>
        <w:pStyle w:val="ListParagraph"/>
        <w:rPr>
          <w:szCs w:val="20"/>
          <w:lang w:val="es-CO"/>
        </w:rPr>
      </w:pPr>
    </w:p>
    <w:p w14:paraId="358096E0" w14:textId="2417E5D0" w:rsidR="00E92BC1" w:rsidRPr="00E85AD0" w:rsidRDefault="00A65FF2" w:rsidP="009D216C">
      <w:pPr>
        <w:pStyle w:val="PrrafodeSentencia"/>
        <w:rPr>
          <w:spacing w:val="0"/>
          <w:szCs w:val="20"/>
          <w:lang w:val="es-CO"/>
        </w:rPr>
      </w:pPr>
      <w:r w:rsidRPr="00E85AD0">
        <w:rPr>
          <w:spacing w:val="0"/>
          <w:szCs w:val="20"/>
          <w:lang w:val="es-CO"/>
        </w:rPr>
        <w:lastRenderedPageBreak/>
        <w:t xml:space="preserve">Mediante escrito de 26 de mayo de 1998 el </w:t>
      </w:r>
      <w:r w:rsidR="00497F62">
        <w:rPr>
          <w:spacing w:val="0"/>
          <w:szCs w:val="20"/>
          <w:lang w:val="es-CO"/>
        </w:rPr>
        <w:t>señor</w:t>
      </w:r>
      <w:r w:rsidRPr="00E85AD0">
        <w:rPr>
          <w:spacing w:val="0"/>
          <w:szCs w:val="20"/>
          <w:lang w:val="es-CO"/>
        </w:rPr>
        <w:t xml:space="preserve"> Colindres </w:t>
      </w:r>
      <w:r w:rsidR="00497F62">
        <w:rPr>
          <w:spacing w:val="0"/>
          <w:szCs w:val="20"/>
          <w:lang w:val="es-CO"/>
        </w:rPr>
        <w:t xml:space="preserve">Schonenberg </w:t>
      </w:r>
      <w:r w:rsidRPr="00E85AD0">
        <w:rPr>
          <w:spacing w:val="0"/>
          <w:szCs w:val="20"/>
          <w:lang w:val="es-CO"/>
        </w:rPr>
        <w:t>manifestó a la Comisión Política</w:t>
      </w:r>
      <w:r w:rsidR="00F8266A" w:rsidRPr="00E85AD0">
        <w:rPr>
          <w:spacing w:val="0"/>
          <w:szCs w:val="20"/>
          <w:lang w:val="es-CO"/>
        </w:rPr>
        <w:t xml:space="preserve"> </w:t>
      </w:r>
      <w:r w:rsidRPr="00E85AD0">
        <w:rPr>
          <w:spacing w:val="0"/>
          <w:szCs w:val="20"/>
          <w:lang w:val="es-CO"/>
        </w:rPr>
        <w:t>que había tenido conocimiento a través de los medios de comunicación que la Comisión Especial había presentado un informe al Pleno Legislativo</w:t>
      </w:r>
      <w:r w:rsidR="00F8266A" w:rsidRPr="00E85AD0">
        <w:rPr>
          <w:spacing w:val="0"/>
          <w:szCs w:val="20"/>
          <w:lang w:val="es-CO"/>
        </w:rPr>
        <w:t>, y posteriormente a la Comisión Política</w:t>
      </w:r>
      <w:r w:rsidR="001D7DC3" w:rsidRPr="00E85AD0">
        <w:rPr>
          <w:rStyle w:val="FootnoteReference"/>
          <w:spacing w:val="0"/>
          <w:sz w:val="20"/>
          <w:szCs w:val="20"/>
          <w:lang w:val="es-CO"/>
        </w:rPr>
        <w:footnoteReference w:id="54"/>
      </w:r>
      <w:r w:rsidRPr="00E85AD0">
        <w:rPr>
          <w:spacing w:val="0"/>
          <w:szCs w:val="20"/>
          <w:lang w:val="es-CO"/>
        </w:rPr>
        <w:t>. En su escrito, cuestionó el procedimiento</w:t>
      </w:r>
      <w:r w:rsidR="00497F62">
        <w:rPr>
          <w:spacing w:val="0"/>
          <w:szCs w:val="20"/>
          <w:lang w:val="es-CO"/>
        </w:rPr>
        <w:t>, la competencia de la Comisión Especial</w:t>
      </w:r>
      <w:r w:rsidR="0080444A">
        <w:rPr>
          <w:spacing w:val="0"/>
          <w:szCs w:val="20"/>
          <w:lang w:val="es-CO"/>
        </w:rPr>
        <w:t>,</w:t>
      </w:r>
      <w:r w:rsidRPr="00E85AD0">
        <w:rPr>
          <w:spacing w:val="0"/>
          <w:szCs w:val="20"/>
          <w:lang w:val="es-CO"/>
        </w:rPr>
        <w:t xml:space="preserve"> indicó que no se le había garantizado el derecho </w:t>
      </w:r>
      <w:r w:rsidR="002A3AF9" w:rsidRPr="00E85AD0">
        <w:rPr>
          <w:spacing w:val="0"/>
          <w:szCs w:val="20"/>
          <w:lang w:val="es-CO"/>
        </w:rPr>
        <w:t>de</w:t>
      </w:r>
      <w:r w:rsidRPr="00E85AD0">
        <w:rPr>
          <w:spacing w:val="0"/>
          <w:szCs w:val="20"/>
          <w:lang w:val="es-CO"/>
        </w:rPr>
        <w:t xml:space="preserve"> audiencia</w:t>
      </w:r>
      <w:r w:rsidR="0080444A">
        <w:rPr>
          <w:spacing w:val="0"/>
          <w:szCs w:val="20"/>
          <w:lang w:val="es-CO"/>
        </w:rPr>
        <w:t xml:space="preserve"> y a</w:t>
      </w:r>
      <w:r w:rsidR="00497F62">
        <w:rPr>
          <w:spacing w:val="0"/>
          <w:szCs w:val="20"/>
          <w:lang w:val="es-CO"/>
        </w:rPr>
        <w:t>nexó determinada prueba</w:t>
      </w:r>
      <w:r w:rsidR="00497F62" w:rsidRPr="00E85AD0">
        <w:rPr>
          <w:rStyle w:val="FootnoteReference"/>
          <w:spacing w:val="0"/>
          <w:sz w:val="20"/>
          <w:szCs w:val="20"/>
          <w:lang w:val="es-CO"/>
        </w:rPr>
        <w:footnoteReference w:id="55"/>
      </w:r>
      <w:r w:rsidR="00497F62">
        <w:rPr>
          <w:spacing w:val="0"/>
          <w:szCs w:val="20"/>
          <w:lang w:val="es-CO"/>
        </w:rPr>
        <w:t>.</w:t>
      </w:r>
      <w:r w:rsidRPr="00E85AD0">
        <w:rPr>
          <w:spacing w:val="0"/>
          <w:szCs w:val="20"/>
          <w:lang w:val="es-CO"/>
        </w:rPr>
        <w:t xml:space="preserve"> </w:t>
      </w:r>
      <w:r w:rsidR="00497F62" w:rsidRPr="00E85AD0">
        <w:rPr>
          <w:spacing w:val="0"/>
          <w:szCs w:val="20"/>
          <w:lang w:val="es-CO"/>
        </w:rPr>
        <w:t xml:space="preserve">No consta que </w:t>
      </w:r>
      <w:r w:rsidR="00497F62">
        <w:rPr>
          <w:spacing w:val="0"/>
          <w:szCs w:val="20"/>
          <w:lang w:val="es-CO"/>
        </w:rPr>
        <w:t xml:space="preserve">este escrito y sus anexos hayan sido </w:t>
      </w:r>
      <w:r w:rsidR="00D1345E">
        <w:rPr>
          <w:spacing w:val="0"/>
          <w:szCs w:val="20"/>
          <w:lang w:val="es-CO"/>
        </w:rPr>
        <w:t>incluidos</w:t>
      </w:r>
      <w:r w:rsidR="00497F62">
        <w:rPr>
          <w:spacing w:val="0"/>
          <w:szCs w:val="20"/>
          <w:lang w:val="es-CO"/>
        </w:rPr>
        <w:t xml:space="preserve"> dentro del expediente. </w:t>
      </w:r>
    </w:p>
    <w:p w14:paraId="2128DB94" w14:textId="77777777" w:rsidR="00E92BC1" w:rsidRPr="00E85AD0" w:rsidRDefault="00E92BC1" w:rsidP="00E92BC1">
      <w:pPr>
        <w:rPr>
          <w:lang w:val="es-CO" w:eastAsia="es-MX"/>
        </w:rPr>
      </w:pPr>
    </w:p>
    <w:p w14:paraId="377C8C31" w14:textId="77777777" w:rsidR="006D76E1" w:rsidRPr="00E85AD0" w:rsidRDefault="009F1A79" w:rsidP="009D216C">
      <w:pPr>
        <w:pStyle w:val="PrrafodeSentencia"/>
        <w:rPr>
          <w:spacing w:val="0"/>
          <w:szCs w:val="20"/>
          <w:lang w:val="es-CO"/>
        </w:rPr>
      </w:pPr>
      <w:r w:rsidRPr="00E85AD0">
        <w:rPr>
          <w:spacing w:val="0"/>
          <w:szCs w:val="20"/>
          <w:lang w:val="es-CO"/>
        </w:rPr>
        <w:t>Ante la remisión del informe de la Comisión Especial, e</w:t>
      </w:r>
      <w:r w:rsidR="00A65FF2" w:rsidRPr="00E85AD0">
        <w:rPr>
          <w:spacing w:val="0"/>
          <w:szCs w:val="20"/>
          <w:lang w:val="es-CO"/>
        </w:rPr>
        <w:t>l 24 de junio de 1998 la Comisión Política señaló que “es únicamente el Pleno Legislativo quien puede resolver o aceptar el referido inf</w:t>
      </w:r>
      <w:r w:rsidRPr="00E85AD0">
        <w:rPr>
          <w:spacing w:val="0"/>
          <w:szCs w:val="20"/>
          <w:lang w:val="es-CO"/>
        </w:rPr>
        <w:t>orme, por lo que lo devuelve</w:t>
      </w:r>
      <w:r w:rsidR="00A65FF2" w:rsidRPr="00E85AD0">
        <w:rPr>
          <w:spacing w:val="0"/>
          <w:szCs w:val="20"/>
          <w:lang w:val="es-CO"/>
        </w:rPr>
        <w:t>”</w:t>
      </w:r>
      <w:r w:rsidRPr="00E85AD0">
        <w:rPr>
          <w:spacing w:val="0"/>
          <w:szCs w:val="20"/>
          <w:lang w:val="es-CO"/>
        </w:rPr>
        <w:t xml:space="preserve"> al pleno de la Asamblea</w:t>
      </w:r>
      <w:r w:rsidR="00A65FF2" w:rsidRPr="00E85AD0">
        <w:rPr>
          <w:rStyle w:val="FootnoteReference"/>
          <w:spacing w:val="0"/>
          <w:sz w:val="20"/>
          <w:szCs w:val="20"/>
          <w:lang w:val="es-CO"/>
        </w:rPr>
        <w:footnoteReference w:id="56"/>
      </w:r>
      <w:r w:rsidR="00A65FF2" w:rsidRPr="00E85AD0">
        <w:rPr>
          <w:spacing w:val="0"/>
          <w:szCs w:val="20"/>
          <w:lang w:val="es-CO"/>
        </w:rPr>
        <w:t xml:space="preserve">. </w:t>
      </w:r>
    </w:p>
    <w:p w14:paraId="401AFBF5" w14:textId="77777777" w:rsidR="006D76E1" w:rsidRPr="00E85AD0" w:rsidRDefault="006D76E1" w:rsidP="006D76E1">
      <w:pPr>
        <w:pStyle w:val="ListParagraph"/>
        <w:rPr>
          <w:szCs w:val="20"/>
          <w:lang w:val="es-CO"/>
        </w:rPr>
      </w:pPr>
    </w:p>
    <w:p w14:paraId="6640BCC5" w14:textId="74AD66D2" w:rsidR="006D76E1" w:rsidRPr="00E85AD0" w:rsidRDefault="00A65FF2" w:rsidP="006A63C9">
      <w:pPr>
        <w:pStyle w:val="PrrafodeSentencia"/>
        <w:rPr>
          <w:bCs/>
          <w:spacing w:val="0"/>
        </w:rPr>
      </w:pPr>
      <w:bookmarkStart w:id="162" w:name="_Ref526148758"/>
      <w:r w:rsidRPr="00E85AD0">
        <w:rPr>
          <w:spacing w:val="0"/>
          <w:szCs w:val="20"/>
          <w:lang w:val="es-CO"/>
        </w:rPr>
        <w:t xml:space="preserve">El </w:t>
      </w:r>
      <w:r w:rsidR="0080444A">
        <w:rPr>
          <w:szCs w:val="16"/>
          <w:lang w:val="es-CO"/>
        </w:rPr>
        <w:t>30</w:t>
      </w:r>
      <w:r w:rsidR="0080444A" w:rsidRPr="00550CAE">
        <w:rPr>
          <w:szCs w:val="16"/>
          <w:lang w:val="es-CO"/>
        </w:rPr>
        <w:t xml:space="preserve"> </w:t>
      </w:r>
      <w:r w:rsidRPr="00E85AD0">
        <w:rPr>
          <w:spacing w:val="0"/>
          <w:szCs w:val="20"/>
          <w:lang w:val="es-CO"/>
        </w:rPr>
        <w:t xml:space="preserve">de junio de 1998 diputados </w:t>
      </w:r>
      <w:r w:rsidR="009F1A79" w:rsidRPr="00E85AD0">
        <w:rPr>
          <w:spacing w:val="0"/>
          <w:szCs w:val="20"/>
          <w:lang w:val="es-CO"/>
        </w:rPr>
        <w:t xml:space="preserve">del PDC reiteraron su solicitud de </w:t>
      </w:r>
      <w:r w:rsidRPr="00E85AD0">
        <w:rPr>
          <w:spacing w:val="0"/>
          <w:szCs w:val="20"/>
          <w:lang w:val="es-CO"/>
        </w:rPr>
        <w:t xml:space="preserve">destitución </w:t>
      </w:r>
      <w:r w:rsidR="009F1A79" w:rsidRPr="00E85AD0">
        <w:rPr>
          <w:spacing w:val="0"/>
          <w:szCs w:val="20"/>
          <w:lang w:val="es-CO"/>
        </w:rPr>
        <w:t>d</w:t>
      </w:r>
      <w:r w:rsidR="00F80ED9" w:rsidRPr="00E85AD0">
        <w:rPr>
          <w:spacing w:val="0"/>
          <w:szCs w:val="20"/>
          <w:lang w:val="es-CO"/>
        </w:rPr>
        <w:t>el señor Colindres Schonen</w:t>
      </w:r>
      <w:r w:rsidR="009F1A79" w:rsidRPr="00E85AD0">
        <w:rPr>
          <w:spacing w:val="0"/>
          <w:szCs w:val="20"/>
          <w:lang w:val="es-CO"/>
        </w:rPr>
        <w:t xml:space="preserve">berg ante </w:t>
      </w:r>
      <w:r w:rsidRPr="00E85AD0">
        <w:rPr>
          <w:spacing w:val="0"/>
          <w:szCs w:val="20"/>
          <w:lang w:val="es-CO"/>
        </w:rPr>
        <w:t>la Junta Directiva de la Asamblea Legislativa</w:t>
      </w:r>
      <w:r w:rsidRPr="00E85AD0">
        <w:rPr>
          <w:rStyle w:val="FootnoteReference"/>
          <w:spacing w:val="0"/>
          <w:sz w:val="20"/>
          <w:szCs w:val="20"/>
          <w:lang w:val="es-CO"/>
        </w:rPr>
        <w:footnoteReference w:id="57"/>
      </w:r>
      <w:r w:rsidRPr="00E85AD0">
        <w:rPr>
          <w:spacing w:val="0"/>
          <w:szCs w:val="20"/>
          <w:lang w:val="es-CO"/>
        </w:rPr>
        <w:t>.</w:t>
      </w:r>
      <w:r w:rsidRPr="00E85AD0">
        <w:rPr>
          <w:bCs/>
          <w:spacing w:val="0"/>
          <w:szCs w:val="20"/>
          <w:lang w:val="es-CO"/>
        </w:rPr>
        <w:t xml:space="preserve"> </w:t>
      </w:r>
      <w:r w:rsidR="009F1A79" w:rsidRPr="00E85AD0">
        <w:rPr>
          <w:bCs/>
          <w:spacing w:val="0"/>
          <w:szCs w:val="20"/>
          <w:lang w:val="es-CO"/>
        </w:rPr>
        <w:t>Los diputados</w:t>
      </w:r>
      <w:r w:rsidR="009F1A79" w:rsidRPr="00E85AD0">
        <w:rPr>
          <w:bCs/>
          <w:spacing w:val="0"/>
          <w:szCs w:val="20"/>
        </w:rPr>
        <w:t xml:space="preserve"> acusaron al señor Colindres del delito de </w:t>
      </w:r>
      <w:r w:rsidR="00F62AA1">
        <w:rPr>
          <w:bCs/>
          <w:spacing w:val="0"/>
          <w:szCs w:val="20"/>
        </w:rPr>
        <w:t>“</w:t>
      </w:r>
      <w:r w:rsidR="009F1A79" w:rsidRPr="00E85AD0">
        <w:rPr>
          <w:bCs/>
          <w:spacing w:val="0"/>
          <w:szCs w:val="20"/>
        </w:rPr>
        <w:t xml:space="preserve">desacato al </w:t>
      </w:r>
      <w:r w:rsidR="009F1A79" w:rsidRPr="00E85AD0">
        <w:rPr>
          <w:bCs/>
          <w:iCs/>
          <w:spacing w:val="0"/>
          <w:szCs w:val="20"/>
        </w:rPr>
        <w:t>cuestionar</w:t>
      </w:r>
      <w:r w:rsidR="00F62AA1">
        <w:rPr>
          <w:bCs/>
          <w:iCs/>
          <w:spacing w:val="0"/>
          <w:szCs w:val="20"/>
        </w:rPr>
        <w:t>,</w:t>
      </w:r>
      <w:r w:rsidR="009F1A79" w:rsidRPr="00E85AD0">
        <w:rPr>
          <w:bCs/>
          <w:iCs/>
          <w:spacing w:val="0"/>
          <w:szCs w:val="20"/>
        </w:rPr>
        <w:t xml:space="preserve"> </w:t>
      </w:r>
      <w:r w:rsidR="009F1A79" w:rsidRPr="00E85AD0">
        <w:rPr>
          <w:bCs/>
          <w:i/>
          <w:iCs/>
          <w:spacing w:val="0"/>
          <w:szCs w:val="20"/>
        </w:rPr>
        <w:t>a priori</w:t>
      </w:r>
      <w:r w:rsidR="00F62AA1" w:rsidRPr="00F62AA1">
        <w:rPr>
          <w:bCs/>
          <w:iCs/>
          <w:spacing w:val="0"/>
          <w:szCs w:val="20"/>
        </w:rPr>
        <w:t>,</w:t>
      </w:r>
      <w:r w:rsidR="009F1A79" w:rsidRPr="00E85AD0">
        <w:rPr>
          <w:bCs/>
          <w:iCs/>
          <w:spacing w:val="0"/>
          <w:szCs w:val="20"/>
        </w:rPr>
        <w:t xml:space="preserve"> a los mismos diputados que</w:t>
      </w:r>
      <w:r w:rsidR="009F1A79" w:rsidRPr="00E85AD0">
        <w:rPr>
          <w:bCs/>
          <w:spacing w:val="0"/>
          <w:szCs w:val="20"/>
        </w:rPr>
        <w:t xml:space="preserve"> </w:t>
      </w:r>
      <w:r w:rsidR="009F1A79" w:rsidRPr="00E85AD0">
        <w:rPr>
          <w:bCs/>
          <w:iCs/>
          <w:spacing w:val="0"/>
          <w:szCs w:val="20"/>
        </w:rPr>
        <w:t xml:space="preserve">estaban garantizándole el derecho de audiencia en la </w:t>
      </w:r>
      <w:r w:rsidR="0080444A">
        <w:rPr>
          <w:bCs/>
          <w:iCs/>
          <w:spacing w:val="0"/>
          <w:szCs w:val="20"/>
        </w:rPr>
        <w:t xml:space="preserve">[…] </w:t>
      </w:r>
      <w:r w:rsidR="009F1A79" w:rsidRPr="00E85AD0">
        <w:rPr>
          <w:bCs/>
          <w:iCs/>
          <w:spacing w:val="0"/>
          <w:szCs w:val="20"/>
        </w:rPr>
        <w:t>Comisión”</w:t>
      </w:r>
      <w:r w:rsidR="009F1A79" w:rsidRPr="00E85AD0">
        <w:rPr>
          <w:rStyle w:val="FootnoteReference"/>
          <w:spacing w:val="0"/>
          <w:sz w:val="20"/>
          <w:szCs w:val="20"/>
          <w:lang w:val="es-CO"/>
        </w:rPr>
        <w:footnoteReference w:id="58"/>
      </w:r>
      <w:r w:rsidR="009F1A79" w:rsidRPr="00E85AD0">
        <w:rPr>
          <w:bCs/>
          <w:spacing w:val="0"/>
          <w:szCs w:val="20"/>
        </w:rPr>
        <w:t>. Asimismo señalaron que el señor Colindres Schonenberg ha “evidenci</w:t>
      </w:r>
      <w:r w:rsidR="00F62AA1">
        <w:rPr>
          <w:bCs/>
          <w:spacing w:val="0"/>
          <w:szCs w:val="20"/>
        </w:rPr>
        <w:t>a[</w:t>
      </w:r>
      <w:r w:rsidR="009F1A79" w:rsidRPr="00E85AD0">
        <w:rPr>
          <w:bCs/>
          <w:spacing w:val="0"/>
          <w:szCs w:val="20"/>
        </w:rPr>
        <w:t>do] conducta prejuiciada y maliciosa, pro</w:t>
      </w:r>
      <w:r w:rsidR="006A63C9" w:rsidRPr="00E85AD0">
        <w:rPr>
          <w:bCs/>
          <w:spacing w:val="0"/>
          <w:szCs w:val="20"/>
        </w:rPr>
        <w:t>clive a resolver con insidia en contra del Partido Demócrata Cristiano que lo propuso en el cargo que actualmente ostenta</w:t>
      </w:r>
      <w:r w:rsidR="006A63C9" w:rsidRPr="00E85AD0">
        <w:rPr>
          <w:bCs/>
          <w:iCs/>
          <w:spacing w:val="0"/>
          <w:szCs w:val="20"/>
        </w:rPr>
        <w:t>”</w:t>
      </w:r>
      <w:r w:rsidR="006A63C9" w:rsidRPr="00E85AD0">
        <w:rPr>
          <w:rStyle w:val="FootnoteReference"/>
          <w:spacing w:val="0"/>
          <w:sz w:val="20"/>
          <w:szCs w:val="20"/>
          <w:lang w:val="es-CO"/>
        </w:rPr>
        <w:footnoteReference w:id="59"/>
      </w:r>
      <w:r w:rsidR="006A63C9" w:rsidRPr="00E85AD0">
        <w:rPr>
          <w:bCs/>
          <w:spacing w:val="0"/>
          <w:szCs w:val="20"/>
        </w:rPr>
        <w:t>.</w:t>
      </w:r>
      <w:r w:rsidR="006A63C9" w:rsidRPr="00E85AD0">
        <w:rPr>
          <w:bCs/>
          <w:spacing w:val="0"/>
        </w:rPr>
        <w:t xml:space="preserve"> </w:t>
      </w:r>
      <w:bookmarkEnd w:id="162"/>
    </w:p>
    <w:p w14:paraId="5C96B871" w14:textId="77777777" w:rsidR="006D76E1" w:rsidRPr="00E85AD0" w:rsidRDefault="006D76E1" w:rsidP="006D76E1">
      <w:pPr>
        <w:pStyle w:val="ListParagraph"/>
        <w:rPr>
          <w:szCs w:val="20"/>
          <w:lang w:val="es-CO"/>
        </w:rPr>
      </w:pPr>
    </w:p>
    <w:p w14:paraId="1D2EAFF4" w14:textId="0E7B923A" w:rsidR="00E60B64" w:rsidRPr="00E85AD0" w:rsidRDefault="00A65FF2" w:rsidP="009F0C45">
      <w:pPr>
        <w:pStyle w:val="PrrafodeSentencia"/>
        <w:rPr>
          <w:spacing w:val="0"/>
          <w:szCs w:val="20"/>
          <w:lang w:val="es-CO"/>
        </w:rPr>
      </w:pPr>
      <w:r w:rsidRPr="00E85AD0">
        <w:rPr>
          <w:spacing w:val="0"/>
          <w:szCs w:val="20"/>
          <w:lang w:val="es-CO"/>
        </w:rPr>
        <w:t xml:space="preserve">El 2 de julio de 1998 la Asamblea Legislativa </w:t>
      </w:r>
      <w:r w:rsidR="00882F18" w:rsidRPr="00E85AD0">
        <w:rPr>
          <w:rFonts w:cs="Georgia"/>
          <w:spacing w:val="0"/>
          <w:szCs w:val="20"/>
        </w:rPr>
        <w:t xml:space="preserve">introdujo en la Sesión Plenaria la pieza de correspondencia que contenía el escrito </w:t>
      </w:r>
      <w:r w:rsidR="006A63C9" w:rsidRPr="00E85AD0">
        <w:rPr>
          <w:rFonts w:cs="Georgia"/>
          <w:spacing w:val="0"/>
          <w:szCs w:val="20"/>
        </w:rPr>
        <w:t>que reiteraba la solicitud de destitución (</w:t>
      </w:r>
      <w:r w:rsidR="006A63C9" w:rsidRPr="00E85AD0">
        <w:rPr>
          <w:rFonts w:cs="Georgia"/>
          <w:i/>
          <w:spacing w:val="0"/>
          <w:szCs w:val="20"/>
        </w:rPr>
        <w:t xml:space="preserve">supra </w:t>
      </w:r>
      <w:r w:rsidR="006A63C9" w:rsidRPr="00E85AD0">
        <w:rPr>
          <w:rFonts w:cs="Georgia"/>
          <w:spacing w:val="0"/>
          <w:szCs w:val="20"/>
        </w:rPr>
        <w:t xml:space="preserve">párr. </w:t>
      </w:r>
      <w:r w:rsidR="006A63C9" w:rsidRPr="00E85AD0">
        <w:rPr>
          <w:rFonts w:cs="Georgia"/>
          <w:spacing w:val="0"/>
          <w:szCs w:val="20"/>
        </w:rPr>
        <w:fldChar w:fldCharType="begin"/>
      </w:r>
      <w:r w:rsidR="006A63C9" w:rsidRPr="00E85AD0">
        <w:rPr>
          <w:rFonts w:cs="Georgia"/>
          <w:spacing w:val="0"/>
          <w:szCs w:val="20"/>
        </w:rPr>
        <w:instrText xml:space="preserve"> REF _Ref526148758 \r \h </w:instrText>
      </w:r>
      <w:r w:rsidR="00E85AD0">
        <w:rPr>
          <w:rFonts w:cs="Georgia"/>
          <w:spacing w:val="0"/>
          <w:szCs w:val="20"/>
        </w:rPr>
        <w:instrText xml:space="preserve"> \* MERGEFORMAT </w:instrText>
      </w:r>
      <w:r w:rsidR="006A63C9" w:rsidRPr="00E85AD0">
        <w:rPr>
          <w:rFonts w:cs="Georgia"/>
          <w:spacing w:val="0"/>
          <w:szCs w:val="20"/>
        </w:rPr>
      </w:r>
      <w:r w:rsidR="006A63C9" w:rsidRPr="00E85AD0">
        <w:rPr>
          <w:rFonts w:cs="Georgia"/>
          <w:spacing w:val="0"/>
          <w:szCs w:val="20"/>
        </w:rPr>
        <w:fldChar w:fldCharType="separate"/>
      </w:r>
      <w:r w:rsidR="002D28B2">
        <w:rPr>
          <w:rFonts w:cs="Georgia"/>
          <w:spacing w:val="0"/>
          <w:szCs w:val="20"/>
        </w:rPr>
        <w:t>40</w:t>
      </w:r>
      <w:r w:rsidR="006A63C9" w:rsidRPr="00E85AD0">
        <w:rPr>
          <w:rFonts w:cs="Georgia"/>
          <w:spacing w:val="0"/>
          <w:szCs w:val="20"/>
        </w:rPr>
        <w:fldChar w:fldCharType="end"/>
      </w:r>
      <w:r w:rsidR="006A63C9" w:rsidRPr="00E85AD0">
        <w:rPr>
          <w:rFonts w:cs="Georgia"/>
          <w:spacing w:val="0"/>
          <w:szCs w:val="20"/>
        </w:rPr>
        <w:t>)</w:t>
      </w:r>
      <w:r w:rsidR="006A63C9" w:rsidRPr="00E85AD0">
        <w:rPr>
          <w:rStyle w:val="FootnoteReference"/>
          <w:spacing w:val="0"/>
          <w:sz w:val="20"/>
          <w:szCs w:val="20"/>
        </w:rPr>
        <w:footnoteReference w:id="60"/>
      </w:r>
      <w:r w:rsidR="006A63C9" w:rsidRPr="00E85AD0">
        <w:rPr>
          <w:rFonts w:cs="Georgia"/>
          <w:spacing w:val="0"/>
          <w:szCs w:val="20"/>
        </w:rPr>
        <w:t>. En sesión plenaria de ese día</w:t>
      </w:r>
      <w:r w:rsidR="0080444A">
        <w:rPr>
          <w:rFonts w:cs="Georgia"/>
          <w:spacing w:val="0"/>
          <w:szCs w:val="20"/>
        </w:rPr>
        <w:t>,</w:t>
      </w:r>
      <w:r w:rsidR="006A63C9" w:rsidRPr="00E85AD0">
        <w:rPr>
          <w:rFonts w:cs="Georgia"/>
          <w:spacing w:val="0"/>
          <w:szCs w:val="20"/>
        </w:rPr>
        <w:t xml:space="preserve"> </w:t>
      </w:r>
      <w:r w:rsidR="00601847">
        <w:rPr>
          <w:rFonts w:cs="Georgia"/>
          <w:spacing w:val="0"/>
          <w:szCs w:val="20"/>
        </w:rPr>
        <w:t>un representante</w:t>
      </w:r>
      <w:r w:rsidR="006A63C9" w:rsidRPr="00E85AD0">
        <w:rPr>
          <w:rFonts w:cs="Georgia"/>
          <w:spacing w:val="0"/>
          <w:szCs w:val="20"/>
        </w:rPr>
        <w:t xml:space="preserve"> del PDC expuso la posición institucional del partido, </w:t>
      </w:r>
      <w:r w:rsidR="00D23392" w:rsidRPr="00E85AD0">
        <w:rPr>
          <w:rFonts w:cs="Georgia"/>
          <w:spacing w:val="0"/>
          <w:szCs w:val="20"/>
        </w:rPr>
        <w:t>reiterando los motivos de la primera destitución (</w:t>
      </w:r>
      <w:r w:rsidR="00D23392" w:rsidRPr="00E85AD0">
        <w:rPr>
          <w:rFonts w:cs="Georgia"/>
          <w:i/>
          <w:spacing w:val="0"/>
          <w:szCs w:val="20"/>
        </w:rPr>
        <w:t xml:space="preserve">supra </w:t>
      </w:r>
      <w:r w:rsidR="00D23392" w:rsidRPr="00E85AD0">
        <w:rPr>
          <w:rFonts w:cs="Georgia"/>
          <w:spacing w:val="0"/>
          <w:szCs w:val="20"/>
        </w:rPr>
        <w:t xml:space="preserve">párr. </w:t>
      </w:r>
      <w:r w:rsidR="00F62AA1">
        <w:rPr>
          <w:rFonts w:cs="Georgia"/>
          <w:spacing w:val="0"/>
          <w:szCs w:val="20"/>
        </w:rPr>
        <w:fldChar w:fldCharType="begin"/>
      </w:r>
      <w:r w:rsidR="00F62AA1">
        <w:rPr>
          <w:rFonts w:cs="Georgia"/>
          <w:spacing w:val="0"/>
          <w:szCs w:val="20"/>
        </w:rPr>
        <w:instrText xml:space="preserve"> REF _Ref536621235 \r \h </w:instrText>
      </w:r>
      <w:r w:rsidR="00F62AA1">
        <w:rPr>
          <w:rFonts w:cs="Georgia"/>
          <w:spacing w:val="0"/>
          <w:szCs w:val="20"/>
        </w:rPr>
      </w:r>
      <w:r w:rsidR="00F62AA1">
        <w:rPr>
          <w:rFonts w:cs="Georgia"/>
          <w:spacing w:val="0"/>
          <w:szCs w:val="20"/>
        </w:rPr>
        <w:fldChar w:fldCharType="separate"/>
      </w:r>
      <w:r w:rsidR="002D28B2">
        <w:rPr>
          <w:rFonts w:cs="Georgia"/>
          <w:spacing w:val="0"/>
          <w:szCs w:val="20"/>
        </w:rPr>
        <w:t>28</w:t>
      </w:r>
      <w:r w:rsidR="00F62AA1">
        <w:rPr>
          <w:rFonts w:cs="Georgia"/>
          <w:spacing w:val="0"/>
          <w:szCs w:val="20"/>
        </w:rPr>
        <w:fldChar w:fldCharType="end"/>
      </w:r>
      <w:r w:rsidR="00D23392" w:rsidRPr="00E85AD0">
        <w:rPr>
          <w:rFonts w:cs="Georgia"/>
          <w:spacing w:val="0"/>
          <w:szCs w:val="20"/>
        </w:rPr>
        <w:t>) y solicitando que se votara su destitución</w:t>
      </w:r>
      <w:r w:rsidR="00D23392" w:rsidRPr="00E85AD0">
        <w:rPr>
          <w:rStyle w:val="FootnoteReference"/>
          <w:spacing w:val="0"/>
          <w:sz w:val="20"/>
          <w:szCs w:val="20"/>
        </w:rPr>
        <w:footnoteReference w:id="61"/>
      </w:r>
      <w:r w:rsidR="00D23392" w:rsidRPr="00E85AD0">
        <w:rPr>
          <w:rFonts w:cs="Georgia"/>
          <w:spacing w:val="0"/>
          <w:szCs w:val="20"/>
        </w:rPr>
        <w:t>.</w:t>
      </w:r>
      <w:r w:rsidR="00DB7669" w:rsidRPr="00E85AD0">
        <w:rPr>
          <w:rFonts w:cs="Georgia"/>
          <w:spacing w:val="0"/>
          <w:szCs w:val="20"/>
        </w:rPr>
        <w:t xml:space="preserve"> Ese día se aprobó la destitución con 47 votos a favor</w:t>
      </w:r>
      <w:r w:rsidR="00DB7669" w:rsidRPr="00E85AD0">
        <w:rPr>
          <w:rStyle w:val="FootnoteReference"/>
          <w:spacing w:val="0"/>
          <w:sz w:val="20"/>
          <w:szCs w:val="20"/>
        </w:rPr>
        <w:footnoteReference w:id="62"/>
      </w:r>
      <w:r w:rsidR="00DB7669" w:rsidRPr="00E85AD0">
        <w:rPr>
          <w:rFonts w:cs="Georgia"/>
          <w:spacing w:val="0"/>
          <w:szCs w:val="20"/>
        </w:rPr>
        <w:t>.</w:t>
      </w:r>
      <w:r w:rsidR="00060766" w:rsidRPr="00E85AD0">
        <w:rPr>
          <w:rFonts w:cs="Georgia"/>
          <w:spacing w:val="0"/>
          <w:szCs w:val="20"/>
        </w:rPr>
        <w:t xml:space="preserve"> El decreto establec</w:t>
      </w:r>
      <w:r w:rsidR="00D611A4">
        <w:rPr>
          <w:rFonts w:cs="Georgia"/>
          <w:spacing w:val="0"/>
          <w:szCs w:val="20"/>
        </w:rPr>
        <w:t>ía</w:t>
      </w:r>
      <w:r w:rsidRPr="00E85AD0">
        <w:rPr>
          <w:spacing w:val="0"/>
          <w:szCs w:val="20"/>
          <w:lang w:val="es-CO"/>
        </w:rPr>
        <w:t xml:space="preserve"> “que aún persisten las causas que motivaron </w:t>
      </w:r>
      <w:r w:rsidR="008D471E" w:rsidRPr="00E85AD0">
        <w:rPr>
          <w:spacing w:val="0"/>
          <w:szCs w:val="20"/>
          <w:lang w:val="es-CO"/>
        </w:rPr>
        <w:t>[la primera des</w:t>
      </w:r>
      <w:r w:rsidR="0047149B" w:rsidRPr="00E85AD0">
        <w:rPr>
          <w:spacing w:val="0"/>
          <w:szCs w:val="20"/>
          <w:lang w:val="es-CO"/>
        </w:rPr>
        <w:t>t</w:t>
      </w:r>
      <w:r w:rsidR="008D471E" w:rsidRPr="00E85AD0">
        <w:rPr>
          <w:spacing w:val="0"/>
          <w:szCs w:val="20"/>
          <w:lang w:val="es-CO"/>
        </w:rPr>
        <w:t>itución] y habiéndosele conferido el derecho de audiencia al Doctor Eduardo Benjamín Colindres, es procedente que cese en sus funciones del Magistrado del Tribunal Supremo Electoral</w:t>
      </w:r>
      <w:r w:rsidRPr="00E85AD0">
        <w:rPr>
          <w:spacing w:val="0"/>
          <w:szCs w:val="20"/>
          <w:lang w:val="es-CO"/>
        </w:rPr>
        <w:t>”</w:t>
      </w:r>
      <w:r w:rsidRPr="00E85AD0">
        <w:rPr>
          <w:rStyle w:val="FootnoteReference"/>
          <w:spacing w:val="0"/>
          <w:sz w:val="20"/>
          <w:szCs w:val="20"/>
          <w:lang w:val="es-CO"/>
        </w:rPr>
        <w:footnoteReference w:id="63"/>
      </w:r>
      <w:r w:rsidRPr="00E85AD0">
        <w:rPr>
          <w:spacing w:val="0"/>
          <w:szCs w:val="20"/>
          <w:lang w:val="es-CO"/>
        </w:rPr>
        <w:t>.</w:t>
      </w:r>
    </w:p>
    <w:p w14:paraId="2320E282" w14:textId="77777777" w:rsidR="00A65FF2" w:rsidRPr="00E85AD0" w:rsidRDefault="00A65FF2" w:rsidP="009F0C45">
      <w:pPr>
        <w:tabs>
          <w:tab w:val="num" w:pos="1440"/>
        </w:tabs>
        <w:rPr>
          <w:szCs w:val="20"/>
          <w:lang w:val="es-CO"/>
        </w:rPr>
      </w:pPr>
    </w:p>
    <w:p w14:paraId="3F9E57EA" w14:textId="77777777" w:rsidR="00F80ED9" w:rsidRPr="00E85AD0" w:rsidRDefault="00A65FF2" w:rsidP="009F0C45">
      <w:pPr>
        <w:pStyle w:val="Heading2"/>
        <w:ind w:left="567" w:firstLine="0"/>
        <w:rPr>
          <w:lang w:val="es-ES"/>
        </w:rPr>
      </w:pPr>
      <w:bookmarkStart w:id="163" w:name="_Toc484623839"/>
      <w:bookmarkStart w:id="164" w:name="_Toc192570"/>
      <w:r w:rsidRPr="00E85AD0">
        <w:t>Recursos interpuestos por el señor Colindres</w:t>
      </w:r>
      <w:bookmarkEnd w:id="163"/>
      <w:r w:rsidR="00B45718" w:rsidRPr="00E85AD0">
        <w:t xml:space="preserve"> Schonenberg</w:t>
      </w:r>
      <w:bookmarkEnd w:id="164"/>
    </w:p>
    <w:p w14:paraId="389F78CF" w14:textId="77777777" w:rsidR="00F80ED9" w:rsidRPr="00E85AD0" w:rsidRDefault="00F80ED9" w:rsidP="009F0C45">
      <w:pPr>
        <w:rPr>
          <w:lang w:val="es-ES"/>
        </w:rPr>
      </w:pPr>
    </w:p>
    <w:p w14:paraId="58EA7E01" w14:textId="59383BC7" w:rsidR="00F80ED9" w:rsidRPr="00E85AD0" w:rsidRDefault="00F80ED9" w:rsidP="009F0C45">
      <w:pPr>
        <w:pStyle w:val="PrrafodeSentencia"/>
        <w:rPr>
          <w:spacing w:val="0"/>
          <w:szCs w:val="20"/>
          <w:lang w:val="es-CO"/>
        </w:rPr>
      </w:pPr>
      <w:r w:rsidRPr="00E85AD0">
        <w:rPr>
          <w:spacing w:val="0"/>
          <w:lang w:val="es-ES"/>
        </w:rPr>
        <w:t xml:space="preserve">Durante el </w:t>
      </w:r>
      <w:r w:rsidRPr="009B567C">
        <w:rPr>
          <w:spacing w:val="0"/>
          <w:lang w:val="es-ES"/>
        </w:rPr>
        <w:t xml:space="preserve">proceso </w:t>
      </w:r>
      <w:r w:rsidRPr="00E85AD0">
        <w:rPr>
          <w:spacing w:val="0"/>
          <w:lang w:val="es-ES"/>
        </w:rPr>
        <w:t>de la segunda destitución el señor Colindres Schonenberg interpuso varios recursos.</w:t>
      </w:r>
      <w:r w:rsidRPr="00E85AD0">
        <w:rPr>
          <w:spacing w:val="0"/>
        </w:rPr>
        <w:t xml:space="preserve"> </w:t>
      </w:r>
      <w:r w:rsidR="00B45718" w:rsidRPr="00E85AD0">
        <w:rPr>
          <w:spacing w:val="0"/>
          <w:szCs w:val="20"/>
          <w:lang w:val="es-CO"/>
        </w:rPr>
        <w:t>E</w:t>
      </w:r>
      <w:r w:rsidRPr="00E85AD0">
        <w:rPr>
          <w:spacing w:val="0"/>
          <w:szCs w:val="20"/>
          <w:lang w:val="es-CO"/>
        </w:rPr>
        <w:t xml:space="preserve">l 20 de abril de 1998 </w:t>
      </w:r>
      <w:r w:rsidR="00B45718" w:rsidRPr="00E85AD0">
        <w:rPr>
          <w:spacing w:val="0"/>
          <w:szCs w:val="20"/>
          <w:lang w:val="es-CO"/>
        </w:rPr>
        <w:t>la presunta víctima</w:t>
      </w:r>
      <w:r w:rsidR="008B0554">
        <w:rPr>
          <w:spacing w:val="0"/>
          <w:szCs w:val="20"/>
          <w:lang w:val="es-CO"/>
        </w:rPr>
        <w:t xml:space="preserve"> presentó</w:t>
      </w:r>
      <w:r w:rsidRPr="00E85AD0">
        <w:rPr>
          <w:spacing w:val="0"/>
          <w:szCs w:val="20"/>
          <w:lang w:val="es-CO"/>
        </w:rPr>
        <w:t xml:space="preserve"> </w:t>
      </w:r>
      <w:r w:rsidR="00A54F66">
        <w:rPr>
          <w:spacing w:val="0"/>
          <w:szCs w:val="20"/>
          <w:lang w:val="es-CO"/>
        </w:rPr>
        <w:t>una acción</w:t>
      </w:r>
      <w:r w:rsidRPr="00E85AD0">
        <w:rPr>
          <w:spacing w:val="0"/>
          <w:szCs w:val="20"/>
          <w:lang w:val="es-CO"/>
        </w:rPr>
        <w:t xml:space="preserve"> de amparo en contra del decreto que creó la Comisión Especial y solicitó la suspensión del acto reclamado</w:t>
      </w:r>
      <w:r w:rsidRPr="00E85AD0">
        <w:rPr>
          <w:rStyle w:val="FootnoteReference"/>
          <w:spacing w:val="0"/>
          <w:sz w:val="20"/>
          <w:szCs w:val="20"/>
          <w:lang w:val="es-CO"/>
        </w:rPr>
        <w:footnoteReference w:id="64"/>
      </w:r>
      <w:r w:rsidRPr="00E85AD0">
        <w:rPr>
          <w:spacing w:val="0"/>
          <w:szCs w:val="20"/>
          <w:lang w:val="es-CO"/>
        </w:rPr>
        <w:t xml:space="preserve">. </w:t>
      </w:r>
      <w:r w:rsidR="008B0554">
        <w:rPr>
          <w:spacing w:val="0"/>
          <w:szCs w:val="20"/>
          <w:lang w:val="es-CO"/>
        </w:rPr>
        <w:t>L</w:t>
      </w:r>
      <w:r w:rsidRPr="00E85AD0">
        <w:rPr>
          <w:spacing w:val="0"/>
          <w:szCs w:val="20"/>
          <w:lang w:val="es-CO"/>
        </w:rPr>
        <w:t xml:space="preserve">a Sala de lo Constitucional admitió el recurso y ordenó la suspensión </w:t>
      </w:r>
      <w:r w:rsidRPr="00E85AD0">
        <w:rPr>
          <w:spacing w:val="0"/>
          <w:szCs w:val="20"/>
          <w:lang w:val="es-CO"/>
        </w:rPr>
        <w:lastRenderedPageBreak/>
        <w:t>provisional del acuerdo que cre</w:t>
      </w:r>
      <w:r w:rsidR="00F62AA1">
        <w:rPr>
          <w:spacing w:val="0"/>
          <w:szCs w:val="20"/>
          <w:lang w:val="es-CO"/>
        </w:rPr>
        <w:t>ó</w:t>
      </w:r>
      <w:r w:rsidRPr="00E85AD0">
        <w:rPr>
          <w:spacing w:val="0"/>
          <w:szCs w:val="20"/>
          <w:lang w:val="es-CO"/>
        </w:rPr>
        <w:t xml:space="preserve"> la Comisión Especial</w:t>
      </w:r>
      <w:r w:rsidRPr="00E85AD0">
        <w:rPr>
          <w:rStyle w:val="FootnoteReference"/>
          <w:spacing w:val="0"/>
          <w:sz w:val="20"/>
          <w:szCs w:val="20"/>
          <w:lang w:val="es-CO"/>
        </w:rPr>
        <w:footnoteReference w:id="65"/>
      </w:r>
      <w:r w:rsidR="00B45718" w:rsidRPr="00E85AD0">
        <w:rPr>
          <w:spacing w:val="0"/>
          <w:szCs w:val="20"/>
          <w:lang w:val="es-CO"/>
        </w:rPr>
        <w:t>.</w:t>
      </w:r>
      <w:r w:rsidRPr="00E85AD0">
        <w:rPr>
          <w:spacing w:val="0"/>
          <w:szCs w:val="20"/>
          <w:lang w:val="es-CO"/>
        </w:rPr>
        <w:t xml:space="preserve"> </w:t>
      </w:r>
      <w:r w:rsidR="00601847">
        <w:rPr>
          <w:spacing w:val="0"/>
          <w:szCs w:val="20"/>
          <w:lang w:val="es-CO"/>
        </w:rPr>
        <w:t>Ese mismo día</w:t>
      </w:r>
      <w:r w:rsidRPr="00E85AD0">
        <w:rPr>
          <w:spacing w:val="0"/>
          <w:szCs w:val="20"/>
          <w:lang w:val="es-CO"/>
        </w:rPr>
        <w:t xml:space="preserve"> la Asamblea</w:t>
      </w:r>
      <w:r w:rsidR="00601847">
        <w:rPr>
          <w:spacing w:val="0"/>
          <w:szCs w:val="20"/>
          <w:lang w:val="es-CO"/>
        </w:rPr>
        <w:t xml:space="preserve"> </w:t>
      </w:r>
      <w:r w:rsidR="00A27A98">
        <w:rPr>
          <w:spacing w:val="0"/>
          <w:szCs w:val="20"/>
          <w:lang w:val="es-CO"/>
        </w:rPr>
        <w:t>Legislativa</w:t>
      </w:r>
      <w:r w:rsidRPr="00E85AD0">
        <w:rPr>
          <w:spacing w:val="0"/>
          <w:szCs w:val="20"/>
          <w:lang w:val="es-CO"/>
        </w:rPr>
        <w:t xml:space="preserve"> aprobó la conformación de una comisión especial para investigar “las implicaciones institucionales generadas por el fallo de la Corte Suprema de Justicia” relacionado con la suspensión inicialmente ordenada</w:t>
      </w:r>
      <w:r w:rsidRPr="00E85AD0">
        <w:rPr>
          <w:rStyle w:val="FootnoteReference"/>
          <w:spacing w:val="0"/>
          <w:sz w:val="20"/>
          <w:szCs w:val="20"/>
          <w:lang w:val="es-CO"/>
        </w:rPr>
        <w:footnoteReference w:id="66"/>
      </w:r>
      <w:r w:rsidRPr="00E85AD0">
        <w:rPr>
          <w:spacing w:val="0"/>
          <w:szCs w:val="20"/>
          <w:lang w:val="es-CO"/>
        </w:rPr>
        <w:t>.</w:t>
      </w:r>
    </w:p>
    <w:p w14:paraId="36F0E047" w14:textId="77777777" w:rsidR="00F80ED9" w:rsidRPr="00E85AD0" w:rsidRDefault="00F80ED9" w:rsidP="00F80ED9">
      <w:pPr>
        <w:rPr>
          <w:lang w:val="es-CO" w:eastAsia="es-MX"/>
        </w:rPr>
      </w:pPr>
    </w:p>
    <w:p w14:paraId="51D8DD8E" w14:textId="75A4E0DB" w:rsidR="00F80ED9" w:rsidRPr="00E85AD0" w:rsidRDefault="00F80ED9" w:rsidP="00F80ED9">
      <w:pPr>
        <w:pStyle w:val="PrrafodeSentencia"/>
        <w:rPr>
          <w:spacing w:val="0"/>
          <w:szCs w:val="20"/>
          <w:lang w:val="es-CO"/>
        </w:rPr>
      </w:pPr>
      <w:r w:rsidRPr="00E85AD0">
        <w:rPr>
          <w:spacing w:val="0"/>
          <w:szCs w:val="20"/>
          <w:lang w:val="es-CO"/>
        </w:rPr>
        <w:t>El 30</w:t>
      </w:r>
      <w:r w:rsidR="00947E5C">
        <w:rPr>
          <w:spacing w:val="0"/>
          <w:szCs w:val="20"/>
          <w:lang w:val="es-CO"/>
        </w:rPr>
        <w:t xml:space="preserve"> de abril de 1998 la Sala de lo</w:t>
      </w:r>
      <w:r w:rsidRPr="00E85AD0">
        <w:rPr>
          <w:spacing w:val="0"/>
          <w:szCs w:val="20"/>
          <w:lang w:val="es-CO"/>
        </w:rPr>
        <w:t xml:space="preserve"> Constitucional indicó que “la demanda ha sido admitida indebidamente” y sobreseyó el proceso indicando que existía “indeterminación objetiva del acto de autoridad contra el cual reclama”, así como “indeterminación subjetiva en relación a</w:t>
      </w:r>
      <w:r w:rsidR="00F62AA1">
        <w:rPr>
          <w:spacing w:val="0"/>
          <w:szCs w:val="20"/>
          <w:lang w:val="es-CO"/>
        </w:rPr>
        <w:t xml:space="preserve">l sujeto que sufre el agravio, </w:t>
      </w:r>
      <w:r w:rsidRPr="00E85AD0">
        <w:rPr>
          <w:spacing w:val="0"/>
          <w:szCs w:val="20"/>
          <w:lang w:val="es-CO"/>
        </w:rPr>
        <w:t>ya que, en su demanda, afirm</w:t>
      </w:r>
      <w:r w:rsidR="00F62AA1">
        <w:rPr>
          <w:spacing w:val="0"/>
          <w:szCs w:val="20"/>
          <w:lang w:val="es-CO"/>
        </w:rPr>
        <w:t>[</w:t>
      </w:r>
      <w:r w:rsidRPr="00E85AD0">
        <w:rPr>
          <w:spacing w:val="0"/>
          <w:szCs w:val="20"/>
          <w:lang w:val="es-CO"/>
        </w:rPr>
        <w:t>ó que se trataba de</w:t>
      </w:r>
      <w:r w:rsidR="00EB491A">
        <w:rPr>
          <w:spacing w:val="0"/>
          <w:szCs w:val="20"/>
          <w:lang w:val="es-CO"/>
        </w:rPr>
        <w:t>]</w:t>
      </w:r>
      <w:r w:rsidRPr="00E85AD0">
        <w:rPr>
          <w:spacing w:val="0"/>
          <w:szCs w:val="20"/>
          <w:lang w:val="es-CO"/>
        </w:rPr>
        <w:t xml:space="preserve"> una persecución para</w:t>
      </w:r>
      <w:r w:rsidR="00EB491A">
        <w:rPr>
          <w:spacing w:val="0"/>
          <w:szCs w:val="20"/>
          <w:lang w:val="es-CO"/>
        </w:rPr>
        <w:t xml:space="preserve"> atemorizar y</w:t>
      </w:r>
      <w:r w:rsidRPr="00E85AD0">
        <w:rPr>
          <w:spacing w:val="0"/>
          <w:szCs w:val="20"/>
          <w:lang w:val="es-CO"/>
        </w:rPr>
        <w:t xml:space="preserve"> crear inseguridad jurídica a los magistrados y al [TSE]”</w:t>
      </w:r>
      <w:r w:rsidRPr="00E85AD0">
        <w:rPr>
          <w:rStyle w:val="FootnoteReference"/>
          <w:spacing w:val="0"/>
          <w:sz w:val="20"/>
          <w:szCs w:val="20"/>
          <w:lang w:val="es-CO"/>
        </w:rPr>
        <w:footnoteReference w:id="67"/>
      </w:r>
      <w:r w:rsidRPr="00E85AD0">
        <w:rPr>
          <w:spacing w:val="0"/>
          <w:szCs w:val="20"/>
          <w:lang w:val="es-CO"/>
        </w:rPr>
        <w:t xml:space="preserve">. </w:t>
      </w:r>
    </w:p>
    <w:p w14:paraId="07B881A8" w14:textId="77777777" w:rsidR="00F80ED9" w:rsidRPr="00E85AD0" w:rsidRDefault="00F80ED9" w:rsidP="00083001">
      <w:pPr>
        <w:rPr>
          <w:lang w:val="es-CO"/>
        </w:rPr>
      </w:pPr>
    </w:p>
    <w:p w14:paraId="4C52C12E" w14:textId="64963B9C" w:rsidR="00F80ED9" w:rsidRPr="00E85AD0" w:rsidRDefault="00B45718" w:rsidP="00B45718">
      <w:pPr>
        <w:pStyle w:val="PrrafodeSentencia"/>
        <w:rPr>
          <w:spacing w:val="0"/>
          <w:szCs w:val="20"/>
          <w:lang w:val="es-CO"/>
        </w:rPr>
      </w:pPr>
      <w:r w:rsidRPr="00E85AD0">
        <w:rPr>
          <w:rStyle w:val="FootnoteReference"/>
          <w:spacing w:val="0"/>
          <w:sz w:val="20"/>
          <w:szCs w:val="20"/>
          <w:vertAlign w:val="baseline"/>
          <w:lang w:val="es-CO"/>
        </w:rPr>
        <w:t>E</w:t>
      </w:r>
      <w:r w:rsidR="00F80ED9" w:rsidRPr="00E85AD0">
        <w:rPr>
          <w:spacing w:val="0"/>
          <w:szCs w:val="20"/>
          <w:lang w:val="es-CO"/>
        </w:rPr>
        <w:t xml:space="preserve">l 5 de mayo de 1998 el </w:t>
      </w:r>
      <w:r w:rsidRPr="00E85AD0">
        <w:rPr>
          <w:spacing w:val="0"/>
          <w:lang w:val="es-ES"/>
        </w:rPr>
        <w:t xml:space="preserve">señor Colindres Schonenberg </w:t>
      </w:r>
      <w:r w:rsidR="00F80ED9" w:rsidRPr="00E85AD0">
        <w:rPr>
          <w:spacing w:val="0"/>
          <w:szCs w:val="20"/>
          <w:lang w:val="es-CO"/>
        </w:rPr>
        <w:t xml:space="preserve">presentó </w:t>
      </w:r>
      <w:r w:rsidR="00A54F66">
        <w:rPr>
          <w:spacing w:val="0"/>
          <w:szCs w:val="20"/>
          <w:lang w:val="es-CO"/>
        </w:rPr>
        <w:t>otra acción</w:t>
      </w:r>
      <w:r w:rsidR="00F80ED9" w:rsidRPr="00E85AD0">
        <w:rPr>
          <w:spacing w:val="0"/>
          <w:szCs w:val="20"/>
          <w:lang w:val="es-CO"/>
        </w:rPr>
        <w:t xml:space="preserve"> </w:t>
      </w:r>
      <w:r w:rsidR="00484949" w:rsidRPr="00E85AD0">
        <w:rPr>
          <w:spacing w:val="0"/>
          <w:szCs w:val="20"/>
          <w:lang w:val="es-CO"/>
        </w:rPr>
        <w:t>de amparo en contra del acuerdo</w:t>
      </w:r>
      <w:r w:rsidR="00F80ED9" w:rsidRPr="00E85AD0">
        <w:rPr>
          <w:spacing w:val="0"/>
          <w:szCs w:val="20"/>
          <w:lang w:val="es-CO"/>
        </w:rPr>
        <w:t xml:space="preserve"> que creó la Comisión Especial</w:t>
      </w:r>
      <w:r w:rsidR="00F80ED9" w:rsidRPr="00E85AD0">
        <w:rPr>
          <w:rStyle w:val="FootnoteReference"/>
          <w:spacing w:val="0"/>
          <w:sz w:val="20"/>
          <w:szCs w:val="20"/>
          <w:lang w:val="es-CO"/>
        </w:rPr>
        <w:footnoteReference w:id="68"/>
      </w:r>
      <w:r w:rsidR="00F80ED9" w:rsidRPr="00E85AD0">
        <w:rPr>
          <w:spacing w:val="0"/>
          <w:szCs w:val="20"/>
          <w:lang w:val="es-CO"/>
        </w:rPr>
        <w:t>. El 11 de junio de 1998 la Sala de lo Constitucional</w:t>
      </w:r>
      <w:r w:rsidR="007D6783">
        <w:rPr>
          <w:spacing w:val="0"/>
          <w:szCs w:val="20"/>
          <w:lang w:val="es-CO"/>
        </w:rPr>
        <w:t xml:space="preserve"> l</w:t>
      </w:r>
      <w:r w:rsidR="008B0554">
        <w:rPr>
          <w:spacing w:val="0"/>
          <w:szCs w:val="20"/>
          <w:lang w:val="es-CO"/>
        </w:rPr>
        <w:t>a</w:t>
      </w:r>
      <w:r w:rsidR="00F80ED9" w:rsidRPr="00E85AD0">
        <w:rPr>
          <w:spacing w:val="0"/>
          <w:szCs w:val="20"/>
          <w:lang w:val="es-CO"/>
        </w:rPr>
        <w:t xml:space="preserve"> declaró improcedente indicando que no se verificaba un agravio por la creación de la Comisión Especial que le garantizaría el derecho de audiencia, “lo cual no implica una violación a los derechos del impetrante sino un acatamiento a las exigencias constitucionales”</w:t>
      </w:r>
      <w:r w:rsidR="00F80ED9" w:rsidRPr="00E85AD0">
        <w:rPr>
          <w:rStyle w:val="FootnoteReference"/>
          <w:spacing w:val="0"/>
          <w:sz w:val="20"/>
          <w:szCs w:val="20"/>
          <w:lang w:val="es-CO"/>
        </w:rPr>
        <w:footnoteReference w:id="69"/>
      </w:r>
      <w:r w:rsidR="00F80ED9" w:rsidRPr="00E85AD0">
        <w:rPr>
          <w:spacing w:val="0"/>
          <w:szCs w:val="20"/>
          <w:lang w:val="es-CO"/>
        </w:rPr>
        <w:t>.</w:t>
      </w:r>
    </w:p>
    <w:p w14:paraId="1DC9CF90" w14:textId="77777777" w:rsidR="00A65FF2" w:rsidRPr="00E85AD0" w:rsidRDefault="00A65FF2" w:rsidP="00083001">
      <w:pPr>
        <w:rPr>
          <w:lang w:val="es-ES"/>
        </w:rPr>
      </w:pPr>
    </w:p>
    <w:p w14:paraId="622C9696" w14:textId="23785E93" w:rsidR="00064E51" w:rsidRPr="00E609BC" w:rsidRDefault="00F80ED9" w:rsidP="00E609BC">
      <w:pPr>
        <w:pStyle w:val="PrrafodeSentencia"/>
        <w:rPr>
          <w:spacing w:val="0"/>
          <w:szCs w:val="20"/>
          <w:lang w:val="es-CO"/>
        </w:rPr>
      </w:pPr>
      <w:r w:rsidRPr="00E85AD0">
        <w:rPr>
          <w:spacing w:val="0"/>
          <w:szCs w:val="20"/>
          <w:lang w:val="es-CO"/>
        </w:rPr>
        <w:t>Tras la destitución, e</w:t>
      </w:r>
      <w:r w:rsidR="00A65FF2" w:rsidRPr="00E85AD0">
        <w:rPr>
          <w:spacing w:val="0"/>
          <w:szCs w:val="20"/>
          <w:lang w:val="es-CO"/>
        </w:rPr>
        <w:t xml:space="preserve">l 15 de julio de 1998 el señor Colindres </w:t>
      </w:r>
      <w:r w:rsidR="00484949" w:rsidRPr="00E85AD0">
        <w:rPr>
          <w:spacing w:val="0"/>
          <w:szCs w:val="20"/>
          <w:lang w:val="es-CO"/>
        </w:rPr>
        <w:t xml:space="preserve">Schonenberg </w:t>
      </w:r>
      <w:r w:rsidR="00A65FF2" w:rsidRPr="00E85AD0">
        <w:rPr>
          <w:spacing w:val="0"/>
          <w:szCs w:val="20"/>
          <w:lang w:val="es-CO"/>
        </w:rPr>
        <w:t>presentó un</w:t>
      </w:r>
      <w:r w:rsidR="00A54F66">
        <w:rPr>
          <w:spacing w:val="0"/>
          <w:szCs w:val="20"/>
          <w:lang w:val="es-CO"/>
        </w:rPr>
        <w:t>a</w:t>
      </w:r>
      <w:r w:rsidR="00A65FF2" w:rsidRPr="00E85AD0">
        <w:rPr>
          <w:spacing w:val="0"/>
          <w:szCs w:val="20"/>
          <w:lang w:val="es-CO"/>
        </w:rPr>
        <w:t xml:space="preserve"> nuev</w:t>
      </w:r>
      <w:r w:rsidR="00A54F66">
        <w:rPr>
          <w:spacing w:val="0"/>
          <w:szCs w:val="20"/>
          <w:lang w:val="es-CO"/>
        </w:rPr>
        <w:t>a</w:t>
      </w:r>
      <w:r w:rsidR="00A65FF2" w:rsidRPr="00E85AD0">
        <w:rPr>
          <w:spacing w:val="0"/>
          <w:szCs w:val="20"/>
          <w:lang w:val="es-CO"/>
        </w:rPr>
        <w:t xml:space="preserve"> </w:t>
      </w:r>
      <w:r w:rsidR="00A54F66">
        <w:rPr>
          <w:spacing w:val="0"/>
          <w:szCs w:val="20"/>
          <w:lang w:val="es-CO"/>
        </w:rPr>
        <w:t>acción</w:t>
      </w:r>
      <w:r w:rsidR="00A65FF2" w:rsidRPr="00E85AD0">
        <w:rPr>
          <w:spacing w:val="0"/>
          <w:szCs w:val="20"/>
          <w:lang w:val="es-CO"/>
        </w:rPr>
        <w:t xml:space="preserve"> de amparo ante la Sala de lo Constitucional, </w:t>
      </w:r>
      <w:r w:rsidR="00E609BC" w:rsidRPr="00E85AD0">
        <w:rPr>
          <w:spacing w:val="0"/>
          <w:szCs w:val="20"/>
          <w:lang w:val="es-CO"/>
        </w:rPr>
        <w:t>en contra del decreto mediante el cu</w:t>
      </w:r>
      <w:r w:rsidR="00E609BC">
        <w:rPr>
          <w:spacing w:val="0"/>
          <w:szCs w:val="20"/>
          <w:lang w:val="es-CO"/>
        </w:rPr>
        <w:t xml:space="preserve">al fue destituido, cuestionando </w:t>
      </w:r>
      <w:r w:rsidR="00E609BC" w:rsidRPr="00E85AD0">
        <w:rPr>
          <w:spacing w:val="0"/>
          <w:szCs w:val="20"/>
          <w:lang w:val="es-CO"/>
        </w:rPr>
        <w:t>la ausencia de atribuciones de la Asamblea para cesarlo</w:t>
      </w:r>
      <w:r w:rsidR="00E609BC">
        <w:rPr>
          <w:spacing w:val="0"/>
          <w:szCs w:val="20"/>
          <w:lang w:val="es-CO"/>
        </w:rPr>
        <w:t>, el</w:t>
      </w:r>
      <w:r w:rsidR="00E609BC" w:rsidRPr="00E85AD0">
        <w:rPr>
          <w:spacing w:val="0"/>
          <w:szCs w:val="20"/>
          <w:lang w:val="es-CO"/>
        </w:rPr>
        <w:t xml:space="preserve"> </w:t>
      </w:r>
      <w:r w:rsidR="00E609BC">
        <w:rPr>
          <w:spacing w:val="0"/>
          <w:szCs w:val="20"/>
          <w:lang w:val="es-CO"/>
        </w:rPr>
        <w:t>haber sido enjuiciado dos veces por la misma causa</w:t>
      </w:r>
      <w:r w:rsidR="00E609BC" w:rsidRPr="00E85AD0">
        <w:rPr>
          <w:spacing w:val="0"/>
          <w:szCs w:val="20"/>
          <w:lang w:val="es-CO"/>
        </w:rPr>
        <w:t xml:space="preserve"> y</w:t>
      </w:r>
      <w:r w:rsidR="00E609BC">
        <w:rPr>
          <w:spacing w:val="0"/>
          <w:szCs w:val="20"/>
          <w:lang w:val="es-CO"/>
        </w:rPr>
        <w:t xml:space="preserve"> otras violaciones al debido proceso</w:t>
      </w:r>
      <w:r w:rsidR="00E609BC" w:rsidRPr="00E85AD0">
        <w:rPr>
          <w:rStyle w:val="FootnoteReference"/>
          <w:spacing w:val="0"/>
          <w:sz w:val="20"/>
          <w:szCs w:val="20"/>
          <w:lang w:val="es-CO"/>
        </w:rPr>
        <w:footnoteReference w:id="70"/>
      </w:r>
      <w:r w:rsidR="00E609BC" w:rsidRPr="00E85AD0">
        <w:rPr>
          <w:spacing w:val="0"/>
          <w:szCs w:val="20"/>
          <w:lang w:val="es-CO"/>
        </w:rPr>
        <w:t>.</w:t>
      </w:r>
    </w:p>
    <w:p w14:paraId="6399D913" w14:textId="77777777" w:rsidR="00064E51" w:rsidRPr="00E85AD0" w:rsidRDefault="00A65FF2" w:rsidP="00064E51">
      <w:pPr>
        <w:pStyle w:val="PrrafodeSentencia"/>
        <w:numPr>
          <w:ilvl w:val="0"/>
          <w:numId w:val="0"/>
        </w:numPr>
        <w:rPr>
          <w:spacing w:val="0"/>
          <w:szCs w:val="20"/>
          <w:lang w:val="es-CO"/>
        </w:rPr>
      </w:pPr>
      <w:r w:rsidRPr="00E85AD0">
        <w:rPr>
          <w:spacing w:val="0"/>
          <w:szCs w:val="20"/>
          <w:lang w:val="es-CO"/>
        </w:rPr>
        <w:t xml:space="preserve"> </w:t>
      </w:r>
    </w:p>
    <w:p w14:paraId="20298CEA" w14:textId="256052FE" w:rsidR="00CB53D3" w:rsidRPr="00E85AD0" w:rsidRDefault="00BF50EA" w:rsidP="009D216C">
      <w:pPr>
        <w:pStyle w:val="PrrafodeSentencia"/>
        <w:rPr>
          <w:spacing w:val="0"/>
          <w:szCs w:val="20"/>
          <w:lang w:val="es-CO"/>
        </w:rPr>
      </w:pPr>
      <w:r w:rsidRPr="00E85AD0">
        <w:rPr>
          <w:spacing w:val="0"/>
          <w:szCs w:val="20"/>
          <w:lang w:val="es-CO"/>
        </w:rPr>
        <w:t>El 11 de enero de 1999 el fiscal de Corte</w:t>
      </w:r>
      <w:r w:rsidR="00A65FF2" w:rsidRPr="00E85AD0">
        <w:rPr>
          <w:spacing w:val="0"/>
          <w:szCs w:val="20"/>
          <w:lang w:val="es-CO"/>
        </w:rPr>
        <w:t xml:space="preserve"> presentó un escrito en el que señaló que la Comisión Especial </w:t>
      </w:r>
      <w:r w:rsidRPr="00E85AD0">
        <w:rPr>
          <w:spacing w:val="0"/>
          <w:szCs w:val="20"/>
          <w:lang w:val="es-CO"/>
        </w:rPr>
        <w:t xml:space="preserve">no </w:t>
      </w:r>
      <w:r w:rsidR="007B7B15">
        <w:rPr>
          <w:spacing w:val="0"/>
          <w:szCs w:val="20"/>
          <w:lang w:val="es-CO"/>
        </w:rPr>
        <w:t xml:space="preserve">es competente </w:t>
      </w:r>
      <w:r w:rsidRPr="00E85AD0">
        <w:rPr>
          <w:spacing w:val="0"/>
          <w:szCs w:val="20"/>
          <w:lang w:val="es-CO"/>
        </w:rPr>
        <w:t>para garantizar el derecho de audiencia</w:t>
      </w:r>
      <w:r w:rsidR="00A65FF2" w:rsidRPr="00E85AD0">
        <w:rPr>
          <w:spacing w:val="0"/>
          <w:szCs w:val="20"/>
          <w:lang w:val="es-CO"/>
        </w:rPr>
        <w:t xml:space="preserve">. </w:t>
      </w:r>
      <w:r w:rsidRPr="00E85AD0">
        <w:rPr>
          <w:spacing w:val="0"/>
          <w:szCs w:val="20"/>
          <w:lang w:val="es-UY"/>
        </w:rPr>
        <w:t xml:space="preserve">Asimismo </w:t>
      </w:r>
      <w:r w:rsidRPr="00E85AD0">
        <w:rPr>
          <w:spacing w:val="0"/>
          <w:szCs w:val="20"/>
          <w:lang w:val="es-CO"/>
        </w:rPr>
        <w:t>indicó</w:t>
      </w:r>
      <w:r w:rsidR="00A65FF2" w:rsidRPr="00E85AD0">
        <w:rPr>
          <w:spacing w:val="0"/>
          <w:szCs w:val="20"/>
          <w:lang w:val="es-CO"/>
        </w:rPr>
        <w:t xml:space="preserve"> que </w:t>
      </w:r>
      <w:r w:rsidRPr="00E85AD0">
        <w:rPr>
          <w:spacing w:val="0"/>
          <w:szCs w:val="20"/>
          <w:lang w:val="es-CO"/>
        </w:rPr>
        <w:t xml:space="preserve">de acuerdo a </w:t>
      </w:r>
      <w:r w:rsidR="00A65FF2" w:rsidRPr="00E85AD0">
        <w:rPr>
          <w:spacing w:val="0"/>
          <w:szCs w:val="20"/>
          <w:lang w:val="es-CO"/>
        </w:rPr>
        <w:t xml:space="preserve">la Constitución </w:t>
      </w:r>
      <w:r w:rsidRPr="00E85AD0">
        <w:rPr>
          <w:spacing w:val="0"/>
          <w:szCs w:val="20"/>
          <w:lang w:val="es-CO"/>
        </w:rPr>
        <w:t>“</w:t>
      </w:r>
      <w:r w:rsidR="00A65FF2" w:rsidRPr="00E85AD0">
        <w:rPr>
          <w:spacing w:val="0"/>
          <w:szCs w:val="20"/>
          <w:lang w:val="es-CO"/>
        </w:rPr>
        <w:t>los funcionarios de gobierno no t</w:t>
      </w:r>
      <w:r w:rsidRPr="00E85AD0">
        <w:rPr>
          <w:spacing w:val="0"/>
          <w:szCs w:val="20"/>
          <w:lang w:val="es-CO"/>
        </w:rPr>
        <w:t>ienen</w:t>
      </w:r>
      <w:r w:rsidR="00A65FF2" w:rsidRPr="00E85AD0">
        <w:rPr>
          <w:spacing w:val="0"/>
          <w:szCs w:val="20"/>
          <w:lang w:val="es-CO"/>
        </w:rPr>
        <w:t xml:space="preserve"> más facultades q</w:t>
      </w:r>
      <w:r w:rsidR="00EB491A">
        <w:rPr>
          <w:spacing w:val="0"/>
          <w:szCs w:val="20"/>
          <w:lang w:val="es-CO"/>
        </w:rPr>
        <w:t>ue las que expresamente les da</w:t>
      </w:r>
      <w:r w:rsidR="00A65FF2" w:rsidRPr="00E85AD0">
        <w:rPr>
          <w:spacing w:val="0"/>
          <w:szCs w:val="20"/>
          <w:lang w:val="es-CO"/>
        </w:rPr>
        <w:t xml:space="preserve"> la ley y no las que se at</w:t>
      </w:r>
      <w:r w:rsidRPr="00E85AD0">
        <w:rPr>
          <w:spacing w:val="0"/>
          <w:szCs w:val="20"/>
          <w:lang w:val="es-CO"/>
        </w:rPr>
        <w:t>ribuye</w:t>
      </w:r>
      <w:r w:rsidR="00A65FF2" w:rsidRPr="00E85AD0">
        <w:rPr>
          <w:spacing w:val="0"/>
          <w:szCs w:val="20"/>
          <w:lang w:val="es-CO"/>
        </w:rPr>
        <w:t>n arbitrariamente</w:t>
      </w:r>
      <w:r w:rsidRPr="00E85AD0">
        <w:rPr>
          <w:spacing w:val="0"/>
          <w:szCs w:val="20"/>
          <w:lang w:val="es-CO"/>
        </w:rPr>
        <w:t>”</w:t>
      </w:r>
      <w:r w:rsidR="00A65FF2" w:rsidRPr="00E85AD0">
        <w:rPr>
          <w:rStyle w:val="FootnoteReference"/>
          <w:spacing w:val="0"/>
          <w:sz w:val="20"/>
          <w:szCs w:val="20"/>
          <w:lang w:val="es-CO"/>
        </w:rPr>
        <w:footnoteReference w:id="71"/>
      </w:r>
      <w:r w:rsidR="00A65FF2" w:rsidRPr="00E85AD0">
        <w:rPr>
          <w:spacing w:val="0"/>
          <w:szCs w:val="20"/>
          <w:lang w:val="es-CO"/>
        </w:rPr>
        <w:t>.</w:t>
      </w:r>
    </w:p>
    <w:p w14:paraId="750FACC5" w14:textId="77777777" w:rsidR="00CB53D3" w:rsidRPr="00E85AD0" w:rsidRDefault="00CB53D3" w:rsidP="00CB53D3">
      <w:pPr>
        <w:jc w:val="both"/>
        <w:rPr>
          <w:szCs w:val="20"/>
          <w:lang w:val="es-CO"/>
        </w:rPr>
      </w:pPr>
    </w:p>
    <w:p w14:paraId="7563F182" w14:textId="700E9BA7" w:rsidR="00427181" w:rsidRPr="00E85AD0" w:rsidRDefault="00A65FF2" w:rsidP="009D216C">
      <w:pPr>
        <w:pStyle w:val="PrrafodeSentencia"/>
        <w:rPr>
          <w:spacing w:val="0"/>
          <w:szCs w:val="20"/>
          <w:lang w:val="es-CO"/>
        </w:rPr>
      </w:pPr>
      <w:r w:rsidRPr="00E85AD0">
        <w:rPr>
          <w:spacing w:val="0"/>
          <w:szCs w:val="20"/>
          <w:lang w:val="es-CO"/>
        </w:rPr>
        <w:t>El 4 de mayo de 1999 la mayoría de la Sala</w:t>
      </w:r>
      <w:r w:rsidR="00921FF6" w:rsidRPr="00E85AD0">
        <w:rPr>
          <w:spacing w:val="0"/>
          <w:szCs w:val="20"/>
          <w:lang w:val="es-CO"/>
        </w:rPr>
        <w:t xml:space="preserve"> de lo Constitucional</w:t>
      </w:r>
      <w:r w:rsidRPr="00E85AD0">
        <w:rPr>
          <w:spacing w:val="0"/>
          <w:szCs w:val="20"/>
          <w:lang w:val="es-CO"/>
        </w:rPr>
        <w:t xml:space="preserve"> declar</w:t>
      </w:r>
      <w:r w:rsidR="00921FF6" w:rsidRPr="00E85AD0">
        <w:rPr>
          <w:spacing w:val="0"/>
          <w:szCs w:val="20"/>
          <w:lang w:val="es-CO"/>
        </w:rPr>
        <w:t>ó</w:t>
      </w:r>
      <w:r w:rsidRPr="00E85AD0">
        <w:rPr>
          <w:spacing w:val="0"/>
          <w:szCs w:val="20"/>
          <w:lang w:val="es-CO"/>
        </w:rPr>
        <w:t xml:space="preserve"> “no ha lugar” </w:t>
      </w:r>
      <w:r w:rsidR="00712D6F" w:rsidRPr="00E85AD0">
        <w:rPr>
          <w:spacing w:val="0"/>
          <w:szCs w:val="20"/>
          <w:lang w:val="es-CO"/>
        </w:rPr>
        <w:t>e</w:t>
      </w:r>
      <w:r w:rsidRPr="00E85AD0">
        <w:rPr>
          <w:spacing w:val="0"/>
          <w:szCs w:val="20"/>
          <w:lang w:val="es-CO"/>
        </w:rPr>
        <w:t>l recurso</w:t>
      </w:r>
      <w:r w:rsidR="00712D6F" w:rsidRPr="00E85AD0">
        <w:rPr>
          <w:rStyle w:val="FootnoteReference"/>
          <w:spacing w:val="0"/>
          <w:sz w:val="20"/>
          <w:szCs w:val="20"/>
          <w:lang w:val="es-CO"/>
        </w:rPr>
        <w:footnoteReference w:id="72"/>
      </w:r>
      <w:r w:rsidRPr="00E85AD0">
        <w:rPr>
          <w:spacing w:val="0"/>
          <w:szCs w:val="20"/>
          <w:lang w:val="es-CO"/>
        </w:rPr>
        <w:t>.</w:t>
      </w:r>
      <w:r w:rsidR="00427181" w:rsidRPr="00E85AD0">
        <w:rPr>
          <w:spacing w:val="0"/>
          <w:szCs w:val="20"/>
          <w:lang w:val="es-CO"/>
        </w:rPr>
        <w:t xml:space="preserve"> La Sala </w:t>
      </w:r>
      <w:r w:rsidR="00601847">
        <w:rPr>
          <w:spacing w:val="0"/>
          <w:szCs w:val="20"/>
          <w:lang w:val="es-CO"/>
        </w:rPr>
        <w:t xml:space="preserve">de lo Constitucional </w:t>
      </w:r>
      <w:r w:rsidR="001C70F8" w:rsidRPr="00E85AD0">
        <w:rPr>
          <w:spacing w:val="0"/>
          <w:szCs w:val="20"/>
          <w:lang w:val="es-CO"/>
        </w:rPr>
        <w:t>analizó si la Asamblea Legislativa t</w:t>
      </w:r>
      <w:r w:rsidR="00EB491A">
        <w:rPr>
          <w:spacing w:val="0"/>
          <w:szCs w:val="20"/>
          <w:lang w:val="es-CO"/>
        </w:rPr>
        <w:t>enía</w:t>
      </w:r>
      <w:r w:rsidR="001C70F8" w:rsidRPr="00E85AD0">
        <w:rPr>
          <w:spacing w:val="0"/>
          <w:szCs w:val="20"/>
          <w:lang w:val="es-CO"/>
        </w:rPr>
        <w:t xml:space="preserve"> facultades para destituir a un Magistrado del Tribunal Supremo Electoral y si al señor Colindres </w:t>
      </w:r>
      <w:r w:rsidR="00EB491A">
        <w:rPr>
          <w:spacing w:val="0"/>
          <w:szCs w:val="20"/>
          <w:lang w:val="es-CO"/>
        </w:rPr>
        <w:t xml:space="preserve">Schonenberg </w:t>
      </w:r>
      <w:r w:rsidR="001C70F8" w:rsidRPr="00E85AD0">
        <w:rPr>
          <w:spacing w:val="0"/>
          <w:szCs w:val="20"/>
          <w:lang w:val="es-CO"/>
        </w:rPr>
        <w:t>se le ha</w:t>
      </w:r>
      <w:r w:rsidR="00EB491A">
        <w:rPr>
          <w:spacing w:val="0"/>
          <w:szCs w:val="20"/>
          <w:lang w:val="es-CO"/>
        </w:rPr>
        <w:t>bía</w:t>
      </w:r>
      <w:r w:rsidR="001C70F8" w:rsidRPr="00E85AD0">
        <w:rPr>
          <w:spacing w:val="0"/>
          <w:szCs w:val="20"/>
          <w:lang w:val="es-CO"/>
        </w:rPr>
        <w:t xml:space="preserve"> enjuiciado dos veces por la misma causa</w:t>
      </w:r>
      <w:r w:rsidR="00D56E9A" w:rsidRPr="00E85AD0">
        <w:rPr>
          <w:rStyle w:val="FootnoteReference"/>
          <w:spacing w:val="0"/>
          <w:sz w:val="20"/>
          <w:szCs w:val="20"/>
          <w:lang w:val="es-CO"/>
        </w:rPr>
        <w:footnoteReference w:id="73"/>
      </w:r>
      <w:r w:rsidR="001C70F8" w:rsidRPr="00E85AD0">
        <w:rPr>
          <w:spacing w:val="0"/>
          <w:szCs w:val="20"/>
          <w:lang w:val="es-CO"/>
        </w:rPr>
        <w:t xml:space="preserve">. La Sala </w:t>
      </w:r>
      <w:r w:rsidR="00427181" w:rsidRPr="00E85AD0">
        <w:rPr>
          <w:spacing w:val="0"/>
          <w:szCs w:val="20"/>
          <w:lang w:val="es-CO"/>
        </w:rPr>
        <w:t xml:space="preserve">señaló que el período del cargo de magistrado </w:t>
      </w:r>
    </w:p>
    <w:p w14:paraId="1634F074" w14:textId="77777777" w:rsidR="00427181" w:rsidRPr="00E85AD0" w:rsidRDefault="00427181" w:rsidP="00427181">
      <w:pPr>
        <w:pStyle w:val="PrrafodeSentencia"/>
        <w:numPr>
          <w:ilvl w:val="0"/>
          <w:numId w:val="0"/>
        </w:numPr>
        <w:rPr>
          <w:spacing w:val="0"/>
          <w:sz w:val="18"/>
          <w:szCs w:val="18"/>
          <w:lang w:val="es-CO"/>
        </w:rPr>
      </w:pPr>
    </w:p>
    <w:p w14:paraId="07F95F19" w14:textId="3913243E" w:rsidR="00712D6F" w:rsidRPr="00E85AD0" w:rsidRDefault="00427181" w:rsidP="00427181">
      <w:pPr>
        <w:pStyle w:val="PrrafodeSentencia"/>
        <w:numPr>
          <w:ilvl w:val="0"/>
          <w:numId w:val="0"/>
        </w:numPr>
        <w:ind w:left="562" w:right="708"/>
        <w:rPr>
          <w:spacing w:val="0"/>
          <w:sz w:val="18"/>
          <w:szCs w:val="18"/>
          <w:lang w:val="es-CO"/>
        </w:rPr>
      </w:pPr>
      <w:r w:rsidRPr="00E85AD0">
        <w:rPr>
          <w:spacing w:val="0"/>
          <w:sz w:val="18"/>
          <w:szCs w:val="18"/>
          <w:lang w:val="es-CO"/>
        </w:rPr>
        <w:t xml:space="preserve">se relaciona indiscutiblemente con el derecho a la estabilidad en el cargo […] y, al respecto, debe aclararse que el mismo de ninguna manera supone </w:t>
      </w:r>
      <w:r w:rsidR="00EB491A">
        <w:rPr>
          <w:spacing w:val="0"/>
          <w:sz w:val="18"/>
          <w:szCs w:val="18"/>
          <w:lang w:val="es-CO"/>
        </w:rPr>
        <w:t>[</w:t>
      </w:r>
      <w:r w:rsidRPr="00E85AD0">
        <w:rPr>
          <w:spacing w:val="0"/>
          <w:sz w:val="18"/>
          <w:szCs w:val="18"/>
          <w:lang w:val="es-CO"/>
        </w:rPr>
        <w:t>la</w:t>
      </w:r>
      <w:r w:rsidR="00EB491A">
        <w:rPr>
          <w:spacing w:val="0"/>
          <w:sz w:val="18"/>
          <w:szCs w:val="18"/>
          <w:lang w:val="es-CO"/>
        </w:rPr>
        <w:t>]</w:t>
      </w:r>
      <w:r w:rsidRPr="00E85AD0">
        <w:rPr>
          <w:spacing w:val="0"/>
          <w:sz w:val="18"/>
          <w:szCs w:val="18"/>
          <w:lang w:val="es-CO"/>
        </w:rPr>
        <w:t xml:space="preserve"> inamovilidad dentro del plazo, pues tal derecho surte plenamente sus efectos frente a remociones arbitrarias, caprichosas o realizadas con transgresión de la Constitución o las leyes, p</w:t>
      </w:r>
      <w:r w:rsidR="006C405F">
        <w:rPr>
          <w:spacing w:val="0"/>
          <w:sz w:val="18"/>
          <w:szCs w:val="18"/>
          <w:lang w:val="es-CO"/>
        </w:rPr>
        <w:t>e</w:t>
      </w:r>
      <w:r w:rsidRPr="00E85AD0">
        <w:rPr>
          <w:spacing w:val="0"/>
          <w:sz w:val="18"/>
          <w:szCs w:val="18"/>
          <w:lang w:val="es-CO"/>
        </w:rPr>
        <w:t>r</w:t>
      </w:r>
      <w:r w:rsidR="006C405F">
        <w:rPr>
          <w:spacing w:val="0"/>
          <w:sz w:val="18"/>
          <w:szCs w:val="18"/>
          <w:lang w:val="es-CO"/>
        </w:rPr>
        <w:t>o</w:t>
      </w:r>
      <w:r w:rsidRPr="00E85AD0">
        <w:rPr>
          <w:spacing w:val="0"/>
          <w:sz w:val="18"/>
          <w:szCs w:val="18"/>
          <w:lang w:val="es-CO"/>
        </w:rPr>
        <w:t xml:space="preserve"> ello no impide que pueda separarse a un servidor público de su cargo […] cuando el </w:t>
      </w:r>
      <w:r w:rsidRPr="00E85AD0">
        <w:rPr>
          <w:spacing w:val="0"/>
          <w:sz w:val="18"/>
          <w:szCs w:val="18"/>
          <w:lang w:val="es-CO"/>
        </w:rPr>
        <w:lastRenderedPageBreak/>
        <w:t xml:space="preserve">mismo incumple con sus deberes o cuando incurre en una causal de destitución, debiendo la misma efectuarse con estricta observancia de la Constitución y </w:t>
      </w:r>
      <w:r w:rsidR="006C405F">
        <w:rPr>
          <w:spacing w:val="0"/>
          <w:sz w:val="18"/>
          <w:szCs w:val="18"/>
          <w:lang w:val="es-CO"/>
        </w:rPr>
        <w:t>d</w:t>
      </w:r>
      <w:r w:rsidRPr="00E85AD0">
        <w:rPr>
          <w:spacing w:val="0"/>
          <w:sz w:val="18"/>
          <w:szCs w:val="18"/>
          <w:lang w:val="es-CO"/>
        </w:rPr>
        <w:t>el principio de legalidad</w:t>
      </w:r>
      <w:r w:rsidRPr="00E85AD0">
        <w:rPr>
          <w:rStyle w:val="FootnoteReference"/>
          <w:spacing w:val="0"/>
          <w:sz w:val="18"/>
          <w:szCs w:val="18"/>
          <w:lang w:val="es-CO"/>
        </w:rPr>
        <w:footnoteReference w:id="74"/>
      </w:r>
      <w:r w:rsidRPr="00E85AD0">
        <w:rPr>
          <w:spacing w:val="0"/>
          <w:sz w:val="18"/>
          <w:szCs w:val="18"/>
          <w:lang w:val="es-CO"/>
        </w:rPr>
        <w:t>.</w:t>
      </w:r>
    </w:p>
    <w:p w14:paraId="04C1E41A" w14:textId="77777777" w:rsidR="00712D6F" w:rsidRPr="00E85AD0" w:rsidRDefault="00712D6F" w:rsidP="00712D6F">
      <w:pPr>
        <w:pStyle w:val="PrrafodeSentencia"/>
        <w:numPr>
          <w:ilvl w:val="0"/>
          <w:numId w:val="0"/>
        </w:numPr>
        <w:rPr>
          <w:spacing w:val="0"/>
          <w:szCs w:val="20"/>
          <w:lang w:val="es-CO"/>
        </w:rPr>
      </w:pPr>
    </w:p>
    <w:p w14:paraId="1D587EC2" w14:textId="72E27728" w:rsidR="006227C4" w:rsidRPr="00E85AD0" w:rsidRDefault="00A65FF2" w:rsidP="009D216C">
      <w:pPr>
        <w:pStyle w:val="PrrafodeSentencia"/>
        <w:rPr>
          <w:spacing w:val="0"/>
          <w:szCs w:val="20"/>
          <w:lang w:val="es-CO"/>
        </w:rPr>
      </w:pPr>
      <w:r w:rsidRPr="00E85AD0">
        <w:rPr>
          <w:spacing w:val="0"/>
          <w:szCs w:val="20"/>
          <w:lang w:val="es-CO"/>
        </w:rPr>
        <w:t xml:space="preserve"> La Sala</w:t>
      </w:r>
      <w:r w:rsidR="00601847">
        <w:rPr>
          <w:spacing w:val="0"/>
          <w:szCs w:val="20"/>
          <w:lang w:val="es-CO"/>
        </w:rPr>
        <w:t xml:space="preserve"> de lo Constitucional</w:t>
      </w:r>
      <w:r w:rsidRPr="00E85AD0">
        <w:rPr>
          <w:spacing w:val="0"/>
          <w:szCs w:val="20"/>
          <w:lang w:val="es-CO"/>
        </w:rPr>
        <w:t xml:space="preserve"> reiteró que</w:t>
      </w:r>
      <w:r w:rsidR="00427181" w:rsidRPr="00E85AD0">
        <w:rPr>
          <w:spacing w:val="0"/>
          <w:szCs w:val="20"/>
          <w:lang w:val="es-CO"/>
        </w:rPr>
        <w:t xml:space="preserve"> “no hay motivos expresos de destitución o remoción antes de la finalización del período o plazo para el cual fueron electos los Magistrados del [TSE]”</w:t>
      </w:r>
      <w:r w:rsidR="00427181" w:rsidRPr="00E85AD0">
        <w:rPr>
          <w:rStyle w:val="FootnoteReference"/>
          <w:spacing w:val="0"/>
          <w:sz w:val="20"/>
          <w:szCs w:val="20"/>
          <w:lang w:val="es-CO"/>
        </w:rPr>
        <w:footnoteReference w:id="75"/>
      </w:r>
      <w:r w:rsidR="00427181" w:rsidRPr="00E85AD0">
        <w:rPr>
          <w:spacing w:val="0"/>
          <w:szCs w:val="20"/>
          <w:lang w:val="es-CO"/>
        </w:rPr>
        <w:t xml:space="preserve">. Sin embargo </w:t>
      </w:r>
      <w:r w:rsidR="006227C4" w:rsidRPr="00E85AD0">
        <w:rPr>
          <w:spacing w:val="0"/>
          <w:szCs w:val="20"/>
          <w:lang w:val="es-CO"/>
        </w:rPr>
        <w:t>señaló que</w:t>
      </w:r>
      <w:r w:rsidR="006C405F">
        <w:rPr>
          <w:spacing w:val="0"/>
          <w:szCs w:val="20"/>
          <w:lang w:val="es-CO"/>
        </w:rPr>
        <w:t>:</w:t>
      </w:r>
    </w:p>
    <w:p w14:paraId="67038CA0" w14:textId="77777777" w:rsidR="006227C4" w:rsidRPr="00E85AD0" w:rsidRDefault="006227C4" w:rsidP="006227C4">
      <w:pPr>
        <w:pStyle w:val="PrrafodeSentencia"/>
        <w:numPr>
          <w:ilvl w:val="0"/>
          <w:numId w:val="0"/>
        </w:numPr>
        <w:rPr>
          <w:spacing w:val="0"/>
          <w:szCs w:val="20"/>
          <w:lang w:val="es-CO"/>
        </w:rPr>
      </w:pPr>
    </w:p>
    <w:p w14:paraId="0E36C027" w14:textId="28E0BF66" w:rsidR="006227C4" w:rsidRPr="00E85AD0" w:rsidRDefault="006227C4" w:rsidP="006227C4">
      <w:pPr>
        <w:pStyle w:val="PrrafodeSentencia"/>
        <w:numPr>
          <w:ilvl w:val="0"/>
          <w:numId w:val="0"/>
        </w:numPr>
        <w:ind w:left="562" w:right="708"/>
        <w:rPr>
          <w:spacing w:val="0"/>
          <w:sz w:val="18"/>
          <w:szCs w:val="18"/>
          <w:lang w:val="es-CO"/>
        </w:rPr>
      </w:pPr>
      <w:r w:rsidRPr="00E85AD0">
        <w:rPr>
          <w:spacing w:val="0"/>
          <w:sz w:val="18"/>
          <w:szCs w:val="18"/>
          <w:lang w:val="es-CO"/>
        </w:rPr>
        <w:t>[L]</w:t>
      </w:r>
      <w:r w:rsidR="00427181" w:rsidRPr="00E85AD0">
        <w:rPr>
          <w:spacing w:val="0"/>
          <w:sz w:val="18"/>
          <w:szCs w:val="18"/>
          <w:lang w:val="es-CO"/>
        </w:rPr>
        <w:t>o</w:t>
      </w:r>
      <w:r w:rsidRPr="00E85AD0">
        <w:rPr>
          <w:spacing w:val="0"/>
          <w:sz w:val="18"/>
          <w:szCs w:val="18"/>
          <w:lang w:val="es-CO"/>
        </w:rPr>
        <w:t>s</w:t>
      </w:r>
      <w:r w:rsidR="00427181" w:rsidRPr="00E85AD0">
        <w:rPr>
          <w:spacing w:val="0"/>
          <w:sz w:val="18"/>
          <w:szCs w:val="18"/>
          <w:lang w:val="es-CO"/>
        </w:rPr>
        <w:t xml:space="preserve"> requisitos que la Constitución y la ley contemplan para ocupar el cargo de Magistrado del [TSE] deben cumplirse, no s</w:t>
      </w:r>
      <w:r w:rsidR="00A36D2B">
        <w:rPr>
          <w:spacing w:val="0"/>
          <w:sz w:val="18"/>
          <w:szCs w:val="18"/>
          <w:lang w:val="es-CO"/>
        </w:rPr>
        <w:t>[o]</w:t>
      </w:r>
      <w:r w:rsidR="00427181" w:rsidRPr="00E85AD0">
        <w:rPr>
          <w:spacing w:val="0"/>
          <w:sz w:val="18"/>
          <w:szCs w:val="18"/>
          <w:lang w:val="es-CO"/>
        </w:rPr>
        <w:t>lo al momento de la elección por la Asamblea Legislativa, sino también han de mantenerse durante la vigencia del plazo para el cual fueron electos</w:t>
      </w:r>
      <w:r w:rsidRPr="00E85AD0">
        <w:rPr>
          <w:spacing w:val="0"/>
          <w:sz w:val="18"/>
          <w:szCs w:val="18"/>
          <w:lang w:val="es-CO"/>
        </w:rPr>
        <w:t>. Y es que precisamente para garantizar la actuación independiente de la entidad electoral, es indispensable que el Magistrado se mantenga en una posición tal que se reduzcan o se vuelvan fútiles las presiones y/o influencias; posición que sólo se logra con el mantenimiento de los requisitos de nombramiento.</w:t>
      </w:r>
    </w:p>
    <w:p w14:paraId="65764C77" w14:textId="3F65687C" w:rsidR="00427181" w:rsidRPr="00E85AD0" w:rsidRDefault="006227C4" w:rsidP="006227C4">
      <w:pPr>
        <w:pStyle w:val="PrrafodeSentencia"/>
        <w:numPr>
          <w:ilvl w:val="0"/>
          <w:numId w:val="0"/>
        </w:numPr>
        <w:ind w:left="562" w:right="708"/>
        <w:rPr>
          <w:spacing w:val="0"/>
          <w:sz w:val="18"/>
          <w:szCs w:val="18"/>
          <w:lang w:val="es-CO"/>
        </w:rPr>
      </w:pPr>
      <w:r w:rsidRPr="00E85AD0">
        <w:rPr>
          <w:spacing w:val="0"/>
          <w:sz w:val="18"/>
          <w:szCs w:val="18"/>
          <w:lang w:val="es-CO"/>
        </w:rPr>
        <w:t xml:space="preserve">[N]o se trata aquí que el Magistrado, una vez electo, deba conservar la confianza política del partido que le propuso o </w:t>
      </w:r>
      <w:r w:rsidR="006C405F">
        <w:rPr>
          <w:spacing w:val="0"/>
          <w:sz w:val="18"/>
          <w:szCs w:val="18"/>
          <w:lang w:val="es-CO"/>
        </w:rPr>
        <w:t xml:space="preserve">de </w:t>
      </w:r>
      <w:r w:rsidRPr="00E85AD0">
        <w:rPr>
          <w:spacing w:val="0"/>
          <w:sz w:val="18"/>
          <w:szCs w:val="18"/>
          <w:lang w:val="es-CO"/>
        </w:rPr>
        <w:t xml:space="preserve">los grupos parlamentarios que intervinieron en su elección, sino que debe posicionarse frente a los mismos de modo independiente y, por ello, ha de cumplir con los requisitos y no ha de incurrir en las inhabilidades </w:t>
      </w:r>
      <w:r w:rsidR="006C405F">
        <w:rPr>
          <w:spacing w:val="0"/>
          <w:sz w:val="18"/>
          <w:szCs w:val="18"/>
          <w:lang w:val="es-CO"/>
        </w:rPr>
        <w:t>para el</w:t>
      </w:r>
      <w:r w:rsidRPr="00E85AD0">
        <w:rPr>
          <w:spacing w:val="0"/>
          <w:sz w:val="18"/>
          <w:szCs w:val="18"/>
          <w:lang w:val="es-CO"/>
        </w:rPr>
        <w:t xml:space="preserve"> cargo</w:t>
      </w:r>
      <w:r w:rsidR="00427181" w:rsidRPr="00E85AD0">
        <w:rPr>
          <w:rStyle w:val="FootnoteReference"/>
          <w:spacing w:val="0"/>
          <w:sz w:val="18"/>
          <w:szCs w:val="18"/>
          <w:lang w:val="es-CO"/>
        </w:rPr>
        <w:footnoteReference w:id="76"/>
      </w:r>
      <w:r w:rsidR="00427181" w:rsidRPr="00E85AD0">
        <w:rPr>
          <w:spacing w:val="0"/>
          <w:sz w:val="18"/>
          <w:szCs w:val="18"/>
          <w:lang w:val="es-CO"/>
        </w:rPr>
        <w:t>.</w:t>
      </w:r>
    </w:p>
    <w:p w14:paraId="06606932" w14:textId="77777777" w:rsidR="00427181" w:rsidRPr="00E85AD0" w:rsidRDefault="00427181" w:rsidP="006227C4">
      <w:pPr>
        <w:pStyle w:val="PrrafodeSentencia"/>
        <w:numPr>
          <w:ilvl w:val="0"/>
          <w:numId w:val="0"/>
        </w:numPr>
        <w:rPr>
          <w:spacing w:val="0"/>
          <w:szCs w:val="20"/>
          <w:lang w:val="es-CO"/>
        </w:rPr>
      </w:pPr>
    </w:p>
    <w:p w14:paraId="3BB04F39" w14:textId="39EB7039" w:rsidR="00CB53D3" w:rsidRPr="00E85AD0" w:rsidRDefault="00601847" w:rsidP="009D216C">
      <w:pPr>
        <w:pStyle w:val="PrrafodeSentencia"/>
        <w:rPr>
          <w:spacing w:val="0"/>
          <w:szCs w:val="20"/>
          <w:lang w:val="es-CO"/>
        </w:rPr>
      </w:pPr>
      <w:r>
        <w:rPr>
          <w:spacing w:val="0"/>
          <w:szCs w:val="20"/>
          <w:lang w:val="es-CO"/>
        </w:rPr>
        <w:t>Además indicó</w:t>
      </w:r>
      <w:r w:rsidR="006227C4" w:rsidRPr="00E85AD0">
        <w:rPr>
          <w:spacing w:val="0"/>
          <w:szCs w:val="20"/>
          <w:lang w:val="es-CO"/>
        </w:rPr>
        <w:t xml:space="preserve"> que “puede perfectamente interpretars</w:t>
      </w:r>
      <w:r w:rsidR="00AF075C" w:rsidRPr="00E85AD0">
        <w:rPr>
          <w:spacing w:val="0"/>
          <w:szCs w:val="20"/>
          <w:lang w:val="es-CO"/>
        </w:rPr>
        <w:t xml:space="preserve">e” que </w:t>
      </w:r>
      <w:r w:rsidR="007B7B15" w:rsidRPr="0094693B">
        <w:t xml:space="preserve">al ser la Asamblea Legislativa, la autoridad competente para nombrar a los magistrados del TSE </w:t>
      </w:r>
      <w:r w:rsidR="007B7B15">
        <w:t xml:space="preserve"> </w:t>
      </w:r>
      <w:r w:rsidR="00CD3FA6" w:rsidRPr="00E85AD0">
        <w:rPr>
          <w:spacing w:val="0"/>
          <w:szCs w:val="20"/>
          <w:lang w:val="es-CO"/>
        </w:rPr>
        <w:t>“tiene también la competencia para decidir sobre su destitución”</w:t>
      </w:r>
      <w:r w:rsidR="00CD3FA6" w:rsidRPr="00E85AD0">
        <w:rPr>
          <w:rStyle w:val="FootnoteReference"/>
          <w:spacing w:val="0"/>
          <w:sz w:val="20"/>
          <w:szCs w:val="20"/>
          <w:lang w:val="es-CO"/>
        </w:rPr>
        <w:footnoteReference w:id="77"/>
      </w:r>
      <w:r w:rsidR="00CD3FA6" w:rsidRPr="00E85AD0">
        <w:rPr>
          <w:spacing w:val="0"/>
          <w:szCs w:val="20"/>
          <w:lang w:val="es-CO"/>
        </w:rPr>
        <w:t>.</w:t>
      </w:r>
    </w:p>
    <w:p w14:paraId="75DC100D" w14:textId="77777777" w:rsidR="00CB53D3" w:rsidRPr="00E85AD0" w:rsidRDefault="00CB53D3" w:rsidP="00CB53D3">
      <w:pPr>
        <w:pStyle w:val="ListParagraph"/>
        <w:rPr>
          <w:szCs w:val="20"/>
          <w:lang w:val="es-CO"/>
        </w:rPr>
      </w:pPr>
    </w:p>
    <w:p w14:paraId="1660B477" w14:textId="67F015CE" w:rsidR="00CB53D3" w:rsidRPr="00E85AD0" w:rsidRDefault="00A65FF2" w:rsidP="009D216C">
      <w:pPr>
        <w:pStyle w:val="PrrafodeSentencia"/>
        <w:rPr>
          <w:spacing w:val="0"/>
          <w:szCs w:val="20"/>
          <w:lang w:val="es-CO"/>
        </w:rPr>
      </w:pPr>
      <w:r w:rsidRPr="00E85AD0">
        <w:rPr>
          <w:spacing w:val="0"/>
          <w:szCs w:val="20"/>
          <w:lang w:val="es-CO"/>
        </w:rPr>
        <w:t>Se acompañó el voto disidente de</w:t>
      </w:r>
      <w:r w:rsidR="00FA2BA1">
        <w:rPr>
          <w:spacing w:val="0"/>
          <w:szCs w:val="20"/>
          <w:lang w:val="es-CO"/>
        </w:rPr>
        <w:t xml:space="preserve"> un </w:t>
      </w:r>
      <w:r w:rsidRPr="00E85AD0">
        <w:rPr>
          <w:spacing w:val="0"/>
          <w:szCs w:val="20"/>
          <w:lang w:val="es-CO"/>
        </w:rPr>
        <w:t xml:space="preserve">magistrado quien consideró que </w:t>
      </w:r>
      <w:r w:rsidR="00CD3FA6" w:rsidRPr="00E85AD0">
        <w:rPr>
          <w:spacing w:val="0"/>
          <w:szCs w:val="20"/>
          <w:lang w:val="es-CO"/>
        </w:rPr>
        <w:t>“</w:t>
      </w:r>
      <w:r w:rsidR="006C405F">
        <w:rPr>
          <w:spacing w:val="0"/>
          <w:szCs w:val="20"/>
          <w:lang w:val="es-CO"/>
        </w:rPr>
        <w:t>[</w:t>
      </w:r>
      <w:r w:rsidR="00CD3FA6" w:rsidRPr="00E85AD0">
        <w:rPr>
          <w:spacing w:val="0"/>
          <w:szCs w:val="20"/>
          <w:lang w:val="es-CO"/>
        </w:rPr>
        <w:t>l</w:t>
      </w:r>
      <w:r w:rsidR="006C405F">
        <w:rPr>
          <w:spacing w:val="0"/>
          <w:szCs w:val="20"/>
          <w:lang w:val="es-CO"/>
        </w:rPr>
        <w:t>]</w:t>
      </w:r>
      <w:r w:rsidR="00CD3FA6" w:rsidRPr="00E85AD0">
        <w:rPr>
          <w:spacing w:val="0"/>
          <w:szCs w:val="20"/>
          <w:lang w:val="es-CO"/>
        </w:rPr>
        <w:t xml:space="preserve">a Asamblea no tiene más atribuciones que las que </w:t>
      </w:r>
      <w:r w:rsidR="006C405F">
        <w:rPr>
          <w:spacing w:val="0"/>
          <w:szCs w:val="20"/>
          <w:lang w:val="es-CO"/>
        </w:rPr>
        <w:t xml:space="preserve">le </w:t>
      </w:r>
      <w:r w:rsidR="00CD3FA6" w:rsidRPr="00E85AD0">
        <w:rPr>
          <w:spacing w:val="0"/>
          <w:szCs w:val="20"/>
          <w:lang w:val="es-CO"/>
        </w:rPr>
        <w:t xml:space="preserve">señala la misma </w:t>
      </w:r>
      <w:r w:rsidR="00CA2925">
        <w:rPr>
          <w:spacing w:val="0"/>
          <w:szCs w:val="20"/>
          <w:lang w:val="es-CO"/>
        </w:rPr>
        <w:t>C</w:t>
      </w:r>
      <w:r w:rsidR="00CD3FA6" w:rsidRPr="00E85AD0">
        <w:rPr>
          <w:spacing w:val="0"/>
          <w:szCs w:val="20"/>
          <w:lang w:val="es-CO"/>
        </w:rPr>
        <w:t>onstitución”</w:t>
      </w:r>
      <w:r w:rsidR="00B31EB1">
        <w:rPr>
          <w:spacing w:val="0"/>
          <w:szCs w:val="20"/>
          <w:lang w:val="es-CO"/>
        </w:rPr>
        <w:t>,</w:t>
      </w:r>
      <w:r w:rsidR="00EB7845" w:rsidRPr="00E85AD0">
        <w:rPr>
          <w:spacing w:val="0"/>
          <w:szCs w:val="20"/>
          <w:lang w:val="es-CO"/>
        </w:rPr>
        <w:t xml:space="preserve"> la cual no incluye la faculta</w:t>
      </w:r>
      <w:r w:rsidR="00A36D2B">
        <w:rPr>
          <w:spacing w:val="0"/>
          <w:szCs w:val="20"/>
          <w:lang w:val="es-CO"/>
        </w:rPr>
        <w:t>d</w:t>
      </w:r>
      <w:r w:rsidR="00EB7845" w:rsidRPr="00E85AD0">
        <w:rPr>
          <w:spacing w:val="0"/>
          <w:szCs w:val="20"/>
          <w:lang w:val="es-CO"/>
        </w:rPr>
        <w:t xml:space="preserve"> de destituir miembros del Tribunal Supremo Electoral</w:t>
      </w:r>
      <w:r w:rsidR="00CD3FA6" w:rsidRPr="00E85AD0">
        <w:rPr>
          <w:spacing w:val="0"/>
          <w:szCs w:val="20"/>
          <w:lang w:val="es-CO"/>
        </w:rPr>
        <w:t>.</w:t>
      </w:r>
      <w:r w:rsidRPr="00E85AD0">
        <w:rPr>
          <w:spacing w:val="0"/>
          <w:szCs w:val="20"/>
          <w:lang w:val="es-CO"/>
        </w:rPr>
        <w:t xml:space="preserve"> Agregó que, a falta de regulación, la aplicación del </w:t>
      </w:r>
      <w:r w:rsidR="00EB7845" w:rsidRPr="00E85AD0">
        <w:rPr>
          <w:spacing w:val="0"/>
          <w:szCs w:val="20"/>
          <w:lang w:val="es-CO"/>
        </w:rPr>
        <w:t xml:space="preserve">artículo </w:t>
      </w:r>
      <w:r w:rsidRPr="00E85AD0">
        <w:rPr>
          <w:spacing w:val="0"/>
          <w:szCs w:val="20"/>
          <w:lang w:val="es-CO"/>
        </w:rPr>
        <w:t>236 de la Constitución –relativo a la responsabilidad de los funcionarios públicos por la comisión de delitos– era la única vía para separar del cargo a un miembro del TSE</w:t>
      </w:r>
      <w:r w:rsidRPr="00E85AD0">
        <w:rPr>
          <w:rStyle w:val="FootnoteReference"/>
          <w:spacing w:val="0"/>
          <w:sz w:val="20"/>
          <w:szCs w:val="20"/>
          <w:lang w:val="es-CO"/>
        </w:rPr>
        <w:footnoteReference w:id="78"/>
      </w:r>
      <w:r w:rsidRPr="00E85AD0">
        <w:rPr>
          <w:spacing w:val="0"/>
          <w:szCs w:val="20"/>
          <w:lang w:val="es-CO"/>
        </w:rPr>
        <w:t>.</w:t>
      </w:r>
    </w:p>
    <w:p w14:paraId="16F808E2" w14:textId="77777777" w:rsidR="00CB53D3" w:rsidRPr="00E85AD0" w:rsidRDefault="00CB53D3" w:rsidP="00CB53D3">
      <w:pPr>
        <w:pStyle w:val="ListParagraph"/>
        <w:rPr>
          <w:szCs w:val="20"/>
          <w:lang w:val="es-CO"/>
        </w:rPr>
      </w:pPr>
    </w:p>
    <w:p w14:paraId="44797CCD" w14:textId="3943A096" w:rsidR="00745283" w:rsidRPr="00E85AD0" w:rsidRDefault="00A65FF2" w:rsidP="009D216C">
      <w:pPr>
        <w:pStyle w:val="PrrafodeSentencia"/>
        <w:rPr>
          <w:spacing w:val="0"/>
          <w:szCs w:val="20"/>
          <w:lang w:val="es-CO"/>
        </w:rPr>
      </w:pPr>
      <w:r w:rsidRPr="00E85AD0">
        <w:rPr>
          <w:spacing w:val="0"/>
          <w:szCs w:val="20"/>
          <w:lang w:val="es-CO"/>
        </w:rPr>
        <w:t xml:space="preserve">El 27 de julio de 1999 el señor Colindres </w:t>
      </w:r>
      <w:r w:rsidR="00601847">
        <w:rPr>
          <w:spacing w:val="0"/>
          <w:szCs w:val="20"/>
          <w:lang w:val="es-CO"/>
        </w:rPr>
        <w:t>Schonenb</w:t>
      </w:r>
      <w:r w:rsidR="006C405F">
        <w:rPr>
          <w:spacing w:val="0"/>
          <w:szCs w:val="20"/>
          <w:lang w:val="es-CO"/>
        </w:rPr>
        <w:t>e</w:t>
      </w:r>
      <w:r w:rsidR="00601847">
        <w:rPr>
          <w:spacing w:val="0"/>
          <w:szCs w:val="20"/>
          <w:lang w:val="es-CO"/>
        </w:rPr>
        <w:t xml:space="preserve">rg </w:t>
      </w:r>
      <w:r w:rsidRPr="00E85AD0">
        <w:rPr>
          <w:spacing w:val="0"/>
          <w:szCs w:val="20"/>
          <w:lang w:val="es-CO"/>
        </w:rPr>
        <w:t>presentó un</w:t>
      </w:r>
      <w:r w:rsidR="00A54F66">
        <w:rPr>
          <w:spacing w:val="0"/>
          <w:szCs w:val="20"/>
          <w:lang w:val="es-CO"/>
        </w:rPr>
        <w:t>a</w:t>
      </w:r>
      <w:r w:rsidRPr="00E85AD0">
        <w:rPr>
          <w:spacing w:val="0"/>
          <w:szCs w:val="20"/>
          <w:lang w:val="es-CO"/>
        </w:rPr>
        <w:t xml:space="preserve"> nuev</w:t>
      </w:r>
      <w:r w:rsidR="00A54F66">
        <w:rPr>
          <w:spacing w:val="0"/>
          <w:szCs w:val="20"/>
          <w:lang w:val="es-CO"/>
        </w:rPr>
        <w:t>a</w:t>
      </w:r>
      <w:r w:rsidRPr="00E85AD0">
        <w:rPr>
          <w:spacing w:val="0"/>
          <w:szCs w:val="20"/>
          <w:lang w:val="es-CO"/>
        </w:rPr>
        <w:t xml:space="preserve"> </w:t>
      </w:r>
      <w:r w:rsidR="00A54F66">
        <w:rPr>
          <w:spacing w:val="0"/>
          <w:szCs w:val="20"/>
          <w:lang w:val="es-CO"/>
        </w:rPr>
        <w:t>acción</w:t>
      </w:r>
      <w:r w:rsidRPr="00E85AD0">
        <w:rPr>
          <w:spacing w:val="0"/>
          <w:szCs w:val="20"/>
          <w:lang w:val="es-CO"/>
        </w:rPr>
        <w:t xml:space="preserve"> de amparo en contra del </w:t>
      </w:r>
      <w:r w:rsidR="00BF50EA" w:rsidRPr="00E85AD0">
        <w:rPr>
          <w:spacing w:val="0"/>
          <w:szCs w:val="20"/>
          <w:lang w:val="es-CO"/>
        </w:rPr>
        <w:t>d</w:t>
      </w:r>
      <w:r w:rsidRPr="00E85AD0">
        <w:rPr>
          <w:spacing w:val="0"/>
          <w:szCs w:val="20"/>
          <w:lang w:val="es-CO"/>
        </w:rPr>
        <w:t xml:space="preserve">ecreto </w:t>
      </w:r>
      <w:r w:rsidR="00BF50EA" w:rsidRPr="00E85AD0">
        <w:rPr>
          <w:spacing w:val="0"/>
          <w:szCs w:val="20"/>
          <w:lang w:val="es-CO"/>
        </w:rPr>
        <w:t>que lo destituyó</w:t>
      </w:r>
      <w:r w:rsidRPr="00E85AD0">
        <w:rPr>
          <w:spacing w:val="0"/>
          <w:szCs w:val="20"/>
          <w:lang w:val="es-CO"/>
        </w:rPr>
        <w:t xml:space="preserve"> en el que indicó, entre otros argumentos, que la Sala de lo Constitucional no se había pronunciado sobre la violación al debido</w:t>
      </w:r>
      <w:r w:rsidR="00B31EB1">
        <w:rPr>
          <w:spacing w:val="0"/>
          <w:szCs w:val="20"/>
          <w:lang w:val="es-CO"/>
        </w:rPr>
        <w:t xml:space="preserve"> proceso</w:t>
      </w:r>
      <w:r w:rsidRPr="00E85AD0">
        <w:rPr>
          <w:rStyle w:val="FootnoteReference"/>
          <w:spacing w:val="0"/>
          <w:sz w:val="20"/>
          <w:szCs w:val="20"/>
          <w:lang w:val="es-CO"/>
        </w:rPr>
        <w:footnoteReference w:id="79"/>
      </w:r>
      <w:r w:rsidRPr="00E85AD0">
        <w:rPr>
          <w:spacing w:val="0"/>
          <w:szCs w:val="20"/>
          <w:lang w:val="es-CO"/>
        </w:rPr>
        <w:t xml:space="preserve">. </w:t>
      </w:r>
    </w:p>
    <w:p w14:paraId="03B58EE1" w14:textId="77777777" w:rsidR="00745283" w:rsidRPr="00E85AD0" w:rsidRDefault="00745283" w:rsidP="00046104">
      <w:pPr>
        <w:pStyle w:val="Header"/>
        <w:tabs>
          <w:tab w:val="clear" w:pos="4419"/>
          <w:tab w:val="clear" w:pos="8838"/>
        </w:tabs>
        <w:rPr>
          <w:lang w:val="es-CO" w:eastAsia="es-MX"/>
        </w:rPr>
      </w:pPr>
    </w:p>
    <w:p w14:paraId="67370F60" w14:textId="5E86CDB0" w:rsidR="00A65FF2" w:rsidRPr="00E85AD0" w:rsidRDefault="00745283" w:rsidP="009D216C">
      <w:pPr>
        <w:pStyle w:val="PrrafodeSentencia"/>
        <w:rPr>
          <w:spacing w:val="0"/>
          <w:szCs w:val="20"/>
          <w:lang w:val="es-CO"/>
        </w:rPr>
      </w:pPr>
      <w:r w:rsidRPr="00E85AD0">
        <w:rPr>
          <w:spacing w:val="0"/>
          <w:szCs w:val="20"/>
          <w:lang w:val="es-CO"/>
        </w:rPr>
        <w:t>El 5 de noviembre de 1999 la Sala de lo Constitucional</w:t>
      </w:r>
      <w:r w:rsidR="00A65FF2" w:rsidRPr="00E85AD0">
        <w:rPr>
          <w:spacing w:val="0"/>
          <w:szCs w:val="20"/>
          <w:lang w:val="es-CO"/>
        </w:rPr>
        <w:t xml:space="preserve"> declaró improcedente </w:t>
      </w:r>
      <w:r w:rsidR="00CB07B9" w:rsidRPr="00E85AD0">
        <w:rPr>
          <w:spacing w:val="0"/>
          <w:szCs w:val="20"/>
          <w:lang w:val="es-CO"/>
        </w:rPr>
        <w:t>el amparo</w:t>
      </w:r>
      <w:r w:rsidR="00A65FF2" w:rsidRPr="00E85AD0">
        <w:rPr>
          <w:rStyle w:val="FootnoteReference"/>
          <w:spacing w:val="0"/>
          <w:sz w:val="20"/>
          <w:szCs w:val="20"/>
          <w:lang w:val="es-CO"/>
        </w:rPr>
        <w:footnoteReference w:id="80"/>
      </w:r>
      <w:r w:rsidR="00A65FF2" w:rsidRPr="00E85AD0">
        <w:rPr>
          <w:spacing w:val="0"/>
          <w:szCs w:val="20"/>
          <w:lang w:val="es-CO"/>
        </w:rPr>
        <w:t xml:space="preserve">. La Sala indicó </w:t>
      </w:r>
      <w:r w:rsidR="00C35AC8" w:rsidRPr="00E85AD0">
        <w:rPr>
          <w:spacing w:val="0"/>
          <w:szCs w:val="20"/>
          <w:lang w:val="es-CO"/>
        </w:rPr>
        <w:t xml:space="preserve">que </w:t>
      </w:r>
      <w:r w:rsidR="00A36D2B">
        <w:rPr>
          <w:spacing w:val="0"/>
          <w:szCs w:val="20"/>
          <w:lang w:val="es-CO"/>
        </w:rPr>
        <w:t>la</w:t>
      </w:r>
      <w:r w:rsidR="00C35AC8" w:rsidRPr="00E85AD0">
        <w:rPr>
          <w:spacing w:val="0"/>
          <w:szCs w:val="20"/>
          <w:lang w:val="es-CO"/>
        </w:rPr>
        <w:t xml:space="preserve"> </w:t>
      </w:r>
      <w:r w:rsidR="00A65FF2" w:rsidRPr="00E85AD0">
        <w:rPr>
          <w:spacing w:val="0"/>
          <w:szCs w:val="20"/>
          <w:lang w:val="es-CO"/>
        </w:rPr>
        <w:t xml:space="preserve">pretensión </w:t>
      </w:r>
      <w:r w:rsidR="00161CEF">
        <w:rPr>
          <w:spacing w:val="0"/>
          <w:szCs w:val="20"/>
          <w:lang w:val="es-CO"/>
        </w:rPr>
        <w:t xml:space="preserve">del señor Colindres Schonenberg </w:t>
      </w:r>
      <w:r w:rsidR="00A65FF2" w:rsidRPr="00E85AD0">
        <w:rPr>
          <w:spacing w:val="0"/>
          <w:szCs w:val="20"/>
          <w:lang w:val="es-CO"/>
        </w:rPr>
        <w:t>“est</w:t>
      </w:r>
      <w:r w:rsidR="006C405F">
        <w:rPr>
          <w:spacing w:val="0"/>
          <w:szCs w:val="20"/>
          <w:lang w:val="es-CO"/>
        </w:rPr>
        <w:t>[</w:t>
      </w:r>
      <w:r w:rsidR="00A65FF2" w:rsidRPr="00E85AD0">
        <w:rPr>
          <w:spacing w:val="0"/>
          <w:szCs w:val="20"/>
          <w:lang w:val="es-CO"/>
        </w:rPr>
        <w:t>a</w:t>
      </w:r>
      <w:r w:rsidR="00C35AC8" w:rsidRPr="00E85AD0">
        <w:rPr>
          <w:spacing w:val="0"/>
          <w:szCs w:val="20"/>
          <w:lang w:val="es-CO"/>
        </w:rPr>
        <w:t>ba</w:t>
      </w:r>
      <w:r w:rsidR="006C405F">
        <w:rPr>
          <w:spacing w:val="0"/>
          <w:szCs w:val="20"/>
          <w:lang w:val="es-CO"/>
        </w:rPr>
        <w:t>]</w:t>
      </w:r>
      <w:r w:rsidR="00C35AC8" w:rsidRPr="00E85AD0">
        <w:rPr>
          <w:spacing w:val="0"/>
          <w:szCs w:val="20"/>
          <w:lang w:val="es-CO"/>
        </w:rPr>
        <w:t xml:space="preserve"> basad[a]</w:t>
      </w:r>
      <w:r w:rsidR="00A65FF2" w:rsidRPr="00E85AD0">
        <w:rPr>
          <w:spacing w:val="0"/>
          <w:szCs w:val="20"/>
          <w:lang w:val="es-CO"/>
        </w:rPr>
        <w:t xml:space="preserve"> en una simple inconformidad con el procedimiento segui</w:t>
      </w:r>
      <w:r w:rsidR="00B902B9" w:rsidRPr="00E85AD0">
        <w:rPr>
          <w:spacing w:val="0"/>
          <w:szCs w:val="20"/>
          <w:lang w:val="es-CO"/>
        </w:rPr>
        <w:t>do por la Asamblea Legislativa”</w:t>
      </w:r>
      <w:r w:rsidR="00C35AC8" w:rsidRPr="00E85AD0">
        <w:rPr>
          <w:rStyle w:val="FootnoteReference"/>
          <w:spacing w:val="0"/>
          <w:sz w:val="20"/>
          <w:szCs w:val="20"/>
          <w:lang w:val="es-CO"/>
        </w:rPr>
        <w:footnoteReference w:id="81"/>
      </w:r>
      <w:r w:rsidR="00C35AC8" w:rsidRPr="00E85AD0">
        <w:rPr>
          <w:spacing w:val="0"/>
          <w:szCs w:val="20"/>
          <w:lang w:val="es-CO"/>
        </w:rPr>
        <w:t>. Además</w:t>
      </w:r>
      <w:r w:rsidR="006C405F">
        <w:rPr>
          <w:spacing w:val="0"/>
          <w:szCs w:val="20"/>
          <w:lang w:val="es-CO"/>
        </w:rPr>
        <w:t>,</w:t>
      </w:r>
      <w:r w:rsidR="00C35AC8" w:rsidRPr="00E85AD0">
        <w:rPr>
          <w:spacing w:val="0"/>
          <w:szCs w:val="20"/>
          <w:lang w:val="es-CO"/>
        </w:rPr>
        <w:t xml:space="preserve"> estableció </w:t>
      </w:r>
      <w:r w:rsidR="00A65FF2" w:rsidRPr="00E85AD0">
        <w:rPr>
          <w:spacing w:val="0"/>
          <w:szCs w:val="20"/>
          <w:lang w:val="es-CO"/>
        </w:rPr>
        <w:t xml:space="preserve">que “la Sala no es una instancia para revisar el criterio vertido por la Asamblea Legislativa en el Decreto Legislativo </w:t>
      </w:r>
      <w:r w:rsidR="00C35AC8" w:rsidRPr="00E85AD0">
        <w:rPr>
          <w:spacing w:val="0"/>
          <w:szCs w:val="20"/>
          <w:lang w:val="es-CO"/>
        </w:rPr>
        <w:t>[que lo destituye]</w:t>
      </w:r>
      <w:r w:rsidR="00A65FF2" w:rsidRPr="00E85AD0">
        <w:rPr>
          <w:spacing w:val="0"/>
          <w:szCs w:val="20"/>
          <w:lang w:val="es-CO"/>
        </w:rPr>
        <w:t xml:space="preserve">, ni las </w:t>
      </w:r>
      <w:r w:rsidR="00A65FF2" w:rsidRPr="00E85AD0">
        <w:rPr>
          <w:spacing w:val="0"/>
          <w:szCs w:val="20"/>
          <w:lang w:val="es-CO"/>
        </w:rPr>
        <w:lastRenderedPageBreak/>
        <w:t xml:space="preserve">valoraciones materiales o actuaciones procedimentales en aplicación directa del </w:t>
      </w:r>
      <w:r w:rsidR="006C405F">
        <w:rPr>
          <w:spacing w:val="0"/>
          <w:szCs w:val="20"/>
          <w:lang w:val="es-CO"/>
        </w:rPr>
        <w:t>[</w:t>
      </w:r>
      <w:r w:rsidR="00A65FF2" w:rsidRPr="00E85AD0">
        <w:rPr>
          <w:spacing w:val="0"/>
          <w:szCs w:val="20"/>
          <w:lang w:val="es-CO"/>
        </w:rPr>
        <w:t>art. 11</w:t>
      </w:r>
      <w:r w:rsidR="006C405F">
        <w:rPr>
          <w:spacing w:val="0"/>
          <w:szCs w:val="20"/>
          <w:lang w:val="es-CO"/>
        </w:rPr>
        <w:t>]</w:t>
      </w:r>
      <w:r w:rsidR="00A65FF2" w:rsidRPr="00E85AD0">
        <w:rPr>
          <w:spacing w:val="0"/>
          <w:szCs w:val="20"/>
          <w:lang w:val="es-CO"/>
        </w:rPr>
        <w:t xml:space="preserve"> de la Constitución”</w:t>
      </w:r>
      <w:r w:rsidR="00A65FF2" w:rsidRPr="00E85AD0">
        <w:rPr>
          <w:rStyle w:val="FootnoteReference"/>
          <w:spacing w:val="0"/>
          <w:sz w:val="20"/>
          <w:szCs w:val="20"/>
          <w:lang w:val="es-CO"/>
        </w:rPr>
        <w:footnoteReference w:id="82"/>
      </w:r>
      <w:r w:rsidR="00A65FF2" w:rsidRPr="007D6783">
        <w:rPr>
          <w:spacing w:val="0"/>
          <w:szCs w:val="20"/>
          <w:lang w:val="es-CO"/>
        </w:rPr>
        <w:t>.</w:t>
      </w:r>
      <w:r w:rsidR="00A65FF2" w:rsidRPr="00E85AD0">
        <w:rPr>
          <w:spacing w:val="0"/>
          <w:szCs w:val="20"/>
          <w:lang w:val="es-CO"/>
        </w:rPr>
        <w:t xml:space="preserve"> </w:t>
      </w:r>
    </w:p>
    <w:p w14:paraId="4655B436" w14:textId="77777777" w:rsidR="00A65FF2" w:rsidRPr="00E85AD0" w:rsidRDefault="00A65FF2" w:rsidP="00A65FF2">
      <w:pPr>
        <w:tabs>
          <w:tab w:val="num" w:pos="1440"/>
        </w:tabs>
        <w:ind w:left="720"/>
        <w:jc w:val="both"/>
        <w:rPr>
          <w:szCs w:val="20"/>
          <w:lang w:val="es-CO"/>
        </w:rPr>
      </w:pPr>
    </w:p>
    <w:p w14:paraId="60EF4964" w14:textId="77777777" w:rsidR="00A65FF2" w:rsidRPr="00E85AD0" w:rsidRDefault="00A65FF2" w:rsidP="00316BCD">
      <w:pPr>
        <w:pStyle w:val="Heading2"/>
        <w:ind w:left="567" w:firstLine="0"/>
      </w:pPr>
      <w:bookmarkStart w:id="165" w:name="_Toc484623840"/>
      <w:bookmarkStart w:id="166" w:name="_Toc192571"/>
      <w:r w:rsidRPr="00E85AD0">
        <w:t>Demanda de daños y perjuicios respecto de la primera destitución</w:t>
      </w:r>
      <w:bookmarkEnd w:id="165"/>
      <w:bookmarkEnd w:id="166"/>
    </w:p>
    <w:p w14:paraId="56DF6FFF" w14:textId="77777777" w:rsidR="00A65FF2" w:rsidRPr="00E85AD0" w:rsidRDefault="00A65FF2" w:rsidP="00A65FF2">
      <w:pPr>
        <w:rPr>
          <w:szCs w:val="20"/>
          <w:lang w:val="es-ES_tradnl"/>
        </w:rPr>
      </w:pPr>
    </w:p>
    <w:p w14:paraId="54D86E57" w14:textId="0C03CAD9" w:rsidR="00FB4CB1" w:rsidRPr="00E85AD0" w:rsidRDefault="00A65FF2" w:rsidP="001547A9">
      <w:pPr>
        <w:pStyle w:val="PrrafodeSentencia"/>
        <w:rPr>
          <w:spacing w:val="0"/>
          <w:szCs w:val="20"/>
          <w:lang w:val="es-ES"/>
        </w:rPr>
      </w:pPr>
      <w:r w:rsidRPr="00E85AD0">
        <w:rPr>
          <w:spacing w:val="0"/>
          <w:szCs w:val="20"/>
          <w:lang w:val="es-ES"/>
        </w:rPr>
        <w:t>El 12 de enero de 1999 el señor</w:t>
      </w:r>
      <w:r w:rsidR="00046104" w:rsidRPr="00E85AD0">
        <w:rPr>
          <w:spacing w:val="0"/>
          <w:szCs w:val="20"/>
          <w:lang w:val="es-ES"/>
        </w:rPr>
        <w:t xml:space="preserve"> Colindres </w:t>
      </w:r>
      <w:r w:rsidR="007D60D2" w:rsidRPr="00E85AD0">
        <w:rPr>
          <w:spacing w:val="0"/>
          <w:lang w:val="es-ES"/>
        </w:rPr>
        <w:t xml:space="preserve">Schonenberg </w:t>
      </w:r>
      <w:r w:rsidR="00046104" w:rsidRPr="00E85AD0">
        <w:rPr>
          <w:spacing w:val="0"/>
          <w:szCs w:val="20"/>
          <w:lang w:val="es-ES"/>
        </w:rPr>
        <w:t xml:space="preserve">presentó </w:t>
      </w:r>
      <w:r w:rsidR="007D60D2">
        <w:rPr>
          <w:spacing w:val="0"/>
          <w:szCs w:val="20"/>
          <w:lang w:val="es-ES"/>
        </w:rPr>
        <w:t xml:space="preserve">una </w:t>
      </w:r>
      <w:r w:rsidR="00046104" w:rsidRPr="00E85AD0">
        <w:rPr>
          <w:spacing w:val="0"/>
          <w:szCs w:val="20"/>
          <w:lang w:val="es-ES"/>
        </w:rPr>
        <w:t xml:space="preserve">demanda de </w:t>
      </w:r>
      <w:r w:rsidRPr="00E85AD0">
        <w:rPr>
          <w:spacing w:val="0"/>
          <w:szCs w:val="20"/>
          <w:lang w:val="es-ES"/>
        </w:rPr>
        <w:t>daños y perjuicios</w:t>
      </w:r>
      <w:r w:rsidR="00046104" w:rsidRPr="00E85AD0">
        <w:rPr>
          <w:spacing w:val="0"/>
          <w:szCs w:val="20"/>
          <w:lang w:val="es-ES"/>
        </w:rPr>
        <w:t xml:space="preserve"> por los daños producidos por la primera destitución</w:t>
      </w:r>
      <w:r w:rsidR="009D004A" w:rsidRPr="00E85AD0">
        <w:rPr>
          <w:rStyle w:val="FootnoteReference"/>
          <w:spacing w:val="0"/>
          <w:sz w:val="20"/>
          <w:szCs w:val="20"/>
          <w:lang w:val="es-ES"/>
        </w:rPr>
        <w:footnoteReference w:id="83"/>
      </w:r>
      <w:r w:rsidR="009D004A" w:rsidRPr="00E85AD0">
        <w:rPr>
          <w:spacing w:val="0"/>
          <w:szCs w:val="20"/>
          <w:lang w:val="es-ES"/>
        </w:rPr>
        <w:t>.</w:t>
      </w:r>
      <w:r w:rsidR="001547A9" w:rsidRPr="00E85AD0">
        <w:rPr>
          <w:spacing w:val="0"/>
          <w:szCs w:val="20"/>
          <w:lang w:val="es-ES"/>
        </w:rPr>
        <w:t xml:space="preserve"> </w:t>
      </w:r>
      <w:r w:rsidR="00015BF8" w:rsidRPr="00E85AD0">
        <w:rPr>
          <w:spacing w:val="0"/>
          <w:szCs w:val="20"/>
          <w:lang w:val="es-ES"/>
        </w:rPr>
        <w:t xml:space="preserve">El </w:t>
      </w:r>
      <w:r w:rsidR="000E781D" w:rsidRPr="00E85AD0">
        <w:rPr>
          <w:spacing w:val="0"/>
          <w:szCs w:val="20"/>
          <w:lang w:val="es-ES"/>
        </w:rPr>
        <w:t>23</w:t>
      </w:r>
      <w:r w:rsidR="00015BF8" w:rsidRPr="00E85AD0">
        <w:rPr>
          <w:spacing w:val="0"/>
          <w:szCs w:val="20"/>
          <w:lang w:val="es-ES"/>
        </w:rPr>
        <w:t xml:space="preserve"> de </w:t>
      </w:r>
      <w:r w:rsidR="000E781D" w:rsidRPr="00E85AD0">
        <w:rPr>
          <w:spacing w:val="0"/>
          <w:szCs w:val="20"/>
          <w:lang w:val="es-ES"/>
        </w:rPr>
        <w:t>diciembre</w:t>
      </w:r>
      <w:r w:rsidR="00015BF8" w:rsidRPr="00E85AD0">
        <w:rPr>
          <w:spacing w:val="0"/>
          <w:szCs w:val="20"/>
          <w:lang w:val="es-ES"/>
        </w:rPr>
        <w:t xml:space="preserve"> de </w:t>
      </w:r>
      <w:r w:rsidR="000E781D" w:rsidRPr="00E85AD0">
        <w:rPr>
          <w:spacing w:val="0"/>
          <w:szCs w:val="20"/>
          <w:lang w:val="es-ES"/>
        </w:rPr>
        <w:t>1999</w:t>
      </w:r>
      <w:r w:rsidR="00015BF8" w:rsidRPr="00E85AD0">
        <w:rPr>
          <w:spacing w:val="0"/>
          <w:szCs w:val="20"/>
          <w:lang w:val="es-ES"/>
        </w:rPr>
        <w:t xml:space="preserve"> la</w:t>
      </w:r>
      <w:r w:rsidR="00015BF8" w:rsidRPr="00E85AD0">
        <w:rPr>
          <w:spacing w:val="0"/>
          <w:szCs w:val="20"/>
          <w:lang w:val="es-CO"/>
        </w:rPr>
        <w:t xml:space="preserve"> Cámara Primera de lo Civil de la Primera Sección del Centro condenó al Estado al pago de un millón de colones</w:t>
      </w:r>
      <w:r w:rsidR="001547A9" w:rsidRPr="00E85AD0">
        <w:rPr>
          <w:spacing w:val="0"/>
          <w:szCs w:val="20"/>
          <w:lang w:val="es-CO"/>
        </w:rPr>
        <w:t xml:space="preserve"> </w:t>
      </w:r>
      <w:r w:rsidR="006F79CA">
        <w:rPr>
          <w:spacing w:val="0"/>
          <w:szCs w:val="20"/>
          <w:lang w:val="es-CO"/>
        </w:rPr>
        <w:t xml:space="preserve">salvadoreños </w:t>
      </w:r>
      <w:r w:rsidR="001547A9" w:rsidRPr="00E85AD0">
        <w:rPr>
          <w:spacing w:val="0"/>
          <w:szCs w:val="20"/>
          <w:lang w:val="es-CO"/>
        </w:rPr>
        <w:t>por daño moral</w:t>
      </w:r>
      <w:r w:rsidR="000E781D" w:rsidRPr="00E85AD0">
        <w:rPr>
          <w:rStyle w:val="FootnoteReference"/>
          <w:spacing w:val="0"/>
          <w:sz w:val="20"/>
          <w:szCs w:val="20"/>
          <w:lang w:val="es-CO"/>
        </w:rPr>
        <w:footnoteReference w:id="84"/>
      </w:r>
      <w:r w:rsidR="000E781D" w:rsidRPr="00E85AD0">
        <w:rPr>
          <w:spacing w:val="0"/>
          <w:szCs w:val="20"/>
          <w:lang w:val="es-CO"/>
        </w:rPr>
        <w:t>.</w:t>
      </w:r>
      <w:r w:rsidR="001547A9" w:rsidRPr="00E85AD0">
        <w:rPr>
          <w:spacing w:val="0"/>
          <w:szCs w:val="20"/>
          <w:lang w:val="es-CO"/>
        </w:rPr>
        <w:t xml:space="preserve"> La Cámara Primera no consideró procedente otorgar una reparación respecto al daño material</w:t>
      </w:r>
      <w:r w:rsidR="001547A9" w:rsidRPr="00E85AD0">
        <w:rPr>
          <w:rStyle w:val="FootnoteReference"/>
          <w:spacing w:val="0"/>
          <w:sz w:val="20"/>
          <w:szCs w:val="20"/>
          <w:lang w:val="es-CO"/>
        </w:rPr>
        <w:footnoteReference w:id="85"/>
      </w:r>
      <w:r w:rsidR="001547A9" w:rsidRPr="00E85AD0">
        <w:rPr>
          <w:spacing w:val="0"/>
          <w:szCs w:val="20"/>
          <w:lang w:val="es-CO"/>
        </w:rPr>
        <w:t>.  El representante del Estado apeló esta decisión, y el señor Colindres Schonenberg se adhirió a dicha apelación</w:t>
      </w:r>
      <w:r w:rsidR="001547A9" w:rsidRPr="00E85AD0">
        <w:rPr>
          <w:rStyle w:val="FootnoteReference"/>
          <w:spacing w:val="0"/>
          <w:sz w:val="20"/>
          <w:szCs w:val="20"/>
          <w:lang w:val="es-ES"/>
        </w:rPr>
        <w:footnoteReference w:id="86"/>
      </w:r>
      <w:r w:rsidR="001547A9" w:rsidRPr="00E85AD0">
        <w:rPr>
          <w:spacing w:val="0"/>
          <w:szCs w:val="20"/>
          <w:lang w:val="es-ES"/>
        </w:rPr>
        <w:t>.</w:t>
      </w:r>
    </w:p>
    <w:p w14:paraId="0E0DDE3E" w14:textId="77777777" w:rsidR="00FB4CB1" w:rsidRPr="00E85AD0" w:rsidRDefault="00FB4CB1" w:rsidP="00FB4CB1">
      <w:pPr>
        <w:rPr>
          <w:szCs w:val="20"/>
          <w:lang w:val="es-ES" w:eastAsia="es-MX"/>
        </w:rPr>
      </w:pPr>
    </w:p>
    <w:p w14:paraId="4513B3CF" w14:textId="33B805A2" w:rsidR="00015BF8" w:rsidRPr="00E85AD0" w:rsidRDefault="006F79CA" w:rsidP="001547A9">
      <w:pPr>
        <w:pStyle w:val="PrrafodeSentencia"/>
        <w:rPr>
          <w:spacing w:val="0"/>
          <w:szCs w:val="20"/>
          <w:lang w:val="es-CO"/>
        </w:rPr>
      </w:pPr>
      <w:r>
        <w:rPr>
          <w:spacing w:val="0"/>
          <w:szCs w:val="20"/>
          <w:lang w:val="es-ES"/>
        </w:rPr>
        <w:t xml:space="preserve">En segunda instancia, </w:t>
      </w:r>
      <w:r>
        <w:rPr>
          <w:spacing w:val="0"/>
          <w:szCs w:val="20"/>
          <w:lang w:val="es-CO"/>
        </w:rPr>
        <w:t>e</w:t>
      </w:r>
      <w:r w:rsidR="000E781D" w:rsidRPr="00E85AD0">
        <w:rPr>
          <w:spacing w:val="0"/>
          <w:szCs w:val="20"/>
          <w:lang w:val="es-CO"/>
        </w:rPr>
        <w:t xml:space="preserve">l 13 de junio de 2001 </w:t>
      </w:r>
      <w:r w:rsidR="00015BF8" w:rsidRPr="00E85AD0">
        <w:rPr>
          <w:spacing w:val="0"/>
          <w:szCs w:val="20"/>
          <w:lang w:val="es-CO"/>
        </w:rPr>
        <w:t xml:space="preserve">la Sala </w:t>
      </w:r>
      <w:r w:rsidR="000E781D" w:rsidRPr="00E85AD0">
        <w:rPr>
          <w:spacing w:val="0"/>
          <w:szCs w:val="20"/>
          <w:lang w:val="es-CO"/>
        </w:rPr>
        <w:t xml:space="preserve">de lo </w:t>
      </w:r>
      <w:r w:rsidR="00015BF8" w:rsidRPr="00E85AD0">
        <w:rPr>
          <w:spacing w:val="0"/>
          <w:szCs w:val="20"/>
          <w:lang w:val="es-CO"/>
        </w:rPr>
        <w:t>Civil de la Corte Suprema de Justicia condenó al Estado a pagar “dos millones de colones”</w:t>
      </w:r>
      <w:r>
        <w:rPr>
          <w:spacing w:val="0"/>
          <w:szCs w:val="20"/>
          <w:lang w:val="es-CO"/>
        </w:rPr>
        <w:t xml:space="preserve"> salvadoreño</w:t>
      </w:r>
      <w:r w:rsidR="00CF273E">
        <w:rPr>
          <w:spacing w:val="0"/>
          <w:szCs w:val="20"/>
          <w:lang w:val="es-CO"/>
        </w:rPr>
        <w:t xml:space="preserve"> por daño moral</w:t>
      </w:r>
      <w:r w:rsidR="000E781D" w:rsidRPr="00E85AD0">
        <w:rPr>
          <w:rStyle w:val="FootnoteReference"/>
          <w:spacing w:val="0"/>
          <w:sz w:val="20"/>
          <w:szCs w:val="20"/>
          <w:lang w:val="es-CO"/>
        </w:rPr>
        <w:footnoteReference w:id="87"/>
      </w:r>
      <w:r w:rsidR="000E781D" w:rsidRPr="00E85AD0">
        <w:rPr>
          <w:spacing w:val="0"/>
          <w:szCs w:val="20"/>
          <w:lang w:val="es-CO"/>
        </w:rPr>
        <w:t>.</w:t>
      </w:r>
      <w:r w:rsidR="001547A9" w:rsidRPr="00E85AD0">
        <w:rPr>
          <w:spacing w:val="0"/>
          <w:szCs w:val="20"/>
          <w:lang w:val="es-CO"/>
        </w:rPr>
        <w:t xml:space="preserve"> El representante del Estado interpuso un r</w:t>
      </w:r>
      <w:r w:rsidR="00015BF8" w:rsidRPr="00E85AD0">
        <w:rPr>
          <w:spacing w:val="0"/>
          <w:szCs w:val="20"/>
          <w:lang w:val="es-CO"/>
        </w:rPr>
        <w:t xml:space="preserve">ecurso de casación </w:t>
      </w:r>
      <w:r w:rsidR="00E85AD0" w:rsidRPr="00E85AD0">
        <w:rPr>
          <w:spacing w:val="0"/>
          <w:szCs w:val="20"/>
          <w:lang w:val="es-CO"/>
        </w:rPr>
        <w:t>por considerar el monto fijado irrazonable</w:t>
      </w:r>
      <w:r w:rsidR="00E85AD0" w:rsidRPr="00E85AD0">
        <w:rPr>
          <w:rStyle w:val="FootnoteReference"/>
          <w:spacing w:val="0"/>
          <w:sz w:val="20"/>
          <w:szCs w:val="20"/>
          <w:lang w:val="es-ES"/>
        </w:rPr>
        <w:footnoteReference w:id="88"/>
      </w:r>
      <w:r w:rsidR="00E85AD0" w:rsidRPr="00E85AD0">
        <w:rPr>
          <w:spacing w:val="0"/>
          <w:szCs w:val="20"/>
          <w:lang w:val="es-ES"/>
        </w:rPr>
        <w:t>.</w:t>
      </w:r>
    </w:p>
    <w:p w14:paraId="1FE5EA63" w14:textId="77777777" w:rsidR="00015BF8" w:rsidRPr="00E85AD0" w:rsidRDefault="00015BF8" w:rsidP="00015BF8">
      <w:pPr>
        <w:rPr>
          <w:szCs w:val="20"/>
          <w:lang w:val="es-CO" w:eastAsia="es-MX"/>
        </w:rPr>
      </w:pPr>
    </w:p>
    <w:p w14:paraId="525D97CE" w14:textId="57DCA5A0" w:rsidR="00C13E01" w:rsidRPr="00E85AD0" w:rsidRDefault="00015BF8" w:rsidP="00BD548F">
      <w:pPr>
        <w:pStyle w:val="PrrafodeSentencia"/>
        <w:rPr>
          <w:spacing w:val="0"/>
          <w:szCs w:val="20"/>
          <w:lang w:val="es-CO"/>
        </w:rPr>
      </w:pPr>
      <w:r w:rsidRPr="00E85AD0">
        <w:rPr>
          <w:spacing w:val="0"/>
          <w:szCs w:val="20"/>
          <w:lang w:val="es-CO"/>
        </w:rPr>
        <w:t>E</w:t>
      </w:r>
      <w:r w:rsidR="00A65FF2" w:rsidRPr="00E85AD0">
        <w:rPr>
          <w:spacing w:val="0"/>
          <w:szCs w:val="20"/>
          <w:lang w:val="es-CO"/>
        </w:rPr>
        <w:t xml:space="preserve">l 22 de diciembre de 2009 la Corte Suprema </w:t>
      </w:r>
      <w:r w:rsidRPr="00E85AD0">
        <w:rPr>
          <w:spacing w:val="0"/>
          <w:szCs w:val="20"/>
          <w:lang w:val="es-CO"/>
        </w:rPr>
        <w:t xml:space="preserve">de Justicia </w:t>
      </w:r>
      <w:r w:rsidR="00A65FF2" w:rsidRPr="00E85AD0">
        <w:rPr>
          <w:spacing w:val="0"/>
          <w:szCs w:val="20"/>
          <w:lang w:val="es-CO"/>
        </w:rPr>
        <w:t>resolvió dejar en firme la decisión de la Cámara Primera de lo Civil de la Primera Sección del Centro</w:t>
      </w:r>
      <w:r w:rsidR="00A65FF2" w:rsidRPr="00E85AD0">
        <w:rPr>
          <w:rStyle w:val="FootnoteReference"/>
          <w:spacing w:val="0"/>
          <w:sz w:val="20"/>
          <w:szCs w:val="20"/>
          <w:lang w:val="es-CO"/>
        </w:rPr>
        <w:footnoteReference w:id="89"/>
      </w:r>
      <w:r w:rsidR="00A65FF2" w:rsidRPr="00E85AD0">
        <w:rPr>
          <w:spacing w:val="0"/>
          <w:szCs w:val="20"/>
          <w:lang w:val="es-CO"/>
        </w:rPr>
        <w:t xml:space="preserve">. </w:t>
      </w:r>
      <w:r w:rsidR="00657B2B" w:rsidRPr="00E85AD0">
        <w:rPr>
          <w:spacing w:val="0"/>
          <w:szCs w:val="20"/>
          <w:lang w:val="es-CO"/>
        </w:rPr>
        <w:t>El 7 de febrero de 2014 el Estado realizó el pago de USD $114.285,</w:t>
      </w:r>
      <w:r w:rsidR="006C405F">
        <w:rPr>
          <w:spacing w:val="0"/>
          <w:szCs w:val="20"/>
          <w:lang w:val="es-CO"/>
        </w:rPr>
        <w:t>71</w:t>
      </w:r>
      <w:r w:rsidR="00657B2B" w:rsidRPr="00E85AD0">
        <w:rPr>
          <w:spacing w:val="0"/>
          <w:szCs w:val="20"/>
          <w:lang w:val="es-CO"/>
        </w:rPr>
        <w:t>, cantidad equivalente en dólares</w:t>
      </w:r>
      <w:r w:rsidR="006F79CA">
        <w:rPr>
          <w:spacing w:val="0"/>
          <w:szCs w:val="20"/>
          <w:lang w:val="es-CO"/>
        </w:rPr>
        <w:t xml:space="preserve"> americanos</w:t>
      </w:r>
      <w:r w:rsidR="00657B2B" w:rsidRPr="00E85AD0">
        <w:rPr>
          <w:spacing w:val="0"/>
          <w:szCs w:val="20"/>
          <w:lang w:val="es-CO"/>
        </w:rPr>
        <w:t xml:space="preserve"> del monto establecido</w:t>
      </w:r>
      <w:r w:rsidR="00657B2B" w:rsidRPr="00E85AD0">
        <w:rPr>
          <w:rStyle w:val="FootnoteReference"/>
          <w:spacing w:val="0"/>
          <w:sz w:val="20"/>
          <w:szCs w:val="20"/>
          <w:lang w:val="es-CO"/>
        </w:rPr>
        <w:footnoteReference w:id="90"/>
      </w:r>
      <w:r w:rsidR="00657B2B" w:rsidRPr="00E85AD0">
        <w:rPr>
          <w:spacing w:val="0"/>
          <w:szCs w:val="20"/>
          <w:lang w:val="es-CO"/>
        </w:rPr>
        <w:t>.</w:t>
      </w:r>
      <w:r w:rsidR="004C3FCA">
        <w:rPr>
          <w:spacing w:val="0"/>
          <w:szCs w:val="20"/>
          <w:lang w:val="es-CO"/>
        </w:rPr>
        <w:t xml:space="preserve"> </w:t>
      </w:r>
      <w:r w:rsidR="004C3FCA" w:rsidRPr="00A93988">
        <w:rPr>
          <w:spacing w:val="0"/>
          <w:szCs w:val="20"/>
          <w:lang w:val="es-CO"/>
        </w:rPr>
        <w:t>Este pago por daños y perjuicios es adicional al realizado por los sueldos que el señor Colindres Schonenberg dejó de percibir mientras estuvo destituido (</w:t>
      </w:r>
      <w:r w:rsidR="004C3FCA" w:rsidRPr="00A93988">
        <w:rPr>
          <w:i/>
          <w:spacing w:val="0"/>
          <w:szCs w:val="20"/>
          <w:lang w:val="es-CO"/>
        </w:rPr>
        <w:t xml:space="preserve">supra </w:t>
      </w:r>
      <w:r w:rsidR="004C3FCA" w:rsidRPr="00A93988">
        <w:rPr>
          <w:spacing w:val="0"/>
          <w:szCs w:val="20"/>
          <w:lang w:val="es-CO"/>
        </w:rPr>
        <w:t xml:space="preserve">párr. </w:t>
      </w:r>
      <w:r w:rsidR="004C3FCA" w:rsidRPr="00A93988">
        <w:rPr>
          <w:spacing w:val="0"/>
          <w:szCs w:val="20"/>
          <w:lang w:val="es-CO"/>
        </w:rPr>
        <w:fldChar w:fldCharType="begin"/>
      </w:r>
      <w:r w:rsidR="004C3FCA" w:rsidRPr="00A93988">
        <w:rPr>
          <w:spacing w:val="0"/>
          <w:szCs w:val="20"/>
          <w:lang w:val="es-CO"/>
        </w:rPr>
        <w:instrText xml:space="preserve"> REF _Ref178864 \r \h </w:instrText>
      </w:r>
      <w:r w:rsidR="00A93988">
        <w:rPr>
          <w:spacing w:val="0"/>
          <w:szCs w:val="20"/>
          <w:lang w:val="es-CO"/>
        </w:rPr>
        <w:instrText xml:space="preserve"> \* MERGEFORMAT </w:instrText>
      </w:r>
      <w:r w:rsidR="004C3FCA" w:rsidRPr="00A93988">
        <w:rPr>
          <w:spacing w:val="0"/>
          <w:szCs w:val="20"/>
          <w:lang w:val="es-CO"/>
        </w:rPr>
      </w:r>
      <w:r w:rsidR="004C3FCA" w:rsidRPr="00A93988">
        <w:rPr>
          <w:spacing w:val="0"/>
          <w:szCs w:val="20"/>
          <w:lang w:val="es-CO"/>
        </w:rPr>
        <w:fldChar w:fldCharType="separate"/>
      </w:r>
      <w:r w:rsidR="002D28B2">
        <w:rPr>
          <w:spacing w:val="0"/>
          <w:szCs w:val="20"/>
          <w:lang w:val="es-CO"/>
        </w:rPr>
        <w:t>30</w:t>
      </w:r>
      <w:r w:rsidR="004C3FCA" w:rsidRPr="00A93988">
        <w:rPr>
          <w:spacing w:val="0"/>
          <w:szCs w:val="20"/>
          <w:lang w:val="es-CO"/>
        </w:rPr>
        <w:fldChar w:fldCharType="end"/>
      </w:r>
      <w:r w:rsidR="004C3FCA" w:rsidRPr="00A93988">
        <w:rPr>
          <w:spacing w:val="0"/>
          <w:szCs w:val="20"/>
          <w:lang w:val="es-CO"/>
        </w:rPr>
        <w:t>).</w:t>
      </w:r>
    </w:p>
    <w:p w14:paraId="70558F09" w14:textId="77777777" w:rsidR="004D131F" w:rsidRPr="00E85AD0" w:rsidRDefault="004D131F" w:rsidP="00BD548F">
      <w:pPr>
        <w:rPr>
          <w:lang w:val="es-CR"/>
        </w:rPr>
      </w:pPr>
    </w:p>
    <w:p w14:paraId="62EAB58E" w14:textId="77777777" w:rsidR="00546C18" w:rsidRPr="00E85AD0" w:rsidRDefault="00546C18" w:rsidP="00BD548F">
      <w:pPr>
        <w:pStyle w:val="Title"/>
        <w:tabs>
          <w:tab w:val="left" w:pos="567"/>
        </w:tabs>
      </w:pPr>
      <w:bookmarkStart w:id="167" w:name="_Toc192572"/>
      <w:r w:rsidRPr="00E85AD0">
        <w:t>VI</w:t>
      </w:r>
      <w:r w:rsidRPr="00E85AD0">
        <w:br/>
        <w:t>FONDO</w:t>
      </w:r>
      <w:bookmarkEnd w:id="167"/>
    </w:p>
    <w:p w14:paraId="6FDCAA2D" w14:textId="77777777" w:rsidR="00120BB5" w:rsidRDefault="00120BB5" w:rsidP="00120BB5">
      <w:pPr>
        <w:tabs>
          <w:tab w:val="left" w:pos="567"/>
        </w:tabs>
        <w:rPr>
          <w:lang w:val="es-CR" w:eastAsia="es-MX"/>
        </w:rPr>
      </w:pPr>
    </w:p>
    <w:p w14:paraId="376D5D0B" w14:textId="173BA535" w:rsidR="00113287" w:rsidRPr="00113287" w:rsidRDefault="00113287" w:rsidP="00120BB5">
      <w:pPr>
        <w:pStyle w:val="PrrafodeSentencia"/>
        <w:rPr>
          <w:lang w:val="es-ES_tradnl" w:eastAsia="en-US"/>
        </w:rPr>
      </w:pPr>
      <w:r>
        <w:t>Los hechos de este caso se relacionan con las destituciones del señor Colindres Schonenberg de su cargo de Magistrado del Tribunal Supremo Electoral. El 22 de noviembre de 1996</w:t>
      </w:r>
      <w:r w:rsidR="006C405F">
        <w:t>,</w:t>
      </w:r>
      <w:r>
        <w:t xml:space="preserve"> la Asamblea Legislativa destituyó al señor Colindres Schonenberg de su cargo de magistrado. El señor Colindres </w:t>
      </w:r>
      <w:r w:rsidRPr="00956BE6">
        <w:t xml:space="preserve">Schonenberg </w:t>
      </w:r>
      <w:r w:rsidR="00956BE6" w:rsidRPr="00956BE6">
        <w:t>presentó una</w:t>
      </w:r>
      <w:r w:rsidR="00956BE6">
        <w:t xml:space="preserve"> </w:t>
      </w:r>
      <w:r w:rsidR="00A54F66">
        <w:t xml:space="preserve">acción </w:t>
      </w:r>
      <w:r>
        <w:t xml:space="preserve">de amparo en contra de esta decisión. El 4 de noviembre de 1997 la Sala de lo Constitucional ordenó su restitución y aclaró que la Asamblea Legislativa debía garantizar el derecho de audiencia para que la destitución fuera acorde a la </w:t>
      </w:r>
      <w:r w:rsidR="006C405F">
        <w:t>C</w:t>
      </w:r>
      <w:r>
        <w:t xml:space="preserve">onstitución. Tras un procedimiento llevado a cabo ante la Asamblea Legislativa, el 2 de julio de 1998 el señor Colindres Schonenberg fue destituido nuevamente. </w:t>
      </w:r>
      <w:r w:rsidR="00E20C55">
        <w:t xml:space="preserve">La presunta víctima interpuso diversos recursos contra esta decisión y ninguno fue considerado </w:t>
      </w:r>
      <w:r w:rsidR="006E4A0F">
        <w:t>h</w:t>
      </w:r>
      <w:r w:rsidR="00E20C55">
        <w:t xml:space="preserve">a lugar.  </w:t>
      </w:r>
    </w:p>
    <w:p w14:paraId="2FD3E998" w14:textId="77777777" w:rsidR="00113287" w:rsidRDefault="00113287" w:rsidP="00113287">
      <w:pPr>
        <w:pStyle w:val="PrrafodeSentencia"/>
        <w:numPr>
          <w:ilvl w:val="0"/>
          <w:numId w:val="0"/>
        </w:numPr>
        <w:rPr>
          <w:lang w:val="es-ES_tradnl" w:eastAsia="en-US"/>
        </w:rPr>
      </w:pPr>
    </w:p>
    <w:p w14:paraId="061E2C95" w14:textId="38B2BE1C" w:rsidR="00546C18" w:rsidRPr="00120BB5" w:rsidRDefault="00120BB5" w:rsidP="00120BB5">
      <w:pPr>
        <w:pStyle w:val="PrrafodeSentencia"/>
        <w:rPr>
          <w:lang w:val="es-ES_tradnl" w:eastAsia="en-US"/>
        </w:rPr>
      </w:pPr>
      <w:r>
        <w:t>L</w:t>
      </w:r>
      <w:r w:rsidR="00546C18" w:rsidRPr="00120BB5">
        <w:rPr>
          <w:spacing w:val="0"/>
        </w:rPr>
        <w:t xml:space="preserve">a Comisión y los representantes sostienen que las destituciones del señor Colindres Schonenberg se realizaron sin base legal y </w:t>
      </w:r>
      <w:r w:rsidR="00635290">
        <w:rPr>
          <w:spacing w:val="0"/>
        </w:rPr>
        <w:t>violando</w:t>
      </w:r>
      <w:r w:rsidR="00546C18" w:rsidRPr="00120BB5">
        <w:rPr>
          <w:spacing w:val="0"/>
        </w:rPr>
        <w:t xml:space="preserve"> a su derecho a las garantías judiciales, derechos políticos, protección judicial y el principio de legalidad. El Estado </w:t>
      </w:r>
      <w:r w:rsidR="00D673E2">
        <w:rPr>
          <w:spacing w:val="0"/>
        </w:rPr>
        <w:t xml:space="preserve">por su parte </w:t>
      </w:r>
      <w:r w:rsidR="00546C18" w:rsidRPr="00120BB5">
        <w:rPr>
          <w:spacing w:val="0"/>
        </w:rPr>
        <w:t>enfatizó que el proceso de destitución fue apegado a derecho, por lo que no es responsable internacionalmente. De acuerdo a los alegatos de las partes y la Comisión, en el presente caso la Corte examinará</w:t>
      </w:r>
      <w:r w:rsidR="002154BD" w:rsidRPr="00120BB5">
        <w:rPr>
          <w:spacing w:val="0"/>
        </w:rPr>
        <w:t xml:space="preserve"> </w:t>
      </w:r>
      <w:r w:rsidR="00546C18" w:rsidRPr="00120BB5">
        <w:rPr>
          <w:spacing w:val="0"/>
        </w:rPr>
        <w:t>los derechos a las garantías judiciales, protección judicial</w:t>
      </w:r>
      <w:r w:rsidR="002154BD" w:rsidRPr="00120BB5">
        <w:rPr>
          <w:spacing w:val="0"/>
        </w:rPr>
        <w:t xml:space="preserve">, </w:t>
      </w:r>
      <w:r w:rsidR="00546C18" w:rsidRPr="00120BB5">
        <w:rPr>
          <w:spacing w:val="0"/>
        </w:rPr>
        <w:t>derechos políticos</w:t>
      </w:r>
      <w:r w:rsidR="002154BD" w:rsidRPr="00120BB5">
        <w:rPr>
          <w:spacing w:val="0"/>
        </w:rPr>
        <w:t xml:space="preserve"> y </w:t>
      </w:r>
      <w:r w:rsidR="00BD548F" w:rsidRPr="00120BB5">
        <w:rPr>
          <w:spacing w:val="0"/>
        </w:rPr>
        <w:t>el principio de legalidad.</w:t>
      </w:r>
    </w:p>
    <w:p w14:paraId="53E0F39A" w14:textId="77777777" w:rsidR="00853C58" w:rsidRPr="00E85AD0" w:rsidRDefault="00853C58" w:rsidP="00F62646">
      <w:pPr>
        <w:rPr>
          <w:lang w:val="es-CR"/>
        </w:rPr>
      </w:pPr>
    </w:p>
    <w:p w14:paraId="0D384188" w14:textId="2F7645DE" w:rsidR="00546C18" w:rsidRPr="00E85AD0" w:rsidRDefault="00546C18" w:rsidP="00546C18">
      <w:pPr>
        <w:pStyle w:val="Heading1"/>
      </w:pPr>
      <w:bookmarkStart w:id="168" w:name="_Toc192573"/>
      <w:r w:rsidRPr="00E85AD0">
        <w:t>VI-1</w:t>
      </w:r>
      <w:r w:rsidRPr="00E85AD0">
        <w:br/>
        <w:t>DERECHOS A LAS GARANTÍAS JUDICIALES</w:t>
      </w:r>
      <w:r w:rsidRPr="00E85AD0">
        <w:rPr>
          <w:rStyle w:val="FootnoteReference"/>
          <w:sz w:val="20"/>
        </w:rPr>
        <w:footnoteReference w:id="91"/>
      </w:r>
      <w:r w:rsidRPr="00E85AD0">
        <w:t>, PROTECCIÓN JUDICIAL</w:t>
      </w:r>
      <w:r w:rsidRPr="00E85AD0">
        <w:rPr>
          <w:rStyle w:val="FootnoteReference"/>
          <w:sz w:val="20"/>
        </w:rPr>
        <w:footnoteReference w:id="92"/>
      </w:r>
      <w:r w:rsidRPr="00E85AD0">
        <w:t xml:space="preserve"> </w:t>
      </w:r>
      <w:r w:rsidR="00785A7F">
        <w:t xml:space="preserve">Y </w:t>
      </w:r>
      <w:r w:rsidRPr="00E85AD0">
        <w:t>DERECHOS POLÍTICOS</w:t>
      </w:r>
      <w:r w:rsidRPr="00E85AD0">
        <w:rPr>
          <w:rStyle w:val="FootnoteReference"/>
          <w:sz w:val="20"/>
        </w:rPr>
        <w:footnoteReference w:id="93"/>
      </w:r>
      <w:r w:rsidR="002154BD">
        <w:t xml:space="preserve">, </w:t>
      </w:r>
      <w:r w:rsidRPr="00E85AD0">
        <w:t>EN RELACIÓN CON LA OBLIGACIÓN DE RESPETAR LOS DERECHOS</w:t>
      </w:r>
      <w:r w:rsidRPr="00E85AD0">
        <w:rPr>
          <w:rStyle w:val="FootnoteReference"/>
          <w:sz w:val="20"/>
        </w:rPr>
        <w:footnoteReference w:id="94"/>
      </w:r>
      <w:r w:rsidRPr="00E85AD0">
        <w:t xml:space="preserve"> Y EL DEBER DE ADOPTAR DISPOSICIONES DE DERECHO INTERNO</w:t>
      </w:r>
      <w:r w:rsidRPr="00E85AD0">
        <w:rPr>
          <w:rStyle w:val="FootnoteReference"/>
          <w:sz w:val="20"/>
        </w:rPr>
        <w:footnoteReference w:id="95"/>
      </w:r>
      <w:bookmarkEnd w:id="168"/>
    </w:p>
    <w:p w14:paraId="4236A6DE" w14:textId="77777777" w:rsidR="00546C18" w:rsidRPr="00E85AD0" w:rsidRDefault="00546C18" w:rsidP="00546C18">
      <w:pPr>
        <w:pStyle w:val="PrrafodeSentencia"/>
        <w:numPr>
          <w:ilvl w:val="0"/>
          <w:numId w:val="0"/>
        </w:numPr>
        <w:rPr>
          <w:spacing w:val="0"/>
        </w:rPr>
      </w:pPr>
    </w:p>
    <w:p w14:paraId="45AC6FC9" w14:textId="77777777" w:rsidR="00546C18" w:rsidRPr="00E85AD0" w:rsidRDefault="00546C18" w:rsidP="004457B6">
      <w:pPr>
        <w:pStyle w:val="Heading2"/>
        <w:numPr>
          <w:ilvl w:val="0"/>
          <w:numId w:val="11"/>
        </w:numPr>
        <w:ind w:left="1134" w:hanging="567"/>
      </w:pPr>
      <w:bookmarkStart w:id="169" w:name="_Toc524880330"/>
      <w:bookmarkStart w:id="170" w:name="_Toc192574"/>
      <w:r w:rsidRPr="00E85AD0">
        <w:t>Alegatos de la Comisión y de las partes</w:t>
      </w:r>
      <w:bookmarkEnd w:id="169"/>
      <w:bookmarkEnd w:id="170"/>
    </w:p>
    <w:p w14:paraId="03494365" w14:textId="77777777" w:rsidR="00546C18" w:rsidRPr="00E85AD0" w:rsidRDefault="00546C18" w:rsidP="00546C18">
      <w:pPr>
        <w:rPr>
          <w:color w:val="FF0000"/>
          <w:lang w:val="es-ES_tradnl" w:eastAsia="es-ES"/>
        </w:rPr>
      </w:pPr>
    </w:p>
    <w:p w14:paraId="2CAB3736" w14:textId="67445837" w:rsidR="00546C18" w:rsidRPr="00E85AD0" w:rsidRDefault="00546C18" w:rsidP="00546C18">
      <w:pPr>
        <w:pStyle w:val="PrrafodeSentencia"/>
        <w:rPr>
          <w:rFonts w:cs="Arial"/>
          <w:b/>
          <w:noProof/>
          <w:spacing w:val="0"/>
          <w:szCs w:val="20"/>
        </w:rPr>
      </w:pPr>
      <w:r w:rsidRPr="00E85AD0">
        <w:rPr>
          <w:spacing w:val="0"/>
        </w:rPr>
        <w:t xml:space="preserve">La </w:t>
      </w:r>
      <w:r w:rsidRPr="00E85AD0">
        <w:rPr>
          <w:b/>
          <w:i/>
          <w:spacing w:val="0"/>
        </w:rPr>
        <w:t xml:space="preserve">Comisión </w:t>
      </w:r>
      <w:r w:rsidRPr="00E85AD0">
        <w:rPr>
          <w:spacing w:val="0"/>
        </w:rPr>
        <w:t xml:space="preserve">alegó que “la Constitución no atribuía expresamente a la Asamblea Legislativa la competencia para cesar o destituir a los magistrados del TSE”, y tampoco existía regulación sobre el procedimiento a seguir. Al respecto, destacó que el pronunciamiento de la Sala de lo Constitucional “no puede en sí mismo, sustituir la función de la ley de ofrecer […] la seguridad jurídica necesaria en cuanto a la previsibilidad de la autoridad </w:t>
      </w:r>
      <w:r w:rsidRPr="00471787">
        <w:rPr>
          <w:spacing w:val="0"/>
        </w:rPr>
        <w:t>competente” y el procedimiento a seguir. Señaló que</w:t>
      </w:r>
      <w:r w:rsidRPr="00471787">
        <w:rPr>
          <w:b/>
          <w:spacing w:val="0"/>
        </w:rPr>
        <w:t xml:space="preserve"> </w:t>
      </w:r>
      <w:r w:rsidRPr="00471787">
        <w:rPr>
          <w:spacing w:val="0"/>
        </w:rPr>
        <w:t>“se trató de un procedimiento de naturaleza sancionatori</w:t>
      </w:r>
      <w:r w:rsidR="006C405F">
        <w:rPr>
          <w:spacing w:val="0"/>
        </w:rPr>
        <w:t>a</w:t>
      </w:r>
      <w:r w:rsidRPr="00471787">
        <w:rPr>
          <w:spacing w:val="0"/>
        </w:rPr>
        <w:t xml:space="preserve"> que tenía por objetivo evaluar [su] conducta […] como magistrado del </w:t>
      </w:r>
      <w:r w:rsidR="00720346">
        <w:rPr>
          <w:spacing w:val="0"/>
        </w:rPr>
        <w:t>[TSE]</w:t>
      </w:r>
      <w:r w:rsidRPr="00471787">
        <w:rPr>
          <w:spacing w:val="0"/>
        </w:rPr>
        <w:t>, el cual culminó con l[a] sanció[n] de destitución”. Además</w:t>
      </w:r>
      <w:r w:rsidRPr="00471787">
        <w:rPr>
          <w:b/>
          <w:i/>
          <w:spacing w:val="0"/>
        </w:rPr>
        <w:t xml:space="preserve"> </w:t>
      </w:r>
      <w:r w:rsidRPr="00471787">
        <w:rPr>
          <w:spacing w:val="0"/>
        </w:rPr>
        <w:t>alegó que la destitución de la presunta víctima la realizó un órgano político, lo cual</w:t>
      </w:r>
      <w:r w:rsidR="00720346">
        <w:rPr>
          <w:spacing w:val="0"/>
        </w:rPr>
        <w:t>,</w:t>
      </w:r>
      <w:r w:rsidRPr="00471787">
        <w:rPr>
          <w:spacing w:val="0"/>
        </w:rPr>
        <w:t xml:space="preserve"> en sí mismo</w:t>
      </w:r>
      <w:r w:rsidR="00720346">
        <w:rPr>
          <w:spacing w:val="0"/>
        </w:rPr>
        <w:t>,</w:t>
      </w:r>
      <w:r w:rsidRPr="00471787">
        <w:rPr>
          <w:spacing w:val="0"/>
        </w:rPr>
        <w:t xml:space="preserve"> “resulta problemátic</w:t>
      </w:r>
      <w:r w:rsidR="00720346">
        <w:rPr>
          <w:spacing w:val="0"/>
        </w:rPr>
        <w:t>[o]</w:t>
      </w:r>
      <w:r w:rsidRPr="00471787">
        <w:rPr>
          <w:spacing w:val="0"/>
        </w:rPr>
        <w:t xml:space="preserve"> con la garantía de independencia”. Asimismo indicó que en el presente caso se incumplió con la garantía de imparcialidad ya que “los diputados del PDC que integraron la Asamblea Legislativa y, por lo tanto, formaron parte del órgano disciplinario, tenían la intención de sancionar al </w:t>
      </w:r>
      <w:r w:rsidR="00CA2925">
        <w:rPr>
          <w:spacing w:val="0"/>
        </w:rPr>
        <w:t>M</w:t>
      </w:r>
      <w:r w:rsidRPr="00471787">
        <w:rPr>
          <w:spacing w:val="0"/>
        </w:rPr>
        <w:t>agistrado Colindres por su actuación en los casos que involucraban al PDC, teniendo un interés propio en el resultado de tales casos</w:t>
      </w:r>
      <w:r w:rsidR="00720346">
        <w:rPr>
          <w:spacing w:val="0"/>
        </w:rPr>
        <w:t>”</w:t>
      </w:r>
      <w:r w:rsidRPr="00471787">
        <w:rPr>
          <w:spacing w:val="0"/>
        </w:rPr>
        <w:t xml:space="preserve">. </w:t>
      </w:r>
      <w:r w:rsidRPr="00471787">
        <w:rPr>
          <w:spacing w:val="0"/>
          <w:lang w:val="es-ES_tradnl"/>
        </w:rPr>
        <w:t>Alegó que se violó el deber de motivación ya que ninguno de los dos decretos que</w:t>
      </w:r>
      <w:r w:rsidR="00720346">
        <w:rPr>
          <w:spacing w:val="0"/>
          <w:lang w:val="es-ES_tradnl"/>
        </w:rPr>
        <w:t xml:space="preserve"> ordenaron destituir</w:t>
      </w:r>
      <w:r w:rsidRPr="00471787">
        <w:rPr>
          <w:spacing w:val="0"/>
          <w:lang w:val="es-ES_tradnl"/>
        </w:rPr>
        <w:t xml:space="preserve"> a la presunta víctima describía</w:t>
      </w:r>
      <w:r w:rsidR="0021520D">
        <w:rPr>
          <w:spacing w:val="0"/>
          <w:lang w:val="es-ES_tradnl"/>
        </w:rPr>
        <w:t>n</w:t>
      </w:r>
      <w:r w:rsidRPr="00471787">
        <w:rPr>
          <w:spacing w:val="0"/>
          <w:lang w:val="es-ES_tradnl"/>
        </w:rPr>
        <w:t xml:space="preserve"> “hechos concretos cometidos por el señor Colindres” que pudieran vincularse frente a eventuales causales de carácter disciplinario. </w:t>
      </w:r>
      <w:r w:rsidRPr="00471787">
        <w:rPr>
          <w:spacing w:val="0"/>
        </w:rPr>
        <w:t xml:space="preserve">Además destacó que la falta de regulación “tuvo un severo impacto en las oportunidades y previsibilidad para que el </w:t>
      </w:r>
      <w:r w:rsidR="00CA2925">
        <w:rPr>
          <w:spacing w:val="0"/>
        </w:rPr>
        <w:t>M</w:t>
      </w:r>
      <w:r w:rsidRPr="00471787">
        <w:rPr>
          <w:spacing w:val="0"/>
        </w:rPr>
        <w:t xml:space="preserve">agistrado Colindres pudiera ejercer sus medios de defensa”. </w:t>
      </w:r>
      <w:r w:rsidRPr="00471787">
        <w:rPr>
          <w:spacing w:val="0"/>
        </w:rPr>
        <w:lastRenderedPageBreak/>
        <w:t xml:space="preserve">Asimismo, indicó que “el plazo de tres días [otorgado al señor Colindres] para ejercer </w:t>
      </w:r>
      <w:r w:rsidR="006C405F">
        <w:rPr>
          <w:spacing w:val="0"/>
        </w:rPr>
        <w:t>[</w:t>
      </w:r>
      <w:r w:rsidRPr="00471787">
        <w:rPr>
          <w:spacing w:val="0"/>
        </w:rPr>
        <w:t>su</w:t>
      </w:r>
      <w:r w:rsidR="006C405F">
        <w:rPr>
          <w:spacing w:val="0"/>
        </w:rPr>
        <w:t>]</w:t>
      </w:r>
      <w:r w:rsidRPr="00471787">
        <w:rPr>
          <w:spacing w:val="0"/>
        </w:rPr>
        <w:t xml:space="preserve"> derecho de defensa, no resultaba previsible” y que durante el procedimiento ocurrieron otras irregularidades también violatorias del derecho de defensa. Por otra parte, alegó que respecto a la primera destitución solo se repararon los daños morales por la violación al derecho de audiencia y no a ninguna otra violación.</w:t>
      </w:r>
      <w:r w:rsidRPr="00471787">
        <w:rPr>
          <w:b/>
          <w:spacing w:val="0"/>
        </w:rPr>
        <w:t xml:space="preserve"> </w:t>
      </w:r>
      <w:r w:rsidR="00865436" w:rsidRPr="00086E38">
        <w:rPr>
          <w:spacing w:val="0"/>
        </w:rPr>
        <w:t>Asimismo</w:t>
      </w:r>
      <w:r w:rsidR="00086E38" w:rsidRPr="00086E38">
        <w:rPr>
          <w:spacing w:val="0"/>
        </w:rPr>
        <w:t>,</w:t>
      </w:r>
      <w:r w:rsidR="00086E38">
        <w:rPr>
          <w:b/>
          <w:spacing w:val="0"/>
        </w:rPr>
        <w:t xml:space="preserve"> </w:t>
      </w:r>
      <w:r w:rsidR="00086E38">
        <w:rPr>
          <w:spacing w:val="0"/>
          <w:szCs w:val="20"/>
        </w:rPr>
        <w:t>l</w:t>
      </w:r>
      <w:r w:rsidRPr="00471787">
        <w:rPr>
          <w:spacing w:val="0"/>
          <w:szCs w:val="20"/>
        </w:rPr>
        <w:t>a Comisión señaló que</w:t>
      </w:r>
      <w:r w:rsidRPr="00471787">
        <w:rPr>
          <w:color w:val="FF0000"/>
          <w:spacing w:val="0"/>
          <w:szCs w:val="20"/>
        </w:rPr>
        <w:t xml:space="preserve"> </w:t>
      </w:r>
      <w:r w:rsidRPr="00471787">
        <w:rPr>
          <w:spacing w:val="0"/>
          <w:szCs w:val="20"/>
        </w:rPr>
        <w:t>“al no encontrarse regulada la posibilidad de apelar la decisión de la Asamblea Legislativa, el Estado incumplió, en perjuicio del señor Colindres el derecho establecido</w:t>
      </w:r>
      <w:r w:rsidRPr="00E85AD0">
        <w:rPr>
          <w:spacing w:val="0"/>
          <w:szCs w:val="20"/>
        </w:rPr>
        <w:t xml:space="preserve"> el articulo 8.2 h) de la Convención”. Añadió que “la Sala de lo Constitucional no analizó la compatibilidad de los argumentos planteados por el señor Colindres, a la luz de los derechos protegidos en la Constitución y en la Convención, lo cual era su obligación, por lo que se violó el artículo 25</w:t>
      </w:r>
      <w:r w:rsidR="00BD4D80">
        <w:rPr>
          <w:spacing w:val="0"/>
          <w:szCs w:val="20"/>
        </w:rPr>
        <w:t>”</w:t>
      </w:r>
      <w:r w:rsidRPr="00E85AD0">
        <w:rPr>
          <w:spacing w:val="0"/>
          <w:szCs w:val="20"/>
        </w:rPr>
        <w:t>.</w:t>
      </w:r>
      <w:r w:rsidRPr="00E85AD0">
        <w:rPr>
          <w:b/>
          <w:spacing w:val="0"/>
          <w:szCs w:val="20"/>
        </w:rPr>
        <w:t xml:space="preserve"> </w:t>
      </w:r>
      <w:r w:rsidR="00865436">
        <w:rPr>
          <w:spacing w:val="0"/>
          <w:szCs w:val="20"/>
        </w:rPr>
        <w:t>L</w:t>
      </w:r>
      <w:r w:rsidRPr="00E85AD0">
        <w:rPr>
          <w:spacing w:val="0"/>
          <w:szCs w:val="20"/>
        </w:rPr>
        <w:t xml:space="preserve">a </w:t>
      </w:r>
      <w:r w:rsidRPr="00E85AD0">
        <w:rPr>
          <w:rFonts w:cs="Arial"/>
          <w:noProof/>
          <w:spacing w:val="0"/>
          <w:szCs w:val="20"/>
        </w:rPr>
        <w:t>Comisión</w:t>
      </w:r>
      <w:r w:rsidRPr="00E85AD0">
        <w:rPr>
          <w:rFonts w:cs="Arial"/>
          <w:b/>
          <w:i/>
          <w:noProof/>
          <w:spacing w:val="0"/>
          <w:szCs w:val="20"/>
        </w:rPr>
        <w:t xml:space="preserve"> </w:t>
      </w:r>
      <w:r w:rsidRPr="00E85AD0">
        <w:rPr>
          <w:rFonts w:cs="Arial"/>
          <w:noProof/>
          <w:spacing w:val="0"/>
          <w:szCs w:val="20"/>
        </w:rPr>
        <w:t xml:space="preserve">alegó que la separación </w:t>
      </w:r>
      <w:r w:rsidR="00720346">
        <w:rPr>
          <w:rFonts w:cs="Arial"/>
          <w:noProof/>
          <w:spacing w:val="0"/>
          <w:szCs w:val="20"/>
        </w:rPr>
        <w:t xml:space="preserve">arbitraria </w:t>
      </w:r>
      <w:r w:rsidRPr="00E85AD0">
        <w:rPr>
          <w:rFonts w:cs="Arial"/>
          <w:noProof/>
          <w:spacing w:val="0"/>
          <w:szCs w:val="20"/>
        </w:rPr>
        <w:t xml:space="preserve">del cargo del señor Colindres también violó el artículo 23.1 c) de la Convención Americana en relación con el artículo 1.1 del mismo instrumento. </w:t>
      </w:r>
    </w:p>
    <w:p w14:paraId="3F71CAF7" w14:textId="77777777" w:rsidR="00546C18" w:rsidRPr="00E85AD0" w:rsidRDefault="00546C18" w:rsidP="00546C18">
      <w:pPr>
        <w:rPr>
          <w:lang w:val="es-CR" w:eastAsia="es-MX"/>
        </w:rPr>
      </w:pPr>
    </w:p>
    <w:p w14:paraId="574EFCFA" w14:textId="4AC5D911" w:rsidR="00865436" w:rsidRDefault="00865436" w:rsidP="00865436">
      <w:pPr>
        <w:pStyle w:val="PrrafodeSentencia"/>
        <w:rPr>
          <w:b/>
        </w:rPr>
      </w:pPr>
      <w:r w:rsidRPr="004457B6">
        <w:t>La</w:t>
      </w:r>
      <w:r w:rsidRPr="004457B6">
        <w:rPr>
          <w:b/>
        </w:rPr>
        <w:t xml:space="preserve"> </w:t>
      </w:r>
      <w:r w:rsidRPr="004457B6">
        <w:rPr>
          <w:b/>
          <w:i/>
        </w:rPr>
        <w:t>Comisión</w:t>
      </w:r>
      <w:r w:rsidRPr="004457B6">
        <w:rPr>
          <w:b/>
        </w:rPr>
        <w:t xml:space="preserve"> </w:t>
      </w:r>
      <w:r w:rsidR="00BD4D80" w:rsidRPr="00A10820">
        <w:t>también</w:t>
      </w:r>
      <w:r w:rsidR="00BD4D80">
        <w:rPr>
          <w:b/>
        </w:rPr>
        <w:t xml:space="preserve"> </w:t>
      </w:r>
      <w:r w:rsidRPr="004457B6">
        <w:t>señaló que</w:t>
      </w:r>
      <w:r w:rsidRPr="004457B6">
        <w:rPr>
          <w:b/>
        </w:rPr>
        <w:t xml:space="preserve"> </w:t>
      </w:r>
      <w:r w:rsidRPr="004C6A7F">
        <w:t>“</w:t>
      </w:r>
      <w:r w:rsidRPr="004457B6">
        <w:t>el Estado no había adoptado las medidas de carácter legislativo para crear un régimen disciplinario para magistrados del TSE, por lo cual no existían</w:t>
      </w:r>
      <w:r w:rsidR="00720346">
        <w:t>[,]</w:t>
      </w:r>
      <w:r w:rsidRPr="004457B6">
        <w:t xml:space="preserve"> al momento de los hechos</w:t>
      </w:r>
      <w:r w:rsidR="00720346">
        <w:t>[,]</w:t>
      </w:r>
      <w:r w:rsidRPr="004457B6">
        <w:t xml:space="preserve"> causales disciplinarias ni sanciones aplicables. Un proceso disciplinario en estas circunstancias resultó, en s</w:t>
      </w:r>
      <w:r w:rsidR="00720346">
        <w:t>[</w:t>
      </w:r>
      <w:r w:rsidRPr="004457B6">
        <w:t>í</w:t>
      </w:r>
      <w:r w:rsidR="00720346">
        <w:t>]</w:t>
      </w:r>
      <w:r w:rsidRPr="004457B6">
        <w:t xml:space="preserve"> mism</w:t>
      </w:r>
      <w:r w:rsidR="00951173">
        <w:t>o</w:t>
      </w:r>
      <w:r w:rsidRPr="004457B6">
        <w:t>, contrario al principio de legalidad”. Indicó que la aplicación por analogía de los requisitos de nombramiento de magistrados del TSE para el ejercicio de la facultad disciplinaria</w:t>
      </w:r>
      <w:r w:rsidRPr="004457B6">
        <w:rPr>
          <w14:scene3d>
            <w14:camera w14:prst="orthographicFront"/>
            <w14:lightRig w14:rig="threePt" w14:dir="t">
              <w14:rot w14:lat="0" w14:lon="0" w14:rev="0"/>
            </w14:lightRig>
          </w14:scene3d>
        </w:rPr>
        <w:t xml:space="preserve"> también resulta violatorio del principio de legalidad</w:t>
      </w:r>
      <w:r w:rsidRPr="004457B6">
        <w:t>.</w:t>
      </w:r>
      <w:r w:rsidRPr="004457B6">
        <w:rPr>
          <w:b/>
        </w:rPr>
        <w:t xml:space="preserve"> </w:t>
      </w:r>
      <w:r w:rsidR="00DA7012">
        <w:t>Asimismo, la Comisión</w:t>
      </w:r>
      <w:r w:rsidRPr="004457B6">
        <w:rPr>
          <w:b/>
        </w:rPr>
        <w:t xml:space="preserve"> </w:t>
      </w:r>
      <w:r w:rsidR="00DA7012">
        <w:t>indicó que se había viol</w:t>
      </w:r>
      <w:r w:rsidR="00720346">
        <w:t>ado</w:t>
      </w:r>
      <w:r w:rsidR="00DA7012">
        <w:t xml:space="preserve"> el artículo 2 de la Convención por la falta de adecuación del ordenamiento jurídico interno.</w:t>
      </w:r>
    </w:p>
    <w:p w14:paraId="0C4BD94B" w14:textId="77777777" w:rsidR="00865436" w:rsidRPr="00865436" w:rsidRDefault="00865436" w:rsidP="00865436">
      <w:pPr>
        <w:rPr>
          <w:lang w:val="es-CR" w:eastAsia="es-MX"/>
        </w:rPr>
      </w:pPr>
    </w:p>
    <w:p w14:paraId="749D182C" w14:textId="5FBDE90C" w:rsidR="0021520D" w:rsidRDefault="00546C18" w:rsidP="00546C18">
      <w:pPr>
        <w:pStyle w:val="PrrafodeSentencia"/>
        <w:rPr>
          <w:b/>
          <w:spacing w:val="0"/>
          <w:szCs w:val="20"/>
        </w:rPr>
      </w:pPr>
      <w:r w:rsidRPr="00E85AD0">
        <w:rPr>
          <w:spacing w:val="0"/>
        </w:rPr>
        <w:t xml:space="preserve">Los </w:t>
      </w:r>
      <w:r w:rsidRPr="00E85AD0">
        <w:rPr>
          <w:b/>
          <w:i/>
          <w:spacing w:val="0"/>
        </w:rPr>
        <w:t xml:space="preserve">representantes </w:t>
      </w:r>
      <w:r w:rsidRPr="00E85AD0">
        <w:rPr>
          <w:spacing w:val="0"/>
          <w:szCs w:val="20"/>
        </w:rPr>
        <w:t xml:space="preserve">señalaron que el señor Colindres </w:t>
      </w:r>
      <w:r w:rsidR="00951173">
        <w:rPr>
          <w:spacing w:val="0"/>
          <w:szCs w:val="20"/>
        </w:rPr>
        <w:t xml:space="preserve">Schonenberg </w:t>
      </w:r>
      <w:r w:rsidRPr="00E85AD0">
        <w:rPr>
          <w:spacing w:val="0"/>
          <w:szCs w:val="20"/>
        </w:rPr>
        <w:t>fue destituido sin la existencia de una ley que estableciera cu</w:t>
      </w:r>
      <w:r w:rsidR="00086E38">
        <w:rPr>
          <w:spacing w:val="0"/>
          <w:szCs w:val="20"/>
        </w:rPr>
        <w:t>á</w:t>
      </w:r>
      <w:r w:rsidRPr="00E85AD0">
        <w:rPr>
          <w:spacing w:val="0"/>
          <w:szCs w:val="20"/>
        </w:rPr>
        <w:t xml:space="preserve">l era el órgano competente y sin un procedimiento predeterminado. Alegaron que “la Asamblea Legislativa, de manera </w:t>
      </w:r>
      <w:r w:rsidRPr="00086E38">
        <w:rPr>
          <w:i/>
          <w:spacing w:val="0"/>
          <w:szCs w:val="20"/>
        </w:rPr>
        <w:t>sui generis</w:t>
      </w:r>
      <w:r w:rsidRPr="00E85AD0">
        <w:rPr>
          <w:spacing w:val="0"/>
          <w:szCs w:val="20"/>
        </w:rPr>
        <w:t xml:space="preserve"> e improvisada fue desarrollando un procedimiento disciplinario sancionador”.</w:t>
      </w:r>
      <w:r w:rsidRPr="00E85AD0">
        <w:rPr>
          <w:b/>
          <w:spacing w:val="0"/>
          <w:szCs w:val="20"/>
        </w:rPr>
        <w:t xml:space="preserve"> </w:t>
      </w:r>
      <w:r w:rsidRPr="00E85AD0">
        <w:rPr>
          <w:spacing w:val="0"/>
          <w:szCs w:val="20"/>
        </w:rPr>
        <w:t>Indicaron que en los procedimientos de destitución se violó el derecho a ser oído y “no tuvo oportunidad real para defenderse y menos para preparar su defensa”. Además señalaron que se violó el derecho al proceso en plazo razonable ya que en la primera destitución no existió proceso y en la segunda solo se le dieron tres días para argumentar en contra de su destitución. Alegaron que se “prescindió de cualquier medio probatorio que demostrara” que la presunta víctima hubiese actuado incorrectamente, por lo que se violó el derecho</w:t>
      </w:r>
      <w:r w:rsidR="00951173">
        <w:rPr>
          <w:spacing w:val="0"/>
          <w:szCs w:val="20"/>
        </w:rPr>
        <w:t xml:space="preserve"> a la presunción de inocencia. Señalaron</w:t>
      </w:r>
      <w:r w:rsidRPr="00E85AD0">
        <w:rPr>
          <w:spacing w:val="0"/>
          <w:szCs w:val="20"/>
        </w:rPr>
        <w:t xml:space="preserve"> que en la p</w:t>
      </w:r>
      <w:r w:rsidR="00494A68">
        <w:rPr>
          <w:spacing w:val="0"/>
          <w:szCs w:val="20"/>
        </w:rPr>
        <w:t>rimera destitución no se respet</w:t>
      </w:r>
      <w:r w:rsidRPr="00E85AD0">
        <w:rPr>
          <w:spacing w:val="0"/>
          <w:szCs w:val="20"/>
        </w:rPr>
        <w:t xml:space="preserve">ó el derecho a conocer previa y detalladamente la acusación. </w:t>
      </w:r>
      <w:r w:rsidR="004C6A7F">
        <w:rPr>
          <w:spacing w:val="0"/>
          <w:szCs w:val="20"/>
        </w:rPr>
        <w:t>Indicaron</w:t>
      </w:r>
      <w:r w:rsidR="0021520D" w:rsidRPr="004457B6">
        <w:rPr>
          <w:spacing w:val="0"/>
          <w:szCs w:val="20"/>
        </w:rPr>
        <w:t xml:space="preserve"> que la falta de asidero legal de un procedimiento para efectuar la destitución de un magistrado del TSE violó el principio de legalidad. </w:t>
      </w:r>
      <w:r w:rsidR="00951173">
        <w:rPr>
          <w:spacing w:val="0"/>
          <w:szCs w:val="20"/>
        </w:rPr>
        <w:t>Alegaron</w:t>
      </w:r>
      <w:r w:rsidR="0021520D" w:rsidRPr="004457B6">
        <w:rPr>
          <w:spacing w:val="0"/>
          <w:szCs w:val="20"/>
        </w:rPr>
        <w:t xml:space="preserve"> que no existió ninguna causal disciplinaria ni sanciones aplicables</w:t>
      </w:r>
      <w:r w:rsidR="00460B77">
        <w:rPr>
          <w:spacing w:val="0"/>
          <w:szCs w:val="20"/>
        </w:rPr>
        <w:t>,</w:t>
      </w:r>
      <w:r w:rsidR="0021520D" w:rsidRPr="004457B6">
        <w:rPr>
          <w:spacing w:val="0"/>
          <w:szCs w:val="20"/>
        </w:rPr>
        <w:t xml:space="preserve"> pues los decretos por los cuales se destituyó al señor Colindres no establecieron una relación clara </w:t>
      </w:r>
      <w:r w:rsidR="00494A68">
        <w:rPr>
          <w:spacing w:val="0"/>
          <w:szCs w:val="20"/>
        </w:rPr>
        <w:t>de</w:t>
      </w:r>
      <w:r w:rsidR="0021520D" w:rsidRPr="004457B6">
        <w:rPr>
          <w:spacing w:val="0"/>
          <w:szCs w:val="20"/>
        </w:rPr>
        <w:t xml:space="preserve"> cuáles </w:t>
      </w:r>
      <w:r w:rsidR="00494A68">
        <w:rPr>
          <w:spacing w:val="0"/>
          <w:szCs w:val="20"/>
        </w:rPr>
        <w:t>fuer</w:t>
      </w:r>
      <w:r w:rsidR="0021520D" w:rsidRPr="004457B6">
        <w:rPr>
          <w:spacing w:val="0"/>
          <w:szCs w:val="20"/>
        </w:rPr>
        <w:t>on los asuntos específicos en</w:t>
      </w:r>
      <w:r w:rsidR="00460B77">
        <w:rPr>
          <w:spacing w:val="0"/>
          <w:szCs w:val="20"/>
        </w:rPr>
        <w:t xml:space="preserve"> los que</w:t>
      </w:r>
      <w:r w:rsidR="0021520D" w:rsidRPr="004457B6">
        <w:rPr>
          <w:spacing w:val="0"/>
          <w:szCs w:val="20"/>
        </w:rPr>
        <w:t xml:space="preserve"> intervino, </w:t>
      </w:r>
      <w:r w:rsidR="00494A68">
        <w:rPr>
          <w:spacing w:val="0"/>
          <w:szCs w:val="20"/>
        </w:rPr>
        <w:t>qué</w:t>
      </w:r>
      <w:r w:rsidR="0021520D" w:rsidRPr="004457B6">
        <w:rPr>
          <w:spacing w:val="0"/>
          <w:szCs w:val="20"/>
        </w:rPr>
        <w:t xml:space="preserve"> hechos </w:t>
      </w:r>
      <w:r w:rsidR="00494A68">
        <w:rPr>
          <w:spacing w:val="0"/>
          <w:szCs w:val="20"/>
        </w:rPr>
        <w:t>comprometieron</w:t>
      </w:r>
      <w:r w:rsidR="0021520D" w:rsidRPr="004457B6">
        <w:rPr>
          <w:spacing w:val="0"/>
          <w:szCs w:val="20"/>
        </w:rPr>
        <w:t xml:space="preserve"> su imparcialidad, ni se nombró alguna norma o ley para poder justificar la sanción. </w:t>
      </w:r>
    </w:p>
    <w:p w14:paraId="39B9E654" w14:textId="77777777" w:rsidR="0021520D" w:rsidRPr="0021520D" w:rsidRDefault="0021520D" w:rsidP="0021520D">
      <w:pPr>
        <w:rPr>
          <w:lang w:val="es-CR" w:eastAsia="es-MX"/>
        </w:rPr>
      </w:pPr>
    </w:p>
    <w:p w14:paraId="7E1B3043" w14:textId="76F1D495" w:rsidR="007544D8" w:rsidRPr="007544D8" w:rsidRDefault="0021520D" w:rsidP="007D60D2">
      <w:pPr>
        <w:pStyle w:val="PrrafodeSentencia"/>
        <w:tabs>
          <w:tab w:val="left" w:pos="0"/>
        </w:tabs>
        <w:rPr>
          <w:rFonts w:cs="Arial"/>
          <w:noProof/>
          <w:spacing w:val="0"/>
          <w:szCs w:val="20"/>
        </w:rPr>
      </w:pPr>
      <w:r w:rsidRPr="004457B6">
        <w:rPr>
          <w:spacing w:val="0"/>
          <w:szCs w:val="20"/>
        </w:rPr>
        <w:t>Los</w:t>
      </w:r>
      <w:r w:rsidRPr="004457B6">
        <w:rPr>
          <w:i/>
          <w:spacing w:val="0"/>
          <w:szCs w:val="20"/>
        </w:rPr>
        <w:t xml:space="preserve"> </w:t>
      </w:r>
      <w:r w:rsidRPr="004457B6">
        <w:rPr>
          <w:b/>
          <w:i/>
          <w:spacing w:val="0"/>
          <w:szCs w:val="20"/>
        </w:rPr>
        <w:t xml:space="preserve">representantes </w:t>
      </w:r>
      <w:r w:rsidR="00546C18" w:rsidRPr="0021520D">
        <w:rPr>
          <w:spacing w:val="0"/>
          <w:szCs w:val="20"/>
        </w:rPr>
        <w:t xml:space="preserve">señalaron que </w:t>
      </w:r>
      <w:r w:rsidR="00546C18" w:rsidRPr="0021520D">
        <w:rPr>
          <w:rFonts w:cs="Georgia"/>
          <w:spacing w:val="0"/>
          <w:szCs w:val="20"/>
        </w:rPr>
        <w:t xml:space="preserve">“la Asamblea Legislativa no consideró incorporar en el procedimiento de destitución contra el </w:t>
      </w:r>
      <w:r w:rsidR="00494A68">
        <w:rPr>
          <w:rFonts w:cs="Georgia"/>
          <w:spacing w:val="0"/>
          <w:szCs w:val="20"/>
        </w:rPr>
        <w:t>[señor</w:t>
      </w:r>
      <w:r w:rsidR="00546C18" w:rsidRPr="0021520D">
        <w:rPr>
          <w:rFonts w:cs="Georgia"/>
          <w:spacing w:val="0"/>
          <w:szCs w:val="20"/>
        </w:rPr>
        <w:t xml:space="preserve"> Colindres </w:t>
      </w:r>
      <w:r w:rsidR="00494A68">
        <w:rPr>
          <w:rFonts w:cs="Georgia"/>
          <w:spacing w:val="0"/>
          <w:szCs w:val="20"/>
        </w:rPr>
        <w:t xml:space="preserve">Schonenberg] </w:t>
      </w:r>
      <w:r w:rsidR="00546C18" w:rsidRPr="0021520D">
        <w:rPr>
          <w:rFonts w:cs="Georgia"/>
          <w:spacing w:val="0"/>
          <w:szCs w:val="20"/>
        </w:rPr>
        <w:t>la figura del recurso” y que la Sala de lo Constitucional al resolver l</w:t>
      </w:r>
      <w:r w:rsidR="00A54F66">
        <w:rPr>
          <w:rFonts w:cs="Georgia"/>
          <w:spacing w:val="0"/>
          <w:szCs w:val="20"/>
        </w:rPr>
        <w:t>as acciones</w:t>
      </w:r>
      <w:r w:rsidR="00546C18" w:rsidRPr="0021520D">
        <w:rPr>
          <w:rFonts w:cs="Georgia"/>
          <w:spacing w:val="0"/>
          <w:szCs w:val="20"/>
        </w:rPr>
        <w:t xml:space="preserve"> de amparo “dej</w:t>
      </w:r>
      <w:r w:rsidR="00494A68">
        <w:rPr>
          <w:rFonts w:cs="Georgia"/>
          <w:spacing w:val="0"/>
          <w:szCs w:val="20"/>
        </w:rPr>
        <w:t>[</w:t>
      </w:r>
      <w:r w:rsidR="00546C18" w:rsidRPr="0021520D">
        <w:rPr>
          <w:rFonts w:cs="Georgia"/>
          <w:spacing w:val="0"/>
          <w:szCs w:val="20"/>
        </w:rPr>
        <w:t>ó</w:t>
      </w:r>
      <w:r w:rsidR="00494A68">
        <w:rPr>
          <w:rFonts w:cs="Georgia"/>
          <w:spacing w:val="0"/>
          <w:szCs w:val="20"/>
        </w:rPr>
        <w:t>]</w:t>
      </w:r>
      <w:r w:rsidR="00546C18" w:rsidRPr="0021520D">
        <w:rPr>
          <w:rFonts w:cs="Georgia"/>
          <w:spacing w:val="0"/>
          <w:szCs w:val="20"/>
        </w:rPr>
        <w:t xml:space="preserve"> en completa desprotección los derechos humanos” de la presunta víctima. Respecto a la sentencia tras la primera destitución, indicaron que la Sala de lo Constitucional “</w:t>
      </w:r>
      <w:r w:rsidR="00546C18" w:rsidRPr="0021520D">
        <w:rPr>
          <w:spacing w:val="0"/>
          <w:szCs w:val="20"/>
        </w:rPr>
        <w:t>tendría que haber abarcado muchos otros eleme</w:t>
      </w:r>
      <w:r w:rsidR="00494A68">
        <w:rPr>
          <w:spacing w:val="0"/>
          <w:szCs w:val="20"/>
        </w:rPr>
        <w:t>ntos y no únicamente</w:t>
      </w:r>
      <w:r w:rsidR="00546C18" w:rsidRPr="0021520D">
        <w:rPr>
          <w:spacing w:val="0"/>
          <w:szCs w:val="20"/>
        </w:rPr>
        <w:t xml:space="preserve"> el derecho de audiencia</w:t>
      </w:r>
      <w:r w:rsidR="00546C18" w:rsidRPr="0021520D">
        <w:rPr>
          <w:rFonts w:cs="Georgia"/>
          <w:spacing w:val="0"/>
          <w:szCs w:val="20"/>
        </w:rPr>
        <w:t>”. Además señalaron que si bien el Estado indemnizó respecto a la primera destitución</w:t>
      </w:r>
      <w:r w:rsidR="00546C18" w:rsidRPr="0021520D">
        <w:rPr>
          <w:rFonts w:cs="Georgia"/>
          <w:b/>
          <w:spacing w:val="0"/>
          <w:szCs w:val="20"/>
        </w:rPr>
        <w:t xml:space="preserve"> </w:t>
      </w:r>
      <w:r w:rsidR="00546C18" w:rsidRPr="0021520D">
        <w:rPr>
          <w:spacing w:val="0"/>
        </w:rPr>
        <w:t>el daño ocasionado no solo afect[</w:t>
      </w:r>
      <w:r w:rsidR="00546C18" w:rsidRPr="0021520D">
        <w:rPr>
          <w:spacing w:val="0"/>
          <w:szCs w:val="20"/>
        </w:rPr>
        <w:t>ó]</w:t>
      </w:r>
      <w:r w:rsidR="00546C18" w:rsidRPr="0021520D">
        <w:rPr>
          <w:spacing w:val="0"/>
        </w:rPr>
        <w:t xml:space="preserve"> a su persona, sino a la institucionalidad salvadoreña y ese daño no ha sido reparado aún”. </w:t>
      </w:r>
      <w:r w:rsidR="00546C18" w:rsidRPr="0021520D">
        <w:rPr>
          <w:rFonts w:cs="Georgia"/>
          <w:spacing w:val="0"/>
          <w:szCs w:val="20"/>
        </w:rPr>
        <w:t>Asimismo, alegaron que al señor Colindres “[n]o solo se le interrumpió en sus funciones como magistrado del TSE, sino que se le restringió la posibilidad real de ejercer cualquier otro cargo público”</w:t>
      </w:r>
      <w:r w:rsidR="00546C18" w:rsidRPr="0021520D">
        <w:rPr>
          <w:rFonts w:cs="Arial"/>
          <w:noProof/>
          <w:spacing w:val="0"/>
          <w:szCs w:val="20"/>
        </w:rPr>
        <w:t xml:space="preserve">. </w:t>
      </w:r>
      <w:r w:rsidR="007544D8" w:rsidRPr="007544D8">
        <w:rPr>
          <w:rFonts w:cs="Arial"/>
          <w:noProof/>
          <w:spacing w:val="0"/>
          <w:szCs w:val="20"/>
        </w:rPr>
        <w:t>Por último, alegaron que el Estado violó el artículo 2 de la Convención ya que “</w:t>
      </w:r>
      <w:r w:rsidR="007544D8" w:rsidRPr="007544D8">
        <w:rPr>
          <w:rFonts w:eastAsia="Times New Roman" w:cs="Georgia"/>
          <w:szCs w:val="20"/>
        </w:rPr>
        <w:t xml:space="preserve">sigue sin positivar una norma </w:t>
      </w:r>
      <w:r w:rsidR="00494A68">
        <w:rPr>
          <w:rFonts w:eastAsia="Times New Roman" w:cs="Georgia"/>
          <w:szCs w:val="20"/>
        </w:rPr>
        <w:t xml:space="preserve">que establezca los </w:t>
      </w:r>
      <w:r w:rsidR="00494A68">
        <w:rPr>
          <w:rFonts w:eastAsia="Times New Roman" w:cs="Georgia"/>
          <w:szCs w:val="20"/>
        </w:rPr>
        <w:lastRenderedPageBreak/>
        <w:t>supuestos y […]</w:t>
      </w:r>
      <w:r w:rsidR="007544D8" w:rsidRPr="007544D8">
        <w:rPr>
          <w:rFonts w:eastAsia="Times New Roman" w:cs="Georgia"/>
          <w:szCs w:val="20"/>
        </w:rPr>
        <w:t xml:space="preserve"> procedimientos a seguir cuando se considere que un magistrado del TSE deba ser destituido”. </w:t>
      </w:r>
    </w:p>
    <w:p w14:paraId="33D32D45" w14:textId="77777777" w:rsidR="00865436" w:rsidRPr="00865436" w:rsidRDefault="00865436" w:rsidP="00865436">
      <w:pPr>
        <w:rPr>
          <w:lang w:val="es-CR" w:eastAsia="es-MX"/>
        </w:rPr>
      </w:pPr>
    </w:p>
    <w:p w14:paraId="63CBEF3B" w14:textId="3D666680" w:rsidR="00865436" w:rsidRPr="00135AD7" w:rsidRDefault="00546C18" w:rsidP="00135AD7">
      <w:pPr>
        <w:pStyle w:val="PrrafodeSentencia"/>
        <w:rPr>
          <w:spacing w:val="0"/>
          <w:szCs w:val="20"/>
        </w:rPr>
      </w:pPr>
      <w:r w:rsidRPr="00E85AD0">
        <w:rPr>
          <w:spacing w:val="0"/>
          <w:szCs w:val="20"/>
        </w:rPr>
        <w:t xml:space="preserve">El </w:t>
      </w:r>
      <w:r w:rsidRPr="00E85AD0">
        <w:rPr>
          <w:b/>
          <w:i/>
          <w:spacing w:val="0"/>
          <w:szCs w:val="20"/>
        </w:rPr>
        <w:t xml:space="preserve">Estado </w:t>
      </w:r>
      <w:r w:rsidRPr="00E85AD0">
        <w:rPr>
          <w:spacing w:val="0"/>
          <w:szCs w:val="20"/>
        </w:rPr>
        <w:t xml:space="preserve">señaló “que se han respetado y garantizado los derechos a las garantías judiciales, al principio de legalidad y a la protección judicial, a favor del señor </w:t>
      </w:r>
      <w:r w:rsidR="00D731DA">
        <w:rPr>
          <w:spacing w:val="0"/>
          <w:szCs w:val="20"/>
        </w:rPr>
        <w:t>[</w:t>
      </w:r>
      <w:r w:rsidRPr="00E85AD0">
        <w:rPr>
          <w:spacing w:val="0"/>
          <w:szCs w:val="20"/>
        </w:rPr>
        <w:t>Colindres</w:t>
      </w:r>
      <w:r w:rsidR="00D731DA">
        <w:rPr>
          <w:spacing w:val="0"/>
          <w:szCs w:val="20"/>
        </w:rPr>
        <w:t xml:space="preserve"> Schonenberg]</w:t>
      </w:r>
      <w:r w:rsidRPr="00E85AD0">
        <w:rPr>
          <w:spacing w:val="0"/>
          <w:szCs w:val="20"/>
        </w:rPr>
        <w:t xml:space="preserve">, al haberse ejercido un control a través de los recursos internos, </w:t>
      </w:r>
      <w:r w:rsidR="00D731DA">
        <w:rPr>
          <w:spacing w:val="0"/>
          <w:szCs w:val="20"/>
        </w:rPr>
        <w:t xml:space="preserve">[y] </w:t>
      </w:r>
      <w:r w:rsidRPr="00E85AD0">
        <w:rPr>
          <w:spacing w:val="0"/>
          <w:szCs w:val="20"/>
        </w:rPr>
        <w:t>de las actuaciones de</w:t>
      </w:r>
      <w:r w:rsidR="00D731DA">
        <w:rPr>
          <w:spacing w:val="0"/>
          <w:szCs w:val="20"/>
        </w:rPr>
        <w:t xml:space="preserve"> </w:t>
      </w:r>
      <w:r w:rsidRPr="00E85AD0">
        <w:rPr>
          <w:spacing w:val="0"/>
          <w:szCs w:val="20"/>
        </w:rPr>
        <w:t>l</w:t>
      </w:r>
      <w:r w:rsidR="00D731DA">
        <w:rPr>
          <w:spacing w:val="0"/>
          <w:szCs w:val="20"/>
        </w:rPr>
        <w:t>a</w:t>
      </w:r>
      <w:r w:rsidRPr="00E85AD0">
        <w:rPr>
          <w:spacing w:val="0"/>
          <w:szCs w:val="20"/>
        </w:rPr>
        <w:t xml:space="preserve"> Asamblea Legislativa en el presente caso”. Indicó que “no obstante a la ausencia de un procedimiento específico para conocer y decidir sobre la destitución de </w:t>
      </w:r>
      <w:r w:rsidR="00D731DA">
        <w:rPr>
          <w:spacing w:val="0"/>
          <w:szCs w:val="20"/>
        </w:rPr>
        <w:t>m</w:t>
      </w:r>
      <w:r w:rsidRPr="00E85AD0">
        <w:rPr>
          <w:spacing w:val="0"/>
          <w:szCs w:val="20"/>
        </w:rPr>
        <w:t>agistrados del Tribunal Supr</w:t>
      </w:r>
      <w:r w:rsidR="00947E5C">
        <w:rPr>
          <w:spacing w:val="0"/>
          <w:szCs w:val="20"/>
        </w:rPr>
        <w:t>emo Electoral, ya la Sala de lo</w:t>
      </w:r>
      <w:r w:rsidRPr="00E85AD0">
        <w:rPr>
          <w:spacing w:val="0"/>
          <w:szCs w:val="20"/>
        </w:rPr>
        <w:t xml:space="preserve"> Constitucional ha fijado un criterio jurisprudencial que determina la obligación de observan</w:t>
      </w:r>
      <w:r w:rsidR="00844DC6">
        <w:rPr>
          <w:spacing w:val="0"/>
          <w:szCs w:val="20"/>
        </w:rPr>
        <w:t xml:space="preserve">cia de un procedimiento previo </w:t>
      </w:r>
      <w:r w:rsidRPr="00E85AD0">
        <w:rPr>
          <w:spacing w:val="0"/>
          <w:szCs w:val="20"/>
        </w:rPr>
        <w:t>que garantice el derec</w:t>
      </w:r>
      <w:r w:rsidR="005B5D73">
        <w:rPr>
          <w:spacing w:val="0"/>
          <w:szCs w:val="20"/>
        </w:rPr>
        <w:t>h</w:t>
      </w:r>
      <w:r w:rsidRPr="00E85AD0">
        <w:rPr>
          <w:spacing w:val="0"/>
          <w:szCs w:val="20"/>
        </w:rPr>
        <w:t xml:space="preserve">o de audiencia y defensa, en aplicación directa de la </w:t>
      </w:r>
      <w:r w:rsidR="00CA2925">
        <w:rPr>
          <w:spacing w:val="0"/>
          <w:szCs w:val="20"/>
        </w:rPr>
        <w:t>C</w:t>
      </w:r>
      <w:r w:rsidRPr="00E85AD0">
        <w:rPr>
          <w:spacing w:val="0"/>
          <w:szCs w:val="20"/>
        </w:rPr>
        <w:t xml:space="preserve">onstitución, por parte de […] la Asamblea Legislativa”. </w:t>
      </w:r>
      <w:r w:rsidR="00865436" w:rsidRPr="00135AD7">
        <w:rPr>
          <w:spacing w:val="0"/>
          <w:szCs w:val="20"/>
        </w:rPr>
        <w:t xml:space="preserve">Además, resaltó que “la jurisprudencia constitucional ha señalado como causales de destitución el incumplimiento de deberes o el dejar de cumplir con los requisitos para el nombramiento del cargo como Magistrado del Tribunal Supremo Electoral, los que deben mantenerse durante la vigencia del plazo”. </w:t>
      </w:r>
    </w:p>
    <w:p w14:paraId="0EE514D7" w14:textId="77777777" w:rsidR="00865436" w:rsidRPr="00865436" w:rsidRDefault="00865436" w:rsidP="00865436">
      <w:pPr>
        <w:rPr>
          <w:lang w:val="es-ES_tradnl" w:eastAsia="es-MX"/>
        </w:rPr>
      </w:pPr>
    </w:p>
    <w:p w14:paraId="38533C80" w14:textId="77777777" w:rsidR="00546C18" w:rsidRPr="00E85AD0" w:rsidRDefault="00546C18" w:rsidP="004457B6">
      <w:pPr>
        <w:pStyle w:val="Heading2"/>
        <w:numPr>
          <w:ilvl w:val="0"/>
          <w:numId w:val="11"/>
        </w:numPr>
        <w:ind w:left="1134" w:hanging="567"/>
      </w:pPr>
      <w:bookmarkStart w:id="171" w:name="_Toc524880331"/>
      <w:bookmarkStart w:id="172" w:name="_Toc192575"/>
      <w:r w:rsidRPr="00E85AD0">
        <w:t>Consideraciones de la Corte</w:t>
      </w:r>
      <w:bookmarkEnd w:id="171"/>
      <w:bookmarkEnd w:id="172"/>
    </w:p>
    <w:p w14:paraId="6C44C6C6" w14:textId="77777777" w:rsidR="00546C18" w:rsidRPr="00E85AD0" w:rsidRDefault="00546C18" w:rsidP="00546C18">
      <w:pPr>
        <w:rPr>
          <w:lang w:val="es-CR" w:eastAsia="es-MX"/>
        </w:rPr>
      </w:pPr>
    </w:p>
    <w:p w14:paraId="764602E1" w14:textId="77777777" w:rsidR="00533384" w:rsidRPr="0071254C" w:rsidRDefault="00533384" w:rsidP="00533384">
      <w:pPr>
        <w:pStyle w:val="PrrafodeSentencia"/>
        <w:rPr>
          <w:spacing w:val="0"/>
          <w:lang w:val="es-ES"/>
        </w:rPr>
      </w:pPr>
      <w:r>
        <w:t xml:space="preserve">El artículo 8 de la Convención consagra los lineamientos del debido proceso legal, el cual está compuesto de un conjunto de requisitos </w:t>
      </w:r>
      <w:r w:rsidRPr="0071254C">
        <w:rPr>
          <w:szCs w:val="20"/>
        </w:rPr>
        <w:t>que deben observarse en las instancias procesales, a efectos de que las personas estén en condiciones de defender adecuadamente sus derechos ante cualquier tipo de acto del Estado que pueda afectarlos</w:t>
      </w:r>
      <w:r w:rsidRPr="0071254C">
        <w:rPr>
          <w:rStyle w:val="FootnoteReference"/>
          <w:sz w:val="20"/>
          <w:szCs w:val="20"/>
        </w:rPr>
        <w:footnoteReference w:id="96"/>
      </w:r>
      <w:r w:rsidRPr="0071254C">
        <w:rPr>
          <w:szCs w:val="20"/>
        </w:rPr>
        <w:t>.</w:t>
      </w:r>
    </w:p>
    <w:p w14:paraId="76E9772F" w14:textId="77777777" w:rsidR="00533384" w:rsidRPr="0071254C" w:rsidRDefault="00533384" w:rsidP="00533384">
      <w:pPr>
        <w:pStyle w:val="PrrafodeSentencia"/>
        <w:numPr>
          <w:ilvl w:val="0"/>
          <w:numId w:val="0"/>
        </w:numPr>
        <w:rPr>
          <w:spacing w:val="0"/>
          <w:lang w:val="es-ES"/>
        </w:rPr>
      </w:pPr>
    </w:p>
    <w:p w14:paraId="758E333E" w14:textId="27B447E2" w:rsidR="00533384" w:rsidRPr="0071254C" w:rsidRDefault="00533384" w:rsidP="00533384">
      <w:pPr>
        <w:pStyle w:val="PrrafodeSentencia"/>
        <w:rPr>
          <w:spacing w:val="0"/>
          <w:lang w:val="es-ES"/>
        </w:rPr>
      </w:pPr>
      <w:bookmarkStart w:id="173" w:name="_Ref536635506"/>
      <w:r>
        <w:t xml:space="preserve">De acuerdo a lo dispuesto en el artículo 8.1 de la Convención, en la determinación de los derechos y obligaciones de </w:t>
      </w:r>
      <w:r w:rsidR="00785A7F">
        <w:t xml:space="preserve">todas </w:t>
      </w:r>
      <w:r>
        <w:t xml:space="preserve">las personas, de </w:t>
      </w:r>
      <w:r w:rsidRPr="0071254C">
        <w:rPr>
          <w:szCs w:val="20"/>
        </w:rPr>
        <w:t>orden penal, civil, laboral, fiscal o de cualquier otro carácter, se deben observar “las debidas garantías” que aseguren, según el procedimiento de que se trate, el derecho al debido proceso</w:t>
      </w:r>
      <w:r w:rsidRPr="0071254C">
        <w:rPr>
          <w:rStyle w:val="FootnoteReference"/>
          <w:sz w:val="20"/>
          <w:szCs w:val="20"/>
        </w:rPr>
        <w:footnoteReference w:id="97"/>
      </w:r>
      <w:r w:rsidRPr="0071254C">
        <w:rPr>
          <w:szCs w:val="20"/>
        </w:rPr>
        <w:t>. El incumplimiento de una de esas garantías conlleva una violación de dicha disposición convencional</w:t>
      </w:r>
      <w:r w:rsidRPr="0071254C">
        <w:rPr>
          <w:rStyle w:val="FootnoteReference"/>
          <w:sz w:val="20"/>
          <w:szCs w:val="20"/>
        </w:rPr>
        <w:footnoteReference w:id="98"/>
      </w:r>
      <w:r w:rsidRPr="0071254C">
        <w:rPr>
          <w:szCs w:val="20"/>
        </w:rPr>
        <w:t>.</w:t>
      </w:r>
      <w:bookmarkEnd w:id="173"/>
      <w:r>
        <w:t xml:space="preserve"> </w:t>
      </w:r>
    </w:p>
    <w:p w14:paraId="6B50C463" w14:textId="77777777" w:rsidR="00533384" w:rsidRPr="0071254C" w:rsidRDefault="00533384" w:rsidP="00533384">
      <w:pPr>
        <w:pStyle w:val="PrrafodeSentencia"/>
        <w:numPr>
          <w:ilvl w:val="0"/>
          <w:numId w:val="0"/>
        </w:numPr>
        <w:rPr>
          <w:spacing w:val="0"/>
          <w:lang w:val="es-ES"/>
        </w:rPr>
      </w:pPr>
    </w:p>
    <w:p w14:paraId="148AF557" w14:textId="77777777" w:rsidR="00533384" w:rsidRDefault="00533384" w:rsidP="00533384">
      <w:pPr>
        <w:pStyle w:val="PrrafodeSentencia"/>
        <w:rPr>
          <w:color w:val="000000"/>
          <w:spacing w:val="0"/>
        </w:rPr>
      </w:pPr>
      <w:r w:rsidRPr="00E85AD0">
        <w:rPr>
          <w:spacing w:val="0"/>
        </w:rPr>
        <w:t>E</w:t>
      </w:r>
      <w:r>
        <w:rPr>
          <w:spacing w:val="0"/>
        </w:rPr>
        <w:t>n este sentido, e</w:t>
      </w:r>
      <w:r w:rsidRPr="00E85AD0">
        <w:rPr>
          <w:spacing w:val="0"/>
        </w:rPr>
        <w:t>sta Corte ha señalado que</w:t>
      </w:r>
      <w:r w:rsidRPr="00E85AD0">
        <w:rPr>
          <w:spacing w:val="0"/>
          <w:lang w:val="es-ES_tradnl"/>
        </w:rPr>
        <w:t xml:space="preserve"> las </w:t>
      </w:r>
      <w:r w:rsidRPr="00E85AD0">
        <w:rPr>
          <w:color w:val="000000"/>
          <w:spacing w:val="0"/>
        </w:rPr>
        <w:t xml:space="preserve">garantías contempladas en el artículo 8.1 de la Convención son también aplicables al supuesto en que alguna autoridad no judicial adopte decisiones que afecten la determinación de </w:t>
      </w:r>
      <w:r w:rsidRPr="00E85AD0">
        <w:rPr>
          <w:spacing w:val="0"/>
        </w:rPr>
        <w:t>los derechos de las personas</w:t>
      </w:r>
      <w:r w:rsidRPr="00E85AD0">
        <w:rPr>
          <w:spacing w:val="0"/>
          <w:vertAlign w:val="superscript"/>
        </w:rPr>
        <w:footnoteReference w:id="99"/>
      </w:r>
      <w:r w:rsidRPr="00E85AD0">
        <w:rPr>
          <w:spacing w:val="0"/>
        </w:rPr>
        <w:t>,</w:t>
      </w:r>
      <w:r w:rsidRPr="00E85AD0">
        <w:rPr>
          <w:color w:val="000000"/>
          <w:spacing w:val="0"/>
        </w:rPr>
        <w:t xml:space="preserve"> tomando en cuenta que no le son exigibles aquellas propias de un órgano jurisdiccional, pero sí debe cumplir con aquellas destinadas a asegurar que la decisión no sea arbitraria</w:t>
      </w:r>
      <w:r w:rsidRPr="00E85AD0">
        <w:rPr>
          <w:spacing w:val="0"/>
          <w:vertAlign w:val="superscript"/>
        </w:rPr>
        <w:footnoteReference w:id="100"/>
      </w:r>
      <w:r w:rsidRPr="00E85AD0">
        <w:rPr>
          <w:color w:val="000000"/>
          <w:spacing w:val="0"/>
        </w:rPr>
        <w:t xml:space="preserve">. </w:t>
      </w:r>
    </w:p>
    <w:p w14:paraId="31F2C952" w14:textId="77777777" w:rsidR="00533384" w:rsidRPr="008827E0" w:rsidRDefault="00533384" w:rsidP="00533384">
      <w:pPr>
        <w:rPr>
          <w:lang w:val="es-CR" w:eastAsia="es-MX"/>
        </w:rPr>
      </w:pPr>
    </w:p>
    <w:p w14:paraId="4A2229E7" w14:textId="6CEAB9EB" w:rsidR="00533384" w:rsidRPr="00E85AD0" w:rsidRDefault="00533384" w:rsidP="00533384">
      <w:pPr>
        <w:pStyle w:val="PrrafodeSentencia"/>
        <w:rPr>
          <w:spacing w:val="0"/>
          <w:lang w:val="es-ES"/>
        </w:rPr>
      </w:pPr>
      <w:bookmarkStart w:id="174" w:name="_Ref863925"/>
      <w:r w:rsidRPr="00E85AD0">
        <w:rPr>
          <w:color w:val="000000"/>
          <w:spacing w:val="0"/>
        </w:rPr>
        <w:t xml:space="preserve">El cese del señor Colindres Schonenberg implicó una determinación de sus derechos ya que trajo como consecuencia la separación inmediata de su cargo de magistrado. </w:t>
      </w:r>
      <w:r w:rsidR="00D731DA">
        <w:rPr>
          <w:color w:val="000000"/>
          <w:spacing w:val="0"/>
        </w:rPr>
        <w:t xml:space="preserve">Por lo </w:t>
      </w:r>
      <w:r w:rsidR="00D731DA">
        <w:rPr>
          <w:color w:val="000000"/>
          <w:spacing w:val="0"/>
        </w:rPr>
        <w:lastRenderedPageBreak/>
        <w:t>tanto</w:t>
      </w:r>
      <w:r w:rsidRPr="00E85AD0">
        <w:rPr>
          <w:color w:val="000000"/>
          <w:spacing w:val="0"/>
        </w:rPr>
        <w:t xml:space="preserve">, este </w:t>
      </w:r>
      <w:r>
        <w:rPr>
          <w:color w:val="000000"/>
          <w:spacing w:val="0"/>
        </w:rPr>
        <w:t>T</w:t>
      </w:r>
      <w:r w:rsidRPr="00E85AD0">
        <w:rPr>
          <w:color w:val="000000"/>
          <w:spacing w:val="0"/>
        </w:rPr>
        <w:t xml:space="preserve">ribunal deberá examinar </w:t>
      </w:r>
      <w:r w:rsidRPr="00E85AD0">
        <w:rPr>
          <w:spacing w:val="0"/>
          <w:szCs w:val="20"/>
        </w:rPr>
        <w:t xml:space="preserve">si el procedimiento llevado a cabo por la Asamblea Legislativa fue acorde a </w:t>
      </w:r>
      <w:r w:rsidRPr="00E85AD0">
        <w:rPr>
          <w:spacing w:val="0"/>
          <w:lang w:val="es-ES"/>
        </w:rPr>
        <w:t>las garantías del debido proceso establecidas en el artículo 8.1 de la Convención Americana.</w:t>
      </w:r>
      <w:bookmarkEnd w:id="174"/>
    </w:p>
    <w:p w14:paraId="1BAE57F7" w14:textId="77777777" w:rsidR="00533384" w:rsidRPr="00651C58" w:rsidRDefault="00533384" w:rsidP="00533384">
      <w:pPr>
        <w:pStyle w:val="PrrafodeSentencia"/>
        <w:numPr>
          <w:ilvl w:val="0"/>
          <w:numId w:val="0"/>
        </w:numPr>
        <w:rPr>
          <w:rFonts w:eastAsia="Times New Roman"/>
          <w:spacing w:val="0"/>
          <w:szCs w:val="20"/>
        </w:rPr>
      </w:pPr>
    </w:p>
    <w:p w14:paraId="0A71586E" w14:textId="35DF92AB" w:rsidR="00533384" w:rsidRDefault="00C31BD2" w:rsidP="00533384">
      <w:pPr>
        <w:pStyle w:val="PrrafodeSentencia"/>
        <w:rPr>
          <w:spacing w:val="0"/>
          <w:szCs w:val="20"/>
          <w:lang w:val="es-ES_tradnl"/>
        </w:rPr>
      </w:pPr>
      <w:r>
        <w:rPr>
          <w:rFonts w:eastAsia="Times New Roman"/>
          <w:spacing w:val="0"/>
          <w:szCs w:val="20"/>
        </w:rPr>
        <w:t>E</w:t>
      </w:r>
      <w:r w:rsidR="00533384">
        <w:rPr>
          <w:rFonts w:eastAsia="Times New Roman"/>
          <w:spacing w:val="0"/>
          <w:szCs w:val="20"/>
        </w:rPr>
        <w:t>ste Tribunal advierte que e</w:t>
      </w:r>
      <w:r w:rsidR="00533384" w:rsidRPr="004F4971">
        <w:rPr>
          <w:rFonts w:cs="Tahoma"/>
          <w:spacing w:val="0"/>
          <w:szCs w:val="20"/>
        </w:rPr>
        <w:t xml:space="preserve">l señor Colindres Schonenberg era magistrado del Tribunal Supremo Electoral. El TSE no forma parte del </w:t>
      </w:r>
      <w:r w:rsidR="00947E5C">
        <w:rPr>
          <w:rFonts w:cs="Tahoma"/>
          <w:spacing w:val="0"/>
          <w:szCs w:val="20"/>
        </w:rPr>
        <w:t>P</w:t>
      </w:r>
      <w:r w:rsidR="00533384" w:rsidRPr="004F4971">
        <w:rPr>
          <w:rFonts w:cs="Tahoma"/>
          <w:spacing w:val="0"/>
          <w:szCs w:val="20"/>
        </w:rPr>
        <w:t xml:space="preserve">oder </w:t>
      </w:r>
      <w:r w:rsidR="00947E5C">
        <w:rPr>
          <w:rFonts w:cs="Tahoma"/>
          <w:spacing w:val="0"/>
          <w:szCs w:val="20"/>
        </w:rPr>
        <w:t>J</w:t>
      </w:r>
      <w:r w:rsidR="00533384" w:rsidRPr="004F4971">
        <w:rPr>
          <w:rFonts w:cs="Tahoma"/>
          <w:spacing w:val="0"/>
          <w:szCs w:val="20"/>
        </w:rPr>
        <w:t xml:space="preserve">udicial. Sin embargo, entre sus funciones se encuentra </w:t>
      </w:r>
      <w:r w:rsidR="00533384" w:rsidRPr="004F4971">
        <w:rPr>
          <w:spacing w:val="0"/>
          <w:szCs w:val="20"/>
          <w:shd w:val="clear" w:color="auto" w:fill="FFFFFF"/>
        </w:rPr>
        <w:t xml:space="preserve">conocer y resolver </w:t>
      </w:r>
      <w:r>
        <w:rPr>
          <w:rFonts w:eastAsia="Times New Roman"/>
          <w:spacing w:val="0"/>
          <w:szCs w:val="20"/>
        </w:rPr>
        <w:t>“</w:t>
      </w:r>
      <w:r w:rsidR="00533384" w:rsidRPr="004F4971">
        <w:rPr>
          <w:rFonts w:eastAsia="Times New Roman"/>
          <w:spacing w:val="0"/>
          <w:szCs w:val="20"/>
        </w:rPr>
        <w:t>toda clase de acción, excepción, petición, recursos e incidentes que pudieren interponerse”</w:t>
      </w:r>
      <w:r w:rsidR="00533384" w:rsidRPr="00E85AD0">
        <w:rPr>
          <w:rStyle w:val="FootnoteReference"/>
          <w:spacing w:val="0"/>
          <w:sz w:val="20"/>
          <w:szCs w:val="20"/>
        </w:rPr>
        <w:footnoteReference w:id="101"/>
      </w:r>
      <w:r w:rsidR="00533384" w:rsidRPr="004F4971">
        <w:rPr>
          <w:rFonts w:eastAsia="Times New Roman"/>
          <w:spacing w:val="0"/>
          <w:szCs w:val="20"/>
        </w:rPr>
        <w:t xml:space="preserve">. </w:t>
      </w:r>
      <w:r w:rsidR="00533384" w:rsidRPr="004F4971">
        <w:rPr>
          <w:spacing w:val="0"/>
          <w:szCs w:val="20"/>
          <w:lang w:val="es-ES_tradnl"/>
        </w:rPr>
        <w:t xml:space="preserve"> En </w:t>
      </w:r>
      <w:r w:rsidR="00533384">
        <w:rPr>
          <w:spacing w:val="0"/>
          <w:szCs w:val="20"/>
          <w:lang w:val="es-ES_tradnl"/>
        </w:rPr>
        <w:t xml:space="preserve">consecuencia, el TSE cumple con funciones jurisdiccionales en materia electoral. Por tanto, a magistrados del TSE, como el señor </w:t>
      </w:r>
      <w:r w:rsidR="00533384" w:rsidRPr="004F4971">
        <w:rPr>
          <w:spacing w:val="0"/>
          <w:szCs w:val="20"/>
          <w:lang w:val="es-ES_tradnl"/>
        </w:rPr>
        <w:t>Colindres Schonenberg</w:t>
      </w:r>
      <w:r w:rsidR="00533384">
        <w:rPr>
          <w:spacing w:val="0"/>
          <w:szCs w:val="20"/>
          <w:lang w:val="es-ES_tradnl"/>
        </w:rPr>
        <w:t>, se le</w:t>
      </w:r>
      <w:r>
        <w:rPr>
          <w:spacing w:val="0"/>
          <w:szCs w:val="20"/>
          <w:lang w:val="es-ES_tradnl"/>
        </w:rPr>
        <w:t>s</w:t>
      </w:r>
      <w:r w:rsidR="00533384">
        <w:rPr>
          <w:spacing w:val="0"/>
          <w:szCs w:val="20"/>
          <w:lang w:val="es-ES_tradnl"/>
        </w:rPr>
        <w:t xml:space="preserve"> deben ofrecer las mismas garantías que a jueces en general.</w:t>
      </w:r>
    </w:p>
    <w:p w14:paraId="395A2231" w14:textId="77777777" w:rsidR="00533384" w:rsidRPr="00E13558" w:rsidRDefault="00533384" w:rsidP="00533384">
      <w:pPr>
        <w:rPr>
          <w:lang w:val="es-ES_tradnl" w:eastAsia="es-MX"/>
        </w:rPr>
      </w:pPr>
    </w:p>
    <w:p w14:paraId="51DE8E69" w14:textId="53C439DB" w:rsidR="00533384" w:rsidRDefault="00533384" w:rsidP="00533384">
      <w:pPr>
        <w:pStyle w:val="PrrafodeSentencia"/>
        <w:rPr>
          <w:spacing w:val="0"/>
          <w:szCs w:val="20"/>
        </w:rPr>
      </w:pPr>
      <w:r>
        <w:rPr>
          <w:spacing w:val="0"/>
        </w:rPr>
        <w:t>De acuerdo a la jurisprudencia de esta Corte, e</w:t>
      </w:r>
      <w:r w:rsidRPr="00E13558">
        <w:rPr>
          <w:spacing w:val="0"/>
        </w:rPr>
        <w:t xml:space="preserve">n procedimientos llevados a jueces, el </w:t>
      </w:r>
      <w:r w:rsidRPr="00E13558">
        <w:rPr>
          <w:spacing w:val="0"/>
          <w:szCs w:val="20"/>
        </w:rPr>
        <w:t xml:space="preserve">alcance de las garantías judiciales y de la protección judicial efectiva para los jueces debe ser analizado en relación con los estándares sobre independencia judicial. </w:t>
      </w:r>
      <w:bookmarkStart w:id="175" w:name="_Ref230072788"/>
      <w:r w:rsidRPr="00E13558">
        <w:rPr>
          <w:spacing w:val="0"/>
          <w:szCs w:val="20"/>
        </w:rPr>
        <w:t>L</w:t>
      </w:r>
      <w:r w:rsidRPr="00E13558">
        <w:rPr>
          <w:rFonts w:cs="Tahoma"/>
          <w:spacing w:val="0"/>
          <w:szCs w:val="20"/>
        </w:rPr>
        <w:t xml:space="preserve">a Corte ha precisado que </w:t>
      </w:r>
      <w:r w:rsidRPr="00E13558">
        <w:rPr>
          <w:spacing w:val="0"/>
          <w:szCs w:val="20"/>
        </w:rPr>
        <w:t>l</w:t>
      </w:r>
      <w:r w:rsidR="0000204A">
        <w:rPr>
          <w:rFonts w:cs="Tahoma"/>
          <w:spacing w:val="0"/>
          <w:szCs w:val="20"/>
        </w:rPr>
        <w:t xml:space="preserve">os jueces </w:t>
      </w:r>
      <w:r w:rsidRPr="00E13558">
        <w:rPr>
          <w:rFonts w:cs="Tahoma"/>
          <w:spacing w:val="0"/>
          <w:szCs w:val="20"/>
        </w:rPr>
        <w:t>cuentan con garantías específicas debido a la independencia necesaria del Poder Judicial, lo cual la Corte ha entendido como “esencial para el ejercicio de la función judicial”</w:t>
      </w:r>
      <w:bookmarkStart w:id="176" w:name="_Ref232915988"/>
      <w:r w:rsidRPr="00E13558">
        <w:rPr>
          <w:rStyle w:val="FootnoteReference"/>
          <w:rFonts w:cs="Tahoma"/>
          <w:spacing w:val="0"/>
          <w:sz w:val="20"/>
          <w:szCs w:val="20"/>
        </w:rPr>
        <w:footnoteReference w:id="102"/>
      </w:r>
      <w:bookmarkEnd w:id="176"/>
      <w:r w:rsidRPr="00E13558">
        <w:rPr>
          <w:rFonts w:cs="Tahoma"/>
          <w:spacing w:val="0"/>
          <w:szCs w:val="20"/>
        </w:rPr>
        <w:t>.</w:t>
      </w:r>
      <w:bookmarkEnd w:id="175"/>
      <w:r w:rsidRPr="00E13558">
        <w:rPr>
          <w:rFonts w:cs="Tahoma"/>
          <w:spacing w:val="0"/>
          <w:szCs w:val="20"/>
        </w:rPr>
        <w:t xml:space="preserve"> </w:t>
      </w:r>
      <w:r w:rsidRPr="00E13558">
        <w:rPr>
          <w:spacing w:val="0"/>
          <w:szCs w:val="20"/>
        </w:rPr>
        <w:t>De la independencia judicial derivan las siguientes garantías: un adecuado proceso de nombramiento, la inamovilidad en el cargo y la garantía contra presiones externas</w:t>
      </w:r>
      <w:r w:rsidRPr="00E13558">
        <w:rPr>
          <w:rStyle w:val="FootnoteReference"/>
          <w:spacing w:val="0"/>
          <w:sz w:val="20"/>
          <w:szCs w:val="20"/>
        </w:rPr>
        <w:footnoteReference w:id="103"/>
      </w:r>
      <w:r w:rsidRPr="00E13558">
        <w:rPr>
          <w:spacing w:val="0"/>
          <w:szCs w:val="20"/>
        </w:rPr>
        <w:t xml:space="preserve">. </w:t>
      </w:r>
    </w:p>
    <w:p w14:paraId="620A3F77" w14:textId="77777777" w:rsidR="00533384" w:rsidRPr="00DA55C9" w:rsidRDefault="00533384" w:rsidP="00533384">
      <w:pPr>
        <w:rPr>
          <w:lang w:val="es-CR"/>
        </w:rPr>
      </w:pPr>
    </w:p>
    <w:p w14:paraId="3E319298" w14:textId="425DBB38" w:rsidR="00533384" w:rsidRPr="003D6A44" w:rsidRDefault="00533384" w:rsidP="00533384">
      <w:pPr>
        <w:pStyle w:val="PrrafodeSentencia"/>
        <w:rPr>
          <w:spacing w:val="0"/>
        </w:rPr>
      </w:pPr>
      <w:r w:rsidRPr="003D6A44">
        <w:rPr>
          <w:spacing w:val="0"/>
          <w:szCs w:val="20"/>
        </w:rPr>
        <w:t>E</w:t>
      </w:r>
      <w:r>
        <w:rPr>
          <w:spacing w:val="0"/>
          <w:szCs w:val="20"/>
        </w:rPr>
        <w:t xml:space="preserve">specíficamente respecto a la </w:t>
      </w:r>
      <w:r w:rsidRPr="003D6A44">
        <w:rPr>
          <w:spacing w:val="0"/>
          <w:szCs w:val="20"/>
        </w:rPr>
        <w:t>garantía de estabilidad e inamovilidad de jueces y juezas</w:t>
      </w:r>
      <w:r>
        <w:rPr>
          <w:spacing w:val="0"/>
          <w:szCs w:val="20"/>
        </w:rPr>
        <w:t>, e</w:t>
      </w:r>
      <w:r w:rsidRPr="003D6A44">
        <w:rPr>
          <w:spacing w:val="0"/>
          <w:szCs w:val="20"/>
        </w:rPr>
        <w:t xml:space="preserve">sta Corte ha establecido </w:t>
      </w:r>
      <w:r w:rsidR="00785A7F">
        <w:rPr>
          <w:spacing w:val="0"/>
          <w:szCs w:val="20"/>
        </w:rPr>
        <w:t xml:space="preserve">que </w:t>
      </w:r>
      <w:r>
        <w:rPr>
          <w:spacing w:val="0"/>
          <w:szCs w:val="20"/>
        </w:rPr>
        <w:t>implica</w:t>
      </w:r>
      <w:r w:rsidR="004C6A7F">
        <w:rPr>
          <w:spacing w:val="0"/>
          <w:szCs w:val="20"/>
        </w:rPr>
        <w:t xml:space="preserve"> que</w:t>
      </w:r>
      <w:r w:rsidRPr="003D6A44">
        <w:rPr>
          <w:spacing w:val="0"/>
          <w:szCs w:val="20"/>
        </w:rPr>
        <w:t xml:space="preserve">: (i) </w:t>
      </w:r>
      <w:r>
        <w:rPr>
          <w:spacing w:val="0"/>
          <w:szCs w:val="20"/>
        </w:rPr>
        <w:t xml:space="preserve">la </w:t>
      </w:r>
      <w:r w:rsidRPr="003D6A44">
        <w:rPr>
          <w:spacing w:val="0"/>
          <w:szCs w:val="20"/>
        </w:rPr>
        <w:t>separación del cargo obedezca exclusivamente a las causales permitidas, ya sea por medio de un proceso que cumpla con las garantías judiciales o porque se ha cumplido el término o período de su mandato; (ii) l</w:t>
      </w:r>
      <w:r w:rsidRPr="003D6A44">
        <w:rPr>
          <w:spacing w:val="0"/>
        </w:rPr>
        <w:t xml:space="preserve">os jueces y juezas solo pueden ser destituidos </w:t>
      </w:r>
      <w:r w:rsidRPr="003D6A44">
        <w:rPr>
          <w:spacing w:val="0"/>
          <w:szCs w:val="20"/>
        </w:rPr>
        <w:t xml:space="preserve">por </w:t>
      </w:r>
      <w:r w:rsidRPr="003D6A44">
        <w:rPr>
          <w:spacing w:val="0"/>
          <w:szCs w:val="20"/>
          <w:lang w:val="es-CO"/>
        </w:rPr>
        <w:t>faltas de disciplina graves o incompetencia</w:t>
      </w:r>
      <w:r w:rsidR="00C31BD2">
        <w:rPr>
          <w:spacing w:val="0"/>
          <w:szCs w:val="20"/>
        </w:rPr>
        <w:t>, y</w:t>
      </w:r>
      <w:r w:rsidRPr="003D6A44">
        <w:rPr>
          <w:spacing w:val="0"/>
          <w:szCs w:val="20"/>
        </w:rPr>
        <w:t xml:space="preserve"> (iii) todo proceso seguido en contra de jueces o juezas deberá </w:t>
      </w:r>
      <w:r w:rsidRPr="003D6A44">
        <w:rPr>
          <w:spacing w:val="0"/>
          <w:szCs w:val="20"/>
          <w:lang w:val="es-MX"/>
        </w:rPr>
        <w:t>resolverse de acuerdo con las normas de comportamiento judicial establecidas y mediante procedimientos justos que aseguren</w:t>
      </w:r>
      <w:r w:rsidRPr="003D6A44">
        <w:rPr>
          <w:rFonts w:cs="Arial"/>
          <w:spacing w:val="0"/>
          <w:szCs w:val="20"/>
          <w:lang w:eastAsia="ko-KR"/>
        </w:rPr>
        <w:t xml:space="preserve"> la objetividad e imparcialidad según la Constitución o la ley</w:t>
      </w:r>
      <w:r w:rsidRPr="00E85AD0">
        <w:rPr>
          <w:rStyle w:val="FootnoteReference"/>
          <w:spacing w:val="0"/>
          <w:sz w:val="20"/>
          <w:szCs w:val="20"/>
          <w:lang w:eastAsia="ko-KR"/>
        </w:rPr>
        <w:footnoteReference w:id="104"/>
      </w:r>
      <w:r w:rsidRPr="003D6A44">
        <w:rPr>
          <w:spacing w:val="0"/>
          <w:szCs w:val="20"/>
        </w:rPr>
        <w:t xml:space="preserve">. </w:t>
      </w:r>
    </w:p>
    <w:p w14:paraId="0ED1AD4F" w14:textId="77777777" w:rsidR="00533384" w:rsidRPr="00E85AD0" w:rsidRDefault="00533384" w:rsidP="00533384">
      <w:pPr>
        <w:pStyle w:val="PrrafodeSentencia"/>
        <w:numPr>
          <w:ilvl w:val="0"/>
          <w:numId w:val="0"/>
        </w:numPr>
        <w:rPr>
          <w:spacing w:val="0"/>
          <w:szCs w:val="20"/>
        </w:rPr>
      </w:pPr>
    </w:p>
    <w:p w14:paraId="1CF26C3E" w14:textId="5A5CAA89" w:rsidR="00533384" w:rsidRPr="0037440D" w:rsidRDefault="00533384" w:rsidP="00533384">
      <w:pPr>
        <w:pStyle w:val="PrrafodeSentencia"/>
        <w:rPr>
          <w:spacing w:val="0"/>
          <w:szCs w:val="20"/>
        </w:rPr>
      </w:pPr>
      <w:bookmarkStart w:id="177" w:name="_Ref531714087"/>
      <w:r>
        <w:rPr>
          <w:spacing w:val="0"/>
          <w:szCs w:val="20"/>
        </w:rPr>
        <w:t xml:space="preserve">Por otra parte, la Corte advierte que a diferencia de otros casos sobre remociones de jueces decididos por este Tribunal, en este caso no es clara la naturaleza del proceso </w:t>
      </w:r>
      <w:r w:rsidRPr="0037440D">
        <w:rPr>
          <w:spacing w:val="0"/>
          <w:szCs w:val="20"/>
        </w:rPr>
        <w:t>al que fue sometido el señor Colindres Schonenberg</w:t>
      </w:r>
      <w:r>
        <w:rPr>
          <w:spacing w:val="0"/>
          <w:szCs w:val="20"/>
        </w:rPr>
        <w:t>,</w:t>
      </w:r>
      <w:r w:rsidRPr="0037440D">
        <w:rPr>
          <w:spacing w:val="0"/>
          <w:szCs w:val="20"/>
        </w:rPr>
        <w:t xml:space="preserve"> </w:t>
      </w:r>
      <w:r>
        <w:rPr>
          <w:spacing w:val="0"/>
          <w:szCs w:val="20"/>
        </w:rPr>
        <w:t xml:space="preserve">ya que este </w:t>
      </w:r>
      <w:r w:rsidRPr="0037440D">
        <w:rPr>
          <w:spacing w:val="0"/>
          <w:szCs w:val="20"/>
        </w:rPr>
        <w:t xml:space="preserve">no estaba establecido en la legislación. Ante la pregunta realizada en la audiencia pública sobre si dicho proceso constituía un control político por parte de la Asamblea Legislativa o un proceso disciplinario, la </w:t>
      </w:r>
      <w:r w:rsidRPr="0037440D">
        <w:rPr>
          <w:b/>
          <w:i/>
          <w:spacing w:val="0"/>
          <w:szCs w:val="20"/>
        </w:rPr>
        <w:t>Comisión</w:t>
      </w:r>
      <w:r w:rsidR="00934306">
        <w:rPr>
          <w:spacing w:val="0"/>
          <w:szCs w:val="20"/>
        </w:rPr>
        <w:t xml:space="preserve"> señaló que el proceso tiene</w:t>
      </w:r>
      <w:r w:rsidRPr="0037440D">
        <w:rPr>
          <w:spacing w:val="0"/>
          <w:szCs w:val="20"/>
        </w:rPr>
        <w:t xml:space="preserve"> carácter sancionatorio, los </w:t>
      </w:r>
      <w:r w:rsidRPr="00CA2925">
        <w:rPr>
          <w:b/>
          <w:i/>
          <w:spacing w:val="0"/>
          <w:szCs w:val="20"/>
        </w:rPr>
        <w:t>r</w:t>
      </w:r>
      <w:r w:rsidRPr="0037440D">
        <w:rPr>
          <w:b/>
          <w:i/>
          <w:spacing w:val="0"/>
          <w:szCs w:val="20"/>
        </w:rPr>
        <w:t>epresentantes</w:t>
      </w:r>
      <w:r w:rsidRPr="0037440D">
        <w:rPr>
          <w:spacing w:val="0"/>
          <w:szCs w:val="20"/>
        </w:rPr>
        <w:t xml:space="preserve"> señalaron que </w:t>
      </w:r>
      <w:r w:rsidR="00934306">
        <w:rPr>
          <w:spacing w:val="0"/>
          <w:szCs w:val="20"/>
        </w:rPr>
        <w:t>fue</w:t>
      </w:r>
      <w:r w:rsidRPr="0037440D">
        <w:rPr>
          <w:spacing w:val="0"/>
          <w:szCs w:val="20"/>
        </w:rPr>
        <w:t xml:space="preserve"> un procedimiento disciplinario sancionador y el </w:t>
      </w:r>
      <w:r w:rsidRPr="0037440D">
        <w:rPr>
          <w:b/>
          <w:i/>
          <w:spacing w:val="0"/>
          <w:szCs w:val="20"/>
        </w:rPr>
        <w:t>Estado</w:t>
      </w:r>
      <w:r w:rsidRPr="0037440D">
        <w:rPr>
          <w:spacing w:val="0"/>
          <w:szCs w:val="20"/>
        </w:rPr>
        <w:t xml:space="preserve"> no se pronun</w:t>
      </w:r>
      <w:r w:rsidR="00785A7F">
        <w:rPr>
          <w:spacing w:val="0"/>
          <w:szCs w:val="20"/>
        </w:rPr>
        <w:t>ció específicamente al respecto</w:t>
      </w:r>
      <w:r w:rsidRPr="0037440D">
        <w:rPr>
          <w:spacing w:val="0"/>
          <w:szCs w:val="20"/>
        </w:rPr>
        <w:t xml:space="preserve">, </w:t>
      </w:r>
      <w:r w:rsidR="00785A7F">
        <w:rPr>
          <w:spacing w:val="0"/>
          <w:szCs w:val="20"/>
        </w:rPr>
        <w:t xml:space="preserve">aunque </w:t>
      </w:r>
      <w:r w:rsidRPr="0037440D">
        <w:rPr>
          <w:spacing w:val="0"/>
          <w:szCs w:val="20"/>
        </w:rPr>
        <w:t xml:space="preserve">alegó que el nombramiento del señor Colindres Schonenberg fue político. </w:t>
      </w:r>
      <w:r>
        <w:rPr>
          <w:spacing w:val="0"/>
          <w:szCs w:val="20"/>
        </w:rPr>
        <w:t>En vista de esta falta de claridad, la Corte</w:t>
      </w:r>
      <w:r w:rsidR="00951173">
        <w:rPr>
          <w:spacing w:val="0"/>
          <w:szCs w:val="20"/>
        </w:rPr>
        <w:t>,</w:t>
      </w:r>
      <w:r>
        <w:rPr>
          <w:spacing w:val="0"/>
          <w:szCs w:val="20"/>
        </w:rPr>
        <w:t xml:space="preserve"> al </w:t>
      </w:r>
      <w:r w:rsidR="0000204A">
        <w:rPr>
          <w:spacing w:val="0"/>
          <w:szCs w:val="20"/>
        </w:rPr>
        <w:t>pronunciarse sobre</w:t>
      </w:r>
      <w:r>
        <w:rPr>
          <w:spacing w:val="0"/>
          <w:szCs w:val="20"/>
        </w:rPr>
        <w:t xml:space="preserve"> el presente caso</w:t>
      </w:r>
      <w:r w:rsidR="00934306">
        <w:rPr>
          <w:spacing w:val="0"/>
          <w:szCs w:val="20"/>
        </w:rPr>
        <w:t>,</w:t>
      </w:r>
      <w:r>
        <w:rPr>
          <w:spacing w:val="0"/>
          <w:szCs w:val="20"/>
        </w:rPr>
        <w:t xml:space="preserve"> analizará </w:t>
      </w:r>
      <w:r w:rsidR="0000204A">
        <w:rPr>
          <w:spacing w:val="0"/>
          <w:szCs w:val="20"/>
        </w:rPr>
        <w:t xml:space="preserve">si se cumplieron con </w:t>
      </w:r>
      <w:r>
        <w:rPr>
          <w:spacing w:val="0"/>
          <w:szCs w:val="20"/>
        </w:rPr>
        <w:t>las garantías aplicables a cualquier tipo de proceso.</w:t>
      </w:r>
      <w:bookmarkEnd w:id="177"/>
      <w:r>
        <w:rPr>
          <w:spacing w:val="0"/>
          <w:szCs w:val="20"/>
        </w:rPr>
        <w:t xml:space="preserve"> </w:t>
      </w:r>
    </w:p>
    <w:p w14:paraId="1B2F5760" w14:textId="77777777" w:rsidR="00533384" w:rsidRPr="00EC3C4E" w:rsidRDefault="00533384" w:rsidP="00533384">
      <w:pPr>
        <w:pStyle w:val="PrrafodeSentencia"/>
        <w:numPr>
          <w:ilvl w:val="0"/>
          <w:numId w:val="0"/>
        </w:numPr>
        <w:rPr>
          <w:spacing w:val="0"/>
          <w:szCs w:val="20"/>
        </w:rPr>
      </w:pPr>
    </w:p>
    <w:p w14:paraId="0237B0FB" w14:textId="2B1636BC" w:rsidR="00533384" w:rsidRPr="00E85AD0" w:rsidRDefault="00533384" w:rsidP="00533384">
      <w:pPr>
        <w:pStyle w:val="PrrafodeSentencia"/>
        <w:rPr>
          <w:spacing w:val="0"/>
          <w:szCs w:val="20"/>
        </w:rPr>
      </w:pPr>
      <w:r w:rsidRPr="00E85AD0">
        <w:rPr>
          <w:spacing w:val="0"/>
          <w:szCs w:val="20"/>
        </w:rPr>
        <w:t xml:space="preserve">Teniendo en cuenta las consideraciones anteriores, se procederá </w:t>
      </w:r>
      <w:r w:rsidR="00E502F9">
        <w:rPr>
          <w:spacing w:val="0"/>
          <w:szCs w:val="20"/>
        </w:rPr>
        <w:t xml:space="preserve">a </w:t>
      </w:r>
      <w:r w:rsidRPr="00E85AD0">
        <w:rPr>
          <w:spacing w:val="0"/>
          <w:szCs w:val="20"/>
        </w:rPr>
        <w:t xml:space="preserve">analizar las alegadas </w:t>
      </w:r>
      <w:r w:rsidR="00E502F9">
        <w:rPr>
          <w:spacing w:val="0"/>
          <w:szCs w:val="20"/>
        </w:rPr>
        <w:t xml:space="preserve">violaciones a la Convención Americana presuntamente ocurridas en la primera y la </w:t>
      </w:r>
      <w:r w:rsidR="00E502F9">
        <w:rPr>
          <w:spacing w:val="0"/>
          <w:szCs w:val="20"/>
        </w:rPr>
        <w:lastRenderedPageBreak/>
        <w:t>segunda destitución d</w:t>
      </w:r>
      <w:r w:rsidR="005637CE">
        <w:rPr>
          <w:spacing w:val="0"/>
          <w:szCs w:val="20"/>
        </w:rPr>
        <w:t xml:space="preserve">el señor Colindres Schonenberg. Seguidamente se examinará </w:t>
      </w:r>
      <w:r w:rsidR="005637CE" w:rsidRPr="004D131F">
        <w:rPr>
          <w:spacing w:val="0"/>
        </w:rPr>
        <w:t>el d</w:t>
      </w:r>
      <w:r w:rsidR="005637CE">
        <w:rPr>
          <w:spacing w:val="0"/>
        </w:rPr>
        <w:t>erecho a la protección judicial</w:t>
      </w:r>
      <w:r w:rsidR="005637CE" w:rsidRPr="004D131F">
        <w:rPr>
          <w:spacing w:val="0"/>
        </w:rPr>
        <w:t xml:space="preserve"> y el plazo razonable en la demanda civil.</w:t>
      </w:r>
    </w:p>
    <w:p w14:paraId="311CAEEF" w14:textId="77777777" w:rsidR="00533384" w:rsidRPr="00E85AD0" w:rsidRDefault="00533384" w:rsidP="00533384">
      <w:pPr>
        <w:pStyle w:val="PrrafodeSentencia"/>
        <w:numPr>
          <w:ilvl w:val="0"/>
          <w:numId w:val="0"/>
        </w:numPr>
      </w:pPr>
    </w:p>
    <w:p w14:paraId="346FCD2F" w14:textId="1D43665D" w:rsidR="00533384" w:rsidRPr="00E85AD0" w:rsidRDefault="00533384" w:rsidP="00533384">
      <w:pPr>
        <w:pStyle w:val="Heading3"/>
      </w:pPr>
      <w:bookmarkStart w:id="178" w:name="_Toc192576"/>
      <w:r w:rsidRPr="00E85AD0">
        <w:t xml:space="preserve">B.1 </w:t>
      </w:r>
      <w:r>
        <w:t>Primera destitución del señor Colindres Schonenberg</w:t>
      </w:r>
      <w:bookmarkEnd w:id="178"/>
    </w:p>
    <w:p w14:paraId="7C2C8477" w14:textId="1A2A90AE" w:rsidR="00546C18" w:rsidRPr="00E502F9" w:rsidRDefault="00E502F9" w:rsidP="00E502F9">
      <w:pPr>
        <w:pStyle w:val="PrrafodeSentencia"/>
        <w:rPr>
          <w:spacing w:val="0"/>
        </w:rPr>
      </w:pPr>
      <w:bookmarkStart w:id="179" w:name="_Ref532900340"/>
      <w:r w:rsidRPr="00E85AD0">
        <w:rPr>
          <w:spacing w:val="0"/>
        </w:rPr>
        <w:t xml:space="preserve">El señor Colindres Schonenberg fue destituido </w:t>
      </w:r>
      <w:r>
        <w:rPr>
          <w:spacing w:val="0"/>
        </w:rPr>
        <w:t xml:space="preserve">por primera vez el 22 de noviembre de 1996. </w:t>
      </w:r>
      <w:r w:rsidRPr="00E502F9">
        <w:rPr>
          <w:spacing w:val="0"/>
        </w:rPr>
        <w:t>T</w:t>
      </w:r>
      <w:r w:rsidR="00546C18" w:rsidRPr="00E502F9">
        <w:rPr>
          <w:spacing w:val="0"/>
        </w:rPr>
        <w:t>ras la destitución: i) el señor Colindres Schonenberg fue restituido a su cargo; ii) se le pag</w:t>
      </w:r>
      <w:r w:rsidRPr="00E502F9">
        <w:rPr>
          <w:spacing w:val="0"/>
        </w:rPr>
        <w:t>aron</w:t>
      </w:r>
      <w:r w:rsidR="00546C18" w:rsidRPr="00E502F9">
        <w:rPr>
          <w:spacing w:val="0"/>
          <w:lang w:val="es-CO"/>
        </w:rPr>
        <w:t xml:space="preserve"> los sueldos que dejó de percibir, y iii) el Estado pagó por </w:t>
      </w:r>
      <w:r w:rsidR="0089226C">
        <w:rPr>
          <w:spacing w:val="0"/>
          <w:lang w:val="es-CO"/>
        </w:rPr>
        <w:t>el daño moral ocasionado</w:t>
      </w:r>
      <w:r w:rsidR="00546C18" w:rsidRPr="00E502F9">
        <w:rPr>
          <w:spacing w:val="0"/>
          <w:lang w:val="es-CO"/>
        </w:rPr>
        <w:t xml:space="preserve"> </w:t>
      </w:r>
      <w:r w:rsidR="00460B77" w:rsidRPr="00E502F9">
        <w:rPr>
          <w:spacing w:val="0"/>
          <w:lang w:val="es-CO"/>
        </w:rPr>
        <w:t xml:space="preserve">la cantidad de </w:t>
      </w:r>
      <w:r w:rsidR="00546C18" w:rsidRPr="00E502F9">
        <w:rPr>
          <w:spacing w:val="0"/>
          <w:lang w:val="es-CO"/>
        </w:rPr>
        <w:t>USD $114.285,60</w:t>
      </w:r>
      <w:r w:rsidR="00934306">
        <w:rPr>
          <w:spacing w:val="0"/>
          <w:lang w:val="es-CO"/>
        </w:rPr>
        <w:t xml:space="preserve"> al </w:t>
      </w:r>
      <w:r w:rsidR="00934306" w:rsidRPr="00E502F9">
        <w:rPr>
          <w:spacing w:val="0"/>
        </w:rPr>
        <w:t>señor Colindres Schonenberg</w:t>
      </w:r>
      <w:r w:rsidR="00546C18" w:rsidRPr="00E502F9">
        <w:rPr>
          <w:spacing w:val="0"/>
          <w:lang w:val="es-CO"/>
        </w:rPr>
        <w:t>.</w:t>
      </w:r>
      <w:bookmarkEnd w:id="179"/>
      <w:r w:rsidR="00546C18" w:rsidRPr="00E502F9">
        <w:rPr>
          <w:spacing w:val="0"/>
          <w:lang w:val="es-CO"/>
        </w:rPr>
        <w:t xml:space="preserve"> </w:t>
      </w:r>
    </w:p>
    <w:p w14:paraId="52E2CED4" w14:textId="77777777" w:rsidR="00546C18" w:rsidRPr="00E85AD0" w:rsidRDefault="00546C18" w:rsidP="00546C18">
      <w:pPr>
        <w:rPr>
          <w:lang w:val="es-CO" w:eastAsia="es-MX"/>
        </w:rPr>
      </w:pPr>
    </w:p>
    <w:p w14:paraId="62256FC2" w14:textId="1D3ADA3F" w:rsidR="00546C18" w:rsidRPr="00E85AD0" w:rsidRDefault="00546C18" w:rsidP="00546C18">
      <w:pPr>
        <w:pStyle w:val="PrrafodeSentencia"/>
        <w:rPr>
          <w:spacing w:val="0"/>
          <w:szCs w:val="20"/>
        </w:rPr>
      </w:pPr>
      <w:r w:rsidRPr="00E85AD0">
        <w:rPr>
          <w:spacing w:val="0"/>
          <w:szCs w:val="20"/>
        </w:rPr>
        <w:t xml:space="preserve">En </w:t>
      </w:r>
      <w:r w:rsidR="0045696E">
        <w:rPr>
          <w:spacing w:val="0"/>
          <w:szCs w:val="20"/>
        </w:rPr>
        <w:t xml:space="preserve">razón de lo anterior, en </w:t>
      </w:r>
      <w:r w:rsidRPr="00E85AD0">
        <w:rPr>
          <w:spacing w:val="0"/>
          <w:szCs w:val="20"/>
        </w:rPr>
        <w:t>primer lugar, corresponde re</w:t>
      </w:r>
      <w:r w:rsidR="0045696E">
        <w:rPr>
          <w:spacing w:val="0"/>
          <w:szCs w:val="20"/>
        </w:rPr>
        <w:t>iterar</w:t>
      </w:r>
      <w:r w:rsidRPr="00E85AD0">
        <w:rPr>
          <w:spacing w:val="0"/>
          <w:szCs w:val="20"/>
        </w:rPr>
        <w:t xml:space="preserve"> que el sistema interamericano de derechos humanos consta de un nivel nacional, a través del cual cada Estado debe garantizar los derechos y libertades previstos en la Convención e investigar y en su caso juzgar y sancionar las infracciones que se cometieren; y que si un caso concreto no es solucionado en la etapa interna o nacional, la Convención prevé un nivel internacional en el que los órganos principales son la Comisión y la Corte. Esta Corte también ha indicado que cuando una cuestión ha sido resuelta en el orden interno, según las cláusulas de la Convención, no es necesario traerla ante el Tribunal Interamericano para su aprobación o confirmación. Lo anterior se asienta en el principio de complementariedad, que informa transversalmente el sistema interamericano de derechos humanos, el cual es, tal como lo expresa el Preámbulo de la Convención Americana, “coadyuvante o complementario de la [protección] que ofrece el derecho interno de los Estados americanos”</w:t>
      </w:r>
      <w:r w:rsidRPr="00E85AD0">
        <w:rPr>
          <w:rStyle w:val="FootnoteReference"/>
          <w:spacing w:val="0"/>
          <w:sz w:val="20"/>
          <w:szCs w:val="20"/>
        </w:rPr>
        <w:footnoteReference w:id="105"/>
      </w:r>
      <w:r w:rsidRPr="00E85AD0">
        <w:rPr>
          <w:spacing w:val="0"/>
          <w:szCs w:val="20"/>
        </w:rPr>
        <w:t xml:space="preserve">. </w:t>
      </w:r>
    </w:p>
    <w:p w14:paraId="513D5006" w14:textId="77777777" w:rsidR="00546C18" w:rsidRPr="00E85AD0" w:rsidRDefault="00546C18" w:rsidP="00546C18">
      <w:pPr>
        <w:rPr>
          <w:lang w:val="es-CR" w:eastAsia="es-MX"/>
        </w:rPr>
      </w:pPr>
    </w:p>
    <w:p w14:paraId="3833DB42" w14:textId="65CD6C7E" w:rsidR="00546C18" w:rsidRPr="00E85AD0" w:rsidRDefault="00546C18" w:rsidP="00546C18">
      <w:pPr>
        <w:pStyle w:val="PrrafodeSentencia"/>
        <w:rPr>
          <w:spacing w:val="0"/>
          <w:szCs w:val="20"/>
        </w:rPr>
      </w:pPr>
      <w:r w:rsidRPr="00E85AD0">
        <w:rPr>
          <w:spacing w:val="0"/>
          <w:szCs w:val="20"/>
        </w:rPr>
        <w:t>El referido carácter complementario de la jurisdicción internacional significa que el sistema de protección instaurado por la Convención Americana no sustituye a las jurisdicciones nacionales, sino que las complementa</w:t>
      </w:r>
      <w:r w:rsidRPr="00E85AD0">
        <w:rPr>
          <w:rStyle w:val="FootnoteReference"/>
          <w:spacing w:val="0"/>
          <w:sz w:val="20"/>
          <w:szCs w:val="20"/>
        </w:rPr>
        <w:footnoteReference w:id="106"/>
      </w:r>
      <w:r w:rsidRPr="00E85AD0">
        <w:rPr>
          <w:spacing w:val="0"/>
          <w:szCs w:val="20"/>
        </w:rPr>
        <w:t>. De tal manera, el Estado es el principal garante de los derechos humanos de la</w:t>
      </w:r>
      <w:r w:rsidR="004D21C5">
        <w:rPr>
          <w:spacing w:val="0"/>
          <w:szCs w:val="20"/>
        </w:rPr>
        <w:t>s</w:t>
      </w:r>
      <w:r w:rsidRPr="00E85AD0">
        <w:rPr>
          <w:spacing w:val="0"/>
          <w:szCs w:val="20"/>
        </w:rPr>
        <w:t xml:space="preserve"> personas, por lo que, si se produce un acto violatorio de dichos derechos, es él quien debe resolver el asunto a nivel interno y, de ser el caso, reparar, antes de tener que responder ante instancias internacionales</w:t>
      </w:r>
      <w:r w:rsidRPr="00E85AD0">
        <w:rPr>
          <w:rStyle w:val="FootnoteReference"/>
          <w:spacing w:val="0"/>
          <w:sz w:val="20"/>
          <w:szCs w:val="20"/>
        </w:rPr>
        <w:footnoteReference w:id="107"/>
      </w:r>
      <w:r w:rsidRPr="00E85AD0">
        <w:rPr>
          <w:spacing w:val="0"/>
          <w:szCs w:val="20"/>
        </w:rPr>
        <w:t xml:space="preserve">. </w:t>
      </w:r>
    </w:p>
    <w:p w14:paraId="386F4E17" w14:textId="77777777" w:rsidR="00546C18" w:rsidRPr="00E85AD0" w:rsidRDefault="00546C18" w:rsidP="00546C18">
      <w:pPr>
        <w:rPr>
          <w:lang w:val="es-CR" w:eastAsia="es-MX"/>
        </w:rPr>
      </w:pPr>
    </w:p>
    <w:p w14:paraId="21139D67" w14:textId="77777777" w:rsidR="00546C18" w:rsidRPr="00E85AD0" w:rsidRDefault="00546C18" w:rsidP="00546C18">
      <w:pPr>
        <w:pStyle w:val="PrrafodeSentencia"/>
        <w:rPr>
          <w:spacing w:val="0"/>
        </w:rPr>
      </w:pPr>
      <w:r w:rsidRPr="00E85AD0">
        <w:rPr>
          <w:spacing w:val="0"/>
          <w:szCs w:val="20"/>
        </w:rPr>
        <w:t xml:space="preserve">De lo anterior se desprende que, en el sistema interamericano, existe un control dinámico y complementario de las obligaciones convencionales de los Estados de respetar y garantizar los derechos humanos, conjuntamente entre las autoridades internas (primariamente obligadas) y las instancias internacionales (en forma complementaria), de modo que los criterios de decisión, y los mecanismos de protección, tanto los nacionales </w:t>
      </w:r>
      <w:r w:rsidRPr="00E85AD0">
        <w:rPr>
          <w:spacing w:val="0"/>
          <w:szCs w:val="20"/>
        </w:rPr>
        <w:lastRenderedPageBreak/>
        <w:t xml:space="preserve">como los internacionales, </w:t>
      </w:r>
      <w:r w:rsidRPr="004F03BB">
        <w:rPr>
          <w:spacing w:val="0"/>
          <w:szCs w:val="20"/>
        </w:rPr>
        <w:t>puedan ser conformados y adecuados entre sí</w:t>
      </w:r>
      <w:r w:rsidRPr="004F03BB">
        <w:rPr>
          <w:rStyle w:val="FootnoteReference"/>
          <w:spacing w:val="0"/>
          <w:sz w:val="20"/>
          <w:szCs w:val="20"/>
        </w:rPr>
        <w:footnoteReference w:id="108"/>
      </w:r>
      <w:r w:rsidRPr="004F03BB">
        <w:rPr>
          <w:spacing w:val="0"/>
          <w:szCs w:val="20"/>
        </w:rPr>
        <w:t>. Así, la jurisprudencia de la Corte muestra casos en que se retoman decisiones de tribunales internos para fundamentar y conceptualizar la violación de la Convención en el caso específico</w:t>
      </w:r>
      <w:r w:rsidRPr="004F03BB">
        <w:rPr>
          <w:rStyle w:val="FootnoteReference"/>
          <w:spacing w:val="0"/>
          <w:sz w:val="20"/>
          <w:szCs w:val="20"/>
        </w:rPr>
        <w:footnoteReference w:id="109"/>
      </w:r>
      <w:r w:rsidRPr="004F03BB">
        <w:rPr>
          <w:spacing w:val="0"/>
          <w:szCs w:val="20"/>
        </w:rPr>
        <w:t xml:space="preserve">; en otros casos se ha reconocido que, en forma concordante con las obligaciones internacionales, los órganos, instancias o </w:t>
      </w:r>
      <w:r w:rsidRPr="00930580">
        <w:rPr>
          <w:spacing w:val="0"/>
          <w:szCs w:val="20"/>
        </w:rPr>
        <w:t>tribunales internos han adoptado medidas adecuadas para remediar la situación que dio origen al caso</w:t>
      </w:r>
      <w:r w:rsidRPr="00930580">
        <w:rPr>
          <w:rStyle w:val="FootnoteReference"/>
          <w:spacing w:val="0"/>
          <w:sz w:val="20"/>
          <w:szCs w:val="20"/>
        </w:rPr>
        <w:footnoteReference w:id="110"/>
      </w:r>
      <w:r w:rsidRPr="00930580">
        <w:rPr>
          <w:spacing w:val="0"/>
          <w:szCs w:val="20"/>
        </w:rPr>
        <w:t>; ya han resuelto la violación alegada</w:t>
      </w:r>
      <w:r w:rsidRPr="00930580">
        <w:rPr>
          <w:rStyle w:val="FootnoteReference"/>
          <w:spacing w:val="0"/>
          <w:sz w:val="20"/>
          <w:szCs w:val="20"/>
        </w:rPr>
        <w:footnoteReference w:id="111"/>
      </w:r>
      <w:r w:rsidRPr="00930580">
        <w:rPr>
          <w:spacing w:val="0"/>
          <w:szCs w:val="20"/>
        </w:rPr>
        <w:t>; han dispuesto reparaciones razonables</w:t>
      </w:r>
      <w:r w:rsidRPr="00930580">
        <w:rPr>
          <w:rStyle w:val="FootnoteReference"/>
          <w:spacing w:val="0"/>
          <w:sz w:val="20"/>
          <w:szCs w:val="20"/>
        </w:rPr>
        <w:footnoteReference w:id="112"/>
      </w:r>
      <w:r w:rsidRPr="00930580">
        <w:rPr>
          <w:spacing w:val="0"/>
          <w:szCs w:val="20"/>
        </w:rPr>
        <w:t>, o han ejercido un adecuado control de convencionalidad</w:t>
      </w:r>
      <w:r w:rsidRPr="00930580">
        <w:rPr>
          <w:rStyle w:val="FootnoteReference"/>
          <w:spacing w:val="0"/>
          <w:sz w:val="20"/>
          <w:szCs w:val="20"/>
        </w:rPr>
        <w:footnoteReference w:id="113"/>
      </w:r>
      <w:r w:rsidRPr="00930580">
        <w:rPr>
          <w:spacing w:val="0"/>
          <w:szCs w:val="20"/>
        </w:rPr>
        <w:t xml:space="preserve">. </w:t>
      </w:r>
      <w:r w:rsidRPr="00930580">
        <w:rPr>
          <w:spacing w:val="0"/>
        </w:rPr>
        <w:t>En este sentido, la Corte ha señalado que la responsabilidad estatal bajo la Convención solo puede ser exigida a nivel internacional</w:t>
      </w:r>
      <w:r w:rsidRPr="00E85AD0">
        <w:rPr>
          <w:spacing w:val="0"/>
        </w:rPr>
        <w:t xml:space="preserve"> después de que el Estado haya tenido la oportunidad de </w:t>
      </w:r>
      <w:r w:rsidRPr="00E85AD0">
        <w:rPr>
          <w:spacing w:val="0"/>
          <w:szCs w:val="20"/>
        </w:rPr>
        <w:t>reconocer, en su caso, una violación de un derecho, y de reparar por sus propios medios los daños ocasionados</w:t>
      </w:r>
      <w:r w:rsidRPr="00E85AD0">
        <w:rPr>
          <w:rStyle w:val="FootnoteReference"/>
          <w:spacing w:val="0"/>
          <w:sz w:val="20"/>
          <w:szCs w:val="20"/>
        </w:rPr>
        <w:footnoteReference w:id="114"/>
      </w:r>
      <w:r w:rsidRPr="00E85AD0">
        <w:rPr>
          <w:spacing w:val="0"/>
          <w:szCs w:val="20"/>
        </w:rPr>
        <w:t>. Por tanto, para que no se declare la responsabilidad estatal debe evaluarse si lo hizo cesar y si reparó las consecuencias de la medida o situación que lo configuró</w:t>
      </w:r>
      <w:r w:rsidRPr="00E85AD0">
        <w:rPr>
          <w:rStyle w:val="FootnoteReference"/>
          <w:spacing w:val="0"/>
          <w:sz w:val="20"/>
          <w:szCs w:val="20"/>
        </w:rPr>
        <w:footnoteReference w:id="115"/>
      </w:r>
      <w:r w:rsidRPr="00E85AD0">
        <w:rPr>
          <w:spacing w:val="0"/>
          <w:szCs w:val="20"/>
        </w:rPr>
        <w:t>.</w:t>
      </w:r>
    </w:p>
    <w:p w14:paraId="088A321E" w14:textId="77777777" w:rsidR="00546C18" w:rsidRPr="00E85AD0" w:rsidRDefault="00546C18" w:rsidP="00546C18">
      <w:pPr>
        <w:pStyle w:val="PrrafodeSentencia"/>
        <w:numPr>
          <w:ilvl w:val="0"/>
          <w:numId w:val="0"/>
        </w:numPr>
        <w:rPr>
          <w:color w:val="00B050"/>
          <w:spacing w:val="0"/>
          <w:szCs w:val="20"/>
        </w:rPr>
      </w:pPr>
    </w:p>
    <w:p w14:paraId="1DAA93E4" w14:textId="159F281F" w:rsidR="0047330E" w:rsidRDefault="00546C18" w:rsidP="0047330E">
      <w:pPr>
        <w:pStyle w:val="PrrafodeSentencia"/>
        <w:rPr>
          <w:spacing w:val="0"/>
          <w:szCs w:val="20"/>
        </w:rPr>
      </w:pPr>
      <w:r w:rsidRPr="00E85AD0">
        <w:rPr>
          <w:spacing w:val="0"/>
          <w:szCs w:val="20"/>
        </w:rPr>
        <w:t xml:space="preserve">En el presente caso, en relación a la primera condición, esto es si las violaciones cesaron, la Corte concluye afirmativamente con base en que </w:t>
      </w:r>
      <w:r w:rsidR="00744D0C">
        <w:rPr>
          <w:spacing w:val="0"/>
          <w:szCs w:val="20"/>
        </w:rPr>
        <w:t xml:space="preserve">la acción </w:t>
      </w:r>
      <w:r w:rsidRPr="00E85AD0">
        <w:rPr>
          <w:spacing w:val="0"/>
          <w:szCs w:val="20"/>
        </w:rPr>
        <w:t xml:space="preserve">de amparo </w:t>
      </w:r>
      <w:r w:rsidR="00744D0C">
        <w:rPr>
          <w:spacing w:val="0"/>
          <w:szCs w:val="20"/>
        </w:rPr>
        <w:t>presentada</w:t>
      </w:r>
      <w:r w:rsidRPr="00E85AD0">
        <w:rPr>
          <w:spacing w:val="0"/>
          <w:szCs w:val="20"/>
        </w:rPr>
        <w:t xml:space="preserve"> por el señor Colindres Schonenberg tras la primera destitución fue resuelt</w:t>
      </w:r>
      <w:r w:rsidR="00744D0C">
        <w:rPr>
          <w:spacing w:val="0"/>
          <w:szCs w:val="20"/>
        </w:rPr>
        <w:t>a</w:t>
      </w:r>
      <w:r w:rsidRPr="00E85AD0">
        <w:rPr>
          <w:spacing w:val="0"/>
          <w:szCs w:val="20"/>
        </w:rPr>
        <w:t xml:space="preserve"> favorablemente por la Sala de lo Constitucional, por lo que fue restituido a su cargo. En </w:t>
      </w:r>
      <w:r w:rsidR="00B87DB4">
        <w:rPr>
          <w:spacing w:val="0"/>
          <w:szCs w:val="20"/>
        </w:rPr>
        <w:t>particular</w:t>
      </w:r>
      <w:r w:rsidRPr="00E85AD0">
        <w:rPr>
          <w:spacing w:val="0"/>
          <w:szCs w:val="20"/>
        </w:rPr>
        <w:t xml:space="preserve"> </w:t>
      </w:r>
      <w:r w:rsidR="0047330E">
        <w:rPr>
          <w:spacing w:val="0"/>
          <w:szCs w:val="20"/>
        </w:rPr>
        <w:t xml:space="preserve">la Sala </w:t>
      </w:r>
      <w:r w:rsidR="0047330E" w:rsidRPr="00E85AD0">
        <w:rPr>
          <w:spacing w:val="0"/>
          <w:szCs w:val="20"/>
        </w:rPr>
        <w:t>de lo Constitucional</w:t>
      </w:r>
      <w:r w:rsidR="0047330E">
        <w:rPr>
          <w:spacing w:val="0"/>
          <w:szCs w:val="20"/>
        </w:rPr>
        <w:t xml:space="preserve"> señaló que </w:t>
      </w:r>
    </w:p>
    <w:p w14:paraId="771B9426" w14:textId="77777777" w:rsidR="00BB43D3" w:rsidRDefault="00BB43D3" w:rsidP="00BB43D3">
      <w:pPr>
        <w:rPr>
          <w:lang w:val="es-CR" w:eastAsia="es-MX"/>
        </w:rPr>
      </w:pPr>
    </w:p>
    <w:p w14:paraId="5242A006" w14:textId="3BB26118" w:rsidR="00BB43D3" w:rsidRPr="006F26A6" w:rsidRDefault="00BB43D3" w:rsidP="00BB43D3">
      <w:pPr>
        <w:ind w:left="567" w:right="425"/>
        <w:jc w:val="both"/>
        <w:rPr>
          <w:sz w:val="18"/>
          <w:szCs w:val="18"/>
          <w:lang w:val="es-CR" w:eastAsia="es-MX"/>
        </w:rPr>
      </w:pPr>
      <w:r w:rsidRPr="006F26A6">
        <w:rPr>
          <w:sz w:val="18"/>
          <w:szCs w:val="18"/>
          <w:lang w:val="es-CR" w:eastAsia="es-MX"/>
        </w:rPr>
        <w:t>la decisión de destitución se llevó a cabo sin previo procedimiento, pues no aparece que se haya tramitado proceso alguno para determinar si efectivamente el señor Colindres incurría en las causas justificativas de su destitución, ni se le concedió oportunidad alguna de defensa.</w:t>
      </w:r>
    </w:p>
    <w:p w14:paraId="066CA1CE" w14:textId="3F958708" w:rsidR="0047330E" w:rsidRPr="006F26A6" w:rsidRDefault="00BB43D3" w:rsidP="00BB43D3">
      <w:pPr>
        <w:ind w:left="567" w:right="425"/>
        <w:jc w:val="both"/>
        <w:rPr>
          <w:sz w:val="18"/>
          <w:szCs w:val="18"/>
          <w:lang w:val="es-CR" w:eastAsia="es-MX"/>
        </w:rPr>
      </w:pPr>
      <w:r w:rsidRPr="006F26A6">
        <w:rPr>
          <w:sz w:val="18"/>
          <w:szCs w:val="18"/>
          <w:lang w:val="es-CR" w:eastAsia="es-MX"/>
        </w:rPr>
        <w:t>Analizados los hechos desde la perspectiva normativa [la] Sala concluy[ó] que la Asamblea Legislativa irrespetó el derecho constitucional de audiencia del doctor Eduardo Colindres, el cual se traduce […] en el otorgamiento de audiencia ante la autoridad competente para poder defender – en plazo razonable – de manera plena y amplia su permanencia en el cargo por el período por el cual fue electo, permitiéndosele la aportación de los medios probatorios que sean conducentes y pertinentes al asunto</w:t>
      </w:r>
      <w:r w:rsidR="0047330E" w:rsidRPr="006F26A6">
        <w:rPr>
          <w:rFonts w:eastAsia="Times New Roman"/>
          <w:iCs/>
          <w:sz w:val="18"/>
          <w:szCs w:val="18"/>
          <w:vertAlign w:val="superscript"/>
          <w:lang w:val="es-CO"/>
        </w:rPr>
        <w:footnoteReference w:id="116"/>
      </w:r>
      <w:r w:rsidR="0047330E" w:rsidRPr="006F26A6">
        <w:rPr>
          <w:rFonts w:eastAsia="Times New Roman"/>
          <w:sz w:val="18"/>
          <w:szCs w:val="18"/>
          <w:lang w:val="es-CR"/>
        </w:rPr>
        <w:t>.</w:t>
      </w:r>
    </w:p>
    <w:p w14:paraId="654744FA" w14:textId="77777777" w:rsidR="0047330E" w:rsidRPr="0047330E" w:rsidRDefault="0047330E" w:rsidP="0047330E">
      <w:pPr>
        <w:rPr>
          <w:lang w:val="es-CR" w:eastAsia="es-MX"/>
        </w:rPr>
      </w:pPr>
    </w:p>
    <w:p w14:paraId="31B57AE0" w14:textId="71B8C6CF" w:rsidR="0047330E" w:rsidRDefault="006F26A6" w:rsidP="00546C18">
      <w:pPr>
        <w:pStyle w:val="PrrafodeSentencia"/>
        <w:rPr>
          <w:spacing w:val="0"/>
          <w:szCs w:val="20"/>
        </w:rPr>
      </w:pPr>
      <w:r>
        <w:rPr>
          <w:spacing w:val="0"/>
          <w:szCs w:val="20"/>
        </w:rPr>
        <w:lastRenderedPageBreak/>
        <w:t>L</w:t>
      </w:r>
      <w:r w:rsidR="00B87DB4">
        <w:rPr>
          <w:spacing w:val="0"/>
          <w:szCs w:val="20"/>
        </w:rPr>
        <w:t xml:space="preserve">a Sala de lo Constitucional además indicó que “como concreción de la estabilidad en el cargo, surge a favor del funcionario el derecho a mantenerse en el cargo durante el período por el cual fue electo”, por </w:t>
      </w:r>
      <w:r w:rsidR="004D21C5">
        <w:rPr>
          <w:spacing w:val="0"/>
          <w:szCs w:val="20"/>
        </w:rPr>
        <w:t xml:space="preserve">lo </w:t>
      </w:r>
      <w:r w:rsidR="00B87DB4">
        <w:rPr>
          <w:spacing w:val="0"/>
          <w:szCs w:val="20"/>
        </w:rPr>
        <w:t>tanto, concluyó que “el efecto restitutorio se traduce, necesariamente, en el reinstalo en el cargo”</w:t>
      </w:r>
      <w:r w:rsidR="004D21C5" w:rsidRPr="004C6A7F">
        <w:rPr>
          <w:rStyle w:val="FootnoteReference"/>
          <w:spacing w:val="0"/>
          <w:sz w:val="20"/>
          <w:szCs w:val="20"/>
        </w:rPr>
        <w:footnoteReference w:id="117"/>
      </w:r>
      <w:r w:rsidR="00B87DB4" w:rsidRPr="004C6A7F">
        <w:rPr>
          <w:spacing w:val="0"/>
          <w:szCs w:val="20"/>
        </w:rPr>
        <w:t>.</w:t>
      </w:r>
      <w:r w:rsidR="004C6A7F" w:rsidRPr="004C6A7F">
        <w:rPr>
          <w:spacing w:val="0"/>
          <w:szCs w:val="20"/>
        </w:rPr>
        <w:t xml:space="preserve"> Asimismo la Sala de lo Constitucional ordenó que se le pagara al señor Colindres Schonenberg los sueldos dejados de percibir</w:t>
      </w:r>
      <w:r w:rsidR="004C6A7F" w:rsidRPr="004C6A7F">
        <w:rPr>
          <w:rStyle w:val="FootnoteReference"/>
          <w:spacing w:val="0"/>
          <w:sz w:val="20"/>
          <w:szCs w:val="20"/>
          <w:lang w:val="es-CO"/>
        </w:rPr>
        <w:footnoteReference w:id="118"/>
      </w:r>
      <w:r w:rsidR="004C6A7F" w:rsidRPr="004C6A7F">
        <w:rPr>
          <w:spacing w:val="0"/>
          <w:szCs w:val="20"/>
        </w:rPr>
        <w:t xml:space="preserve">. </w:t>
      </w:r>
    </w:p>
    <w:p w14:paraId="6CAF07A7" w14:textId="77777777" w:rsidR="00B87DB4" w:rsidRPr="00B87DB4" w:rsidRDefault="00B87DB4" w:rsidP="00B87DB4">
      <w:pPr>
        <w:rPr>
          <w:lang w:val="es-CR" w:eastAsia="es-MX"/>
        </w:rPr>
      </w:pPr>
    </w:p>
    <w:p w14:paraId="38B15721" w14:textId="6793669C" w:rsidR="00546C18" w:rsidRPr="00D705F2" w:rsidRDefault="00546C18" w:rsidP="00546C18">
      <w:pPr>
        <w:pStyle w:val="PrrafodeSentencia"/>
        <w:rPr>
          <w:spacing w:val="0"/>
          <w:szCs w:val="20"/>
        </w:rPr>
      </w:pPr>
      <w:r w:rsidRPr="00E85AD0">
        <w:rPr>
          <w:spacing w:val="0"/>
          <w:szCs w:val="20"/>
        </w:rPr>
        <w:t xml:space="preserve"> Por lo tanto, </w:t>
      </w:r>
      <w:r w:rsidR="00B87DB4" w:rsidRPr="00E85AD0">
        <w:rPr>
          <w:spacing w:val="0"/>
          <w:szCs w:val="20"/>
        </w:rPr>
        <w:t xml:space="preserve">mediante la sentencia de la Sala de lo Constitucional </w:t>
      </w:r>
      <w:r w:rsidR="00B87DB4">
        <w:rPr>
          <w:spacing w:val="0"/>
          <w:szCs w:val="20"/>
        </w:rPr>
        <w:t xml:space="preserve">de 4 de noviembre de 1997 </w:t>
      </w:r>
      <w:r w:rsidRPr="00E85AD0">
        <w:rPr>
          <w:spacing w:val="0"/>
          <w:szCs w:val="20"/>
        </w:rPr>
        <w:t xml:space="preserve">el Estado garantizó efectivamente las garantías judiciales del señor Colindres Schonenberg, por lo que cesó la </w:t>
      </w:r>
      <w:r w:rsidRPr="00D705F2">
        <w:rPr>
          <w:spacing w:val="0"/>
          <w:szCs w:val="20"/>
        </w:rPr>
        <w:t>alegada violación</w:t>
      </w:r>
      <w:r w:rsidR="00D705F2" w:rsidRPr="00D705F2">
        <w:rPr>
          <w:rStyle w:val="FootnoteReference"/>
          <w:spacing w:val="0"/>
          <w:sz w:val="20"/>
          <w:szCs w:val="20"/>
        </w:rPr>
        <w:footnoteReference w:id="119"/>
      </w:r>
      <w:r w:rsidRPr="00D705F2">
        <w:rPr>
          <w:spacing w:val="0"/>
          <w:szCs w:val="20"/>
        </w:rPr>
        <w:t xml:space="preserve">. </w:t>
      </w:r>
    </w:p>
    <w:p w14:paraId="0668699A" w14:textId="77777777" w:rsidR="00546C18" w:rsidRPr="00E85AD0" w:rsidRDefault="00546C18" w:rsidP="00546C18">
      <w:pPr>
        <w:rPr>
          <w:szCs w:val="20"/>
          <w:lang w:val="es-CR" w:eastAsia="es-MX"/>
        </w:rPr>
      </w:pPr>
    </w:p>
    <w:p w14:paraId="6EA7FFE6" w14:textId="092CDC3E" w:rsidR="00546C18" w:rsidRPr="002C397B" w:rsidRDefault="00546C18" w:rsidP="002C397B">
      <w:pPr>
        <w:pStyle w:val="PrrafodeSentencia"/>
        <w:tabs>
          <w:tab w:val="left" w:pos="709"/>
          <w:tab w:val="left" w:pos="1134"/>
        </w:tabs>
        <w:ind w:right="-4"/>
        <w:rPr>
          <w:spacing w:val="0"/>
          <w:szCs w:val="20"/>
        </w:rPr>
      </w:pPr>
      <w:r w:rsidRPr="00E85AD0">
        <w:rPr>
          <w:spacing w:val="0"/>
          <w:szCs w:val="20"/>
        </w:rPr>
        <w:t>Con relación a la segunda condición, esto es si las violaciones fueron reparadas, este Tribunal constató que al señor Colindres Schonenberg se le pag</w:t>
      </w:r>
      <w:r w:rsidR="003B2F8E">
        <w:rPr>
          <w:spacing w:val="0"/>
          <w:szCs w:val="20"/>
        </w:rPr>
        <w:t>aron</w:t>
      </w:r>
      <w:r w:rsidRPr="00E85AD0">
        <w:rPr>
          <w:spacing w:val="0"/>
          <w:szCs w:val="20"/>
        </w:rPr>
        <w:t xml:space="preserve"> los </w:t>
      </w:r>
      <w:r w:rsidRPr="00E85AD0">
        <w:rPr>
          <w:spacing w:val="0"/>
          <w:szCs w:val="20"/>
          <w:lang w:val="es-CO"/>
        </w:rPr>
        <w:t xml:space="preserve">sueldos que dejó de percibir durante </w:t>
      </w:r>
      <w:r w:rsidR="002C397B">
        <w:rPr>
          <w:spacing w:val="0"/>
          <w:szCs w:val="20"/>
          <w:lang w:val="es-CO"/>
        </w:rPr>
        <w:t>el tiempo que estuvo destituido</w:t>
      </w:r>
      <w:r w:rsidRPr="002C397B">
        <w:rPr>
          <w:spacing w:val="0"/>
          <w:szCs w:val="20"/>
          <w:lang w:val="es-CO"/>
        </w:rPr>
        <w:t xml:space="preserve"> y la cantidad de USD $114.285,60 por </w:t>
      </w:r>
      <w:r w:rsidR="003B2F8E">
        <w:rPr>
          <w:spacing w:val="0"/>
          <w:szCs w:val="20"/>
          <w:lang w:val="es-CO"/>
        </w:rPr>
        <w:t>el daño moral ocasionado</w:t>
      </w:r>
      <w:r w:rsidRPr="002C397B">
        <w:rPr>
          <w:spacing w:val="0"/>
          <w:szCs w:val="20"/>
          <w:lang w:val="es-CO"/>
        </w:rPr>
        <w:t>.</w:t>
      </w:r>
      <w:r w:rsidRPr="002C397B">
        <w:rPr>
          <w:spacing w:val="0"/>
          <w:szCs w:val="20"/>
        </w:rPr>
        <w:t xml:space="preserve"> En este sentido, en atención a la práctica del Tribunal en la concesión de montos otorgados en casos donde se han constatado destituciones arbitrarias </w:t>
      </w:r>
      <w:r w:rsidR="00C37646" w:rsidRPr="002C397B">
        <w:rPr>
          <w:spacing w:val="0"/>
          <w:szCs w:val="20"/>
        </w:rPr>
        <w:t>similares</w:t>
      </w:r>
      <w:r w:rsidRPr="002C397B">
        <w:rPr>
          <w:spacing w:val="0"/>
          <w:szCs w:val="20"/>
        </w:rPr>
        <w:t xml:space="preserve"> a la del presente caso, la Corte considera que esta compensación resulta adecuada para reparar</w:t>
      </w:r>
      <w:r w:rsidR="003B2F8E">
        <w:rPr>
          <w:spacing w:val="0"/>
          <w:szCs w:val="20"/>
        </w:rPr>
        <w:t xml:space="preserve"> el daño ocasionado</w:t>
      </w:r>
      <w:r w:rsidRPr="002C397B">
        <w:rPr>
          <w:spacing w:val="0"/>
          <w:szCs w:val="20"/>
        </w:rPr>
        <w:t xml:space="preserve"> al señor Colindres Schonenberg. </w:t>
      </w:r>
    </w:p>
    <w:p w14:paraId="3E111B48" w14:textId="77777777" w:rsidR="00546C18" w:rsidRPr="00E85AD0" w:rsidRDefault="00546C18" w:rsidP="00546C18">
      <w:pPr>
        <w:rPr>
          <w:szCs w:val="20"/>
          <w:lang w:val="es-CR" w:eastAsia="es-MX"/>
        </w:rPr>
      </w:pPr>
    </w:p>
    <w:p w14:paraId="16755CFC" w14:textId="13DEAC32" w:rsidR="0083400B" w:rsidRDefault="00546C18" w:rsidP="00651C58">
      <w:pPr>
        <w:pStyle w:val="PrrafodeSentencia"/>
        <w:tabs>
          <w:tab w:val="left" w:pos="709"/>
          <w:tab w:val="left" w:pos="1134"/>
        </w:tabs>
        <w:ind w:right="-4"/>
        <w:rPr>
          <w:spacing w:val="0"/>
          <w:szCs w:val="20"/>
        </w:rPr>
      </w:pPr>
      <w:r w:rsidRPr="00E85AD0">
        <w:rPr>
          <w:spacing w:val="0"/>
          <w:szCs w:val="20"/>
        </w:rPr>
        <w:t xml:space="preserve">En razón de lo anterior, y de conformidad con el principio de complementariedad, la Corte considera </w:t>
      </w:r>
      <w:r w:rsidR="003B0646">
        <w:rPr>
          <w:spacing w:val="0"/>
          <w:szCs w:val="20"/>
        </w:rPr>
        <w:t xml:space="preserve">que el </w:t>
      </w:r>
      <w:r w:rsidR="003208AC">
        <w:rPr>
          <w:spacing w:val="0"/>
          <w:szCs w:val="20"/>
        </w:rPr>
        <w:t>E</w:t>
      </w:r>
      <w:r w:rsidR="003B0646">
        <w:rPr>
          <w:spacing w:val="0"/>
          <w:szCs w:val="20"/>
        </w:rPr>
        <w:t>stado no es responsable por</w:t>
      </w:r>
      <w:r w:rsidRPr="00E85AD0">
        <w:rPr>
          <w:spacing w:val="0"/>
          <w:szCs w:val="20"/>
        </w:rPr>
        <w:t xml:space="preserve"> las alegadas violaciones a la Convención que habría causado la primera destitución del señor Colindres Schonenberg</w:t>
      </w:r>
      <w:r w:rsidR="00651C58">
        <w:rPr>
          <w:spacing w:val="0"/>
          <w:szCs w:val="20"/>
        </w:rPr>
        <w:t>.</w:t>
      </w:r>
    </w:p>
    <w:p w14:paraId="368DBEBE" w14:textId="77777777" w:rsidR="00546C18" w:rsidRPr="00E85AD0" w:rsidRDefault="00546C18" w:rsidP="00546C18">
      <w:pPr>
        <w:pStyle w:val="Header"/>
        <w:tabs>
          <w:tab w:val="clear" w:pos="4419"/>
          <w:tab w:val="clear" w:pos="8838"/>
        </w:tabs>
        <w:rPr>
          <w:lang w:val="es-CR" w:eastAsia="es-ES"/>
        </w:rPr>
      </w:pPr>
    </w:p>
    <w:p w14:paraId="7985790E" w14:textId="77777777" w:rsidR="00546C18" w:rsidRPr="00E85AD0" w:rsidRDefault="00546C18" w:rsidP="00865D8D">
      <w:pPr>
        <w:pStyle w:val="Heading3"/>
        <w:spacing w:after="0"/>
        <w:ind w:left="1134"/>
      </w:pPr>
      <w:bookmarkStart w:id="180" w:name="_Toc192577"/>
      <w:r w:rsidRPr="00E85AD0">
        <w:t xml:space="preserve">B.2 Segunda destitución </w:t>
      </w:r>
      <w:r w:rsidR="00BD548F" w:rsidRPr="00E85AD0">
        <w:t>del señor Colindres Schonenberg</w:t>
      </w:r>
      <w:bookmarkEnd w:id="180"/>
    </w:p>
    <w:p w14:paraId="6C4FAB13" w14:textId="77777777" w:rsidR="005637CE" w:rsidRPr="00651C58" w:rsidRDefault="005637CE" w:rsidP="005637CE">
      <w:pPr>
        <w:rPr>
          <w:lang w:val="es-CR" w:eastAsia="es-MX"/>
        </w:rPr>
      </w:pPr>
    </w:p>
    <w:p w14:paraId="6EBAE0AD" w14:textId="02E33885" w:rsidR="005637CE" w:rsidRPr="005637CE" w:rsidRDefault="005637CE" w:rsidP="005637CE">
      <w:pPr>
        <w:pStyle w:val="PrrafodeSentencia"/>
        <w:rPr>
          <w:spacing w:val="0"/>
        </w:rPr>
      </w:pPr>
      <w:r>
        <w:rPr>
          <w:spacing w:val="0"/>
          <w:szCs w:val="20"/>
        </w:rPr>
        <w:t>T</w:t>
      </w:r>
      <w:r w:rsidRPr="00E85AD0">
        <w:rPr>
          <w:spacing w:val="0"/>
          <w:szCs w:val="20"/>
        </w:rPr>
        <w:t xml:space="preserve">omando en cuenta los alegatos </w:t>
      </w:r>
      <w:r>
        <w:rPr>
          <w:spacing w:val="0"/>
          <w:szCs w:val="20"/>
        </w:rPr>
        <w:t xml:space="preserve">presentados, la Corte </w:t>
      </w:r>
      <w:r w:rsidRPr="004D131F">
        <w:rPr>
          <w:spacing w:val="0"/>
        </w:rPr>
        <w:t xml:space="preserve">analizará </w:t>
      </w:r>
      <w:r>
        <w:rPr>
          <w:spacing w:val="0"/>
        </w:rPr>
        <w:t xml:space="preserve">a) </w:t>
      </w:r>
      <w:r w:rsidRPr="004D131F">
        <w:rPr>
          <w:spacing w:val="0"/>
        </w:rPr>
        <w:t xml:space="preserve">la </w:t>
      </w:r>
      <w:r>
        <w:rPr>
          <w:spacing w:val="0"/>
        </w:rPr>
        <w:t>incompetencia de la Asamblea Legislativa; b) la ausencia de un procedimiento previamente establecido; c) otras violaciones alegadas respecto al debido proceso</w:t>
      </w:r>
      <w:r w:rsidR="004C6A7F">
        <w:rPr>
          <w:spacing w:val="0"/>
        </w:rPr>
        <w:t xml:space="preserve"> y el principio de legalidad</w:t>
      </w:r>
      <w:r>
        <w:rPr>
          <w:spacing w:val="0"/>
        </w:rPr>
        <w:t xml:space="preserve">; </w:t>
      </w:r>
      <w:r w:rsidR="004C6A7F">
        <w:rPr>
          <w:spacing w:val="0"/>
        </w:rPr>
        <w:t>d</w:t>
      </w:r>
      <w:r>
        <w:rPr>
          <w:spacing w:val="0"/>
        </w:rPr>
        <w:t>) el d</w:t>
      </w:r>
      <w:r w:rsidRPr="005637CE">
        <w:t>erecho a permanecer en el cargo en condiciones generales d</w:t>
      </w:r>
      <w:r w:rsidRPr="00790C04">
        <w:t>e igualdad</w:t>
      </w:r>
      <w:r w:rsidRPr="00790C04">
        <w:rPr>
          <w:spacing w:val="0"/>
        </w:rPr>
        <w:t xml:space="preserve">, y </w:t>
      </w:r>
      <w:r w:rsidR="004C6A7F">
        <w:rPr>
          <w:spacing w:val="0"/>
        </w:rPr>
        <w:t>e</w:t>
      </w:r>
      <w:r w:rsidRPr="00790C04">
        <w:rPr>
          <w:spacing w:val="0"/>
        </w:rPr>
        <w:t>) la falta de adecuación del derecho interno.</w:t>
      </w:r>
    </w:p>
    <w:p w14:paraId="7AB0905C" w14:textId="77777777" w:rsidR="005637CE" w:rsidRPr="005637CE" w:rsidRDefault="005637CE" w:rsidP="005637CE">
      <w:pPr>
        <w:rPr>
          <w:lang w:val="es-CR" w:eastAsia="es-MX"/>
        </w:rPr>
      </w:pPr>
    </w:p>
    <w:p w14:paraId="66DE5079" w14:textId="77777777" w:rsidR="00546C18" w:rsidRPr="00E85AD0" w:rsidRDefault="00546C18" w:rsidP="00DD4AFF">
      <w:pPr>
        <w:pStyle w:val="Heading4"/>
        <w:ind w:left="1701"/>
        <w:jc w:val="left"/>
      </w:pPr>
      <w:bookmarkStart w:id="181" w:name="_Toc192578"/>
      <w:r w:rsidRPr="00E85AD0">
        <w:t>B.2.a Incompetencia de la Asamblea Legislativa</w:t>
      </w:r>
      <w:bookmarkEnd w:id="181"/>
      <w:r w:rsidRPr="00E85AD0">
        <w:t xml:space="preserve"> </w:t>
      </w:r>
    </w:p>
    <w:p w14:paraId="79C231EE" w14:textId="77777777" w:rsidR="00546C18" w:rsidRPr="00E85AD0" w:rsidRDefault="00546C18" w:rsidP="00DD4AFF">
      <w:pPr>
        <w:rPr>
          <w:lang w:val="es-CR" w:eastAsia="es-MX"/>
        </w:rPr>
      </w:pPr>
    </w:p>
    <w:p w14:paraId="2A0280F5" w14:textId="000E7F7C" w:rsidR="00546C18" w:rsidRPr="00E85AD0" w:rsidRDefault="00546C18" w:rsidP="00DD4AFF">
      <w:pPr>
        <w:pStyle w:val="PrrafodeSentencia"/>
        <w:rPr>
          <w:b/>
          <w:spacing w:val="0"/>
        </w:rPr>
      </w:pPr>
      <w:r w:rsidRPr="00E85AD0">
        <w:rPr>
          <w:spacing w:val="0"/>
        </w:rPr>
        <w:t>El artículo 8.1 de la Convención garantiza que las decisiones en las cuales se determinen derechos de las personas, deben ser adoptadas por las autoridades competentes que la ley interna determine. En el presente caso, ya se señaló que era exigible que el proceso mediante el cual se destituyó la presunta víctima cumpliera con las garantías incluidas en el artículo 8.1 (</w:t>
      </w:r>
      <w:r w:rsidRPr="00E85AD0">
        <w:rPr>
          <w:i/>
          <w:spacing w:val="0"/>
        </w:rPr>
        <w:t xml:space="preserve">supra </w:t>
      </w:r>
      <w:r w:rsidRPr="00E85AD0">
        <w:rPr>
          <w:spacing w:val="0"/>
        </w:rPr>
        <w:t>párr.</w:t>
      </w:r>
      <w:r w:rsidR="00C75D17">
        <w:rPr>
          <w:spacing w:val="0"/>
        </w:rPr>
        <w:t xml:space="preserve"> </w:t>
      </w:r>
      <w:r w:rsidR="00C75D17">
        <w:rPr>
          <w:spacing w:val="0"/>
        </w:rPr>
        <w:fldChar w:fldCharType="begin"/>
      </w:r>
      <w:r w:rsidR="00C75D17">
        <w:rPr>
          <w:spacing w:val="0"/>
        </w:rPr>
        <w:instrText xml:space="preserve"> REF _Ref863925 \r \h </w:instrText>
      </w:r>
      <w:r w:rsidR="00C75D17">
        <w:rPr>
          <w:spacing w:val="0"/>
        </w:rPr>
      </w:r>
      <w:r w:rsidR="00C75D17">
        <w:rPr>
          <w:spacing w:val="0"/>
        </w:rPr>
        <w:fldChar w:fldCharType="separate"/>
      </w:r>
      <w:r w:rsidR="002D28B2">
        <w:rPr>
          <w:spacing w:val="0"/>
        </w:rPr>
        <w:t>66</w:t>
      </w:r>
      <w:r w:rsidR="00C75D17">
        <w:rPr>
          <w:spacing w:val="0"/>
        </w:rPr>
        <w:fldChar w:fldCharType="end"/>
      </w:r>
      <w:r w:rsidRPr="00E85AD0">
        <w:rPr>
          <w:spacing w:val="0"/>
        </w:rPr>
        <w:t>).</w:t>
      </w:r>
      <w:r w:rsidRPr="00E85AD0">
        <w:rPr>
          <w:color w:val="000000"/>
          <w:spacing w:val="0"/>
        </w:rPr>
        <w:t xml:space="preserve"> </w:t>
      </w:r>
      <w:r w:rsidR="008904F6">
        <w:rPr>
          <w:spacing w:val="0"/>
        </w:rPr>
        <w:t xml:space="preserve">Por tanto, se deberá, en primer lugar, </w:t>
      </w:r>
      <w:r w:rsidRPr="00E85AD0">
        <w:rPr>
          <w:spacing w:val="0"/>
        </w:rPr>
        <w:t>examinar si la Asamblea Legislativa tenía competencia para cesar al señor Colindres Schonenberg.</w:t>
      </w:r>
    </w:p>
    <w:p w14:paraId="3D19F678" w14:textId="77777777" w:rsidR="00546C18" w:rsidRPr="00E85AD0" w:rsidRDefault="00546C18" w:rsidP="00546C18">
      <w:pPr>
        <w:rPr>
          <w:lang w:val="es-CR" w:eastAsia="es-MX"/>
        </w:rPr>
      </w:pPr>
    </w:p>
    <w:p w14:paraId="2FE15080" w14:textId="1048ECFE" w:rsidR="00D46124" w:rsidRPr="00D46124" w:rsidRDefault="00546C18" w:rsidP="00D46124">
      <w:pPr>
        <w:pStyle w:val="PrrafodeSentencia"/>
      </w:pPr>
      <w:bookmarkStart w:id="182" w:name="_Ref536700660"/>
      <w:r w:rsidRPr="00E85AD0">
        <w:rPr>
          <w:spacing w:val="0"/>
        </w:rPr>
        <w:t xml:space="preserve">La legislación salvadoreña, tal como lo señaló la </w:t>
      </w:r>
      <w:r w:rsidRPr="00D5498B">
        <w:rPr>
          <w:spacing w:val="0"/>
          <w:szCs w:val="20"/>
        </w:rPr>
        <w:t>Sala de lo Constitucional, no incluye “motivos</w:t>
      </w:r>
      <w:r w:rsidRPr="00D5498B">
        <w:rPr>
          <w:spacing w:val="0"/>
          <w:szCs w:val="20"/>
          <w:lang w:val="es-ES"/>
        </w:rPr>
        <w:t xml:space="preserve"> expresos de destitución o remoción antes de la finalización del período [de los magistrados del TSE]”</w:t>
      </w:r>
      <w:r w:rsidRPr="00D5498B">
        <w:rPr>
          <w:rStyle w:val="FootnoteReference"/>
          <w:spacing w:val="0"/>
          <w:sz w:val="20"/>
          <w:szCs w:val="20"/>
          <w:lang w:val="es-CO"/>
        </w:rPr>
        <w:footnoteReference w:id="120"/>
      </w:r>
      <w:r w:rsidR="00E225E0" w:rsidRPr="00D5498B">
        <w:rPr>
          <w:spacing w:val="0"/>
          <w:szCs w:val="20"/>
          <w:lang w:val="es-CO"/>
        </w:rPr>
        <w:t>, ni tampoco “establece</w:t>
      </w:r>
      <w:r w:rsidRPr="00D5498B">
        <w:rPr>
          <w:spacing w:val="0"/>
          <w:szCs w:val="20"/>
          <w:lang w:val="es-CO"/>
        </w:rPr>
        <w:t xml:space="preserve"> procedimiento expreso para la destitución de los magistrados” del TSE</w:t>
      </w:r>
      <w:r w:rsidRPr="00D5498B">
        <w:rPr>
          <w:rStyle w:val="FootnoteReference"/>
          <w:spacing w:val="0"/>
          <w:sz w:val="20"/>
          <w:szCs w:val="20"/>
          <w:lang w:val="es-CO"/>
        </w:rPr>
        <w:footnoteReference w:id="121"/>
      </w:r>
      <w:r w:rsidR="00E225E0" w:rsidRPr="00D5498B">
        <w:rPr>
          <w:spacing w:val="0"/>
          <w:szCs w:val="20"/>
          <w:lang w:val="es-CO"/>
        </w:rPr>
        <w:t>, o cuál sería el órgano competente</w:t>
      </w:r>
      <w:r w:rsidR="00E225E0" w:rsidRPr="00D5498B">
        <w:rPr>
          <w:rStyle w:val="FootnoteReference"/>
          <w:spacing w:val="0"/>
          <w:sz w:val="20"/>
          <w:szCs w:val="20"/>
          <w:lang w:val="es-CO"/>
        </w:rPr>
        <w:footnoteReference w:id="122"/>
      </w:r>
      <w:r w:rsidR="00E225E0" w:rsidRPr="00D5498B">
        <w:rPr>
          <w:spacing w:val="0"/>
          <w:szCs w:val="20"/>
          <w:lang w:val="es-CO"/>
        </w:rPr>
        <w:t>.</w:t>
      </w:r>
      <w:r w:rsidRPr="00D5498B">
        <w:rPr>
          <w:spacing w:val="0"/>
          <w:szCs w:val="20"/>
          <w:lang w:val="es-CO"/>
        </w:rPr>
        <w:t xml:space="preserve"> La legislación solo </w:t>
      </w:r>
      <w:r w:rsidRPr="00D5498B">
        <w:rPr>
          <w:spacing w:val="0"/>
          <w:szCs w:val="20"/>
          <w:lang w:val="es-CO"/>
        </w:rPr>
        <w:lastRenderedPageBreak/>
        <w:t xml:space="preserve">establece un supuesto de responsabilidad ante la Asamblea Legislativa para los casos en que un magistrado cometa un delito oficial o común </w:t>
      </w:r>
      <w:r w:rsidRPr="00D5498B">
        <w:rPr>
          <w:spacing w:val="0"/>
          <w:szCs w:val="20"/>
        </w:rPr>
        <w:t>(</w:t>
      </w:r>
      <w:r w:rsidRPr="00D5498B">
        <w:rPr>
          <w:i/>
          <w:spacing w:val="0"/>
          <w:szCs w:val="20"/>
        </w:rPr>
        <w:t xml:space="preserve">supra </w:t>
      </w:r>
      <w:r w:rsidRPr="00D5498B">
        <w:rPr>
          <w:spacing w:val="0"/>
          <w:szCs w:val="20"/>
        </w:rPr>
        <w:t xml:space="preserve">párr. </w:t>
      </w:r>
      <w:r w:rsidR="008904F6">
        <w:rPr>
          <w:spacing w:val="0"/>
          <w:szCs w:val="20"/>
        </w:rPr>
        <w:fldChar w:fldCharType="begin"/>
      </w:r>
      <w:r w:rsidR="008904F6">
        <w:rPr>
          <w:spacing w:val="0"/>
          <w:szCs w:val="20"/>
        </w:rPr>
        <w:instrText xml:space="preserve"> REF _Ref536612800 \r \h </w:instrText>
      </w:r>
      <w:r w:rsidR="008904F6">
        <w:rPr>
          <w:spacing w:val="0"/>
          <w:szCs w:val="20"/>
        </w:rPr>
      </w:r>
      <w:r w:rsidR="008904F6">
        <w:rPr>
          <w:spacing w:val="0"/>
          <w:szCs w:val="20"/>
        </w:rPr>
        <w:fldChar w:fldCharType="separate"/>
      </w:r>
      <w:r w:rsidR="002D28B2">
        <w:rPr>
          <w:spacing w:val="0"/>
          <w:szCs w:val="20"/>
        </w:rPr>
        <w:t>23</w:t>
      </w:r>
      <w:r w:rsidR="008904F6">
        <w:rPr>
          <w:spacing w:val="0"/>
          <w:szCs w:val="20"/>
        </w:rPr>
        <w:fldChar w:fldCharType="end"/>
      </w:r>
      <w:r w:rsidRPr="00D5498B">
        <w:rPr>
          <w:spacing w:val="0"/>
          <w:szCs w:val="20"/>
        </w:rPr>
        <w:t>). En el presente caso, no existe controversia sobre que la destitución del señor Colindres Schonenberg no</w:t>
      </w:r>
      <w:r w:rsidRPr="00E85AD0">
        <w:rPr>
          <w:spacing w:val="0"/>
        </w:rPr>
        <w:t xml:space="preserve"> fue</w:t>
      </w:r>
      <w:r w:rsidR="00D46124">
        <w:rPr>
          <w:spacing w:val="0"/>
        </w:rPr>
        <w:t xml:space="preserve"> en aplicación de este supuesto.</w:t>
      </w:r>
      <w:bookmarkEnd w:id="182"/>
    </w:p>
    <w:p w14:paraId="3611A4F5" w14:textId="71DA1916" w:rsidR="00546C18" w:rsidRPr="00E85AD0" w:rsidRDefault="00D46124" w:rsidP="00D46124">
      <w:pPr>
        <w:pStyle w:val="PrrafodeSentencia"/>
        <w:numPr>
          <w:ilvl w:val="0"/>
          <w:numId w:val="0"/>
        </w:numPr>
      </w:pPr>
      <w:r w:rsidRPr="00E85AD0">
        <w:t xml:space="preserve"> </w:t>
      </w:r>
    </w:p>
    <w:p w14:paraId="293AD528" w14:textId="0C37D7D7" w:rsidR="00546C18" w:rsidRDefault="00546C18" w:rsidP="00546C18">
      <w:pPr>
        <w:pStyle w:val="PrrafodeSentencia"/>
        <w:rPr>
          <w:spacing w:val="0"/>
          <w:szCs w:val="20"/>
          <w:lang w:val="es-CO"/>
        </w:rPr>
      </w:pPr>
      <w:r w:rsidRPr="00E85AD0">
        <w:rPr>
          <w:spacing w:val="0"/>
        </w:rPr>
        <w:t>En atención a lo anterior, tras la primera destitución del señor Colindres Schonenberg, la Sala de lo Constituci</w:t>
      </w:r>
      <w:r w:rsidR="00B65B3F">
        <w:rPr>
          <w:spacing w:val="0"/>
        </w:rPr>
        <w:t>onal</w:t>
      </w:r>
      <w:r w:rsidRPr="00E85AD0">
        <w:rPr>
          <w:spacing w:val="0"/>
        </w:rPr>
        <w:t xml:space="preserve"> señaló que </w:t>
      </w:r>
      <w:r w:rsidR="00785A7F">
        <w:rPr>
          <w:spacing w:val="0"/>
        </w:rPr>
        <w:t>considerando</w:t>
      </w:r>
      <w:r w:rsidR="00420F8A">
        <w:rPr>
          <w:spacing w:val="0"/>
        </w:rPr>
        <w:t xml:space="preserve"> que </w:t>
      </w:r>
      <w:r w:rsidRPr="00E225E0">
        <w:rPr>
          <w:spacing w:val="0"/>
          <w:szCs w:val="20"/>
          <w:lang w:val="es-ES"/>
        </w:rPr>
        <w:t>la Asamblea Legislativa era el órgano competente para nombrar a los magistrados del TSE</w:t>
      </w:r>
      <w:r w:rsidR="00420F8A">
        <w:rPr>
          <w:spacing w:val="0"/>
          <w:szCs w:val="20"/>
          <w:lang w:val="es-ES"/>
        </w:rPr>
        <w:t>,</w:t>
      </w:r>
      <w:r w:rsidRPr="00E225E0">
        <w:rPr>
          <w:spacing w:val="0"/>
          <w:szCs w:val="20"/>
          <w:lang w:val="es-CO"/>
        </w:rPr>
        <w:t xml:space="preserve"> “puede perfectamente interpretarse –en atención al origen político del nombramiento</w:t>
      </w:r>
      <w:r w:rsidR="0089226C">
        <w:rPr>
          <w:spacing w:val="0"/>
          <w:szCs w:val="20"/>
          <w:lang w:val="es-CO"/>
        </w:rPr>
        <w:t>-</w:t>
      </w:r>
      <w:r w:rsidRPr="00E225E0">
        <w:rPr>
          <w:spacing w:val="0"/>
          <w:szCs w:val="20"/>
          <w:lang w:val="es-CO"/>
        </w:rPr>
        <w:t>” que era también competente para decidir sobre su destitución</w:t>
      </w:r>
      <w:r w:rsidRPr="00E85AD0">
        <w:rPr>
          <w:rStyle w:val="FootnoteReference"/>
          <w:spacing w:val="0"/>
          <w:sz w:val="20"/>
          <w:szCs w:val="20"/>
          <w:lang w:val="es-CO"/>
        </w:rPr>
        <w:footnoteReference w:id="123"/>
      </w:r>
      <w:r w:rsidRPr="00E225E0">
        <w:rPr>
          <w:spacing w:val="0"/>
          <w:szCs w:val="20"/>
          <w:lang w:val="es-CO"/>
        </w:rPr>
        <w:t xml:space="preserve">. </w:t>
      </w:r>
    </w:p>
    <w:p w14:paraId="47EF13BB" w14:textId="77777777" w:rsidR="00E225E0" w:rsidRPr="00E225E0" w:rsidRDefault="00E225E0" w:rsidP="00E225E0">
      <w:pPr>
        <w:rPr>
          <w:lang w:val="es-CO" w:eastAsia="es-MX"/>
        </w:rPr>
      </w:pPr>
    </w:p>
    <w:p w14:paraId="51102DE8" w14:textId="150B3436" w:rsidR="00546C18" w:rsidRPr="00E85AD0" w:rsidRDefault="00546C18" w:rsidP="00546C18">
      <w:pPr>
        <w:pStyle w:val="PrrafodeSentencia"/>
        <w:rPr>
          <w:spacing w:val="0"/>
          <w:szCs w:val="20"/>
        </w:rPr>
      </w:pPr>
      <w:r w:rsidRPr="00E85AD0">
        <w:rPr>
          <w:spacing w:val="0"/>
        </w:rPr>
        <w:t>La Corte recuerda que el artí</w:t>
      </w:r>
      <w:r w:rsidR="00D5498B">
        <w:rPr>
          <w:spacing w:val="0"/>
        </w:rPr>
        <w:t>culo 8.1 garantiza expresamente</w:t>
      </w:r>
      <w:r w:rsidRPr="00E85AD0">
        <w:rPr>
          <w:spacing w:val="0"/>
        </w:rPr>
        <w:t xml:space="preserve"> el derecho a ser juzgado por </w:t>
      </w:r>
      <w:r w:rsidR="00DC0414">
        <w:rPr>
          <w:spacing w:val="0"/>
        </w:rPr>
        <w:t>un “</w:t>
      </w:r>
      <w:r w:rsidRPr="00E85AD0">
        <w:rPr>
          <w:spacing w:val="0"/>
        </w:rPr>
        <w:t xml:space="preserve">tribunal competente […] establecido con anterioridad </w:t>
      </w:r>
      <w:r w:rsidR="00234EE1">
        <w:rPr>
          <w:spacing w:val="0"/>
        </w:rPr>
        <w:t>por</w:t>
      </w:r>
      <w:r w:rsidRPr="00E85AD0">
        <w:rPr>
          <w:spacing w:val="0"/>
        </w:rPr>
        <w:t xml:space="preserve"> la ley”. Esto implica que la competencia de un tribunal debe estar establecida </w:t>
      </w:r>
      <w:r w:rsidR="00785A7F">
        <w:rPr>
          <w:spacing w:val="0"/>
        </w:rPr>
        <w:t xml:space="preserve">explícitamente </w:t>
      </w:r>
      <w:r w:rsidRPr="00E85AD0">
        <w:rPr>
          <w:spacing w:val="0"/>
        </w:rPr>
        <w:t>en la ley, la cual ha sido</w:t>
      </w:r>
      <w:r w:rsidR="002373D4">
        <w:rPr>
          <w:spacing w:val="0"/>
        </w:rPr>
        <w:t xml:space="preserve"> definida por la Corte como la </w:t>
      </w:r>
      <w:r w:rsidRPr="00E85AD0">
        <w:rPr>
          <w:spacing w:val="0"/>
        </w:rPr>
        <w:t>norma jurídica de carácter general, ceñida al bien común, emanada de los órganos legislativos constitucionalmente previstos y democráticamente elegidos, y elaborada según el procedimiento establecido por las constituciones de los Estados Partes para la formación de las leyes</w:t>
      </w:r>
      <w:r w:rsidRPr="00E85AD0">
        <w:rPr>
          <w:rStyle w:val="FootnoteReference"/>
          <w:spacing w:val="0"/>
          <w:sz w:val="20"/>
          <w:szCs w:val="20"/>
        </w:rPr>
        <w:footnoteReference w:id="124"/>
      </w:r>
      <w:r w:rsidRPr="00E85AD0">
        <w:rPr>
          <w:spacing w:val="0"/>
          <w:szCs w:val="20"/>
        </w:rPr>
        <w:t>.</w:t>
      </w:r>
      <w:r w:rsidRPr="00E85AD0">
        <w:rPr>
          <w:spacing w:val="0"/>
        </w:rPr>
        <w:t xml:space="preserve"> Consecuentemente, en un Estado de Derecho solo el Poder Legislativo puede regular, a través de leyes, la competencia de los juzgadores</w:t>
      </w:r>
      <w:r w:rsidRPr="00E85AD0">
        <w:rPr>
          <w:rStyle w:val="FootnoteReference"/>
          <w:spacing w:val="0"/>
          <w:sz w:val="20"/>
          <w:szCs w:val="20"/>
        </w:rPr>
        <w:footnoteReference w:id="125"/>
      </w:r>
      <w:r w:rsidRPr="00E85AD0">
        <w:rPr>
          <w:spacing w:val="0"/>
          <w:szCs w:val="20"/>
        </w:rPr>
        <w:t xml:space="preserve">. </w:t>
      </w:r>
    </w:p>
    <w:p w14:paraId="74BDF6F8" w14:textId="77777777" w:rsidR="00546C18" w:rsidRPr="00E85AD0" w:rsidRDefault="00546C18" w:rsidP="00546C18">
      <w:pPr>
        <w:rPr>
          <w:lang w:val="es-CR" w:eastAsia="es-MX"/>
        </w:rPr>
      </w:pPr>
    </w:p>
    <w:p w14:paraId="5051E8CA" w14:textId="28B0589B" w:rsidR="00282736" w:rsidRDefault="00546C18" w:rsidP="00546C18">
      <w:pPr>
        <w:pStyle w:val="PrrafodeSentencia"/>
        <w:rPr>
          <w:spacing w:val="0"/>
        </w:rPr>
      </w:pPr>
      <w:bookmarkStart w:id="183" w:name="_Ref531701097"/>
      <w:r w:rsidRPr="00E85AD0">
        <w:rPr>
          <w:spacing w:val="0"/>
        </w:rPr>
        <w:t>Este Tribunal advierte que la decisión de la Sala de lo Constitucional no supl</w:t>
      </w:r>
      <w:r w:rsidR="00234EE1">
        <w:rPr>
          <w:spacing w:val="0"/>
        </w:rPr>
        <w:t>ió</w:t>
      </w:r>
      <w:r w:rsidRPr="00E85AD0">
        <w:rPr>
          <w:spacing w:val="0"/>
        </w:rPr>
        <w:t xml:space="preserve"> el deber del Estado de establecer mediante una ley emanada del poder legislativo cu</w:t>
      </w:r>
      <w:r w:rsidR="00234EE1">
        <w:rPr>
          <w:spacing w:val="0"/>
        </w:rPr>
        <w:t>á</w:t>
      </w:r>
      <w:r w:rsidRPr="00E85AD0">
        <w:rPr>
          <w:spacing w:val="0"/>
        </w:rPr>
        <w:t xml:space="preserve">l </w:t>
      </w:r>
      <w:r w:rsidR="00234EE1">
        <w:rPr>
          <w:spacing w:val="0"/>
        </w:rPr>
        <w:t>era</w:t>
      </w:r>
      <w:r w:rsidRPr="00E85AD0">
        <w:rPr>
          <w:spacing w:val="0"/>
        </w:rPr>
        <w:t xml:space="preserve"> el órgano competente para realizar un proceso de destitución de magistrados del TSE. Est</w:t>
      </w:r>
      <w:r w:rsidR="007F5D9F">
        <w:rPr>
          <w:spacing w:val="0"/>
        </w:rPr>
        <w:t>e</w:t>
      </w:r>
      <w:r w:rsidRPr="00E85AD0">
        <w:rPr>
          <w:spacing w:val="0"/>
        </w:rPr>
        <w:t xml:space="preserve"> </w:t>
      </w:r>
      <w:r w:rsidR="007F5D9F">
        <w:rPr>
          <w:spacing w:val="0"/>
        </w:rPr>
        <w:t xml:space="preserve">vacío normativo </w:t>
      </w:r>
      <w:r w:rsidRPr="00E85AD0">
        <w:rPr>
          <w:spacing w:val="0"/>
        </w:rPr>
        <w:t xml:space="preserve">tampoco fue </w:t>
      </w:r>
      <w:r w:rsidR="007F5D9F">
        <w:rPr>
          <w:spacing w:val="0"/>
        </w:rPr>
        <w:t>colmado</w:t>
      </w:r>
      <w:r w:rsidRPr="00E85AD0">
        <w:rPr>
          <w:spacing w:val="0"/>
        </w:rPr>
        <w:t xml:space="preserve"> por el </w:t>
      </w:r>
      <w:r w:rsidR="00234EE1">
        <w:rPr>
          <w:spacing w:val="0"/>
        </w:rPr>
        <w:t>A</w:t>
      </w:r>
      <w:r w:rsidRPr="00E85AD0">
        <w:rPr>
          <w:spacing w:val="0"/>
        </w:rPr>
        <w:t xml:space="preserve">cuerdo </w:t>
      </w:r>
      <w:r w:rsidR="00234EE1">
        <w:rPr>
          <w:spacing w:val="0"/>
        </w:rPr>
        <w:t>L</w:t>
      </w:r>
      <w:r w:rsidRPr="00E85AD0">
        <w:rPr>
          <w:spacing w:val="0"/>
        </w:rPr>
        <w:t xml:space="preserve">egislativo que creó la </w:t>
      </w:r>
      <w:r w:rsidR="00947E5C">
        <w:rPr>
          <w:spacing w:val="0"/>
        </w:rPr>
        <w:t>C</w:t>
      </w:r>
      <w:r w:rsidRPr="00E85AD0">
        <w:rPr>
          <w:spacing w:val="0"/>
        </w:rPr>
        <w:t xml:space="preserve">omisión </w:t>
      </w:r>
      <w:r w:rsidR="00947E5C">
        <w:rPr>
          <w:spacing w:val="0"/>
        </w:rPr>
        <w:t>E</w:t>
      </w:r>
      <w:r w:rsidRPr="00E85AD0">
        <w:rPr>
          <w:spacing w:val="0"/>
        </w:rPr>
        <w:t>special para garantizarle el derecho de audiencia al señor Colindres Schonenberg, ya que si bien emanó de la Asamblea Legislativa, no tiene carácter de ley general</w:t>
      </w:r>
      <w:r w:rsidR="007F5D9F">
        <w:rPr>
          <w:spacing w:val="0"/>
        </w:rPr>
        <w:t xml:space="preserve"> y previa, pues fue creado como un procedimiento </w:t>
      </w:r>
      <w:r w:rsidR="007F5D9F" w:rsidRPr="00E225E0">
        <w:rPr>
          <w:i/>
          <w:spacing w:val="0"/>
        </w:rPr>
        <w:t>ad hoc</w:t>
      </w:r>
      <w:r w:rsidR="007F5D9F">
        <w:rPr>
          <w:spacing w:val="0"/>
        </w:rPr>
        <w:t xml:space="preserve"> para el caso concreto del </w:t>
      </w:r>
      <w:r w:rsidR="00282736">
        <w:rPr>
          <w:spacing w:val="0"/>
        </w:rPr>
        <w:t>señor</w:t>
      </w:r>
      <w:r w:rsidR="007F5D9F">
        <w:rPr>
          <w:spacing w:val="0"/>
        </w:rPr>
        <w:t xml:space="preserve"> Colindres</w:t>
      </w:r>
      <w:r w:rsidR="00282736">
        <w:rPr>
          <w:spacing w:val="0"/>
        </w:rPr>
        <w:t xml:space="preserve"> Schonenberg</w:t>
      </w:r>
      <w:r w:rsidRPr="00E85AD0">
        <w:rPr>
          <w:spacing w:val="0"/>
          <w:lang w:val="es-MX"/>
        </w:rPr>
        <w:t xml:space="preserve">. </w:t>
      </w:r>
      <w:r w:rsidRPr="00E85AD0">
        <w:rPr>
          <w:spacing w:val="0"/>
        </w:rPr>
        <w:t xml:space="preserve">Además el objetivo de la Comisión Especial era garantizarle el derecho de audiencia al señor Colindres Schonenberg, no realizar la destitución, la cual fue </w:t>
      </w:r>
      <w:r w:rsidR="00D24C9E">
        <w:rPr>
          <w:spacing w:val="0"/>
        </w:rPr>
        <w:t>ordenada</w:t>
      </w:r>
      <w:r w:rsidRPr="00E85AD0">
        <w:rPr>
          <w:spacing w:val="0"/>
        </w:rPr>
        <w:t xml:space="preserve"> por la Asamblea Legislativa con base a lo señalado por la Sala de lo Constitucional.</w:t>
      </w:r>
      <w:bookmarkEnd w:id="183"/>
      <w:r w:rsidRPr="00E85AD0">
        <w:rPr>
          <w:spacing w:val="0"/>
        </w:rPr>
        <w:t xml:space="preserve"> </w:t>
      </w:r>
    </w:p>
    <w:p w14:paraId="01AE7ED9" w14:textId="77777777" w:rsidR="00282736" w:rsidRPr="00282736" w:rsidRDefault="00282736" w:rsidP="00282736">
      <w:pPr>
        <w:rPr>
          <w:lang w:val="es-CR" w:eastAsia="es-MX"/>
        </w:rPr>
      </w:pPr>
    </w:p>
    <w:p w14:paraId="36B87231" w14:textId="33F34AAF" w:rsidR="00546C18" w:rsidRPr="00785A7F" w:rsidRDefault="00282736" w:rsidP="00546C18">
      <w:pPr>
        <w:pStyle w:val="PrrafodeSentencia"/>
        <w:rPr>
          <w:spacing w:val="0"/>
        </w:rPr>
      </w:pPr>
      <w:r w:rsidRPr="00785A7F">
        <w:rPr>
          <w:spacing w:val="0"/>
        </w:rPr>
        <w:t>Por tanto, al no estar establecida la competencia de la Asamblea Legislativa en la ley, la destitución del señor Colindres Schonenberg violó su derecho a ser juzg</w:t>
      </w:r>
      <w:r w:rsidR="00785A7F" w:rsidRPr="00785A7F">
        <w:rPr>
          <w:spacing w:val="0"/>
        </w:rPr>
        <w:t>ado por un tribunal competente, contenido en el artículo 8.1 de la Convención.</w:t>
      </w:r>
    </w:p>
    <w:p w14:paraId="1C128B54" w14:textId="77777777" w:rsidR="00546C18" w:rsidRPr="00282736" w:rsidRDefault="00546C18" w:rsidP="00282736">
      <w:pPr>
        <w:pStyle w:val="Header"/>
        <w:tabs>
          <w:tab w:val="clear" w:pos="4419"/>
          <w:tab w:val="clear" w:pos="8838"/>
        </w:tabs>
        <w:rPr>
          <w:lang w:val="es-CR" w:eastAsia="es-MX"/>
        </w:rPr>
      </w:pPr>
    </w:p>
    <w:p w14:paraId="4A1CD9C7" w14:textId="1997947E" w:rsidR="00EC3C4E" w:rsidRDefault="00546C18" w:rsidP="00865D8D">
      <w:pPr>
        <w:pStyle w:val="Heading4"/>
        <w:tabs>
          <w:tab w:val="left" w:pos="1418"/>
        </w:tabs>
        <w:ind w:firstLine="1701"/>
        <w:jc w:val="left"/>
      </w:pPr>
      <w:bookmarkStart w:id="184" w:name="_Toc192579"/>
      <w:r w:rsidRPr="00E85AD0">
        <w:t xml:space="preserve">B.2.b </w:t>
      </w:r>
      <w:r w:rsidR="00EC3C4E">
        <w:t>Ausencia de un procedimiento previamente establecido</w:t>
      </w:r>
      <w:bookmarkEnd w:id="184"/>
    </w:p>
    <w:p w14:paraId="7EA6065A" w14:textId="77777777" w:rsidR="007F63B3" w:rsidRPr="00E85AD0" w:rsidRDefault="007F63B3" w:rsidP="007F63B3">
      <w:pPr>
        <w:rPr>
          <w:lang w:val="es-CR" w:eastAsia="es-MX"/>
        </w:rPr>
      </w:pPr>
    </w:p>
    <w:p w14:paraId="37F36712" w14:textId="290B0562" w:rsidR="00051188" w:rsidRDefault="0042581E" w:rsidP="00051188">
      <w:pPr>
        <w:pStyle w:val="PrrafodeSentencia"/>
        <w:rPr>
          <w:szCs w:val="20"/>
        </w:rPr>
      </w:pPr>
      <w:r>
        <w:t>L</w:t>
      </w:r>
      <w:r w:rsidRPr="0042581E">
        <w:t>a Corte ha señalado que las personas tienen derecho a ser juzgadas con arreglo a procedimientos</w:t>
      </w:r>
      <w:r w:rsidR="00D24C9E">
        <w:t xml:space="preserve"> previos y</w:t>
      </w:r>
      <w:r w:rsidRPr="0042581E">
        <w:t xml:space="preserve"> legalmente establecidos, razón por la cual el Estado no debe crear tribunales que no apliquen normas procesales </w:t>
      </w:r>
      <w:r w:rsidRPr="0042581E">
        <w:rPr>
          <w:szCs w:val="20"/>
        </w:rPr>
        <w:t xml:space="preserve">debidamente establecidas para sustituir la jurisdicción que </w:t>
      </w:r>
      <w:r w:rsidRPr="00051188">
        <w:rPr>
          <w:szCs w:val="20"/>
        </w:rPr>
        <w:t>corresponda normalmente a los tribunales ordinarios</w:t>
      </w:r>
      <w:r w:rsidRPr="00051188">
        <w:rPr>
          <w:rStyle w:val="FootnoteReference"/>
          <w:spacing w:val="0"/>
          <w:sz w:val="20"/>
          <w:szCs w:val="20"/>
        </w:rPr>
        <w:footnoteReference w:id="126"/>
      </w:r>
      <w:r w:rsidRPr="00051188">
        <w:rPr>
          <w:szCs w:val="20"/>
        </w:rPr>
        <w:t>.</w:t>
      </w:r>
    </w:p>
    <w:p w14:paraId="38DE13D7" w14:textId="77777777" w:rsidR="00051188" w:rsidRPr="00051188" w:rsidRDefault="00051188" w:rsidP="00051188">
      <w:pPr>
        <w:rPr>
          <w:lang w:val="es-CR" w:eastAsia="es-MX"/>
        </w:rPr>
      </w:pPr>
    </w:p>
    <w:p w14:paraId="633AA62F" w14:textId="55FE8601" w:rsidR="00E225E0" w:rsidRPr="00051188" w:rsidRDefault="007F63B3" w:rsidP="00051188">
      <w:pPr>
        <w:pStyle w:val="PrrafodeSentencia"/>
        <w:rPr>
          <w:szCs w:val="20"/>
        </w:rPr>
      </w:pPr>
      <w:r w:rsidRPr="00051188">
        <w:rPr>
          <w:spacing w:val="0"/>
        </w:rPr>
        <w:lastRenderedPageBreak/>
        <w:t>La legislación salvadoreña</w:t>
      </w:r>
      <w:r w:rsidR="00051188" w:rsidRPr="00051188">
        <w:rPr>
          <w:spacing w:val="0"/>
        </w:rPr>
        <w:t xml:space="preserve"> no establecía un </w:t>
      </w:r>
      <w:r w:rsidRPr="00051188">
        <w:rPr>
          <w:spacing w:val="0"/>
          <w:szCs w:val="20"/>
          <w:lang w:val="es-CO"/>
        </w:rPr>
        <w:t>“procedimiento expreso para la destitución de los magistrados” del TSE</w:t>
      </w:r>
      <w:r w:rsidR="00051188" w:rsidRPr="00051188">
        <w:rPr>
          <w:spacing w:val="0"/>
          <w:szCs w:val="20"/>
          <w:lang w:val="es-CO"/>
        </w:rPr>
        <w:t xml:space="preserve"> (</w:t>
      </w:r>
      <w:r w:rsidR="00051188" w:rsidRPr="00051188">
        <w:rPr>
          <w:i/>
          <w:spacing w:val="0"/>
          <w:szCs w:val="20"/>
          <w:lang w:val="es-CO"/>
        </w:rPr>
        <w:t xml:space="preserve">supra </w:t>
      </w:r>
      <w:r w:rsidR="00051188" w:rsidRPr="00051188">
        <w:rPr>
          <w:spacing w:val="0"/>
          <w:szCs w:val="20"/>
          <w:lang w:val="es-CO"/>
        </w:rPr>
        <w:t xml:space="preserve">párr. </w:t>
      </w:r>
      <w:r w:rsidR="00D24C9E">
        <w:rPr>
          <w:spacing w:val="0"/>
          <w:szCs w:val="20"/>
          <w:lang w:val="es-CO"/>
        </w:rPr>
        <w:fldChar w:fldCharType="begin"/>
      </w:r>
      <w:r w:rsidR="00D24C9E">
        <w:rPr>
          <w:spacing w:val="0"/>
          <w:szCs w:val="20"/>
          <w:lang w:val="es-CO"/>
        </w:rPr>
        <w:instrText xml:space="preserve"> REF _Ref536700660 \r \h </w:instrText>
      </w:r>
      <w:r w:rsidR="00D24C9E">
        <w:rPr>
          <w:spacing w:val="0"/>
          <w:szCs w:val="20"/>
          <w:lang w:val="es-CO"/>
        </w:rPr>
      </w:r>
      <w:r w:rsidR="00D24C9E">
        <w:rPr>
          <w:spacing w:val="0"/>
          <w:szCs w:val="20"/>
          <w:lang w:val="es-CO"/>
        </w:rPr>
        <w:fldChar w:fldCharType="separate"/>
      </w:r>
      <w:r w:rsidR="002D28B2">
        <w:rPr>
          <w:spacing w:val="0"/>
          <w:szCs w:val="20"/>
          <w:lang w:val="es-CO"/>
        </w:rPr>
        <w:t>83</w:t>
      </w:r>
      <w:r w:rsidR="00D24C9E">
        <w:rPr>
          <w:spacing w:val="0"/>
          <w:szCs w:val="20"/>
          <w:lang w:val="es-CO"/>
        </w:rPr>
        <w:fldChar w:fldCharType="end"/>
      </w:r>
      <w:r w:rsidR="00051188" w:rsidRPr="00051188">
        <w:rPr>
          <w:spacing w:val="0"/>
          <w:szCs w:val="20"/>
          <w:lang w:val="es-CO"/>
        </w:rPr>
        <w:t>)</w:t>
      </w:r>
      <w:r w:rsidRPr="00051188">
        <w:rPr>
          <w:spacing w:val="0"/>
          <w:szCs w:val="20"/>
          <w:lang w:val="es-CO"/>
        </w:rPr>
        <w:t xml:space="preserve">. </w:t>
      </w:r>
      <w:r w:rsidR="00051188" w:rsidRPr="00051188">
        <w:rPr>
          <w:spacing w:val="0"/>
          <w:szCs w:val="20"/>
          <w:lang w:val="es-CO"/>
        </w:rPr>
        <w:t>La Sala de lo Constitucional interpretó que la Asamblea Legislativa podía</w:t>
      </w:r>
      <w:r w:rsidR="00D24C9E">
        <w:rPr>
          <w:spacing w:val="0"/>
          <w:szCs w:val="20"/>
          <w:lang w:val="es-CO"/>
        </w:rPr>
        <w:t xml:space="preserve"> ordenar la</w:t>
      </w:r>
      <w:r w:rsidR="00051188" w:rsidRPr="00051188">
        <w:rPr>
          <w:spacing w:val="0"/>
          <w:szCs w:val="20"/>
          <w:lang w:val="es-CO"/>
        </w:rPr>
        <w:t xml:space="preserve"> destitución </w:t>
      </w:r>
      <w:r w:rsidR="00D24C9E">
        <w:rPr>
          <w:spacing w:val="0"/>
          <w:szCs w:val="20"/>
          <w:lang w:val="es-CO"/>
        </w:rPr>
        <w:t xml:space="preserve">de un magistrado del TSE </w:t>
      </w:r>
      <w:r w:rsidR="00051188" w:rsidRPr="00051188">
        <w:rPr>
          <w:spacing w:val="0"/>
          <w:szCs w:val="20"/>
          <w:lang w:val="es-CO"/>
        </w:rPr>
        <w:t>siempre y cuando se garantizara el derecho de audiencia</w:t>
      </w:r>
      <w:r w:rsidR="00E225E0" w:rsidRPr="00051188">
        <w:rPr>
          <w:rStyle w:val="FootnoteReference"/>
          <w:spacing w:val="0"/>
          <w:sz w:val="20"/>
          <w:szCs w:val="20"/>
          <w:lang w:val="es-CO"/>
        </w:rPr>
        <w:footnoteReference w:id="127"/>
      </w:r>
      <w:r w:rsidR="00E225E0" w:rsidRPr="00051188">
        <w:rPr>
          <w:spacing w:val="0"/>
          <w:szCs w:val="20"/>
          <w:lang w:val="es-CO"/>
        </w:rPr>
        <w:t xml:space="preserve">. En seguimiento a esta decisión, para la segunda destitución </w:t>
      </w:r>
      <w:r w:rsidR="00C9508D">
        <w:rPr>
          <w:spacing w:val="0"/>
          <w:szCs w:val="20"/>
          <w:lang w:val="es-CO"/>
        </w:rPr>
        <w:t>del señor Colindres Schonenberg</w:t>
      </w:r>
      <w:r w:rsidR="00D24C9E">
        <w:rPr>
          <w:spacing w:val="0"/>
          <w:szCs w:val="20"/>
          <w:lang w:val="es-CO"/>
        </w:rPr>
        <w:t>,</w:t>
      </w:r>
      <w:r w:rsidR="00C9508D">
        <w:rPr>
          <w:spacing w:val="0"/>
          <w:szCs w:val="20"/>
          <w:lang w:val="es-CO"/>
        </w:rPr>
        <w:t xml:space="preserve"> </w:t>
      </w:r>
      <w:r w:rsidR="00E225E0" w:rsidRPr="00051188">
        <w:rPr>
          <w:spacing w:val="0"/>
          <w:szCs w:val="20"/>
          <w:lang w:val="es-CO"/>
        </w:rPr>
        <w:t>la Asamblea Legislativa mediante un acuerdo legislativo integró una Comisión Especial de cinco diputados “a efectos de que instruyan un informativo que garantice el derecho de audiencia al Doctor Eduardo Benjamín Colindres”</w:t>
      </w:r>
      <w:r w:rsidR="00E225E0" w:rsidRPr="00E225E0">
        <w:rPr>
          <w:rStyle w:val="FootnoteReference"/>
          <w:spacing w:val="0"/>
          <w:sz w:val="20"/>
          <w:szCs w:val="20"/>
          <w:lang w:val="es-CO"/>
        </w:rPr>
        <w:footnoteReference w:id="128"/>
      </w:r>
      <w:r w:rsidR="00E225E0" w:rsidRPr="00051188">
        <w:rPr>
          <w:spacing w:val="0"/>
          <w:szCs w:val="20"/>
          <w:lang w:val="es-CO"/>
        </w:rPr>
        <w:t>.</w:t>
      </w:r>
    </w:p>
    <w:p w14:paraId="60DE94C8" w14:textId="77777777" w:rsidR="00E225E0" w:rsidRDefault="00E225E0" w:rsidP="00E225E0">
      <w:pPr>
        <w:rPr>
          <w:lang w:val="es-CR" w:eastAsia="es-MX"/>
        </w:rPr>
      </w:pPr>
    </w:p>
    <w:p w14:paraId="12A1E658" w14:textId="192C6AD6" w:rsidR="004745A9" w:rsidRPr="00785A7F" w:rsidRDefault="00112ACC" w:rsidP="00785A7F">
      <w:pPr>
        <w:pStyle w:val="PrrafodeSentencia"/>
        <w:rPr>
          <w:spacing w:val="0"/>
        </w:rPr>
      </w:pPr>
      <w:bookmarkStart w:id="185" w:name="_Ref535483"/>
      <w:r w:rsidRPr="00175E68">
        <w:rPr>
          <w:spacing w:val="0"/>
        </w:rPr>
        <w:t>Tal como se señaló (</w:t>
      </w:r>
      <w:r w:rsidRPr="00175E68">
        <w:rPr>
          <w:i/>
          <w:spacing w:val="0"/>
        </w:rPr>
        <w:t xml:space="preserve">supra </w:t>
      </w:r>
      <w:r w:rsidRPr="00175E68">
        <w:rPr>
          <w:spacing w:val="0"/>
        </w:rPr>
        <w:t xml:space="preserve">párr. </w:t>
      </w:r>
      <w:r w:rsidRPr="00175E68">
        <w:rPr>
          <w:spacing w:val="0"/>
        </w:rPr>
        <w:fldChar w:fldCharType="begin"/>
      </w:r>
      <w:r w:rsidRPr="00175E68">
        <w:rPr>
          <w:spacing w:val="0"/>
        </w:rPr>
        <w:instrText xml:space="preserve"> REF _Ref531701097 \r \h </w:instrText>
      </w:r>
      <w:r w:rsidRPr="00175E68">
        <w:rPr>
          <w:spacing w:val="0"/>
        </w:rPr>
      </w:r>
      <w:r w:rsidRPr="00175E68">
        <w:rPr>
          <w:spacing w:val="0"/>
        </w:rPr>
        <w:fldChar w:fldCharType="separate"/>
      </w:r>
      <w:r w:rsidR="002D28B2">
        <w:rPr>
          <w:spacing w:val="0"/>
        </w:rPr>
        <w:t>86</w:t>
      </w:r>
      <w:r w:rsidRPr="00175E68">
        <w:rPr>
          <w:spacing w:val="0"/>
        </w:rPr>
        <w:fldChar w:fldCharType="end"/>
      </w:r>
      <w:r w:rsidRPr="00175E68">
        <w:rPr>
          <w:spacing w:val="0"/>
        </w:rPr>
        <w:t>), la decisión de la Sala de lo Constitucional no suplió el deber del Estado de establecer previamente el procedimiento mediante el cual se podría llevar a cabo una destitución de un magistrado del TSE.</w:t>
      </w:r>
      <w:r w:rsidR="004B2ED0" w:rsidRPr="00175E68">
        <w:rPr>
          <w:spacing w:val="0"/>
        </w:rPr>
        <w:t xml:space="preserve"> </w:t>
      </w:r>
      <w:r w:rsidR="0008453D" w:rsidRPr="00175E68">
        <w:rPr>
          <w:spacing w:val="0"/>
          <w:szCs w:val="20"/>
          <w:lang w:val="es-CO"/>
        </w:rPr>
        <w:t xml:space="preserve">La inexistencia de un procedimiento previamente establecido </w:t>
      </w:r>
      <w:r w:rsidR="004B2ED0" w:rsidRPr="00175E68">
        <w:rPr>
          <w:spacing w:val="0"/>
        </w:rPr>
        <w:t>impidió que el señor Colindres Schonenberg conociera cuál era el procedimiento al que iba a ser sometido</w:t>
      </w:r>
      <w:r w:rsidR="0008453D" w:rsidRPr="00175E68">
        <w:rPr>
          <w:spacing w:val="0"/>
        </w:rPr>
        <w:t xml:space="preserve"> y en qué momentos podría defenderse</w:t>
      </w:r>
      <w:r w:rsidR="004B2ED0" w:rsidRPr="00175E68">
        <w:rPr>
          <w:spacing w:val="0"/>
        </w:rPr>
        <w:t>.</w:t>
      </w:r>
      <w:r w:rsidR="00175E68">
        <w:rPr>
          <w:spacing w:val="0"/>
        </w:rPr>
        <w:t xml:space="preserve"> Esto constituye una </w:t>
      </w:r>
      <w:r w:rsidR="00175E68" w:rsidRPr="004A3B85">
        <w:rPr>
          <w:spacing w:val="0"/>
        </w:rPr>
        <w:t>violación adicional a las garantías judiciales establecidas en el artículo 8.1 de la Convención.</w:t>
      </w:r>
      <w:bookmarkEnd w:id="185"/>
      <w:r w:rsidR="00175E68" w:rsidRPr="004A3B85">
        <w:rPr>
          <w:spacing w:val="0"/>
        </w:rPr>
        <w:t xml:space="preserve">  </w:t>
      </w:r>
      <w:r w:rsidR="00B62C96" w:rsidRPr="00785A7F">
        <w:rPr>
          <w:spacing w:val="0"/>
        </w:rPr>
        <w:t xml:space="preserve"> </w:t>
      </w:r>
    </w:p>
    <w:p w14:paraId="040EB2AE" w14:textId="77777777" w:rsidR="003D2B1C" w:rsidRPr="003D2B1C" w:rsidRDefault="003D2B1C" w:rsidP="003D2B1C">
      <w:pPr>
        <w:rPr>
          <w:lang w:val="es-CR" w:eastAsia="es-MX"/>
        </w:rPr>
      </w:pPr>
    </w:p>
    <w:p w14:paraId="0E77CDF1" w14:textId="6AD3FB19" w:rsidR="00546C18" w:rsidRPr="00E85AD0" w:rsidRDefault="00EC3C4E" w:rsidP="00785A7F">
      <w:pPr>
        <w:pStyle w:val="Heading4"/>
        <w:tabs>
          <w:tab w:val="left" w:pos="1418"/>
        </w:tabs>
        <w:ind w:left="1701"/>
        <w:jc w:val="both"/>
      </w:pPr>
      <w:bookmarkStart w:id="186" w:name="_Toc192580"/>
      <w:r>
        <w:t>B.2.</w:t>
      </w:r>
      <w:r w:rsidR="00785A7F">
        <w:t>c</w:t>
      </w:r>
      <w:r>
        <w:t xml:space="preserve"> </w:t>
      </w:r>
      <w:r w:rsidR="00546C18" w:rsidRPr="00E85AD0">
        <w:t>Otras violaciones alegadas respecto del debido proceso</w:t>
      </w:r>
      <w:r w:rsidR="00785A7F">
        <w:t xml:space="preserve"> y el principio de legalidad</w:t>
      </w:r>
      <w:bookmarkEnd w:id="186"/>
    </w:p>
    <w:p w14:paraId="25244169" w14:textId="77777777" w:rsidR="00546C18" w:rsidRPr="00E85AD0" w:rsidRDefault="00546C18" w:rsidP="00546C18">
      <w:pPr>
        <w:rPr>
          <w:lang w:val="es-ES_tradnl" w:eastAsia="es-ES"/>
        </w:rPr>
      </w:pPr>
    </w:p>
    <w:p w14:paraId="7AEE2F16" w14:textId="788E1DF9" w:rsidR="003E33B6" w:rsidRPr="00652C45" w:rsidRDefault="00546C18" w:rsidP="003E33B6">
      <w:pPr>
        <w:pStyle w:val="PrrafodeSentencia"/>
        <w:rPr>
          <w:spacing w:val="0"/>
          <w:szCs w:val="20"/>
        </w:rPr>
      </w:pPr>
      <w:r w:rsidRPr="00652C45">
        <w:rPr>
          <w:spacing w:val="0"/>
          <w:szCs w:val="20"/>
        </w:rPr>
        <w:t xml:space="preserve">La </w:t>
      </w:r>
      <w:r w:rsidRPr="00652C45">
        <w:rPr>
          <w:b/>
          <w:i/>
          <w:spacing w:val="0"/>
          <w:szCs w:val="20"/>
        </w:rPr>
        <w:t>Comisión</w:t>
      </w:r>
      <w:r w:rsidRPr="00652C45">
        <w:rPr>
          <w:spacing w:val="0"/>
          <w:szCs w:val="20"/>
        </w:rPr>
        <w:t xml:space="preserve"> y los </w:t>
      </w:r>
      <w:r w:rsidRPr="00652C45">
        <w:rPr>
          <w:b/>
          <w:i/>
          <w:spacing w:val="0"/>
          <w:szCs w:val="20"/>
        </w:rPr>
        <w:t xml:space="preserve">representantes </w:t>
      </w:r>
      <w:r w:rsidRPr="00652C45">
        <w:rPr>
          <w:spacing w:val="0"/>
          <w:szCs w:val="20"/>
        </w:rPr>
        <w:t xml:space="preserve">alegaron que adicionalmente se violó el </w:t>
      </w:r>
      <w:r w:rsidR="00D62DB8">
        <w:rPr>
          <w:spacing w:val="0"/>
          <w:szCs w:val="20"/>
        </w:rPr>
        <w:t xml:space="preserve">principio de legalidad, el </w:t>
      </w:r>
      <w:r w:rsidRPr="00652C45">
        <w:rPr>
          <w:spacing w:val="0"/>
          <w:szCs w:val="20"/>
        </w:rPr>
        <w:t>derecho a ser oído, el derecho a ser juzgado por un órgano imparcial, el derecho a la defensa, incluyendo la comunicación previa y detalla de la acusación y la concesión del tiempo y medios adecuados para preparar defensa,</w:t>
      </w:r>
      <w:r w:rsidRPr="00652C45">
        <w:rPr>
          <w:spacing w:val="0"/>
          <w:szCs w:val="20"/>
          <w:lang w:val="es-ES"/>
        </w:rPr>
        <w:t xml:space="preserve"> el deber de motivación y el</w:t>
      </w:r>
      <w:r w:rsidRPr="00652C45">
        <w:rPr>
          <w:spacing w:val="0"/>
          <w:szCs w:val="20"/>
        </w:rPr>
        <w:t xml:space="preserve"> derecho a la presunción de inocencia.</w:t>
      </w:r>
    </w:p>
    <w:p w14:paraId="1E9145F2" w14:textId="77777777" w:rsidR="00546C18" w:rsidRPr="00652C45" w:rsidRDefault="00546C18" w:rsidP="00546C18">
      <w:pPr>
        <w:rPr>
          <w:szCs w:val="20"/>
          <w:lang w:val="es-CR" w:eastAsia="es-MX"/>
        </w:rPr>
      </w:pPr>
    </w:p>
    <w:p w14:paraId="46351E92" w14:textId="7481EB3F" w:rsidR="00546C18" w:rsidRDefault="00D62DB8" w:rsidP="00546C18">
      <w:pPr>
        <w:pStyle w:val="PrrafodeSentencia"/>
        <w:rPr>
          <w:spacing w:val="0"/>
          <w:szCs w:val="20"/>
        </w:rPr>
      </w:pPr>
      <w:bookmarkStart w:id="187" w:name="_Ref427856101"/>
      <w:bookmarkStart w:id="188" w:name="_Ref431214864"/>
      <w:bookmarkStart w:id="189" w:name="_Ref532900261"/>
      <w:r w:rsidRPr="004C6A7F">
        <w:rPr>
          <w:spacing w:val="0"/>
          <w:szCs w:val="20"/>
        </w:rPr>
        <w:t>Una vez se ha determinado que el procedimiento y órgano a través del  cual se llevó a cabo el proceso de la destitución de la presunta víctima no se encontraba establecido legalmente, no es necesario entrar a analizar las demás garantías establecidas en los artículos 8 y 9 de la Convención</w:t>
      </w:r>
      <w:r w:rsidR="00546C18" w:rsidRPr="004C6A7F">
        <w:rPr>
          <w:rStyle w:val="FootnoteReference"/>
          <w:spacing w:val="0"/>
          <w:sz w:val="20"/>
          <w:szCs w:val="20"/>
        </w:rPr>
        <w:footnoteReference w:id="129"/>
      </w:r>
      <w:r w:rsidR="00546C18" w:rsidRPr="004C6A7F">
        <w:rPr>
          <w:spacing w:val="0"/>
          <w:szCs w:val="20"/>
        </w:rPr>
        <w:t>. Por ello, este Tribunal estima que no es necesario pronuncia</w:t>
      </w:r>
      <w:r w:rsidR="00CA2925">
        <w:rPr>
          <w:spacing w:val="0"/>
          <w:szCs w:val="20"/>
        </w:rPr>
        <w:t>r</w:t>
      </w:r>
      <w:r w:rsidR="00546C18" w:rsidRPr="004C6A7F">
        <w:rPr>
          <w:spacing w:val="0"/>
          <w:szCs w:val="20"/>
        </w:rPr>
        <w:t xml:space="preserve">se sobre las alegadas </w:t>
      </w:r>
      <w:bookmarkEnd w:id="187"/>
      <w:bookmarkEnd w:id="188"/>
      <w:r w:rsidR="00546C18" w:rsidRPr="004C6A7F">
        <w:rPr>
          <w:spacing w:val="0"/>
          <w:szCs w:val="20"/>
        </w:rPr>
        <w:t xml:space="preserve">violaciones al </w:t>
      </w:r>
      <w:r w:rsidRPr="004C6A7F">
        <w:rPr>
          <w:spacing w:val="0"/>
          <w:szCs w:val="20"/>
        </w:rPr>
        <w:t xml:space="preserve">principio de legalidad, el </w:t>
      </w:r>
      <w:r w:rsidR="00546C18" w:rsidRPr="004C6A7F">
        <w:rPr>
          <w:spacing w:val="0"/>
          <w:szCs w:val="20"/>
        </w:rPr>
        <w:t>derecho a ser oído, el derecho a ser juzgado</w:t>
      </w:r>
      <w:r w:rsidR="00546C18" w:rsidRPr="00652C45">
        <w:rPr>
          <w:spacing w:val="0"/>
          <w:szCs w:val="20"/>
        </w:rPr>
        <w:t xml:space="preserve"> por un órgano imparcial, el derecho a la defensa, incluyendo la comunicación previa y detalla de la acusación y la concesión del tiempo y medios adecuados para preparar </w:t>
      </w:r>
      <w:r w:rsidR="002D08F2">
        <w:rPr>
          <w:spacing w:val="0"/>
          <w:szCs w:val="20"/>
        </w:rPr>
        <w:t xml:space="preserve">la </w:t>
      </w:r>
      <w:r w:rsidR="00546C18" w:rsidRPr="00652C45">
        <w:rPr>
          <w:spacing w:val="0"/>
          <w:szCs w:val="20"/>
        </w:rPr>
        <w:t>defensa,</w:t>
      </w:r>
      <w:r w:rsidR="00546C18" w:rsidRPr="00652C45">
        <w:rPr>
          <w:spacing w:val="0"/>
          <w:szCs w:val="20"/>
          <w:lang w:val="es-ES"/>
        </w:rPr>
        <w:t xml:space="preserve"> el deber de motivación y el</w:t>
      </w:r>
      <w:r w:rsidR="00546C18" w:rsidRPr="00652C45">
        <w:rPr>
          <w:spacing w:val="0"/>
          <w:szCs w:val="20"/>
        </w:rPr>
        <w:t xml:space="preserve"> derecho a la presunción de inocencia.</w:t>
      </w:r>
      <w:bookmarkEnd w:id="189"/>
    </w:p>
    <w:p w14:paraId="41D0957B" w14:textId="77777777" w:rsidR="00175E68" w:rsidRPr="00175E68" w:rsidRDefault="00175E68" w:rsidP="00175E68">
      <w:pPr>
        <w:rPr>
          <w:lang w:val="es-CR" w:eastAsia="es-MX"/>
        </w:rPr>
      </w:pPr>
    </w:p>
    <w:p w14:paraId="54B06706" w14:textId="7EC754C8" w:rsidR="00546C18" w:rsidRPr="00E85AD0" w:rsidRDefault="00EC3C4E" w:rsidP="00865D8D">
      <w:pPr>
        <w:pStyle w:val="Heading4"/>
        <w:tabs>
          <w:tab w:val="left" w:pos="851"/>
        </w:tabs>
        <w:ind w:left="1701"/>
        <w:jc w:val="both"/>
      </w:pPr>
      <w:bookmarkStart w:id="190" w:name="_Toc431584653"/>
      <w:bookmarkStart w:id="191" w:name="_Toc434850442"/>
      <w:bookmarkStart w:id="192" w:name="_Toc192581"/>
      <w:r>
        <w:t>B.2.</w:t>
      </w:r>
      <w:r w:rsidR="007E1CF1">
        <w:t>d</w:t>
      </w:r>
      <w:r>
        <w:t xml:space="preserve"> </w:t>
      </w:r>
      <w:r w:rsidR="00546C18" w:rsidRPr="00E85AD0">
        <w:t>Derecho a permanecer en el cargo en condiciones generales de igualdad</w:t>
      </w:r>
      <w:bookmarkEnd w:id="190"/>
      <w:bookmarkEnd w:id="191"/>
      <w:bookmarkEnd w:id="192"/>
    </w:p>
    <w:p w14:paraId="0E6D41A7" w14:textId="77777777" w:rsidR="00546C18" w:rsidRPr="00E85AD0" w:rsidRDefault="00546C18" w:rsidP="00546C18">
      <w:pPr>
        <w:rPr>
          <w:lang w:val="es-ES_tradnl" w:eastAsia="es-ES"/>
        </w:rPr>
      </w:pPr>
    </w:p>
    <w:p w14:paraId="107C496F" w14:textId="77777777" w:rsidR="00546C18" w:rsidRPr="00E85AD0" w:rsidRDefault="00546C18" w:rsidP="00546C18">
      <w:pPr>
        <w:pStyle w:val="PrrafodeSentencia"/>
        <w:rPr>
          <w:spacing w:val="0"/>
        </w:rPr>
      </w:pPr>
      <w:bookmarkStart w:id="193" w:name="_Ref532900280"/>
      <w:r w:rsidRPr="00E85AD0">
        <w:rPr>
          <w:spacing w:val="0"/>
          <w:szCs w:val="20"/>
        </w:rPr>
        <w:t>El artículo 23.1.c de la Convención establece el derecho a acceder a un cargo público, en condiciones generales de igualdad. Este Corte ha interpretado que el acceso en condiciones de igualdad constituiría una garantía insuficiente si no está acompañado por la protección efectiva de la permanencia en aquello a lo que se accede</w:t>
      </w:r>
      <w:r w:rsidRPr="00E85AD0">
        <w:rPr>
          <w:rStyle w:val="FootnoteReference"/>
          <w:spacing w:val="0"/>
          <w:sz w:val="20"/>
          <w:szCs w:val="20"/>
          <w:lang w:val="es-CO"/>
        </w:rPr>
        <w:footnoteReference w:id="130"/>
      </w:r>
      <w:r w:rsidRPr="00E85AD0">
        <w:rPr>
          <w:spacing w:val="0"/>
          <w:szCs w:val="20"/>
        </w:rPr>
        <w:t>.</w:t>
      </w:r>
      <w:bookmarkEnd w:id="193"/>
    </w:p>
    <w:p w14:paraId="0B19EFC9" w14:textId="77777777" w:rsidR="00546C18" w:rsidRPr="00E85AD0" w:rsidRDefault="00546C18" w:rsidP="00546C18">
      <w:pPr>
        <w:pStyle w:val="PrrafodeSentencia"/>
        <w:numPr>
          <w:ilvl w:val="0"/>
          <w:numId w:val="0"/>
        </w:numPr>
        <w:rPr>
          <w:spacing w:val="0"/>
        </w:rPr>
      </w:pPr>
    </w:p>
    <w:p w14:paraId="7D1097EE" w14:textId="225BFC9B" w:rsidR="00546C18" w:rsidRPr="00E85AD0" w:rsidRDefault="00546C18" w:rsidP="00546C18">
      <w:pPr>
        <w:pStyle w:val="PrrafodeSentencia"/>
        <w:rPr>
          <w:spacing w:val="0"/>
          <w:szCs w:val="20"/>
        </w:rPr>
      </w:pPr>
      <w:r w:rsidRPr="00E85AD0">
        <w:rPr>
          <w:spacing w:val="0"/>
        </w:rPr>
        <w:lastRenderedPageBreak/>
        <w:t xml:space="preserve">En casos de ceses arbitrarios de jueces, esta Corte ha considerado que este derecho se relaciona con </w:t>
      </w:r>
      <w:r w:rsidRPr="00E85AD0">
        <w:rPr>
          <w:spacing w:val="0"/>
          <w:szCs w:val="20"/>
        </w:rPr>
        <w:t>la garantía de estabilidad o inamovilidad del juez</w:t>
      </w:r>
      <w:r w:rsidRPr="00E85AD0">
        <w:rPr>
          <w:spacing w:val="0"/>
          <w:szCs w:val="20"/>
          <w:vertAlign w:val="superscript"/>
        </w:rPr>
        <w:footnoteReference w:id="131"/>
      </w:r>
      <w:r w:rsidRPr="00E85AD0">
        <w:rPr>
          <w:spacing w:val="0"/>
          <w:szCs w:val="20"/>
        </w:rPr>
        <w:t>. E</w:t>
      </w:r>
      <w:bookmarkStart w:id="194" w:name="_Ref427930779"/>
      <w:bookmarkStart w:id="195" w:name="_Ref431483506"/>
      <w:r w:rsidRPr="00E85AD0">
        <w:rPr>
          <w:spacing w:val="0"/>
          <w:szCs w:val="20"/>
        </w:rPr>
        <w:t>l respeto y garantía de este derecho se cumplen cuando los criterios y procedimientos para el nombramiento, ascenso, suspensión y destitución sean razonables y objetivos</w:t>
      </w:r>
      <w:r w:rsidR="00D513AA">
        <w:rPr>
          <w:spacing w:val="0"/>
          <w:szCs w:val="20"/>
        </w:rPr>
        <w:t>,</w:t>
      </w:r>
      <w:r w:rsidRPr="00E85AD0">
        <w:rPr>
          <w:spacing w:val="0"/>
          <w:szCs w:val="20"/>
        </w:rPr>
        <w:t xml:space="preserve"> y que las personas no sean objeto de discriminación en el ejercicio de este derecho</w:t>
      </w:r>
      <w:r w:rsidRPr="00E85AD0">
        <w:rPr>
          <w:rStyle w:val="FootnoteReference"/>
          <w:spacing w:val="0"/>
          <w:sz w:val="20"/>
          <w:szCs w:val="20"/>
        </w:rPr>
        <w:footnoteReference w:id="132"/>
      </w:r>
      <w:r w:rsidRPr="00E85AD0">
        <w:rPr>
          <w:spacing w:val="0"/>
          <w:szCs w:val="20"/>
        </w:rPr>
        <w:t>. A este respecto, la Corte ha indicado que la igualdad de oportunidades en el acceso y la estabilidad en el cargo garantizan la libertad frente a toda injerencia o presión política</w:t>
      </w:r>
      <w:r w:rsidRPr="00E85AD0">
        <w:rPr>
          <w:rStyle w:val="FootnoteReference"/>
          <w:spacing w:val="0"/>
          <w:sz w:val="20"/>
          <w:szCs w:val="20"/>
        </w:rPr>
        <w:footnoteReference w:id="133"/>
      </w:r>
      <w:r w:rsidRPr="00E85AD0">
        <w:rPr>
          <w:spacing w:val="0"/>
          <w:szCs w:val="20"/>
        </w:rPr>
        <w:t>.</w:t>
      </w:r>
      <w:bookmarkEnd w:id="194"/>
      <w:bookmarkEnd w:id="195"/>
      <w:r w:rsidRPr="00E85AD0">
        <w:rPr>
          <w:spacing w:val="0"/>
          <w:szCs w:val="20"/>
        </w:rPr>
        <w:t xml:space="preserve"> </w:t>
      </w:r>
    </w:p>
    <w:p w14:paraId="00A18239" w14:textId="77777777" w:rsidR="00546C18" w:rsidRPr="00E85AD0" w:rsidRDefault="00546C18" w:rsidP="00546C18">
      <w:pPr>
        <w:rPr>
          <w:color w:val="00B050"/>
          <w:szCs w:val="20"/>
          <w:lang w:val="es-CO" w:eastAsia="es-MX"/>
        </w:rPr>
      </w:pPr>
    </w:p>
    <w:p w14:paraId="4F0D6274" w14:textId="225A1355" w:rsidR="00546C18" w:rsidRPr="00E85AD0" w:rsidRDefault="00546C18" w:rsidP="00546C18">
      <w:pPr>
        <w:pStyle w:val="PrrafodeSentencia"/>
        <w:rPr>
          <w:spacing w:val="0"/>
          <w:szCs w:val="20"/>
        </w:rPr>
      </w:pPr>
      <w:r w:rsidRPr="00E85AD0">
        <w:rPr>
          <w:spacing w:val="0"/>
          <w:szCs w:val="20"/>
        </w:rPr>
        <w:t>Como consecuencia del procedimiento al que fue sometido</w:t>
      </w:r>
      <w:r w:rsidR="00097081">
        <w:rPr>
          <w:spacing w:val="0"/>
          <w:szCs w:val="20"/>
        </w:rPr>
        <w:t>,</w:t>
      </w:r>
      <w:r w:rsidRPr="00E85AD0">
        <w:rPr>
          <w:spacing w:val="0"/>
          <w:szCs w:val="20"/>
        </w:rPr>
        <w:t xml:space="preserve"> la presunta víctima fue destituido de su cargo de magistrado del TSE. La Corte considera que esta </w:t>
      </w:r>
      <w:r w:rsidRPr="00E85AD0">
        <w:rPr>
          <w:spacing w:val="0"/>
          <w:szCs w:val="20"/>
          <w:lang w:val="es-CO"/>
        </w:rPr>
        <w:t>destitución constituyó un</w:t>
      </w:r>
      <w:r w:rsidR="002373D4">
        <w:rPr>
          <w:spacing w:val="0"/>
          <w:szCs w:val="20"/>
          <w:lang w:val="es-CO"/>
        </w:rPr>
        <w:t xml:space="preserve"> cese arbitrario</w:t>
      </w:r>
      <w:r w:rsidRPr="00E85AD0">
        <w:rPr>
          <w:spacing w:val="0"/>
          <w:szCs w:val="20"/>
        </w:rPr>
        <w:t xml:space="preserve"> debido a </w:t>
      </w:r>
      <w:r w:rsidR="002373D4">
        <w:rPr>
          <w:spacing w:val="0"/>
          <w:szCs w:val="20"/>
        </w:rPr>
        <w:t>que fue realizado por un órgano incompetente y mediante</w:t>
      </w:r>
      <w:r w:rsidRPr="00E85AD0">
        <w:rPr>
          <w:spacing w:val="0"/>
          <w:szCs w:val="20"/>
        </w:rPr>
        <w:t xml:space="preserve"> un procedimiento que no estaba establecido legalment</w:t>
      </w:r>
      <w:r w:rsidR="002373D4">
        <w:rPr>
          <w:spacing w:val="0"/>
          <w:szCs w:val="20"/>
        </w:rPr>
        <w:t xml:space="preserve">e. Por tanto, este cese arbitrario </w:t>
      </w:r>
      <w:r w:rsidRPr="00E85AD0">
        <w:rPr>
          <w:spacing w:val="0"/>
          <w:szCs w:val="20"/>
        </w:rPr>
        <w:t>afectó indebidamente el derecho a permanecer en el cargo en condiciones de igualdad del señor Colindres Schonenberg, en violación d</w:t>
      </w:r>
      <w:r w:rsidRPr="00E85AD0">
        <w:rPr>
          <w:spacing w:val="0"/>
        </w:rPr>
        <w:t>el artículo 23.1.c de la Convención Americana</w:t>
      </w:r>
      <w:r w:rsidRPr="00E85AD0">
        <w:rPr>
          <w:spacing w:val="0"/>
          <w:szCs w:val="20"/>
        </w:rPr>
        <w:t xml:space="preserve">. </w:t>
      </w:r>
    </w:p>
    <w:p w14:paraId="4F86DA40" w14:textId="77777777" w:rsidR="00546C18" w:rsidRPr="00E85AD0" w:rsidRDefault="00546C18" w:rsidP="00546C18">
      <w:pPr>
        <w:pStyle w:val="PrrafodeSentencia"/>
        <w:numPr>
          <w:ilvl w:val="0"/>
          <w:numId w:val="0"/>
        </w:numPr>
        <w:rPr>
          <w:spacing w:val="0"/>
        </w:rPr>
      </w:pPr>
    </w:p>
    <w:p w14:paraId="7E812978" w14:textId="62A1C0FA" w:rsidR="005637CE" w:rsidRPr="00456197" w:rsidRDefault="00546C18" w:rsidP="00865D8D">
      <w:pPr>
        <w:pStyle w:val="Heading4"/>
        <w:ind w:left="1701"/>
        <w:jc w:val="left"/>
      </w:pPr>
      <w:bookmarkStart w:id="196" w:name="_Toc192582"/>
      <w:r w:rsidRPr="00456197">
        <w:t>B.2.</w:t>
      </w:r>
      <w:r w:rsidR="007E1CF1">
        <w:t>e</w:t>
      </w:r>
      <w:r w:rsidRPr="00456197">
        <w:t xml:space="preserve"> </w:t>
      </w:r>
      <w:r w:rsidR="005637CE" w:rsidRPr="00456197">
        <w:t>Falta de adecuación del derecho interno</w:t>
      </w:r>
      <w:bookmarkEnd w:id="196"/>
    </w:p>
    <w:p w14:paraId="607CC5C3" w14:textId="77777777" w:rsidR="00456197" w:rsidRPr="00456197" w:rsidRDefault="00456197" w:rsidP="00456197">
      <w:pPr>
        <w:rPr>
          <w:color w:val="FF0000"/>
          <w:lang w:val="es-CR"/>
        </w:rPr>
      </w:pPr>
    </w:p>
    <w:p w14:paraId="2DBBB537" w14:textId="72855B09" w:rsidR="00456197" w:rsidRPr="00976B86" w:rsidRDefault="00456197" w:rsidP="00456197">
      <w:pPr>
        <w:pStyle w:val="PrrafodeSentencia"/>
        <w:rPr>
          <w:spacing w:val="0"/>
          <w:szCs w:val="20"/>
        </w:rPr>
      </w:pPr>
      <w:bookmarkStart w:id="197" w:name="_Ref308535770"/>
      <w:r w:rsidRPr="00976B86">
        <w:rPr>
          <w:spacing w:val="0"/>
          <w:szCs w:val="20"/>
          <w:lang w:val="es-CO"/>
        </w:rPr>
        <w:t>La Corte recuerda que el artículo 2 de la Convención 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976B86">
        <w:rPr>
          <w:spacing w:val="0"/>
          <w:szCs w:val="20"/>
          <w:vertAlign w:val="superscript"/>
          <w:lang w:val="es-ES_tradnl"/>
        </w:rPr>
        <w:footnoteReference w:id="134"/>
      </w:r>
      <w:r w:rsidRPr="00976B86">
        <w:rPr>
          <w:spacing w:val="0"/>
          <w:szCs w:val="20"/>
          <w:lang w:val="es-CO"/>
        </w:rPr>
        <w:t xml:space="preserve">. </w:t>
      </w:r>
      <w:r w:rsidRPr="00976B86">
        <w:rPr>
          <w:spacing w:val="0"/>
          <w:szCs w:val="20"/>
        </w:rPr>
        <w:t>Dicho deber implica la adopción de medidas en dos vertientes. Por una parte, la supresión de las normas y prácticas de cualquier naturaleza que entrañen violación a las garantías previstas en la Convención</w:t>
      </w:r>
      <w:r w:rsidRPr="00976B86">
        <w:rPr>
          <w:rStyle w:val="FootnoteReference"/>
          <w:spacing w:val="0"/>
          <w:sz w:val="20"/>
          <w:szCs w:val="20"/>
        </w:rPr>
        <w:footnoteReference w:id="135"/>
      </w:r>
      <w:r w:rsidRPr="00976B86">
        <w:rPr>
          <w:spacing w:val="0"/>
          <w:szCs w:val="20"/>
        </w:rPr>
        <w:t>, ya sea porque desconozcan esos derechos o libertades u obstaculicen su ejercicio</w:t>
      </w:r>
      <w:r w:rsidRPr="00976B86">
        <w:rPr>
          <w:rStyle w:val="FootnoteReference"/>
          <w:spacing w:val="0"/>
          <w:sz w:val="20"/>
          <w:szCs w:val="20"/>
        </w:rPr>
        <w:footnoteReference w:id="136"/>
      </w:r>
      <w:r w:rsidRPr="00976B86">
        <w:rPr>
          <w:spacing w:val="0"/>
          <w:szCs w:val="20"/>
        </w:rPr>
        <w:t>. Por otra, la expedición de normas y el desarrollo de prácticas conducentes a la efectiva observancia de dichas garantías</w:t>
      </w:r>
      <w:r w:rsidRPr="00976B86">
        <w:rPr>
          <w:rStyle w:val="FootnoteReference"/>
          <w:spacing w:val="0"/>
          <w:sz w:val="20"/>
          <w:szCs w:val="20"/>
        </w:rPr>
        <w:footnoteReference w:id="137"/>
      </w:r>
      <w:r w:rsidRPr="00976B86">
        <w:rPr>
          <w:spacing w:val="0"/>
          <w:szCs w:val="20"/>
        </w:rPr>
        <w:t>.</w:t>
      </w:r>
      <w:bookmarkEnd w:id="197"/>
      <w:r w:rsidRPr="00976B86">
        <w:rPr>
          <w:spacing w:val="0"/>
          <w:szCs w:val="20"/>
        </w:rPr>
        <w:t xml:space="preserve"> </w:t>
      </w:r>
    </w:p>
    <w:p w14:paraId="1523BDA0" w14:textId="77777777" w:rsidR="00456197" w:rsidRPr="00976B86" w:rsidRDefault="00456197" w:rsidP="00456197">
      <w:pPr>
        <w:rPr>
          <w:lang w:val="es-CR" w:eastAsia="es-MX"/>
        </w:rPr>
      </w:pPr>
    </w:p>
    <w:p w14:paraId="2AB889EE" w14:textId="3BB05BA0" w:rsidR="00B54FA6" w:rsidRPr="00976B86" w:rsidRDefault="00456197" w:rsidP="00D60AC1">
      <w:pPr>
        <w:pStyle w:val="PrrafodeSentencia"/>
        <w:rPr>
          <w:rFonts w:eastAsia="Times New Roman"/>
          <w:iCs/>
          <w:szCs w:val="20"/>
        </w:rPr>
      </w:pPr>
      <w:r w:rsidRPr="00976B86">
        <w:rPr>
          <w:spacing w:val="0"/>
          <w:szCs w:val="20"/>
        </w:rPr>
        <w:t xml:space="preserve">Las violaciones </w:t>
      </w:r>
      <w:r w:rsidR="00D60AC1" w:rsidRPr="00976B86">
        <w:rPr>
          <w:spacing w:val="0"/>
          <w:szCs w:val="20"/>
        </w:rPr>
        <w:t>a la Convención ya determinadas</w:t>
      </w:r>
      <w:r w:rsidRPr="00976B86">
        <w:rPr>
          <w:spacing w:val="0"/>
          <w:szCs w:val="20"/>
        </w:rPr>
        <w:t xml:space="preserve"> en este capítulo se originaron en la aplicación de los criterios </w:t>
      </w:r>
      <w:r w:rsidR="00D60AC1" w:rsidRPr="00976B86">
        <w:rPr>
          <w:spacing w:val="0"/>
          <w:szCs w:val="20"/>
        </w:rPr>
        <w:t xml:space="preserve">generales </w:t>
      </w:r>
      <w:r w:rsidRPr="00976B86">
        <w:rPr>
          <w:spacing w:val="0"/>
          <w:szCs w:val="20"/>
        </w:rPr>
        <w:t>establecidos por la Sala de lo Constitucional en su sentencia de 4 de noviembre de 1997</w:t>
      </w:r>
      <w:r w:rsidR="00D60AC1" w:rsidRPr="00976B86">
        <w:rPr>
          <w:spacing w:val="0"/>
          <w:szCs w:val="20"/>
        </w:rPr>
        <w:t xml:space="preserve"> sobre la</w:t>
      </w:r>
      <w:r w:rsidR="00743EE1" w:rsidRPr="00976B86">
        <w:rPr>
          <w:spacing w:val="0"/>
          <w:szCs w:val="20"/>
        </w:rPr>
        <w:t>s</w:t>
      </w:r>
      <w:r w:rsidR="00D60AC1" w:rsidRPr="00976B86">
        <w:rPr>
          <w:spacing w:val="0"/>
          <w:szCs w:val="20"/>
        </w:rPr>
        <w:t xml:space="preserve"> posibilidad</w:t>
      </w:r>
      <w:r w:rsidR="00743EE1" w:rsidRPr="00976B86">
        <w:rPr>
          <w:spacing w:val="0"/>
          <w:szCs w:val="20"/>
        </w:rPr>
        <w:t>es</w:t>
      </w:r>
      <w:r w:rsidR="00D60AC1" w:rsidRPr="00976B86">
        <w:rPr>
          <w:spacing w:val="0"/>
          <w:szCs w:val="20"/>
        </w:rPr>
        <w:t xml:space="preserve"> de destitución de magistrados del TSE. En particular la sentencia</w:t>
      </w:r>
      <w:r w:rsidRPr="00976B86">
        <w:rPr>
          <w:spacing w:val="0"/>
          <w:szCs w:val="20"/>
        </w:rPr>
        <w:t xml:space="preserve"> estableció </w:t>
      </w:r>
      <w:r w:rsidR="00D60AC1" w:rsidRPr="00976B86">
        <w:rPr>
          <w:spacing w:val="0"/>
          <w:szCs w:val="20"/>
        </w:rPr>
        <w:t>que, sin perjuicio de la ausencia de ley, se podía interpretar que la Asamblea Legislativa era el órgano competente para la destitución de magistrados,</w:t>
      </w:r>
      <w:r w:rsidR="00976B86" w:rsidRPr="00976B86">
        <w:rPr>
          <w:rFonts w:eastAsia="Times New Roman"/>
          <w:iCs/>
          <w:szCs w:val="20"/>
        </w:rPr>
        <w:t xml:space="preserve"> a la vez que</w:t>
      </w:r>
      <w:r w:rsidR="00D60AC1" w:rsidRPr="00976B86">
        <w:rPr>
          <w:rFonts w:eastAsia="Times New Roman"/>
          <w:iCs/>
          <w:szCs w:val="20"/>
        </w:rPr>
        <w:t xml:space="preserve"> amplió las causales de destitución de magistrados del TSE para </w:t>
      </w:r>
      <w:r w:rsidR="00D60AC1" w:rsidRPr="00976B86">
        <w:rPr>
          <w:rFonts w:eastAsia="Times New Roman"/>
          <w:iCs/>
          <w:szCs w:val="20"/>
        </w:rPr>
        <w:lastRenderedPageBreak/>
        <w:t>incluir otras no establecidas como tal en la ley</w:t>
      </w:r>
      <w:r w:rsidR="00D60AC1" w:rsidRPr="00976B86">
        <w:rPr>
          <w:rFonts w:eastAsia="Times New Roman"/>
          <w:iCs/>
          <w:color w:val="2D2D2D"/>
          <w:szCs w:val="20"/>
          <w:vertAlign w:val="superscript"/>
          <w:lang w:val="es-CO"/>
        </w:rPr>
        <w:footnoteReference w:id="138"/>
      </w:r>
      <w:r w:rsidR="00D60AC1" w:rsidRPr="00976B86">
        <w:rPr>
          <w:rFonts w:eastAsia="Times New Roman"/>
          <w:iCs/>
          <w:szCs w:val="20"/>
        </w:rPr>
        <w:t>.</w:t>
      </w:r>
      <w:r w:rsidR="00430A65" w:rsidRPr="00976B86">
        <w:rPr>
          <w:rFonts w:eastAsia="Times New Roman"/>
          <w:iCs/>
          <w:szCs w:val="20"/>
        </w:rPr>
        <w:t xml:space="preserve"> </w:t>
      </w:r>
      <w:r w:rsidR="00B54FA6" w:rsidRPr="00976B86">
        <w:rPr>
          <w:rFonts w:eastAsia="Times New Roman"/>
          <w:iCs/>
          <w:szCs w:val="20"/>
        </w:rPr>
        <w:t xml:space="preserve">La aplicación de estos criterios desarrollados por la Sala de lo Constitucional constituye una práctica </w:t>
      </w:r>
      <w:r w:rsidR="004C6A7F">
        <w:rPr>
          <w:rFonts w:eastAsia="Times New Roman"/>
          <w:iCs/>
          <w:szCs w:val="20"/>
        </w:rPr>
        <w:t>contraria</w:t>
      </w:r>
      <w:r w:rsidR="00B54FA6" w:rsidRPr="00976B86">
        <w:rPr>
          <w:rFonts w:eastAsia="Times New Roman"/>
          <w:iCs/>
          <w:szCs w:val="20"/>
        </w:rPr>
        <w:t xml:space="preserve"> a la Convención Americana.</w:t>
      </w:r>
    </w:p>
    <w:p w14:paraId="24FC1B37" w14:textId="77777777" w:rsidR="00B54FA6" w:rsidRPr="00976B86" w:rsidRDefault="00B54FA6" w:rsidP="00B54FA6">
      <w:pPr>
        <w:rPr>
          <w:lang w:val="es-CR" w:eastAsia="es-MX"/>
        </w:rPr>
      </w:pPr>
    </w:p>
    <w:p w14:paraId="3EF34126" w14:textId="47AB3B3E" w:rsidR="0001362E" w:rsidRPr="00976B86" w:rsidRDefault="00430A65" w:rsidP="008B2861">
      <w:pPr>
        <w:pStyle w:val="PrrafodeSentencia"/>
      </w:pPr>
      <w:bookmarkStart w:id="198" w:name="_Ref536708718"/>
      <w:r w:rsidRPr="00976B86">
        <w:rPr>
          <w:rFonts w:eastAsia="Times New Roman"/>
          <w:iCs/>
          <w:szCs w:val="20"/>
        </w:rPr>
        <w:t xml:space="preserve">La Corte advierte que en virtud del artículo 2 de la Convención el Estado estaba obligado a </w:t>
      </w:r>
      <w:r w:rsidR="00B54FA6" w:rsidRPr="00976B86">
        <w:rPr>
          <w:rFonts w:eastAsia="Times New Roman"/>
          <w:iCs/>
          <w:szCs w:val="20"/>
        </w:rPr>
        <w:t xml:space="preserve">suprimir las prácticas </w:t>
      </w:r>
      <w:r w:rsidR="00B54FA6" w:rsidRPr="00976B86">
        <w:rPr>
          <w:spacing w:val="0"/>
          <w:szCs w:val="20"/>
        </w:rPr>
        <w:t xml:space="preserve">de cualquier naturaleza que entrañen violación a las garantías previstas en la Convención. Por tanto, existió una omisión del Estado </w:t>
      </w:r>
      <w:r w:rsidR="00097081">
        <w:rPr>
          <w:spacing w:val="0"/>
          <w:szCs w:val="20"/>
        </w:rPr>
        <w:t>al no</w:t>
      </w:r>
      <w:r w:rsidR="00B54FA6" w:rsidRPr="00976B86">
        <w:rPr>
          <w:spacing w:val="0"/>
          <w:szCs w:val="20"/>
        </w:rPr>
        <w:t xml:space="preserve"> </w:t>
      </w:r>
      <w:r w:rsidR="00743EE1" w:rsidRPr="00976B86">
        <w:rPr>
          <w:spacing w:val="0"/>
          <w:szCs w:val="20"/>
        </w:rPr>
        <w:t xml:space="preserve">tomar medidas para evitar que se aplicaran estos </w:t>
      </w:r>
      <w:r w:rsidR="00B54FA6" w:rsidRPr="00976B86">
        <w:rPr>
          <w:spacing w:val="0"/>
          <w:szCs w:val="20"/>
        </w:rPr>
        <w:t xml:space="preserve">criterios </w:t>
      </w:r>
      <w:r w:rsidR="00B54FA6" w:rsidRPr="00976B86">
        <w:rPr>
          <w:rFonts w:eastAsia="Times New Roman"/>
          <w:iCs/>
          <w:szCs w:val="20"/>
        </w:rPr>
        <w:t xml:space="preserve">desarrollados por la Sala de lo Constitucional, y así asegurar </w:t>
      </w:r>
      <w:r w:rsidR="00456197" w:rsidRPr="00976B86">
        <w:rPr>
          <w:spacing w:val="0"/>
          <w:szCs w:val="20"/>
        </w:rPr>
        <w:t xml:space="preserve">que no se realizaran destituciones de magistrados del TSE por razones no establecidas en la legislación ni mediante procesos de destitución </w:t>
      </w:r>
      <w:r w:rsidR="00A13D6C" w:rsidRPr="00976B86">
        <w:rPr>
          <w:spacing w:val="0"/>
          <w:szCs w:val="20"/>
        </w:rPr>
        <w:t xml:space="preserve">ante </w:t>
      </w:r>
      <w:r w:rsidR="00456197" w:rsidRPr="00976B86">
        <w:rPr>
          <w:spacing w:val="0"/>
          <w:szCs w:val="20"/>
        </w:rPr>
        <w:t xml:space="preserve">órganos incompetentes y sin que existiera un procedimiento previamente establecido. Esta omisión </w:t>
      </w:r>
      <w:r w:rsidR="00743EE1" w:rsidRPr="00976B86">
        <w:rPr>
          <w:spacing w:val="0"/>
          <w:szCs w:val="20"/>
        </w:rPr>
        <w:t>conllevó a una violación del artículo 2 de la Convenció</w:t>
      </w:r>
      <w:r w:rsidR="003357A8" w:rsidRPr="00976B86">
        <w:rPr>
          <w:spacing w:val="0"/>
          <w:szCs w:val="20"/>
        </w:rPr>
        <w:t xml:space="preserve">n y </w:t>
      </w:r>
      <w:r w:rsidR="004C6A7F">
        <w:rPr>
          <w:spacing w:val="0"/>
          <w:szCs w:val="20"/>
        </w:rPr>
        <w:t>afectó</w:t>
      </w:r>
      <w:r w:rsidR="003357A8" w:rsidRPr="00976B86">
        <w:rPr>
          <w:spacing w:val="0"/>
          <w:szCs w:val="20"/>
        </w:rPr>
        <w:t xml:space="preserve"> </w:t>
      </w:r>
      <w:r w:rsidR="00456197" w:rsidRPr="00976B86">
        <w:rPr>
          <w:spacing w:val="0"/>
          <w:szCs w:val="20"/>
        </w:rPr>
        <w:t xml:space="preserve">la seguridad jurídica y los derechos de la presunta víctima al momento </w:t>
      </w:r>
      <w:r w:rsidR="00B54FA6" w:rsidRPr="00976B86">
        <w:rPr>
          <w:spacing w:val="0"/>
          <w:szCs w:val="20"/>
        </w:rPr>
        <w:t>de determinarse su destitución.</w:t>
      </w:r>
      <w:bookmarkEnd w:id="198"/>
      <w:r w:rsidR="00B54FA6" w:rsidRPr="00976B86">
        <w:rPr>
          <w:spacing w:val="0"/>
          <w:szCs w:val="20"/>
        </w:rPr>
        <w:t xml:space="preserve"> </w:t>
      </w:r>
    </w:p>
    <w:p w14:paraId="6F1B4BB7" w14:textId="77777777" w:rsidR="005637CE" w:rsidRPr="00976B86" w:rsidRDefault="005637CE" w:rsidP="005637CE">
      <w:pPr>
        <w:rPr>
          <w:lang w:val="es-ES"/>
        </w:rPr>
      </w:pPr>
    </w:p>
    <w:p w14:paraId="036FB3F4" w14:textId="478201A8" w:rsidR="00546C18" w:rsidRPr="00743B11" w:rsidRDefault="005637CE" w:rsidP="00865D8D">
      <w:pPr>
        <w:pStyle w:val="Heading4"/>
        <w:ind w:left="1701"/>
        <w:jc w:val="left"/>
      </w:pPr>
      <w:bookmarkStart w:id="199" w:name="_Toc192583"/>
      <w:r w:rsidRPr="00976B86">
        <w:t>B.2.</w:t>
      </w:r>
      <w:r w:rsidR="007E1CF1">
        <w:t>f</w:t>
      </w:r>
      <w:r w:rsidRPr="00976B86">
        <w:t xml:space="preserve"> </w:t>
      </w:r>
      <w:r w:rsidR="00546C18" w:rsidRPr="00976B86">
        <w:t>Conclusión respecto a la</w:t>
      </w:r>
      <w:r w:rsidR="00546C18" w:rsidRPr="002D08F2">
        <w:t xml:space="preserve"> destitución del señor Colindres Schonenberg</w:t>
      </w:r>
      <w:bookmarkEnd w:id="199"/>
    </w:p>
    <w:p w14:paraId="6F573DED" w14:textId="77777777" w:rsidR="00546C18" w:rsidRPr="00E85AD0" w:rsidRDefault="00546C18" w:rsidP="00546C18">
      <w:pPr>
        <w:pStyle w:val="PrrafodeSentencia"/>
        <w:numPr>
          <w:ilvl w:val="0"/>
          <w:numId w:val="0"/>
        </w:numPr>
        <w:rPr>
          <w:spacing w:val="0"/>
        </w:rPr>
      </w:pPr>
    </w:p>
    <w:p w14:paraId="0786FC3A" w14:textId="580B4A70" w:rsidR="00C9508D" w:rsidRPr="008C4B30" w:rsidRDefault="00546C18" w:rsidP="00C9508D">
      <w:pPr>
        <w:pStyle w:val="PrrafodeSentencia"/>
      </w:pPr>
      <w:r w:rsidRPr="00E85AD0">
        <w:rPr>
          <w:spacing w:val="0"/>
          <w:szCs w:val="20"/>
        </w:rPr>
        <w:t xml:space="preserve">En virtud de todas las consideraciones anteriores, la Corte concluye que la legislación </w:t>
      </w:r>
      <w:r w:rsidR="00097081">
        <w:rPr>
          <w:spacing w:val="0"/>
          <w:szCs w:val="20"/>
        </w:rPr>
        <w:t>s</w:t>
      </w:r>
      <w:r w:rsidRPr="00E85AD0">
        <w:rPr>
          <w:spacing w:val="0"/>
          <w:szCs w:val="20"/>
        </w:rPr>
        <w:t xml:space="preserve">alvadoreña no preveía la destitución de magistrados del TSE, salvo en casos </w:t>
      </w:r>
      <w:r w:rsidR="00097081">
        <w:rPr>
          <w:spacing w:val="0"/>
          <w:szCs w:val="20"/>
        </w:rPr>
        <w:t>en</w:t>
      </w:r>
      <w:r w:rsidRPr="00E85AD0">
        <w:rPr>
          <w:spacing w:val="0"/>
          <w:szCs w:val="20"/>
        </w:rPr>
        <w:t xml:space="preserve"> que estos cometieran un delito. </w:t>
      </w:r>
      <w:r w:rsidR="00C9508D" w:rsidRPr="00E85AD0">
        <w:rPr>
          <w:spacing w:val="0"/>
          <w:szCs w:val="20"/>
        </w:rPr>
        <w:t>El procedimiento al que fue sometido la presunta víctima no se enmarca dentro de este</w:t>
      </w:r>
      <w:r w:rsidR="002D08F2">
        <w:rPr>
          <w:spacing w:val="0"/>
          <w:szCs w:val="20"/>
        </w:rPr>
        <w:t xml:space="preserve"> supuesto, por lo que no estaba</w:t>
      </w:r>
      <w:r w:rsidR="00C9508D" w:rsidRPr="00E85AD0">
        <w:rPr>
          <w:spacing w:val="0"/>
          <w:szCs w:val="20"/>
        </w:rPr>
        <w:t xml:space="preserve"> establecido legalmente y no existía órgano competente para decidir </w:t>
      </w:r>
      <w:r w:rsidR="00097081">
        <w:rPr>
          <w:spacing w:val="0"/>
          <w:szCs w:val="20"/>
        </w:rPr>
        <w:t xml:space="preserve">sobre </w:t>
      </w:r>
      <w:r w:rsidR="00C9508D" w:rsidRPr="00E85AD0">
        <w:rPr>
          <w:spacing w:val="0"/>
          <w:szCs w:val="20"/>
        </w:rPr>
        <w:t xml:space="preserve">su destitución. </w:t>
      </w:r>
    </w:p>
    <w:p w14:paraId="04CCE0D3" w14:textId="77777777" w:rsidR="00546C18" w:rsidRPr="008C4B30" w:rsidRDefault="00546C18" w:rsidP="00546C18">
      <w:pPr>
        <w:rPr>
          <w:color w:val="FF0000"/>
          <w:lang w:val="es-CR" w:eastAsia="es-MX"/>
        </w:rPr>
      </w:pPr>
      <w:bookmarkStart w:id="200" w:name="_Ref431213781"/>
    </w:p>
    <w:p w14:paraId="2702A443" w14:textId="544B90F2" w:rsidR="00282736" w:rsidRDefault="00546C18" w:rsidP="00282736">
      <w:pPr>
        <w:pStyle w:val="PrrafodeSentencia"/>
        <w:rPr>
          <w:spacing w:val="0"/>
          <w:szCs w:val="20"/>
        </w:rPr>
      </w:pPr>
      <w:bookmarkStart w:id="201" w:name="_Ref532900302"/>
      <w:bookmarkStart w:id="202" w:name="_Ref431644197"/>
      <w:r w:rsidRPr="00D07FBA">
        <w:rPr>
          <w:spacing w:val="0"/>
          <w:szCs w:val="20"/>
        </w:rPr>
        <w:t>Por c</w:t>
      </w:r>
      <w:r w:rsidR="0031768F" w:rsidRPr="00D07FBA">
        <w:rPr>
          <w:spacing w:val="0"/>
          <w:szCs w:val="20"/>
        </w:rPr>
        <w:t xml:space="preserve">onsiguiente, el Estado violó </w:t>
      </w:r>
      <w:r w:rsidR="00D62DB8" w:rsidRPr="00D07FBA">
        <w:rPr>
          <w:spacing w:val="0"/>
          <w:szCs w:val="20"/>
        </w:rPr>
        <w:t xml:space="preserve">el artículo 8.1 </w:t>
      </w:r>
      <w:r w:rsidRPr="00D07FBA">
        <w:rPr>
          <w:spacing w:val="0"/>
          <w:szCs w:val="20"/>
        </w:rPr>
        <w:t>de la Convención, en relación con los artículos 1.1</w:t>
      </w:r>
      <w:r w:rsidR="00D07FBA">
        <w:rPr>
          <w:spacing w:val="0"/>
          <w:szCs w:val="20"/>
        </w:rPr>
        <w:t>,</w:t>
      </w:r>
      <w:r w:rsidRPr="00D07FBA">
        <w:rPr>
          <w:spacing w:val="0"/>
          <w:szCs w:val="20"/>
        </w:rPr>
        <w:t xml:space="preserve"> 2 </w:t>
      </w:r>
      <w:r w:rsidR="00D07FBA">
        <w:rPr>
          <w:spacing w:val="0"/>
          <w:szCs w:val="20"/>
        </w:rPr>
        <w:t xml:space="preserve">y </w:t>
      </w:r>
      <w:r w:rsidR="00D07FBA" w:rsidRPr="00D07FBA">
        <w:t xml:space="preserve">23.1.c de la </w:t>
      </w:r>
      <w:r w:rsidR="00D07FBA">
        <w:t>misma</w:t>
      </w:r>
      <w:r w:rsidR="00D07FBA" w:rsidRPr="00D07FBA">
        <w:rPr>
          <w:spacing w:val="0"/>
          <w:szCs w:val="20"/>
        </w:rPr>
        <w:t xml:space="preserve">, </w:t>
      </w:r>
      <w:r w:rsidRPr="00D07FBA">
        <w:rPr>
          <w:spacing w:val="0"/>
          <w:szCs w:val="20"/>
        </w:rPr>
        <w:t xml:space="preserve">en perjuicio de Eduardo </w:t>
      </w:r>
      <w:r w:rsidR="00C75D17" w:rsidRPr="00D07FBA">
        <w:rPr>
          <w:spacing w:val="0"/>
          <w:szCs w:val="20"/>
        </w:rPr>
        <w:t xml:space="preserve">Benjamín </w:t>
      </w:r>
      <w:r w:rsidRPr="00D07FBA">
        <w:rPr>
          <w:spacing w:val="0"/>
          <w:szCs w:val="20"/>
        </w:rPr>
        <w:t xml:space="preserve">Colindres Schonenberg. </w:t>
      </w:r>
      <w:bookmarkEnd w:id="201"/>
    </w:p>
    <w:p w14:paraId="2E7AE0C9" w14:textId="77777777" w:rsidR="00D07FBA" w:rsidRPr="00D07FBA" w:rsidRDefault="00D07FBA" w:rsidP="00D07FBA">
      <w:pPr>
        <w:rPr>
          <w:lang w:val="es-CR" w:eastAsia="es-MX"/>
        </w:rPr>
      </w:pPr>
    </w:p>
    <w:p w14:paraId="0EF885D7" w14:textId="1AD2DB0E" w:rsidR="00791D11" w:rsidRPr="00976B86" w:rsidRDefault="00546C18" w:rsidP="00953F67">
      <w:pPr>
        <w:pStyle w:val="Heading3"/>
        <w:ind w:left="1134"/>
      </w:pPr>
      <w:bookmarkStart w:id="203" w:name="_Toc192584"/>
      <w:bookmarkEnd w:id="200"/>
      <w:bookmarkEnd w:id="202"/>
      <w:r w:rsidRPr="00976B86">
        <w:t>B.3</w:t>
      </w:r>
      <w:r w:rsidRPr="00976B86">
        <w:rPr>
          <w:rFonts w:eastAsia="Times New Roman" w:cs="Georgia"/>
          <w:lang w:eastAsia="en-US"/>
        </w:rPr>
        <w:t xml:space="preserve"> </w:t>
      </w:r>
      <w:r w:rsidRPr="00976B86">
        <w:t>Derecho a la protección judicial</w:t>
      </w:r>
      <w:bookmarkStart w:id="204" w:name="_Ref369182588"/>
      <w:bookmarkEnd w:id="203"/>
    </w:p>
    <w:p w14:paraId="5C980CBE" w14:textId="63BF2603" w:rsidR="00632ACE" w:rsidRPr="00976B86" w:rsidRDefault="00791D11" w:rsidP="00632ACE">
      <w:pPr>
        <w:pStyle w:val="PrrafodeSentencia"/>
        <w:rPr>
          <w:spacing w:val="0"/>
          <w:szCs w:val="20"/>
          <w:lang w:val="es-ES"/>
        </w:rPr>
      </w:pPr>
      <w:bookmarkStart w:id="205" w:name="_Ref532900220"/>
      <w:r w:rsidRPr="00976B86">
        <w:t xml:space="preserve">Este </w:t>
      </w:r>
      <w:r w:rsidR="00546C18" w:rsidRPr="00976B86">
        <w:t>Tribunal ha señalado que el artículo 25.1 de la Convención contempla la obligación de los Estados Partes de garantizar, a todas las personas bajo su jurisdicción, un recurso judicial sencillo, rápido, ante juez o tribunal competente y efectivo contra actos violatorios de sus derechos fundamentales</w:t>
      </w:r>
      <w:r w:rsidR="00546C18" w:rsidRPr="00976B86">
        <w:rPr>
          <w:vertAlign w:val="superscript"/>
        </w:rPr>
        <w:footnoteReference w:id="139"/>
      </w:r>
      <w:r w:rsidR="00546C18" w:rsidRPr="00976B86">
        <w:t xml:space="preserve">. </w:t>
      </w:r>
      <w:r w:rsidR="00632ACE" w:rsidRPr="00976B86">
        <w:rPr>
          <w:spacing w:val="0"/>
          <w:szCs w:val="20"/>
          <w:lang w:val="es-ES"/>
        </w:rPr>
        <w:t>En cuanto a la efectividad del recurso, la Corte ha establecido que para que tal recurso efectivo exista, no basta con que esté previsto por la Constitución o la ley o con que sea formalmente admisible, sino que se requiere que sea realmente idóneo para establecer si se ha incurrido en una violación a los derechos humanos y proveer lo necesario para remediarla. No pueden considerarse efectivos aquellos recursos que, por las condiciones generales del país o incluso por las circunstancias particulares de un caso dado, resulten ilusorios</w:t>
      </w:r>
      <w:r w:rsidR="00632ACE" w:rsidRPr="00976B86">
        <w:rPr>
          <w:spacing w:val="0"/>
          <w:szCs w:val="20"/>
          <w:vertAlign w:val="superscript"/>
        </w:rPr>
        <w:footnoteReference w:id="140"/>
      </w:r>
      <w:r w:rsidR="00632ACE" w:rsidRPr="00976B86">
        <w:rPr>
          <w:spacing w:val="0"/>
          <w:szCs w:val="20"/>
          <w:lang w:val="es-ES"/>
        </w:rPr>
        <w:t xml:space="preserve">. </w:t>
      </w:r>
      <w:r w:rsidR="00632ACE" w:rsidRPr="00976B86">
        <w:rPr>
          <w:spacing w:val="0"/>
          <w:szCs w:val="20"/>
        </w:rPr>
        <w:t>Ello puede ocurrir, por ejemplo, cuando su inutilidad haya quedado demostrada por la práctica, porque falten los medios para ejecutar sus decisiones o por cualquier otra situación que configure un cuadro de denegación de justicia</w:t>
      </w:r>
      <w:r w:rsidR="00632ACE" w:rsidRPr="00976B86">
        <w:rPr>
          <w:spacing w:val="0"/>
          <w:szCs w:val="20"/>
          <w:vertAlign w:val="superscript"/>
        </w:rPr>
        <w:footnoteReference w:id="141"/>
      </w:r>
      <w:r w:rsidR="00632ACE" w:rsidRPr="00976B86">
        <w:rPr>
          <w:spacing w:val="0"/>
          <w:szCs w:val="20"/>
        </w:rPr>
        <w:t xml:space="preserve">. Así, </w:t>
      </w:r>
      <w:r w:rsidR="00632ACE" w:rsidRPr="00976B86">
        <w:rPr>
          <w:spacing w:val="0"/>
          <w:szCs w:val="20"/>
          <w:lang w:val="es-ES"/>
        </w:rPr>
        <w:t>e</w:t>
      </w:r>
      <w:r w:rsidR="00632ACE" w:rsidRPr="00976B86">
        <w:rPr>
          <w:spacing w:val="0"/>
          <w:szCs w:val="20"/>
        </w:rPr>
        <w:t>l proceso debe tender a la materialización de la protección del derecho reconocido en el pronunciamiento judicial mediante la aplicación idónea de dicho pronunciamiento</w:t>
      </w:r>
      <w:r w:rsidR="00632ACE" w:rsidRPr="00976B86">
        <w:rPr>
          <w:spacing w:val="0"/>
          <w:szCs w:val="20"/>
          <w:vertAlign w:val="superscript"/>
        </w:rPr>
        <w:footnoteReference w:id="142"/>
      </w:r>
      <w:r w:rsidR="00632ACE" w:rsidRPr="00976B86">
        <w:rPr>
          <w:spacing w:val="0"/>
          <w:szCs w:val="20"/>
        </w:rPr>
        <w:t>.</w:t>
      </w:r>
      <w:bookmarkEnd w:id="205"/>
    </w:p>
    <w:p w14:paraId="047A5BE0" w14:textId="77777777" w:rsidR="00632ACE" w:rsidRPr="00976B86" w:rsidRDefault="00632ACE" w:rsidP="00632ACE">
      <w:pPr>
        <w:rPr>
          <w:lang w:val="es-CR" w:eastAsia="es-MX"/>
        </w:rPr>
      </w:pPr>
    </w:p>
    <w:p w14:paraId="60BCD01A" w14:textId="4D78A542" w:rsidR="00632ACE" w:rsidRPr="00976B86" w:rsidRDefault="00632ACE" w:rsidP="00632ACE">
      <w:pPr>
        <w:pStyle w:val="PrrafodeSentencia"/>
        <w:rPr>
          <w:rFonts w:cs="Verdana"/>
          <w:bCs/>
          <w:iCs/>
          <w:noProof/>
          <w:lang w:val="es-ES_tradnl"/>
        </w:rPr>
      </w:pPr>
      <w:r w:rsidRPr="00976B86">
        <w:t xml:space="preserve">Por otra parte, </w:t>
      </w:r>
      <w:r w:rsidR="004C6A7F">
        <w:rPr>
          <w:rFonts w:cs="Verdana"/>
          <w:bCs/>
          <w:iCs/>
          <w:noProof/>
          <w:lang w:val="es-ES_tradnl"/>
        </w:rPr>
        <w:t>e</w:t>
      </w:r>
      <w:r w:rsidRPr="00976B86">
        <w:rPr>
          <w:rFonts w:cs="Verdana"/>
          <w:bCs/>
          <w:iCs/>
          <w:noProof/>
          <w:lang w:val="es-ES_tradnl"/>
        </w:rPr>
        <w:t>ste Tribunal ha indicado que el artí</w:t>
      </w:r>
      <w:r w:rsidR="0001362E" w:rsidRPr="00976B86">
        <w:rPr>
          <w:rFonts w:cs="Verdana"/>
          <w:bCs/>
          <w:iCs/>
          <w:noProof/>
          <w:lang w:val="es-ES_tradnl"/>
        </w:rPr>
        <w:t>cul</w:t>
      </w:r>
      <w:r w:rsidRPr="00976B86">
        <w:rPr>
          <w:rFonts w:cs="Verdana"/>
          <w:bCs/>
          <w:iCs/>
          <w:noProof/>
          <w:lang w:val="es-ES_tradnl"/>
        </w:rPr>
        <w:t>o 8.1 de la Convención implica que el Estado debe garantizar que la decisión que se produzca a través del procedimiento llevado a cabo satisfaga el fin para el cual fue concebido. Esto último no significa que siempre deba ser acogido sino que se debe garantizar su capacidad para producir el resultado para el que fue concebido</w:t>
      </w:r>
      <w:r w:rsidRPr="00976B86">
        <w:rPr>
          <w:rFonts w:cs="Verdana"/>
          <w:bCs/>
          <w:iCs/>
          <w:noProof/>
          <w:szCs w:val="20"/>
          <w:vertAlign w:val="superscript"/>
          <w:lang w:val="es-ES_tradnl"/>
        </w:rPr>
        <w:footnoteReference w:id="143"/>
      </w:r>
      <w:r w:rsidRPr="00976B86">
        <w:rPr>
          <w:rFonts w:cs="Verdana"/>
          <w:bCs/>
          <w:iCs/>
          <w:noProof/>
          <w:szCs w:val="20"/>
          <w:lang w:val="es-ES_tradnl"/>
        </w:rPr>
        <w:t>.</w:t>
      </w:r>
    </w:p>
    <w:bookmarkEnd w:id="204"/>
    <w:p w14:paraId="034ADF86" w14:textId="77777777" w:rsidR="00546C18" w:rsidRPr="00976B86" w:rsidRDefault="00546C18" w:rsidP="00632ACE">
      <w:pPr>
        <w:pStyle w:val="PrrafodeSentencia"/>
        <w:numPr>
          <w:ilvl w:val="0"/>
          <w:numId w:val="0"/>
        </w:numPr>
        <w:rPr>
          <w:spacing w:val="0"/>
          <w:szCs w:val="20"/>
          <w:lang w:val="es-ES"/>
        </w:rPr>
      </w:pPr>
    </w:p>
    <w:p w14:paraId="6A6DC95B" w14:textId="75857AFB" w:rsidR="00546C18" w:rsidRPr="00976B86" w:rsidRDefault="00546C18" w:rsidP="00546C18">
      <w:pPr>
        <w:pStyle w:val="PrrafodeSentencia"/>
        <w:rPr>
          <w:spacing w:val="0"/>
          <w:szCs w:val="20"/>
        </w:rPr>
      </w:pPr>
      <w:r w:rsidRPr="00976B86">
        <w:rPr>
          <w:spacing w:val="0"/>
        </w:rPr>
        <w:t xml:space="preserve">En los casos previos relativos a destituciones de jueces por parte del poder legislativo, la Corte ha señalado que </w:t>
      </w:r>
      <w:r w:rsidRPr="00976B86">
        <w:rPr>
          <w:spacing w:val="0"/>
          <w:szCs w:val="20"/>
        </w:rPr>
        <w:t>los actos del proceso de destitución seguido</w:t>
      </w:r>
      <w:r w:rsidR="00777092">
        <w:rPr>
          <w:spacing w:val="0"/>
          <w:szCs w:val="20"/>
        </w:rPr>
        <w:t>s</w:t>
      </w:r>
      <w:r w:rsidRPr="00976B86">
        <w:rPr>
          <w:spacing w:val="0"/>
          <w:szCs w:val="20"/>
        </w:rPr>
        <w:t xml:space="preserve"> ante el Congreso, que se hallan sometidos a normas legales que deben ser puntualmente observadas, pueden, por eso mismo, ser objeto de una acción o recurso judicial en lo que concierne al debido proceso legal</w:t>
      </w:r>
      <w:r w:rsidRPr="00976B86">
        <w:rPr>
          <w:spacing w:val="0"/>
          <w:vertAlign w:val="superscript"/>
        </w:rPr>
        <w:footnoteReference w:id="144"/>
      </w:r>
      <w:r w:rsidRPr="00976B86">
        <w:rPr>
          <w:spacing w:val="0"/>
          <w:szCs w:val="20"/>
        </w:rPr>
        <w:t xml:space="preserve">. En el caso </w:t>
      </w:r>
      <w:r w:rsidRPr="00976B86">
        <w:rPr>
          <w:i/>
          <w:spacing w:val="0"/>
          <w:szCs w:val="20"/>
        </w:rPr>
        <w:t xml:space="preserve">Tribunal Constitucional vs. Perú </w:t>
      </w:r>
      <w:r w:rsidRPr="00976B86">
        <w:rPr>
          <w:spacing w:val="0"/>
          <w:szCs w:val="20"/>
        </w:rPr>
        <w:t xml:space="preserve">se señaló específicamente que </w:t>
      </w:r>
      <w:r w:rsidRPr="00976B86">
        <w:rPr>
          <w:spacing w:val="0"/>
        </w:rPr>
        <w:t>“este control no implica valoración alguna sobre actos de carácter estrictamente político atribuidos por la Constitución al Poder Legislativo”</w:t>
      </w:r>
      <w:r w:rsidRPr="00976B86">
        <w:rPr>
          <w:spacing w:val="0"/>
          <w:vertAlign w:val="superscript"/>
        </w:rPr>
        <w:footnoteReference w:id="145"/>
      </w:r>
      <w:r w:rsidRPr="00976B86">
        <w:rPr>
          <w:spacing w:val="0"/>
          <w:szCs w:val="20"/>
        </w:rPr>
        <w:t>.</w:t>
      </w:r>
      <w:r w:rsidR="00754008" w:rsidRPr="00976B86">
        <w:rPr>
          <w:spacing w:val="0"/>
          <w:szCs w:val="20"/>
        </w:rPr>
        <w:t xml:space="preserve"> </w:t>
      </w:r>
    </w:p>
    <w:p w14:paraId="295FD03A" w14:textId="77777777" w:rsidR="003835E1" w:rsidRPr="00976B86" w:rsidRDefault="003835E1" w:rsidP="003835E1">
      <w:pPr>
        <w:rPr>
          <w:lang w:val="es-CR" w:eastAsia="es-MX"/>
        </w:rPr>
      </w:pPr>
    </w:p>
    <w:p w14:paraId="7943C0E7" w14:textId="3D7C38A4" w:rsidR="00546C18" w:rsidRPr="00976B86" w:rsidRDefault="00632ACE" w:rsidP="00E74EF4">
      <w:pPr>
        <w:pStyle w:val="PrrafodeSentencia"/>
        <w:rPr>
          <w:spacing w:val="0"/>
        </w:rPr>
      </w:pPr>
      <w:r w:rsidRPr="00976B86">
        <w:rPr>
          <w:spacing w:val="0"/>
        </w:rPr>
        <w:t>En el presente caso</w:t>
      </w:r>
      <w:r w:rsidR="00E74EF4" w:rsidRPr="00976B86">
        <w:rPr>
          <w:spacing w:val="0"/>
        </w:rPr>
        <w:t xml:space="preserve"> se encontraba disponible </w:t>
      </w:r>
      <w:r w:rsidR="00951173">
        <w:rPr>
          <w:spacing w:val="0"/>
        </w:rPr>
        <w:t>la acción</w:t>
      </w:r>
      <w:r w:rsidR="00E74EF4" w:rsidRPr="00976B86">
        <w:rPr>
          <w:spacing w:val="0"/>
        </w:rPr>
        <w:t xml:space="preserve"> de amparo</w:t>
      </w:r>
      <w:r w:rsidR="00546C18" w:rsidRPr="00976B86">
        <w:rPr>
          <w:spacing w:val="0"/>
        </w:rPr>
        <w:t xml:space="preserve"> para examinar el cumplimiento </w:t>
      </w:r>
      <w:r w:rsidR="00873961">
        <w:rPr>
          <w:spacing w:val="0"/>
        </w:rPr>
        <w:t>d</w:t>
      </w:r>
      <w:r w:rsidR="00546C18" w:rsidRPr="00976B86">
        <w:rPr>
          <w:spacing w:val="0"/>
        </w:rPr>
        <w:t>el debido proceso en el procedimiento de destitución.</w:t>
      </w:r>
    </w:p>
    <w:p w14:paraId="713EB9B6" w14:textId="77777777" w:rsidR="002F0EAC" w:rsidRPr="00976B86" w:rsidRDefault="002F0EAC" w:rsidP="002F0EAC">
      <w:pPr>
        <w:rPr>
          <w:lang w:val="es-CR" w:eastAsia="es-MX"/>
        </w:rPr>
      </w:pPr>
    </w:p>
    <w:p w14:paraId="2B3F10E5" w14:textId="00542B46" w:rsidR="00E609BC" w:rsidRPr="00976B86" w:rsidRDefault="00E609BC" w:rsidP="00E609BC">
      <w:pPr>
        <w:pStyle w:val="PrrafodeSentencia"/>
        <w:rPr>
          <w:spacing w:val="0"/>
          <w:szCs w:val="20"/>
          <w:lang w:val="es-CO"/>
        </w:rPr>
      </w:pPr>
      <w:r w:rsidRPr="00976B86">
        <w:rPr>
          <w:spacing w:val="0"/>
        </w:rPr>
        <w:t>Tras la segunda destitución el señor Colindres Schonenberg presentó un</w:t>
      </w:r>
      <w:r w:rsidR="00951173">
        <w:rPr>
          <w:spacing w:val="0"/>
        </w:rPr>
        <w:t>a acción</w:t>
      </w:r>
      <w:r>
        <w:rPr>
          <w:spacing w:val="0"/>
        </w:rPr>
        <w:t xml:space="preserve"> de</w:t>
      </w:r>
      <w:r w:rsidRPr="00976B86">
        <w:rPr>
          <w:spacing w:val="0"/>
        </w:rPr>
        <w:t xml:space="preserve"> amparo alegando que: </w:t>
      </w:r>
      <w:r w:rsidRPr="00976B86">
        <w:rPr>
          <w:spacing w:val="0"/>
          <w:lang w:val="es-CO"/>
        </w:rPr>
        <w:t>i) “la Asamblea Legislativa no tiene facultades constitucionales para destituir a un magistrado del [TSE]”</w:t>
      </w:r>
      <w:r w:rsidRPr="00976B86">
        <w:rPr>
          <w:rStyle w:val="FootnoteReference"/>
          <w:spacing w:val="0"/>
          <w:sz w:val="20"/>
          <w:szCs w:val="20"/>
          <w:lang w:val="es-CO"/>
        </w:rPr>
        <w:footnoteReference w:id="146"/>
      </w:r>
      <w:r w:rsidRPr="00976B86">
        <w:rPr>
          <w:spacing w:val="0"/>
          <w:lang w:val="es-CO"/>
        </w:rPr>
        <w:t>; ii) fue “enjuiciado dos veces por la misma causa”</w:t>
      </w:r>
      <w:r w:rsidRPr="00976B86">
        <w:rPr>
          <w:rStyle w:val="FootnoteReference"/>
          <w:spacing w:val="0"/>
          <w:sz w:val="20"/>
          <w:szCs w:val="20"/>
          <w:lang w:val="es-CO"/>
        </w:rPr>
        <w:footnoteReference w:id="147"/>
      </w:r>
      <w:r w:rsidRPr="00976B86">
        <w:rPr>
          <w:spacing w:val="0"/>
          <w:lang w:val="es-CO"/>
        </w:rPr>
        <w:t>, y iii) diversas violaciones al debido proceso</w:t>
      </w:r>
      <w:r w:rsidRPr="00976B86">
        <w:rPr>
          <w:rStyle w:val="FootnoteReference"/>
          <w:spacing w:val="0"/>
          <w:sz w:val="20"/>
          <w:szCs w:val="20"/>
          <w:lang w:val="es-CO"/>
        </w:rPr>
        <w:footnoteReference w:id="148"/>
      </w:r>
      <w:r w:rsidRPr="00976B86">
        <w:rPr>
          <w:spacing w:val="0"/>
          <w:szCs w:val="20"/>
          <w:lang w:val="es-CO"/>
        </w:rPr>
        <w:t>. En respuesta la Sala de lo Constitucional declaró el recurso sin lugar, solo examinando si la Asamblea Legislativa tiene facultades para destituir a un Magistrado del Tribunal Supremo Electoral y si al señor Colindres Schonenberg se le ha enjuiciado dos veces por la misma causa</w:t>
      </w:r>
      <w:r w:rsidRPr="00976B86">
        <w:rPr>
          <w:rStyle w:val="FootnoteReference"/>
          <w:spacing w:val="0"/>
          <w:sz w:val="20"/>
          <w:szCs w:val="20"/>
          <w:lang w:val="es-CO"/>
        </w:rPr>
        <w:footnoteReference w:id="149"/>
      </w:r>
      <w:r w:rsidRPr="00976B86">
        <w:rPr>
          <w:spacing w:val="0"/>
          <w:szCs w:val="20"/>
          <w:lang w:val="es-CO"/>
        </w:rPr>
        <w:t xml:space="preserve">. </w:t>
      </w:r>
    </w:p>
    <w:p w14:paraId="0DCA9AE8" w14:textId="77777777" w:rsidR="002F0EAC" w:rsidRPr="00976B86" w:rsidRDefault="002F0EAC" w:rsidP="002F0EAC">
      <w:pPr>
        <w:rPr>
          <w:lang w:val="es-CO" w:eastAsia="es-MX"/>
        </w:rPr>
      </w:pPr>
    </w:p>
    <w:p w14:paraId="09110E03" w14:textId="7102FC5F" w:rsidR="00546C18" w:rsidRPr="00976B86" w:rsidRDefault="00546C18" w:rsidP="002F0EAC">
      <w:pPr>
        <w:pStyle w:val="PrrafodeSentencia"/>
        <w:rPr>
          <w:spacing w:val="0"/>
          <w:szCs w:val="20"/>
        </w:rPr>
      </w:pPr>
      <w:r w:rsidRPr="00976B86">
        <w:rPr>
          <w:spacing w:val="0"/>
          <w:szCs w:val="20"/>
          <w:lang w:val="es-CO"/>
        </w:rPr>
        <w:t>El señor Colindres Schonenberg presentó un</w:t>
      </w:r>
      <w:r w:rsidR="00951173">
        <w:rPr>
          <w:spacing w:val="0"/>
          <w:szCs w:val="20"/>
          <w:lang w:val="es-CO"/>
        </w:rPr>
        <w:t>a</w:t>
      </w:r>
      <w:r w:rsidRPr="00976B86">
        <w:rPr>
          <w:spacing w:val="0"/>
          <w:szCs w:val="20"/>
          <w:lang w:val="es-CO"/>
        </w:rPr>
        <w:t xml:space="preserve"> </w:t>
      </w:r>
      <w:r w:rsidR="00AA3780" w:rsidRPr="00976B86">
        <w:rPr>
          <w:spacing w:val="0"/>
          <w:szCs w:val="20"/>
          <w:lang w:val="es-CO"/>
        </w:rPr>
        <w:t>segund</w:t>
      </w:r>
      <w:r w:rsidR="00951173">
        <w:rPr>
          <w:spacing w:val="0"/>
          <w:szCs w:val="20"/>
          <w:lang w:val="es-CO"/>
        </w:rPr>
        <w:t>a</w:t>
      </w:r>
      <w:r w:rsidRPr="00976B86">
        <w:rPr>
          <w:spacing w:val="0"/>
          <w:szCs w:val="20"/>
          <w:lang w:val="es-CO"/>
        </w:rPr>
        <w:t xml:space="preserve"> </w:t>
      </w:r>
      <w:r w:rsidR="00951173">
        <w:rPr>
          <w:spacing w:val="0"/>
          <w:szCs w:val="20"/>
          <w:lang w:val="es-CO"/>
        </w:rPr>
        <w:t>acción</w:t>
      </w:r>
      <w:r w:rsidRPr="00976B86">
        <w:rPr>
          <w:spacing w:val="0"/>
          <w:szCs w:val="20"/>
          <w:lang w:val="es-CO"/>
        </w:rPr>
        <w:t xml:space="preserve"> de amparo en contra del decreto que lo destituyó en el que indicó, entre otros argumentos, que la Sala de lo Constitucional en el amparo ya resuelto no se había pronunciado sobre la violación al debido proceso</w:t>
      </w:r>
      <w:r w:rsidRPr="00976B86">
        <w:rPr>
          <w:rStyle w:val="FootnoteReference"/>
          <w:spacing w:val="0"/>
          <w:sz w:val="20"/>
          <w:szCs w:val="20"/>
          <w:lang w:val="es-CO"/>
        </w:rPr>
        <w:footnoteReference w:id="150"/>
      </w:r>
      <w:r w:rsidRPr="00976B86">
        <w:rPr>
          <w:spacing w:val="0"/>
          <w:szCs w:val="20"/>
          <w:lang w:val="es-CO"/>
        </w:rPr>
        <w:t>.</w:t>
      </w:r>
      <w:r w:rsidR="00E74EF4" w:rsidRPr="00976B86">
        <w:rPr>
          <w:spacing w:val="0"/>
          <w:szCs w:val="20"/>
          <w:lang w:val="es-CO"/>
        </w:rPr>
        <w:t xml:space="preserve"> Específicamente el señor Colindres Schonenberg alegó que </w:t>
      </w:r>
      <w:r w:rsidR="002F0EAC" w:rsidRPr="00976B86">
        <w:rPr>
          <w:spacing w:val="0"/>
          <w:szCs w:val="20"/>
          <w:lang w:val="es-CO"/>
        </w:rPr>
        <w:t>no se respet</w:t>
      </w:r>
      <w:r w:rsidR="00364B8A" w:rsidRPr="00976B86">
        <w:rPr>
          <w:spacing w:val="0"/>
          <w:szCs w:val="20"/>
          <w:lang w:val="es-CO"/>
        </w:rPr>
        <w:t>ó</w:t>
      </w:r>
      <w:r w:rsidR="002F0EAC" w:rsidRPr="00976B86">
        <w:rPr>
          <w:spacing w:val="0"/>
          <w:szCs w:val="20"/>
          <w:lang w:val="es-CO"/>
        </w:rPr>
        <w:t xml:space="preserve"> su derecho de audiencia ya que</w:t>
      </w:r>
      <w:r w:rsidR="00777092">
        <w:rPr>
          <w:spacing w:val="0"/>
          <w:szCs w:val="20"/>
          <w:lang w:val="es-CO"/>
        </w:rPr>
        <w:t xml:space="preserve">, </w:t>
      </w:r>
      <w:r w:rsidR="00777092" w:rsidRPr="00976B86">
        <w:rPr>
          <w:spacing w:val="0"/>
          <w:szCs w:val="20"/>
          <w:lang w:val="es-CO"/>
        </w:rPr>
        <w:t>entre otros</w:t>
      </w:r>
      <w:r w:rsidR="00777092">
        <w:rPr>
          <w:spacing w:val="0"/>
          <w:szCs w:val="20"/>
          <w:lang w:val="es-CO"/>
        </w:rPr>
        <w:t>,</w:t>
      </w:r>
      <w:r w:rsidR="002F0EAC" w:rsidRPr="00976B86">
        <w:rPr>
          <w:spacing w:val="0"/>
          <w:szCs w:val="20"/>
          <w:lang w:val="es-CO"/>
        </w:rPr>
        <w:t xml:space="preserve"> no habría tenido oportunidad real de defenderse</w:t>
      </w:r>
      <w:r w:rsidR="002F0EAC" w:rsidRPr="00976B86">
        <w:rPr>
          <w:spacing w:val="0"/>
          <w:szCs w:val="20"/>
        </w:rPr>
        <w:t xml:space="preserve">, </w:t>
      </w:r>
      <w:r w:rsidR="00E74EF4" w:rsidRPr="00976B86">
        <w:rPr>
          <w:spacing w:val="0"/>
          <w:szCs w:val="20"/>
          <w:lang w:val="es-CO"/>
        </w:rPr>
        <w:t xml:space="preserve">que </w:t>
      </w:r>
      <w:r w:rsidR="002F0EAC" w:rsidRPr="00976B86">
        <w:rPr>
          <w:spacing w:val="0"/>
          <w:szCs w:val="20"/>
          <w:lang w:val="es-CO"/>
        </w:rPr>
        <w:t xml:space="preserve">la </w:t>
      </w:r>
      <w:r w:rsidR="00E74EF4" w:rsidRPr="00976B86">
        <w:rPr>
          <w:spacing w:val="0"/>
          <w:szCs w:val="20"/>
          <w:lang w:val="es-CO"/>
        </w:rPr>
        <w:t>Comisión Especial habría ocultado pruebas,</w:t>
      </w:r>
      <w:r w:rsidR="002F0EAC" w:rsidRPr="00976B86">
        <w:rPr>
          <w:spacing w:val="0"/>
          <w:szCs w:val="20"/>
          <w:lang w:val="es-CO"/>
        </w:rPr>
        <w:t xml:space="preserve"> que no se había agregado al expediente su escrito presentado ante la Comisión Política y</w:t>
      </w:r>
      <w:r w:rsidR="00E74EF4" w:rsidRPr="00976B86">
        <w:rPr>
          <w:spacing w:val="0"/>
          <w:szCs w:val="20"/>
          <w:lang w:val="es-CO"/>
        </w:rPr>
        <w:t xml:space="preserve"> </w:t>
      </w:r>
      <w:r w:rsidR="002F0EAC" w:rsidRPr="00976B86">
        <w:rPr>
          <w:spacing w:val="0"/>
          <w:szCs w:val="20"/>
          <w:lang w:val="es-CO"/>
        </w:rPr>
        <w:t xml:space="preserve">que </w:t>
      </w:r>
      <w:r w:rsidR="00E74EF4" w:rsidRPr="00976B86">
        <w:rPr>
          <w:spacing w:val="0"/>
          <w:szCs w:val="20"/>
          <w:lang w:val="es-CO"/>
        </w:rPr>
        <w:t>no se le habría dado la oportunidad de defenderse respecto al escrito de 2 de julio de 1997 pres</w:t>
      </w:r>
      <w:r w:rsidR="00777092">
        <w:rPr>
          <w:spacing w:val="0"/>
          <w:szCs w:val="20"/>
          <w:lang w:val="es-CO"/>
        </w:rPr>
        <w:t>entado por diputados del PDC</w:t>
      </w:r>
      <w:r w:rsidR="002F0EAC" w:rsidRPr="00976B86">
        <w:rPr>
          <w:rStyle w:val="FootnoteReference"/>
          <w:spacing w:val="0"/>
          <w:sz w:val="20"/>
          <w:szCs w:val="20"/>
          <w:lang w:val="es-CO"/>
        </w:rPr>
        <w:footnoteReference w:id="151"/>
      </w:r>
      <w:r w:rsidR="002F0EAC" w:rsidRPr="00976B86">
        <w:rPr>
          <w:spacing w:val="0"/>
          <w:szCs w:val="20"/>
          <w:lang w:val="es-CO"/>
        </w:rPr>
        <w:t>.</w:t>
      </w:r>
      <w:r w:rsidR="00E74EF4" w:rsidRPr="00976B86">
        <w:rPr>
          <w:spacing w:val="0"/>
          <w:szCs w:val="20"/>
          <w:lang w:val="es-CO"/>
        </w:rPr>
        <w:t xml:space="preserve"> </w:t>
      </w:r>
    </w:p>
    <w:p w14:paraId="6E533166" w14:textId="77777777" w:rsidR="00546C18" w:rsidRPr="00976B86" w:rsidRDefault="00546C18" w:rsidP="00546C18">
      <w:pPr>
        <w:pStyle w:val="PrrafodeSentencia"/>
        <w:numPr>
          <w:ilvl w:val="0"/>
          <w:numId w:val="0"/>
        </w:numPr>
        <w:rPr>
          <w:spacing w:val="0"/>
          <w:szCs w:val="20"/>
        </w:rPr>
      </w:pPr>
      <w:r w:rsidRPr="00976B86">
        <w:rPr>
          <w:spacing w:val="0"/>
          <w:szCs w:val="20"/>
          <w:lang w:val="es-CO"/>
        </w:rPr>
        <w:t xml:space="preserve"> </w:t>
      </w:r>
    </w:p>
    <w:p w14:paraId="63B4BBAC" w14:textId="77777777" w:rsidR="007B7A98" w:rsidRPr="00976B86" w:rsidRDefault="00546C18" w:rsidP="00546C18">
      <w:pPr>
        <w:pStyle w:val="PrrafodeSentencia"/>
        <w:rPr>
          <w:spacing w:val="0"/>
          <w:szCs w:val="20"/>
          <w:lang w:val="es-CO"/>
        </w:rPr>
      </w:pPr>
      <w:r w:rsidRPr="00976B86">
        <w:rPr>
          <w:spacing w:val="0"/>
          <w:szCs w:val="20"/>
          <w:lang w:val="es-CO"/>
        </w:rPr>
        <w:t>El 5 de noviembre de 1999 la Sala de lo Constitucional declaró improcedente el segundo amparo</w:t>
      </w:r>
      <w:r w:rsidRPr="00976B86">
        <w:rPr>
          <w:rStyle w:val="FootnoteReference"/>
          <w:spacing w:val="0"/>
          <w:sz w:val="20"/>
          <w:szCs w:val="20"/>
          <w:lang w:val="es-CO"/>
        </w:rPr>
        <w:footnoteReference w:id="152"/>
      </w:r>
      <w:r w:rsidRPr="00976B86">
        <w:rPr>
          <w:spacing w:val="0"/>
          <w:szCs w:val="20"/>
          <w:lang w:val="es-CO"/>
        </w:rPr>
        <w:t xml:space="preserve">. La Sala </w:t>
      </w:r>
      <w:r w:rsidR="00AA3780" w:rsidRPr="00976B86">
        <w:rPr>
          <w:spacing w:val="0"/>
          <w:szCs w:val="20"/>
          <w:lang w:val="es-CO"/>
        </w:rPr>
        <w:t xml:space="preserve">de lo Constitucional </w:t>
      </w:r>
      <w:r w:rsidRPr="00976B86">
        <w:rPr>
          <w:spacing w:val="0"/>
          <w:szCs w:val="20"/>
          <w:lang w:val="es-CO"/>
        </w:rPr>
        <w:t>indicó que</w:t>
      </w:r>
      <w:r w:rsidR="007B7A98" w:rsidRPr="00976B86">
        <w:rPr>
          <w:spacing w:val="0"/>
          <w:szCs w:val="20"/>
          <w:lang w:val="es-CO"/>
        </w:rPr>
        <w:t>:</w:t>
      </w:r>
    </w:p>
    <w:p w14:paraId="17E20E21" w14:textId="77777777" w:rsidR="007B7A98" w:rsidRPr="00976B86" w:rsidRDefault="007B7A98" w:rsidP="007B7A98">
      <w:pPr>
        <w:rPr>
          <w:lang w:val="es-CO" w:eastAsia="es-MX"/>
        </w:rPr>
      </w:pPr>
    </w:p>
    <w:p w14:paraId="089B0B9F" w14:textId="319D5A95" w:rsidR="00546C18" w:rsidRPr="00976B86" w:rsidRDefault="007B7A98" w:rsidP="007B7A98">
      <w:pPr>
        <w:pStyle w:val="PrrafodeSentencia"/>
        <w:numPr>
          <w:ilvl w:val="0"/>
          <w:numId w:val="0"/>
        </w:numPr>
        <w:ind w:left="567" w:right="566"/>
        <w:rPr>
          <w:spacing w:val="0"/>
          <w:sz w:val="18"/>
          <w:szCs w:val="18"/>
          <w:lang w:val="es-CO"/>
        </w:rPr>
      </w:pPr>
      <w:r w:rsidRPr="00976B86">
        <w:rPr>
          <w:spacing w:val="0"/>
          <w:sz w:val="18"/>
          <w:szCs w:val="18"/>
          <w:lang w:val="es-CO"/>
        </w:rPr>
        <w:lastRenderedPageBreak/>
        <w:t>[D]</w:t>
      </w:r>
      <w:r w:rsidR="00E74EF4" w:rsidRPr="00976B86">
        <w:rPr>
          <w:spacing w:val="0"/>
          <w:sz w:val="18"/>
          <w:szCs w:val="18"/>
          <w:lang w:val="es-CO"/>
        </w:rPr>
        <w:t xml:space="preserve">e </w:t>
      </w:r>
      <w:r w:rsidR="00546C18" w:rsidRPr="00976B86">
        <w:rPr>
          <w:spacing w:val="0"/>
          <w:sz w:val="18"/>
          <w:szCs w:val="18"/>
          <w:lang w:val="es-CO"/>
        </w:rPr>
        <w:t xml:space="preserve">la </w:t>
      </w:r>
      <w:r w:rsidR="00546C18" w:rsidRPr="00976B86">
        <w:rPr>
          <w:spacing w:val="0"/>
          <w:sz w:val="18"/>
          <w:szCs w:val="18"/>
        </w:rPr>
        <w:t xml:space="preserve">argumentación de la parte actora se </w:t>
      </w:r>
      <w:r w:rsidR="00546C18" w:rsidRPr="00976B86">
        <w:rPr>
          <w:iCs/>
          <w:spacing w:val="0"/>
          <w:sz w:val="18"/>
          <w:szCs w:val="18"/>
        </w:rPr>
        <w:t>desprende únicamente un asunto de mera legalidad, carente de fundamento constitucional, observándose circunstancias que inciden en la válida configuración de la pretensión discutida en este proceso.</w:t>
      </w:r>
      <w:r w:rsidRPr="00976B86">
        <w:rPr>
          <w:iCs/>
          <w:spacing w:val="0"/>
          <w:sz w:val="18"/>
          <w:szCs w:val="18"/>
        </w:rPr>
        <w:t xml:space="preserve"> Tal</w:t>
      </w:r>
      <w:r w:rsidR="000B4831">
        <w:rPr>
          <w:iCs/>
          <w:spacing w:val="0"/>
          <w:sz w:val="18"/>
          <w:szCs w:val="18"/>
        </w:rPr>
        <w:t>e</w:t>
      </w:r>
      <w:r w:rsidRPr="00976B86">
        <w:rPr>
          <w:iCs/>
          <w:spacing w:val="0"/>
          <w:sz w:val="18"/>
          <w:szCs w:val="18"/>
        </w:rPr>
        <w:t>s circunstancias son la comprobación que el sustrato fáctico de l</w:t>
      </w:r>
      <w:r w:rsidR="003A5CC2" w:rsidRPr="00976B86">
        <w:rPr>
          <w:iCs/>
          <w:spacing w:val="0"/>
          <w:sz w:val="18"/>
          <w:szCs w:val="18"/>
        </w:rPr>
        <w:t>a</w:t>
      </w:r>
      <w:r w:rsidRPr="00976B86">
        <w:rPr>
          <w:iCs/>
          <w:spacing w:val="0"/>
          <w:sz w:val="18"/>
          <w:szCs w:val="18"/>
        </w:rPr>
        <w:t xml:space="preserve"> pretensión está basado en una simple </w:t>
      </w:r>
      <w:r w:rsidR="00546C18" w:rsidRPr="00976B86">
        <w:rPr>
          <w:spacing w:val="0"/>
          <w:sz w:val="18"/>
          <w:szCs w:val="18"/>
          <w:lang w:val="es-CO"/>
        </w:rPr>
        <w:t>inconformidad con el procedimiento segu</w:t>
      </w:r>
      <w:r w:rsidRPr="00976B86">
        <w:rPr>
          <w:spacing w:val="0"/>
          <w:sz w:val="18"/>
          <w:szCs w:val="18"/>
          <w:lang w:val="es-CO"/>
        </w:rPr>
        <w:t xml:space="preserve">ido por la Asamblea Legislativa y con el contenido de la resolución a través de la cual se </w:t>
      </w:r>
      <w:r w:rsidR="00777092">
        <w:rPr>
          <w:spacing w:val="0"/>
          <w:sz w:val="18"/>
          <w:szCs w:val="18"/>
          <w:lang w:val="es-CO"/>
        </w:rPr>
        <w:t xml:space="preserve">le </w:t>
      </w:r>
      <w:r w:rsidRPr="00976B86">
        <w:rPr>
          <w:spacing w:val="0"/>
          <w:sz w:val="18"/>
          <w:szCs w:val="18"/>
          <w:lang w:val="es-CO"/>
        </w:rPr>
        <w:t xml:space="preserve">destituye de su cargo, pues tanto las argumentaciones base de la misma – aún cuando hacen referencia a categorías jurídicas protegibles por el amparo – como los supuestos conceptos de violación expresados, no son propios de la materia de amparo, ya que </w:t>
      </w:r>
      <w:r w:rsidR="000B4831">
        <w:rPr>
          <w:spacing w:val="0"/>
          <w:sz w:val="18"/>
          <w:szCs w:val="18"/>
          <w:lang w:val="es-CO"/>
        </w:rPr>
        <w:t>l</w:t>
      </w:r>
      <w:r w:rsidR="00546C18" w:rsidRPr="00976B86">
        <w:rPr>
          <w:spacing w:val="0"/>
          <w:sz w:val="18"/>
          <w:szCs w:val="18"/>
          <w:lang w:val="es-CO"/>
        </w:rPr>
        <w:t>a Sala no es una instancia para revisar el criterio vertido por la Asamblea Legislativa en el Decreto Legislativo [que lo destituye], ni las valoraciones materiales o actuaciones procedimentales en aplicación directa</w:t>
      </w:r>
      <w:r w:rsidRPr="00976B86">
        <w:rPr>
          <w:spacing w:val="0"/>
          <w:sz w:val="18"/>
          <w:szCs w:val="18"/>
          <w:lang w:val="es-CO"/>
        </w:rPr>
        <w:t xml:space="preserve"> del art. 11 de la Constitución</w:t>
      </w:r>
      <w:r w:rsidR="00546C18" w:rsidRPr="00976B86">
        <w:rPr>
          <w:rStyle w:val="FootnoteReference"/>
          <w:spacing w:val="0"/>
          <w:sz w:val="18"/>
          <w:szCs w:val="18"/>
          <w:lang w:val="es-CO"/>
        </w:rPr>
        <w:footnoteReference w:id="153"/>
      </w:r>
      <w:r w:rsidR="00546C18" w:rsidRPr="00976B86">
        <w:rPr>
          <w:spacing w:val="0"/>
          <w:sz w:val="18"/>
          <w:szCs w:val="18"/>
          <w:lang w:val="es-CO"/>
        </w:rPr>
        <w:t xml:space="preserve">. </w:t>
      </w:r>
    </w:p>
    <w:p w14:paraId="3F198617" w14:textId="77777777" w:rsidR="00546C18" w:rsidRPr="00976B86" w:rsidRDefault="00546C18" w:rsidP="00546C18">
      <w:pPr>
        <w:rPr>
          <w:lang w:val="es-CO" w:eastAsia="es-MX"/>
        </w:rPr>
      </w:pPr>
    </w:p>
    <w:p w14:paraId="2A8632A8" w14:textId="62CCF153" w:rsidR="00550CAE" w:rsidRPr="00976B86" w:rsidRDefault="00AA3780" w:rsidP="00550CAE">
      <w:pPr>
        <w:pStyle w:val="PrrafodeSentencia"/>
        <w:rPr>
          <w:spacing w:val="0"/>
          <w:szCs w:val="20"/>
          <w:lang w:val="es-CO"/>
        </w:rPr>
      </w:pPr>
      <w:r w:rsidRPr="00976B86">
        <w:rPr>
          <w:spacing w:val="0"/>
        </w:rPr>
        <w:t xml:space="preserve">La Corte advierte que la Sala de lo Constitucional </w:t>
      </w:r>
      <w:r w:rsidR="007B7A98" w:rsidRPr="00976B86">
        <w:rPr>
          <w:spacing w:val="0"/>
        </w:rPr>
        <w:t xml:space="preserve">no realizó un análisis de las alegadas violaciones al debido proceso en el procedimiento de destitución. Por el contrario, </w:t>
      </w:r>
      <w:r w:rsidR="004C15FB" w:rsidRPr="00976B86">
        <w:rPr>
          <w:spacing w:val="0"/>
        </w:rPr>
        <w:t xml:space="preserve">indicó que </w:t>
      </w:r>
      <w:r w:rsidR="004C15FB" w:rsidRPr="00F6115F">
        <w:rPr>
          <w:spacing w:val="0"/>
          <w:szCs w:val="20"/>
        </w:rPr>
        <w:t>“no es una instancia para revisar […las</w:t>
      </w:r>
      <w:r w:rsidR="00777092" w:rsidRPr="00F6115F">
        <w:rPr>
          <w:spacing w:val="0"/>
          <w:szCs w:val="20"/>
        </w:rPr>
        <w:t>]</w:t>
      </w:r>
      <w:r w:rsidR="004C15FB" w:rsidRPr="00F6115F">
        <w:rPr>
          <w:spacing w:val="0"/>
          <w:szCs w:val="20"/>
        </w:rPr>
        <w:t xml:space="preserve"> </w:t>
      </w:r>
      <w:r w:rsidR="004C15FB" w:rsidRPr="00F6115F">
        <w:rPr>
          <w:spacing w:val="0"/>
          <w:szCs w:val="20"/>
          <w:lang w:val="es-CO"/>
        </w:rPr>
        <w:t>actuaciones procedimentales en aplicación directa del art. 11 de la Constitución”, el cual estipula el derecho de audiencia</w:t>
      </w:r>
      <w:r w:rsidR="00777092" w:rsidRPr="00F6115F">
        <w:rPr>
          <w:rStyle w:val="FootnoteReference"/>
          <w:spacing w:val="0"/>
          <w:sz w:val="20"/>
          <w:szCs w:val="20"/>
          <w:lang w:val="es-CO"/>
        </w:rPr>
        <w:footnoteReference w:id="154"/>
      </w:r>
      <w:r w:rsidR="004C15FB" w:rsidRPr="00F6115F">
        <w:rPr>
          <w:spacing w:val="0"/>
          <w:szCs w:val="20"/>
          <w:lang w:val="es-CO"/>
        </w:rPr>
        <w:t>.</w:t>
      </w:r>
    </w:p>
    <w:p w14:paraId="60B99D3A" w14:textId="77777777" w:rsidR="00550CAE" w:rsidRPr="00976B86" w:rsidRDefault="00550CAE" w:rsidP="00550CAE">
      <w:pPr>
        <w:rPr>
          <w:lang w:val="es-CO" w:eastAsia="es-MX"/>
        </w:rPr>
      </w:pPr>
    </w:p>
    <w:p w14:paraId="5A4B5958" w14:textId="413C8009" w:rsidR="00550CAE" w:rsidRPr="00976B86" w:rsidRDefault="004C15FB" w:rsidP="00550CAE">
      <w:pPr>
        <w:pStyle w:val="PrrafodeSentencia"/>
        <w:rPr>
          <w:spacing w:val="0"/>
          <w:sz w:val="18"/>
          <w:szCs w:val="18"/>
          <w:lang w:val="es-CO"/>
        </w:rPr>
      </w:pPr>
      <w:r w:rsidRPr="00976B86">
        <w:rPr>
          <w:rFonts w:cs="Verdana"/>
          <w:bCs/>
          <w:iCs/>
          <w:noProof/>
          <w:szCs w:val="20"/>
          <w:lang w:val="es-ES_tradnl"/>
        </w:rPr>
        <w:t>En relación con lo anterior, la Corte reitera que los Estados tienen el deber de garantizar, a todas las personas bajo su jurisdicción, un recurso judicial efectivo contra actos violatorios de sus derechos fundamentales. Esto implica que el recurso judicial debe ser idóneo para combatir la violación, por lo que la autoridad competente debe examinar las razones invocadas por el demandante y pronunciarse en torno a ellas</w:t>
      </w:r>
      <w:r w:rsidR="00550CAE" w:rsidRPr="00976B86">
        <w:rPr>
          <w:rStyle w:val="FootnoteReference"/>
          <w:bCs/>
          <w:iCs/>
          <w:noProof/>
          <w:sz w:val="20"/>
          <w:szCs w:val="20"/>
          <w:lang w:val="es-ES_tradnl"/>
        </w:rPr>
        <w:footnoteReference w:id="155"/>
      </w:r>
      <w:r w:rsidRPr="00976B86">
        <w:rPr>
          <w:rFonts w:cs="Verdana"/>
          <w:bCs/>
          <w:iCs/>
          <w:noProof/>
          <w:szCs w:val="20"/>
          <w:lang w:val="es-ES_tradnl"/>
        </w:rPr>
        <w:t>. En ese sentido, es</w:t>
      </w:r>
      <w:r w:rsidR="00550CAE" w:rsidRPr="00976B86">
        <w:rPr>
          <w:rFonts w:cs="Verdana"/>
          <w:bCs/>
          <w:iCs/>
          <w:noProof/>
          <w:szCs w:val="20"/>
          <w:lang w:val="es-ES_tradnl"/>
        </w:rPr>
        <w:t xml:space="preserve">te Tribunal ha establecido que </w:t>
      </w:r>
      <w:r w:rsidRPr="00976B86">
        <w:rPr>
          <w:rFonts w:cs="Verdana"/>
          <w:bCs/>
          <w:iCs/>
          <w:noProof/>
          <w:szCs w:val="20"/>
          <w:lang w:val="es-ES_tradnl"/>
        </w:rPr>
        <w:t xml:space="preserve">el análisis por la autoridad competente de un recurso </w:t>
      </w:r>
      <w:r w:rsidR="00550CAE" w:rsidRPr="00976B86">
        <w:rPr>
          <w:rFonts w:cs="Verdana"/>
          <w:bCs/>
          <w:iCs/>
          <w:noProof/>
          <w:szCs w:val="20"/>
          <w:lang w:val="es-ES_tradnl"/>
        </w:rPr>
        <w:t>judicial -que controvierte derechos constitucionales como el derecho de audiencia en este caso-,</w:t>
      </w:r>
      <w:r w:rsidRPr="00976B86">
        <w:rPr>
          <w:rFonts w:cs="Verdana"/>
          <w:bCs/>
          <w:iCs/>
          <w:noProof/>
          <w:szCs w:val="20"/>
          <w:lang w:val="es-ES_tradnl"/>
        </w:rPr>
        <w:t xml:space="preserve"> no puede reducirse a una mera formalidad y omitir argumentos de las partes, ya que debe examinar sus razones y manifestarse sobre ellas conforme a los parámetros establecidos por la Convención Americana</w:t>
      </w:r>
      <w:r w:rsidRPr="00976B86">
        <w:rPr>
          <w:rFonts w:cs="Verdana"/>
          <w:bCs/>
          <w:iCs/>
          <w:noProof/>
          <w:szCs w:val="20"/>
          <w:vertAlign w:val="superscript"/>
          <w:lang w:val="es-ES_tradnl"/>
        </w:rPr>
        <w:footnoteReference w:id="156"/>
      </w:r>
      <w:r w:rsidRPr="00976B86">
        <w:rPr>
          <w:rFonts w:cs="Verdana"/>
          <w:bCs/>
          <w:iCs/>
          <w:noProof/>
          <w:szCs w:val="20"/>
          <w:lang w:val="es-ES_tradnl"/>
        </w:rPr>
        <w:t xml:space="preserve">. En el presente caso, esta Corte advierte que </w:t>
      </w:r>
      <w:r w:rsidR="004C6A7F">
        <w:rPr>
          <w:rFonts w:cs="Verdana"/>
          <w:bCs/>
          <w:iCs/>
          <w:noProof/>
          <w:szCs w:val="20"/>
          <w:lang w:val="es-ES_tradnl"/>
        </w:rPr>
        <w:t xml:space="preserve">la Sala de lo </w:t>
      </w:r>
      <w:r w:rsidRPr="00976B86">
        <w:rPr>
          <w:rFonts w:cs="Verdana"/>
          <w:bCs/>
          <w:iCs/>
          <w:noProof/>
          <w:szCs w:val="20"/>
          <w:lang w:val="es-ES_tradnl"/>
        </w:rPr>
        <w:t xml:space="preserve">Constitucional no realizó un análisis de las </w:t>
      </w:r>
      <w:r w:rsidR="00550CAE" w:rsidRPr="00976B86">
        <w:rPr>
          <w:rFonts w:cs="Verdana"/>
          <w:bCs/>
          <w:iCs/>
          <w:noProof/>
          <w:szCs w:val="20"/>
          <w:lang w:val="es-ES_tradnl"/>
        </w:rPr>
        <w:t xml:space="preserve">alegadas </w:t>
      </w:r>
      <w:r w:rsidR="0090784C" w:rsidRPr="00976B86">
        <w:rPr>
          <w:rFonts w:cs="Verdana"/>
          <w:bCs/>
          <w:iCs/>
          <w:noProof/>
          <w:szCs w:val="20"/>
          <w:lang w:val="es-ES_tradnl"/>
        </w:rPr>
        <w:t xml:space="preserve">violaciones al debido proceso, </w:t>
      </w:r>
      <w:r w:rsidRPr="00976B86">
        <w:rPr>
          <w:rFonts w:cs="Verdana"/>
          <w:bCs/>
          <w:iCs/>
          <w:noProof/>
          <w:szCs w:val="20"/>
          <w:lang w:val="es-ES_tradnl"/>
        </w:rPr>
        <w:t>en virtud de que consideró que</w:t>
      </w:r>
      <w:r w:rsidR="00550CAE" w:rsidRPr="00976B86">
        <w:rPr>
          <w:rFonts w:cs="Verdana"/>
          <w:bCs/>
          <w:iCs/>
          <w:noProof/>
          <w:szCs w:val="20"/>
          <w:lang w:val="es-ES_tradnl"/>
        </w:rPr>
        <w:t xml:space="preserve"> no es una instancia para revisar el criterio de </w:t>
      </w:r>
      <w:r w:rsidR="00550CAE" w:rsidRPr="00976B86">
        <w:rPr>
          <w:spacing w:val="0"/>
          <w:szCs w:val="20"/>
          <w:lang w:val="es-CO"/>
        </w:rPr>
        <w:t xml:space="preserve">la Asamblea Legislativa en </w:t>
      </w:r>
      <w:r w:rsidR="00777092">
        <w:rPr>
          <w:spacing w:val="0"/>
          <w:szCs w:val="20"/>
          <w:lang w:val="es-CO"/>
        </w:rPr>
        <w:t xml:space="preserve">cuanto las </w:t>
      </w:r>
      <w:r w:rsidR="00550CAE" w:rsidRPr="00976B86">
        <w:rPr>
          <w:spacing w:val="0"/>
          <w:szCs w:val="20"/>
          <w:lang w:val="es-CO"/>
        </w:rPr>
        <w:t xml:space="preserve">actuaciones procedimentales en aplicación directa de la </w:t>
      </w:r>
      <w:r w:rsidR="000B4831">
        <w:rPr>
          <w:spacing w:val="0"/>
          <w:szCs w:val="20"/>
          <w:lang w:val="es-CO"/>
        </w:rPr>
        <w:t>C</w:t>
      </w:r>
      <w:r w:rsidR="00550CAE" w:rsidRPr="00976B86">
        <w:rPr>
          <w:spacing w:val="0"/>
          <w:szCs w:val="20"/>
          <w:lang w:val="es-CO"/>
        </w:rPr>
        <w:t>onstitución.</w:t>
      </w:r>
      <w:r w:rsidR="00550CAE" w:rsidRPr="00976B86">
        <w:rPr>
          <w:spacing w:val="0"/>
          <w:sz w:val="18"/>
          <w:szCs w:val="18"/>
          <w:lang w:val="es-CO"/>
        </w:rPr>
        <w:t xml:space="preserve"> </w:t>
      </w:r>
    </w:p>
    <w:p w14:paraId="40925D51" w14:textId="77777777" w:rsidR="00550CAE" w:rsidRPr="00976B86" w:rsidRDefault="00550CAE" w:rsidP="00550CAE">
      <w:pPr>
        <w:rPr>
          <w:lang w:val="es-CO" w:eastAsia="es-MX"/>
        </w:rPr>
      </w:pPr>
    </w:p>
    <w:p w14:paraId="3FA5EB2B" w14:textId="29558A5F" w:rsidR="00C257B5" w:rsidRPr="00FD3E4E" w:rsidRDefault="00550CAE" w:rsidP="0090784C">
      <w:pPr>
        <w:pStyle w:val="PrrafodeSentencia"/>
        <w:rPr>
          <w:rFonts w:cs="Verdana"/>
          <w:bCs/>
          <w:iCs/>
          <w:noProof/>
          <w:szCs w:val="20"/>
          <w:lang w:val="es-ES_tradnl"/>
        </w:rPr>
      </w:pPr>
      <w:r w:rsidRPr="00976B86">
        <w:rPr>
          <w:rFonts w:cs="Verdana"/>
          <w:bCs/>
          <w:iCs/>
          <w:noProof/>
          <w:szCs w:val="20"/>
          <w:lang w:val="es-ES_tradnl"/>
        </w:rPr>
        <w:t xml:space="preserve">La Corte considera que </w:t>
      </w:r>
      <w:r w:rsidR="004C15FB" w:rsidRPr="00976B86">
        <w:rPr>
          <w:rFonts w:cs="Verdana"/>
          <w:bCs/>
          <w:iCs/>
          <w:noProof/>
          <w:szCs w:val="20"/>
          <w:lang w:val="es-ES_tradnl"/>
        </w:rPr>
        <w:t>l</w:t>
      </w:r>
      <w:r w:rsidRPr="00976B86">
        <w:rPr>
          <w:rFonts w:cs="Verdana"/>
          <w:bCs/>
          <w:iCs/>
          <w:noProof/>
          <w:szCs w:val="20"/>
          <w:lang w:val="es-ES_tradnl"/>
        </w:rPr>
        <w:t>a Sala de lo</w:t>
      </w:r>
      <w:r w:rsidR="004C15FB" w:rsidRPr="00976B86">
        <w:rPr>
          <w:rFonts w:cs="Verdana"/>
          <w:bCs/>
          <w:iCs/>
          <w:noProof/>
          <w:szCs w:val="20"/>
          <w:lang w:val="es-ES_tradnl"/>
        </w:rPr>
        <w:t xml:space="preserve"> Constitucional se encontraba obligad</w:t>
      </w:r>
      <w:r w:rsidRPr="00976B86">
        <w:rPr>
          <w:rFonts w:cs="Verdana"/>
          <w:bCs/>
          <w:iCs/>
          <w:noProof/>
          <w:szCs w:val="20"/>
          <w:lang w:val="es-ES_tradnl"/>
        </w:rPr>
        <w:t>a</w:t>
      </w:r>
      <w:r w:rsidR="004C15FB" w:rsidRPr="00976B86">
        <w:rPr>
          <w:rFonts w:cs="Verdana"/>
          <w:bCs/>
          <w:iCs/>
          <w:noProof/>
          <w:szCs w:val="20"/>
          <w:lang w:val="es-ES_tradnl"/>
        </w:rPr>
        <w:t xml:space="preserve"> a realizar una adecuada revisión judicial </w:t>
      </w:r>
      <w:r w:rsidRPr="00976B86">
        <w:rPr>
          <w:rFonts w:cs="Verdana"/>
          <w:bCs/>
          <w:iCs/>
          <w:noProof/>
          <w:szCs w:val="20"/>
          <w:lang w:val="es-ES_tradnl"/>
        </w:rPr>
        <w:t>de los hechos</w:t>
      </w:r>
      <w:r w:rsidR="004C15FB" w:rsidRPr="00976B86">
        <w:rPr>
          <w:rFonts w:cs="Verdana"/>
          <w:bCs/>
          <w:iCs/>
          <w:noProof/>
          <w:szCs w:val="20"/>
          <w:lang w:val="es-ES_tradnl"/>
        </w:rPr>
        <w:t xml:space="preserve"> r</w:t>
      </w:r>
      <w:r w:rsidRPr="00976B86">
        <w:rPr>
          <w:rFonts w:cs="Verdana"/>
          <w:bCs/>
          <w:iCs/>
          <w:noProof/>
          <w:szCs w:val="20"/>
          <w:lang w:val="es-ES_tradnl"/>
        </w:rPr>
        <w:t>eclamados como violatorios por la presunta víctima</w:t>
      </w:r>
      <w:r w:rsidR="004C15FB" w:rsidRPr="00976B86">
        <w:rPr>
          <w:rFonts w:cs="Verdana"/>
          <w:bCs/>
          <w:iCs/>
          <w:noProof/>
          <w:szCs w:val="20"/>
          <w:lang w:val="es-ES_tradnl"/>
        </w:rPr>
        <w:t xml:space="preserve">, lo cual implicaba examinar los alegatos y argumentos sometidos a su conocimiento sobre </w:t>
      </w:r>
      <w:r w:rsidRPr="00976B86">
        <w:rPr>
          <w:rFonts w:cs="Verdana"/>
          <w:bCs/>
          <w:iCs/>
          <w:noProof/>
          <w:szCs w:val="20"/>
          <w:lang w:val="es-ES_tradnl"/>
        </w:rPr>
        <w:t>el procedimiento de destitución llevado a cabo por la Asamblea Legislativa. Este análisis no podía</w:t>
      </w:r>
      <w:r w:rsidR="00022DC4" w:rsidRPr="00976B86">
        <w:rPr>
          <w:rFonts w:cs="Verdana"/>
          <w:bCs/>
          <w:iCs/>
          <w:noProof/>
          <w:szCs w:val="20"/>
          <w:lang w:val="es-ES_tradnl"/>
        </w:rPr>
        <w:t xml:space="preserve"> limitarse a examinar si la Asamblea Legislativa había tomado alguna medida para garantizar el derecho de audiencia, como lo fue la </w:t>
      </w:r>
      <w:r w:rsidR="00022DC4" w:rsidRPr="00FD3E4E">
        <w:rPr>
          <w:rFonts w:cs="Verdana"/>
          <w:bCs/>
          <w:iCs/>
          <w:noProof/>
          <w:szCs w:val="20"/>
          <w:lang w:val="es-ES_tradnl"/>
        </w:rPr>
        <w:t xml:space="preserve">creación de la </w:t>
      </w:r>
      <w:r w:rsidR="00022DC4" w:rsidRPr="00FD3E4E">
        <w:rPr>
          <w:spacing w:val="0"/>
        </w:rPr>
        <w:t xml:space="preserve">Comisión Especial, sino que debía abarcar si </w:t>
      </w:r>
      <w:r w:rsidRPr="00FD3E4E">
        <w:rPr>
          <w:spacing w:val="0"/>
        </w:rPr>
        <w:t>realmente se le garantizó dicho derecho.</w:t>
      </w:r>
      <w:r w:rsidR="00022DC4" w:rsidRPr="00FD3E4E">
        <w:rPr>
          <w:spacing w:val="0"/>
        </w:rPr>
        <w:t xml:space="preserve"> </w:t>
      </w:r>
      <w:r w:rsidR="00C257B5" w:rsidRPr="00FD3E4E">
        <w:rPr>
          <w:szCs w:val="20"/>
          <w:lang w:val="es-MX"/>
        </w:rPr>
        <w:t>Este Tribunal encuentra que al no realizar un análisis sobre si se vulneraron los derechos constitucionales y convencionales en juego, la Sala de lo Constitucional desasoció el derecho sustancial del derecho procesal, impidiendo a</w:t>
      </w:r>
      <w:r w:rsidR="00CA2925">
        <w:rPr>
          <w:szCs w:val="20"/>
          <w:lang w:val="es-MX"/>
        </w:rPr>
        <w:t>sí</w:t>
      </w:r>
      <w:r w:rsidR="00C257B5" w:rsidRPr="00FD3E4E">
        <w:rPr>
          <w:szCs w:val="20"/>
          <w:lang w:val="es-MX"/>
        </w:rPr>
        <w:t xml:space="preserve"> analizar el objeto principal de la controversia. </w:t>
      </w:r>
      <w:r w:rsidR="004C15FB" w:rsidRPr="00FD3E4E">
        <w:rPr>
          <w:rFonts w:cs="Verdana"/>
          <w:bCs/>
          <w:iCs/>
          <w:noProof/>
          <w:szCs w:val="20"/>
          <w:lang w:val="es-ES_tradnl"/>
        </w:rPr>
        <w:t xml:space="preserve">En este sentido, </w:t>
      </w:r>
      <w:r w:rsidR="00873961" w:rsidRPr="00FD3E4E">
        <w:rPr>
          <w:rFonts w:cs="Verdana"/>
          <w:bCs/>
          <w:iCs/>
          <w:noProof/>
          <w:szCs w:val="20"/>
          <w:lang w:val="es-ES_tradnl"/>
        </w:rPr>
        <w:t>la Corte</w:t>
      </w:r>
      <w:r w:rsidR="004C15FB" w:rsidRPr="00FD3E4E">
        <w:rPr>
          <w:rFonts w:cs="Verdana"/>
          <w:bCs/>
          <w:iCs/>
          <w:noProof/>
          <w:szCs w:val="20"/>
          <w:lang w:val="es-ES_tradnl"/>
        </w:rPr>
        <w:t xml:space="preserve"> concluye que la falta de revisión judicial suficiente sobre la actuación </w:t>
      </w:r>
      <w:r w:rsidR="00C257B5" w:rsidRPr="00FD3E4E">
        <w:rPr>
          <w:rFonts w:cs="Verdana"/>
          <w:bCs/>
          <w:iCs/>
          <w:noProof/>
          <w:szCs w:val="20"/>
          <w:lang w:val="es-ES_tradnl"/>
        </w:rPr>
        <w:t>de la Asamblea Legislat</w:t>
      </w:r>
      <w:r w:rsidR="00022DC4" w:rsidRPr="00FD3E4E">
        <w:rPr>
          <w:rFonts w:cs="Verdana"/>
          <w:bCs/>
          <w:iCs/>
          <w:noProof/>
          <w:szCs w:val="20"/>
          <w:lang w:val="es-ES_tradnl"/>
        </w:rPr>
        <w:t>iva</w:t>
      </w:r>
      <w:r w:rsidR="004C15FB" w:rsidRPr="00FD3E4E">
        <w:rPr>
          <w:rFonts w:cs="Verdana"/>
          <w:bCs/>
          <w:iCs/>
          <w:noProof/>
          <w:szCs w:val="20"/>
          <w:lang w:val="es-ES_tradnl"/>
        </w:rPr>
        <w:t xml:space="preserve"> por parte de</w:t>
      </w:r>
      <w:r w:rsidR="00022DC4" w:rsidRPr="00FD3E4E">
        <w:rPr>
          <w:rFonts w:cs="Verdana"/>
          <w:bCs/>
          <w:iCs/>
          <w:noProof/>
          <w:szCs w:val="20"/>
          <w:lang w:val="es-ES_tradnl"/>
        </w:rPr>
        <w:t xml:space="preserve"> </w:t>
      </w:r>
      <w:r w:rsidR="004C15FB" w:rsidRPr="00FD3E4E">
        <w:rPr>
          <w:rFonts w:cs="Verdana"/>
          <w:bCs/>
          <w:iCs/>
          <w:noProof/>
          <w:szCs w:val="20"/>
          <w:lang w:val="es-ES_tradnl"/>
        </w:rPr>
        <w:t>l</w:t>
      </w:r>
      <w:r w:rsidR="00022DC4" w:rsidRPr="00FD3E4E">
        <w:rPr>
          <w:rFonts w:cs="Verdana"/>
          <w:bCs/>
          <w:iCs/>
          <w:noProof/>
          <w:szCs w:val="20"/>
          <w:lang w:val="es-ES_tradnl"/>
        </w:rPr>
        <w:t>a</w:t>
      </w:r>
      <w:r w:rsidR="004C15FB" w:rsidRPr="00FD3E4E">
        <w:rPr>
          <w:rFonts w:cs="Verdana"/>
          <w:bCs/>
          <w:iCs/>
          <w:noProof/>
          <w:szCs w:val="20"/>
          <w:lang w:val="es-ES_tradnl"/>
        </w:rPr>
        <w:t xml:space="preserve"> </w:t>
      </w:r>
      <w:r w:rsidR="00022DC4" w:rsidRPr="00FD3E4E">
        <w:rPr>
          <w:rFonts w:cs="Verdana"/>
          <w:bCs/>
          <w:iCs/>
          <w:noProof/>
          <w:szCs w:val="20"/>
          <w:lang w:val="es-ES_tradnl"/>
        </w:rPr>
        <w:t xml:space="preserve">Sala de lo </w:t>
      </w:r>
      <w:r w:rsidR="004C15FB" w:rsidRPr="00FD3E4E">
        <w:rPr>
          <w:rFonts w:cs="Verdana"/>
          <w:bCs/>
          <w:iCs/>
          <w:noProof/>
          <w:szCs w:val="20"/>
          <w:lang w:val="es-ES_tradnl"/>
        </w:rPr>
        <w:t>Constitucional trajo como consecuencia la falta de efectividad de</w:t>
      </w:r>
      <w:r w:rsidR="00744D0C">
        <w:rPr>
          <w:rFonts w:cs="Verdana"/>
          <w:bCs/>
          <w:iCs/>
          <w:noProof/>
          <w:szCs w:val="20"/>
          <w:lang w:val="es-ES_tradnl"/>
        </w:rPr>
        <w:t xml:space="preserve"> la acción</w:t>
      </w:r>
      <w:r w:rsidR="00022DC4" w:rsidRPr="00FD3E4E">
        <w:rPr>
          <w:rFonts w:cs="Verdana"/>
          <w:bCs/>
          <w:iCs/>
          <w:noProof/>
          <w:szCs w:val="20"/>
          <w:lang w:val="es-ES_tradnl"/>
        </w:rPr>
        <w:t xml:space="preserve"> de amparo.</w:t>
      </w:r>
    </w:p>
    <w:p w14:paraId="6DFF23BA" w14:textId="77777777" w:rsidR="00C257B5" w:rsidRPr="00FD3E4E" w:rsidRDefault="00C257B5" w:rsidP="00C257B5">
      <w:pPr>
        <w:rPr>
          <w:lang w:val="es-ES_tradnl" w:eastAsia="es-MX"/>
        </w:rPr>
      </w:pPr>
    </w:p>
    <w:p w14:paraId="069AED66" w14:textId="16B4D441" w:rsidR="00C257B5" w:rsidRDefault="00C257B5" w:rsidP="0090784C">
      <w:pPr>
        <w:pStyle w:val="PrrafodeSentencia"/>
        <w:rPr>
          <w:szCs w:val="20"/>
        </w:rPr>
      </w:pPr>
      <w:r w:rsidRPr="00FD3E4E">
        <w:lastRenderedPageBreak/>
        <w:t>En relación con lo anterior, la Corte recuerda que, en virtud de la naturaleza coadyuvante o complementaria de la protección internacional, el Estado es el principal garante de los derechos humanos de las personas, por lo que, si se produce un acto vio</w:t>
      </w:r>
      <w:r w:rsidR="00777092">
        <w:t>latorio de dichos derechos, es é</w:t>
      </w:r>
      <w:r w:rsidRPr="00FD3E4E">
        <w:t xml:space="preserve">l quien debe de resolver el asunto a nivel interno y, de ser el caso, reparar, antes de tener que responder ante instancias </w:t>
      </w:r>
      <w:r w:rsidRPr="00FD3E4E">
        <w:rPr>
          <w:szCs w:val="20"/>
        </w:rPr>
        <w:t>internacionales</w:t>
      </w:r>
      <w:r w:rsidRPr="00FD3E4E">
        <w:rPr>
          <w:rStyle w:val="FootnoteReference"/>
          <w:sz w:val="20"/>
          <w:szCs w:val="20"/>
        </w:rPr>
        <w:footnoteReference w:id="157"/>
      </w:r>
      <w:r w:rsidRPr="00FD3E4E">
        <w:rPr>
          <w:szCs w:val="20"/>
        </w:rPr>
        <w:t>.</w:t>
      </w:r>
    </w:p>
    <w:p w14:paraId="4BB1559B" w14:textId="77777777" w:rsidR="00777092" w:rsidRPr="00777092" w:rsidRDefault="00777092" w:rsidP="00777092">
      <w:pPr>
        <w:rPr>
          <w:lang w:val="es-CR" w:eastAsia="es-MX"/>
        </w:rPr>
      </w:pPr>
    </w:p>
    <w:p w14:paraId="507731CF" w14:textId="4D959146" w:rsidR="004C15FB" w:rsidRPr="00976B86" w:rsidRDefault="004C15FB" w:rsidP="000E763B">
      <w:pPr>
        <w:pStyle w:val="PrrafodeSentencia"/>
        <w:rPr>
          <w:spacing w:val="0"/>
        </w:rPr>
      </w:pPr>
      <w:bookmarkStart w:id="206" w:name="_Ref532900222"/>
      <w:r w:rsidRPr="00976B86">
        <w:rPr>
          <w:rFonts w:cs="Verdana"/>
          <w:bCs/>
          <w:iCs/>
          <w:noProof/>
          <w:szCs w:val="20"/>
          <w:lang w:val="es-ES_tradnl"/>
        </w:rPr>
        <w:t>En consecuencia, el Tribunal concluye que el Estado es responsable por la violación a los artículos 8.1 y 25 de la Convención Americana, en relación con las obligaciones previstas en el artículo 1.1 del</w:t>
      </w:r>
      <w:r w:rsidR="00022DC4" w:rsidRPr="00976B86">
        <w:rPr>
          <w:rFonts w:cs="Verdana"/>
          <w:bCs/>
          <w:iCs/>
          <w:noProof/>
          <w:szCs w:val="20"/>
          <w:lang w:val="es-ES_tradnl"/>
        </w:rPr>
        <w:t xml:space="preserve"> mismo instrumento, respecto del señor </w:t>
      </w:r>
      <w:r w:rsidR="00C75D17">
        <w:rPr>
          <w:rFonts w:cs="Verdana"/>
          <w:bCs/>
          <w:iCs/>
          <w:noProof/>
          <w:szCs w:val="20"/>
          <w:lang w:val="es-ES_tradnl"/>
        </w:rPr>
        <w:t xml:space="preserve">Eduardo Benjamín </w:t>
      </w:r>
      <w:r w:rsidR="00022DC4" w:rsidRPr="00976B86">
        <w:rPr>
          <w:rFonts w:cs="Verdana"/>
          <w:bCs/>
          <w:iCs/>
          <w:noProof/>
          <w:szCs w:val="20"/>
          <w:lang w:val="es-ES_tradnl"/>
        </w:rPr>
        <w:t>Colindres Schonenberg.</w:t>
      </w:r>
      <w:bookmarkEnd w:id="206"/>
    </w:p>
    <w:p w14:paraId="27EC14E6" w14:textId="77777777" w:rsidR="00791D11" w:rsidRPr="00976B86" w:rsidRDefault="00791D11" w:rsidP="00791D11">
      <w:pPr>
        <w:rPr>
          <w:lang w:val="es-CR" w:eastAsia="es-MX"/>
        </w:rPr>
      </w:pPr>
    </w:p>
    <w:p w14:paraId="7A0BC2C2" w14:textId="6965029A" w:rsidR="00B5081F" w:rsidRPr="00717883" w:rsidRDefault="00791D11" w:rsidP="00B5081F">
      <w:pPr>
        <w:pStyle w:val="PrrafodeSentencia"/>
      </w:pPr>
      <w:bookmarkStart w:id="207" w:name="_Ref532900238"/>
      <w:r w:rsidRPr="00976B86">
        <w:t>Por otra parte, e</w:t>
      </w:r>
      <w:r w:rsidRPr="00976B86">
        <w:rPr>
          <w:spacing w:val="0"/>
        </w:rPr>
        <w:t>n el presente caso ya la Corte señaló que la destitución del señor Colindres Schonenberg se realizó sin que estuviera establecida</w:t>
      </w:r>
      <w:r w:rsidRPr="00791D11">
        <w:rPr>
          <w:spacing w:val="0"/>
        </w:rPr>
        <w:t xml:space="preserve"> esta posibilidad en la ley. Por lo que tampoco estaba regulada la existencia de un recurso que se pudiera interponer en contra de la decisión de la Asamblea Legislativa. Por tanto, la Corte no </w:t>
      </w:r>
      <w:r w:rsidR="0090784C">
        <w:rPr>
          <w:spacing w:val="0"/>
        </w:rPr>
        <w:t xml:space="preserve">considera necesario </w:t>
      </w:r>
      <w:r w:rsidRPr="00791D11">
        <w:rPr>
          <w:spacing w:val="0"/>
        </w:rPr>
        <w:t xml:space="preserve">analizar la alegada violación al </w:t>
      </w:r>
      <w:r w:rsidRPr="00791D11">
        <w:rPr>
          <w:spacing w:val="0"/>
          <w:szCs w:val="20"/>
        </w:rPr>
        <w:t>artículo 8.2.h de la Convención.</w:t>
      </w:r>
      <w:bookmarkEnd w:id="207"/>
      <w:r w:rsidRPr="00791D11">
        <w:rPr>
          <w:spacing w:val="0"/>
          <w:szCs w:val="20"/>
        </w:rPr>
        <w:t xml:space="preserve"> </w:t>
      </w:r>
    </w:p>
    <w:p w14:paraId="75ED13D6" w14:textId="77777777" w:rsidR="00546C18" w:rsidRPr="00E85AD0" w:rsidRDefault="00546C18" w:rsidP="00546C18">
      <w:pPr>
        <w:pStyle w:val="CommentText"/>
        <w:jc w:val="both"/>
        <w:rPr>
          <w:sz w:val="18"/>
          <w:szCs w:val="18"/>
          <w:lang w:val="es-CR" w:eastAsia="es-MX"/>
        </w:rPr>
      </w:pPr>
    </w:p>
    <w:p w14:paraId="231EF354" w14:textId="77777777" w:rsidR="00546C18" w:rsidRPr="00E85AD0" w:rsidRDefault="00546C18" w:rsidP="00546C18">
      <w:pPr>
        <w:pStyle w:val="Heading3"/>
      </w:pPr>
      <w:bookmarkStart w:id="208" w:name="_Toc192585"/>
      <w:bookmarkStart w:id="209" w:name="_Ref308537578"/>
      <w:r w:rsidRPr="00E85AD0">
        <w:t>B.4 Plazo razonable respecto de la demanda civil</w:t>
      </w:r>
      <w:bookmarkEnd w:id="208"/>
    </w:p>
    <w:bookmarkEnd w:id="209"/>
    <w:p w14:paraId="75699748" w14:textId="533673CE" w:rsidR="00546C18" w:rsidRPr="00E85AD0" w:rsidRDefault="00546C18" w:rsidP="00546C18">
      <w:pPr>
        <w:pStyle w:val="PrrafodeSentencia"/>
        <w:rPr>
          <w:spacing w:val="0"/>
        </w:rPr>
      </w:pPr>
      <w:r w:rsidRPr="00E85AD0">
        <w:rPr>
          <w:spacing w:val="0"/>
          <w:szCs w:val="20"/>
        </w:rPr>
        <w:t xml:space="preserve">La </w:t>
      </w:r>
      <w:r w:rsidRPr="00E85AD0">
        <w:rPr>
          <w:b/>
          <w:i/>
          <w:spacing w:val="0"/>
          <w:szCs w:val="20"/>
        </w:rPr>
        <w:t xml:space="preserve">Comisión </w:t>
      </w:r>
      <w:r w:rsidRPr="00E85AD0">
        <w:rPr>
          <w:spacing w:val="0"/>
        </w:rPr>
        <w:t xml:space="preserve">señaló que el proceso civil excedió el plazo razonable, </w:t>
      </w:r>
      <w:r w:rsidRPr="00E85AD0">
        <w:rPr>
          <w:spacing w:val="0"/>
          <w:szCs w:val="20"/>
        </w:rPr>
        <w:t xml:space="preserve">sin que </w:t>
      </w:r>
      <w:r w:rsidRPr="00E85AD0">
        <w:rPr>
          <w:noProof/>
          <w:spacing w:val="0"/>
          <w:szCs w:val="20"/>
        </w:rPr>
        <w:t>surjan elementos que permitan considerar que la demanda y su resolución revestían una especial complejidad que justifica</w:t>
      </w:r>
      <w:r w:rsidR="003A5CC2">
        <w:rPr>
          <w:noProof/>
          <w:spacing w:val="0"/>
          <w:szCs w:val="20"/>
        </w:rPr>
        <w:t>r</w:t>
      </w:r>
      <w:r w:rsidRPr="00E85AD0">
        <w:rPr>
          <w:noProof/>
          <w:spacing w:val="0"/>
          <w:szCs w:val="20"/>
        </w:rPr>
        <w:t>a la demora.</w:t>
      </w:r>
      <w:r w:rsidRPr="00E85AD0">
        <w:rPr>
          <w:spacing w:val="0"/>
        </w:rPr>
        <w:t xml:space="preserve"> Los </w:t>
      </w:r>
      <w:r w:rsidRPr="00E85AD0">
        <w:rPr>
          <w:b/>
          <w:i/>
          <w:spacing w:val="0"/>
        </w:rPr>
        <w:t>representantes</w:t>
      </w:r>
      <w:r w:rsidRPr="00E85AD0">
        <w:rPr>
          <w:b/>
          <w:spacing w:val="0"/>
        </w:rPr>
        <w:t xml:space="preserve"> </w:t>
      </w:r>
      <w:r w:rsidRPr="00E85AD0">
        <w:rPr>
          <w:spacing w:val="0"/>
        </w:rPr>
        <w:t xml:space="preserve">y el </w:t>
      </w:r>
      <w:r w:rsidRPr="00E85AD0">
        <w:rPr>
          <w:b/>
          <w:i/>
          <w:spacing w:val="0"/>
        </w:rPr>
        <w:t>Estado</w:t>
      </w:r>
      <w:r w:rsidRPr="00E85AD0">
        <w:rPr>
          <w:b/>
          <w:spacing w:val="0"/>
        </w:rPr>
        <w:t xml:space="preserve"> </w:t>
      </w:r>
      <w:r w:rsidRPr="00E85AD0">
        <w:rPr>
          <w:spacing w:val="0"/>
        </w:rPr>
        <w:t>no presentaron alegatos al respecto.</w:t>
      </w:r>
    </w:p>
    <w:p w14:paraId="6EDDA714" w14:textId="77777777" w:rsidR="00546C18" w:rsidRPr="00E85AD0" w:rsidRDefault="00546C18" w:rsidP="00546C18">
      <w:pPr>
        <w:rPr>
          <w:lang w:val="es-CR" w:eastAsia="es-MX"/>
        </w:rPr>
      </w:pPr>
    </w:p>
    <w:p w14:paraId="6D64BDB4" w14:textId="49267B5C" w:rsidR="00D62DB8" w:rsidRPr="004C6A7F" w:rsidRDefault="00546C18" w:rsidP="00546C18">
      <w:pPr>
        <w:pStyle w:val="PrrafodeSentencia"/>
        <w:rPr>
          <w:rFonts w:cs="Tahoma"/>
          <w:spacing w:val="0"/>
          <w:szCs w:val="20"/>
        </w:rPr>
      </w:pPr>
      <w:bookmarkStart w:id="210" w:name="_Ref532900190"/>
      <w:r w:rsidRPr="00E85AD0">
        <w:rPr>
          <w:spacing w:val="0"/>
          <w:szCs w:val="20"/>
        </w:rPr>
        <w:t>Este Tribunal</w:t>
      </w:r>
      <w:r w:rsidRPr="00E85AD0">
        <w:rPr>
          <w:spacing w:val="0"/>
        </w:rPr>
        <w:t xml:space="preserve"> ha considerado que una demora prolongada constituye en principio, por sí misma, una violación a las garantías </w:t>
      </w:r>
      <w:r w:rsidRPr="004C6A7F">
        <w:rPr>
          <w:spacing w:val="0"/>
        </w:rPr>
        <w:t>judiciales</w:t>
      </w:r>
      <w:r w:rsidRPr="004C6A7F">
        <w:rPr>
          <w:spacing w:val="0"/>
          <w:vertAlign w:val="superscript"/>
        </w:rPr>
        <w:footnoteReference w:id="158"/>
      </w:r>
      <w:r w:rsidRPr="004C6A7F">
        <w:rPr>
          <w:spacing w:val="0"/>
        </w:rPr>
        <w:t>.</w:t>
      </w:r>
      <w:r w:rsidRPr="004C6A7F">
        <w:rPr>
          <w:rFonts w:cs="Tahoma"/>
          <w:spacing w:val="0"/>
          <w:szCs w:val="20"/>
        </w:rPr>
        <w:t xml:space="preserve"> </w:t>
      </w:r>
      <w:r w:rsidR="00D62DB8" w:rsidRPr="004C6A7F">
        <w:rPr>
          <w:rFonts w:cs="Tahoma"/>
          <w:spacing w:val="0"/>
          <w:szCs w:val="20"/>
        </w:rPr>
        <w:t>En este sentido, este alegado hecho ilícito</w:t>
      </w:r>
      <w:r w:rsidR="004C6A7F" w:rsidRPr="004C6A7F">
        <w:rPr>
          <w:rFonts w:cs="Tahoma"/>
          <w:spacing w:val="0"/>
          <w:szCs w:val="20"/>
        </w:rPr>
        <w:t>,</w:t>
      </w:r>
      <w:r w:rsidR="00D62DB8" w:rsidRPr="004C6A7F">
        <w:rPr>
          <w:rFonts w:cs="Tahoma"/>
          <w:spacing w:val="0"/>
          <w:szCs w:val="20"/>
        </w:rPr>
        <w:t xml:space="preserve"> relacionado con la primera destitución</w:t>
      </w:r>
      <w:r w:rsidR="004C6A7F" w:rsidRPr="004C6A7F">
        <w:rPr>
          <w:rFonts w:cs="Tahoma"/>
          <w:spacing w:val="0"/>
          <w:szCs w:val="20"/>
        </w:rPr>
        <w:t>,</w:t>
      </w:r>
      <w:r w:rsidR="00D62DB8" w:rsidRPr="004C6A7F">
        <w:rPr>
          <w:rFonts w:cs="Tahoma"/>
          <w:spacing w:val="0"/>
          <w:szCs w:val="20"/>
        </w:rPr>
        <w:t xml:space="preserve"> no ha sido reparado por el Estado. </w:t>
      </w:r>
    </w:p>
    <w:p w14:paraId="78D5A69C" w14:textId="77777777" w:rsidR="00D62DB8" w:rsidRPr="004C6A7F" w:rsidRDefault="00D62DB8" w:rsidP="00D62DB8">
      <w:pPr>
        <w:rPr>
          <w:lang w:val="es-CR" w:eastAsia="es-MX"/>
        </w:rPr>
      </w:pPr>
    </w:p>
    <w:p w14:paraId="485FA945" w14:textId="1A959DDB" w:rsidR="00546C18" w:rsidRPr="00E85AD0" w:rsidRDefault="00D62DB8" w:rsidP="00546C18">
      <w:pPr>
        <w:pStyle w:val="PrrafodeSentencia"/>
        <w:rPr>
          <w:rFonts w:cs="Tahoma"/>
          <w:spacing w:val="0"/>
          <w:szCs w:val="20"/>
        </w:rPr>
      </w:pPr>
      <w:r w:rsidRPr="004C6A7F">
        <w:rPr>
          <w:spacing w:val="0"/>
        </w:rPr>
        <w:t>La Corte</w:t>
      </w:r>
      <w:r w:rsidR="00546C18" w:rsidRPr="004C6A7F">
        <w:rPr>
          <w:spacing w:val="0"/>
        </w:rPr>
        <w:t xml:space="preserve"> </w:t>
      </w:r>
      <w:r w:rsidR="00546C18" w:rsidRPr="004C6A7F">
        <w:rPr>
          <w:spacing w:val="0"/>
          <w:szCs w:val="20"/>
        </w:rPr>
        <w:t>ha señalado que el “plazo razonable” al que se</w:t>
      </w:r>
      <w:r w:rsidR="00546C18" w:rsidRPr="00E85AD0">
        <w:rPr>
          <w:spacing w:val="0"/>
          <w:szCs w:val="20"/>
        </w:rPr>
        <w:t xml:space="preserve"> refiere el artículo 8.1 de la Convención se debe apreciar en relación con la duración total del procedimiento que se desarrolla hasta que se dicta la sentencia definitiva</w:t>
      </w:r>
      <w:r w:rsidR="00546C18" w:rsidRPr="00E85AD0">
        <w:rPr>
          <w:spacing w:val="0"/>
          <w:szCs w:val="20"/>
          <w:vertAlign w:val="superscript"/>
        </w:rPr>
        <w:footnoteReference w:id="159"/>
      </w:r>
      <w:r w:rsidR="00546C18" w:rsidRPr="00E85AD0">
        <w:rPr>
          <w:spacing w:val="0"/>
          <w:szCs w:val="20"/>
        </w:rPr>
        <w:t>.</w:t>
      </w:r>
      <w:r w:rsidR="00546C18" w:rsidRPr="00E85AD0">
        <w:rPr>
          <w:spacing w:val="0"/>
        </w:rPr>
        <w:t xml:space="preserve"> En este caso, debe también tomarse en cuenta el lapso correspondiente a la etapa de ejecución de la sentencia judicial con el fin de realizar efectivamente el cobro de la indemnización</w:t>
      </w:r>
      <w:bookmarkStart w:id="211" w:name="_ftnref_393"/>
      <w:r w:rsidR="00546C18" w:rsidRPr="00E85AD0">
        <w:rPr>
          <w:rStyle w:val="FootnoteReference"/>
          <w:rFonts w:cs="Tahoma"/>
          <w:spacing w:val="0"/>
          <w:sz w:val="20"/>
          <w:szCs w:val="20"/>
        </w:rPr>
        <w:footnoteReference w:id="160"/>
      </w:r>
      <w:r w:rsidR="00546C18" w:rsidRPr="00E85AD0">
        <w:rPr>
          <w:rFonts w:cs="Tahoma"/>
          <w:spacing w:val="0"/>
          <w:szCs w:val="20"/>
        </w:rPr>
        <w:t>.</w:t>
      </w:r>
      <w:bookmarkEnd w:id="210"/>
      <w:bookmarkEnd w:id="211"/>
      <w:r w:rsidR="00546C18" w:rsidRPr="00E85AD0">
        <w:rPr>
          <w:rFonts w:cs="Tahoma"/>
          <w:spacing w:val="0"/>
          <w:szCs w:val="20"/>
        </w:rPr>
        <w:t xml:space="preserve"> </w:t>
      </w:r>
    </w:p>
    <w:p w14:paraId="18ED916A" w14:textId="77777777" w:rsidR="00546C18" w:rsidRPr="00E85AD0" w:rsidRDefault="00546C18" w:rsidP="00546C18">
      <w:pPr>
        <w:rPr>
          <w:lang w:val="es-CR" w:eastAsia="es-MX"/>
        </w:rPr>
      </w:pPr>
    </w:p>
    <w:p w14:paraId="6CF03EB6" w14:textId="019C6E48" w:rsidR="00546C18" w:rsidRPr="00E85AD0" w:rsidRDefault="00546C18" w:rsidP="00546C18">
      <w:pPr>
        <w:pStyle w:val="PrrafodeSentencia"/>
        <w:rPr>
          <w:spacing w:val="0"/>
          <w:szCs w:val="20"/>
          <w:lang w:val="es-CO"/>
        </w:rPr>
      </w:pPr>
      <w:r w:rsidRPr="00E85AD0">
        <w:rPr>
          <w:rFonts w:cs="Tahoma"/>
          <w:spacing w:val="0"/>
          <w:szCs w:val="20"/>
        </w:rPr>
        <w:t xml:space="preserve">El señor Colindres Schonenberg interpuso la demanda </w:t>
      </w:r>
      <w:r w:rsidRPr="00E85AD0">
        <w:rPr>
          <w:spacing w:val="0"/>
          <w:szCs w:val="20"/>
          <w:lang w:val="es-ES"/>
        </w:rPr>
        <w:t>el 12 de enero de 1999. Tras una decisión de segunda instancia y una sentencia de casación</w:t>
      </w:r>
      <w:r w:rsidR="00777092">
        <w:rPr>
          <w:spacing w:val="0"/>
          <w:szCs w:val="20"/>
          <w:lang w:val="es-ES"/>
        </w:rPr>
        <w:t>,</w:t>
      </w:r>
      <w:r w:rsidRPr="00E85AD0">
        <w:rPr>
          <w:spacing w:val="0"/>
          <w:szCs w:val="20"/>
          <w:lang w:val="es-ES"/>
        </w:rPr>
        <w:t xml:space="preserve"> el 22 de diciembre de 2009 </w:t>
      </w:r>
      <w:r w:rsidRPr="00E85AD0">
        <w:rPr>
          <w:spacing w:val="0"/>
          <w:szCs w:val="20"/>
          <w:lang w:val="es-CO"/>
        </w:rPr>
        <w:t>la Corte Suprema de Justicia dictó sentencia definitiva</w:t>
      </w:r>
      <w:r w:rsidRPr="00E85AD0">
        <w:rPr>
          <w:rStyle w:val="FootnoteReference"/>
          <w:spacing w:val="0"/>
          <w:sz w:val="20"/>
          <w:szCs w:val="20"/>
          <w:lang w:val="es-CO"/>
        </w:rPr>
        <w:footnoteReference w:id="161"/>
      </w:r>
      <w:r w:rsidRPr="00E85AD0">
        <w:rPr>
          <w:spacing w:val="0"/>
          <w:szCs w:val="20"/>
          <w:lang w:val="es-CO"/>
        </w:rPr>
        <w:t>. El 7 de febrero de 2014 el Estado realizó el pago</w:t>
      </w:r>
      <w:r w:rsidRPr="00E85AD0">
        <w:rPr>
          <w:rStyle w:val="FootnoteReference"/>
          <w:spacing w:val="0"/>
          <w:sz w:val="20"/>
          <w:szCs w:val="20"/>
          <w:lang w:val="es-CO"/>
        </w:rPr>
        <w:footnoteReference w:id="162"/>
      </w:r>
      <w:r w:rsidRPr="00E85AD0">
        <w:rPr>
          <w:spacing w:val="0"/>
          <w:szCs w:val="20"/>
          <w:lang w:val="es-CO"/>
        </w:rPr>
        <w:t xml:space="preserve">. Por tanto, la duración total del procedimiento fue de quince años. </w:t>
      </w:r>
    </w:p>
    <w:p w14:paraId="57A2B697" w14:textId="77777777" w:rsidR="00546C18" w:rsidRPr="00E85AD0" w:rsidRDefault="00546C18" w:rsidP="00546C18">
      <w:pPr>
        <w:rPr>
          <w:lang w:val="es-CO" w:eastAsia="es-MX"/>
        </w:rPr>
      </w:pPr>
    </w:p>
    <w:p w14:paraId="18439D0B" w14:textId="73993D85" w:rsidR="002E7DFA" w:rsidRPr="00D62DB8" w:rsidRDefault="00546C18" w:rsidP="00D62DB8">
      <w:pPr>
        <w:pStyle w:val="PrrafodeSentencia"/>
        <w:rPr>
          <w:rFonts w:cs="Arial"/>
          <w:spacing w:val="0"/>
          <w:szCs w:val="20"/>
        </w:rPr>
      </w:pPr>
      <w:r w:rsidRPr="00E85AD0">
        <w:rPr>
          <w:spacing w:val="0"/>
        </w:rPr>
        <w:lastRenderedPageBreak/>
        <w:t xml:space="preserve">La Corte generalmente ha considerado los siguientes elementos para determinar la razonabilidad del plazo: a) complejidad del asunto; b) actividad procesal del interesado; c) conducta de las autoridades judiciales, y d) afectación generada en la situación jurídica de la persona involucrada en el proceso. En </w:t>
      </w:r>
      <w:r w:rsidRPr="00E85AD0">
        <w:rPr>
          <w:spacing w:val="0"/>
          <w:szCs w:val="20"/>
        </w:rPr>
        <w:t xml:space="preserve">el presente caso, la sentencia de la Sala de lo Constitucional que restituyó al señor Colindres Schonenberg </w:t>
      </w:r>
      <w:r w:rsidR="00F2456F">
        <w:rPr>
          <w:spacing w:val="0"/>
          <w:szCs w:val="20"/>
        </w:rPr>
        <w:t>tras</w:t>
      </w:r>
      <w:r w:rsidRPr="00E85AD0">
        <w:rPr>
          <w:spacing w:val="0"/>
          <w:szCs w:val="20"/>
        </w:rPr>
        <w:t xml:space="preserve"> la primera destitución indicó que procedía “la acción civil de indemnización de daños y perjuicios contra el Estado</w:t>
      </w:r>
      <w:r w:rsidRPr="00E85AD0">
        <w:rPr>
          <w:rStyle w:val="FootnoteReference"/>
          <w:spacing w:val="0"/>
          <w:sz w:val="20"/>
          <w:szCs w:val="20"/>
          <w:lang w:val="es-CO"/>
        </w:rPr>
        <w:footnoteReference w:id="163"/>
      </w:r>
      <w:r w:rsidRPr="00E85AD0">
        <w:rPr>
          <w:spacing w:val="0"/>
          <w:szCs w:val="20"/>
          <w:lang w:val="es-CO"/>
        </w:rPr>
        <w:t xml:space="preserve">. </w:t>
      </w:r>
      <w:r w:rsidR="00F34209">
        <w:rPr>
          <w:spacing w:val="0"/>
          <w:szCs w:val="20"/>
          <w:lang w:val="es-CO"/>
        </w:rPr>
        <w:t xml:space="preserve">Tal como lo señaló la Sala de lo Civil al decidir la </w:t>
      </w:r>
      <w:r w:rsidR="00F62F38">
        <w:rPr>
          <w:spacing w:val="0"/>
          <w:szCs w:val="20"/>
          <w:lang w:val="es-CO"/>
        </w:rPr>
        <w:t>apelación</w:t>
      </w:r>
      <w:r w:rsidR="00F34209">
        <w:rPr>
          <w:spacing w:val="0"/>
          <w:szCs w:val="20"/>
          <w:lang w:val="es-CO"/>
        </w:rPr>
        <w:t xml:space="preserve">, la decisión </w:t>
      </w:r>
      <w:r w:rsidR="002E7DFA">
        <w:rPr>
          <w:spacing w:val="0"/>
          <w:szCs w:val="20"/>
          <w:lang w:val="es-CO"/>
        </w:rPr>
        <w:t>de</w:t>
      </w:r>
      <w:r w:rsidR="00F34209">
        <w:rPr>
          <w:spacing w:val="0"/>
          <w:szCs w:val="20"/>
          <w:lang w:val="es-CO"/>
        </w:rPr>
        <w:t xml:space="preserve"> la Sala de lo Constituci</w:t>
      </w:r>
      <w:r w:rsidR="005B5D73">
        <w:rPr>
          <w:spacing w:val="0"/>
          <w:szCs w:val="20"/>
          <w:lang w:val="es-CO"/>
        </w:rPr>
        <w:t>onal</w:t>
      </w:r>
      <w:r w:rsidR="00F34209">
        <w:rPr>
          <w:spacing w:val="0"/>
          <w:szCs w:val="20"/>
          <w:lang w:val="es-CO"/>
        </w:rPr>
        <w:t xml:space="preserve"> le dio “un derecho </w:t>
      </w:r>
      <w:r w:rsidR="00777092">
        <w:rPr>
          <w:spacing w:val="0"/>
          <w:szCs w:val="20"/>
          <w:lang w:val="es-CO"/>
        </w:rPr>
        <w:t xml:space="preserve">[…] </w:t>
      </w:r>
      <w:r w:rsidR="00F34209">
        <w:rPr>
          <w:spacing w:val="0"/>
          <w:szCs w:val="20"/>
          <w:lang w:val="es-CO"/>
        </w:rPr>
        <w:t>para obtener la reparación del daño y ésta se concreta en el presente proceso civil”</w:t>
      </w:r>
      <w:r w:rsidR="00F34209" w:rsidRPr="00F34209">
        <w:rPr>
          <w:rStyle w:val="FootnoteReference"/>
          <w:spacing w:val="0"/>
          <w:sz w:val="20"/>
          <w:szCs w:val="20"/>
          <w:lang w:val="es-CO"/>
        </w:rPr>
        <w:footnoteReference w:id="164"/>
      </w:r>
      <w:r w:rsidR="00F34209" w:rsidRPr="00F34209">
        <w:rPr>
          <w:spacing w:val="0"/>
          <w:szCs w:val="20"/>
          <w:lang w:val="es-CO"/>
        </w:rPr>
        <w:t>.</w:t>
      </w:r>
      <w:r w:rsidR="00F34209">
        <w:rPr>
          <w:spacing w:val="0"/>
          <w:szCs w:val="20"/>
          <w:lang w:val="es-CO"/>
        </w:rPr>
        <w:t xml:space="preserve"> En efecto, l</w:t>
      </w:r>
      <w:r w:rsidRPr="00E85AD0">
        <w:rPr>
          <w:spacing w:val="0"/>
          <w:szCs w:val="20"/>
          <w:lang w:val="es-CO"/>
        </w:rPr>
        <w:t xml:space="preserve">a controversia en el proceso civil era solo el valor de los daños y perjuicios, por lo que no se trataba de un proceso complejo. Adicionalmente, la Corte advierte que </w:t>
      </w:r>
      <w:r w:rsidRPr="00D62DB8">
        <w:rPr>
          <w:spacing w:val="0"/>
          <w:szCs w:val="20"/>
          <w:lang w:val="es-CO"/>
        </w:rPr>
        <w:t xml:space="preserve">el Estado no ha demostrado que el retardo en el mismo se deba a la actividad procesal de la presunta </w:t>
      </w:r>
      <w:r w:rsidRPr="00D62DB8">
        <w:rPr>
          <w:rFonts w:cs="Arial"/>
          <w:spacing w:val="0"/>
          <w:szCs w:val="20"/>
          <w:lang w:val="es-CO"/>
        </w:rPr>
        <w:t xml:space="preserve">víctima. </w:t>
      </w:r>
      <w:r w:rsidRPr="00D62DB8">
        <w:rPr>
          <w:rFonts w:cs="Arial"/>
          <w:spacing w:val="0"/>
          <w:szCs w:val="20"/>
        </w:rPr>
        <w:t xml:space="preserve">En consecuencia, la Corte considera que no es necesario realizar un análisis detallado de los </w:t>
      </w:r>
      <w:r w:rsidR="0075006D" w:rsidRPr="00D62DB8">
        <w:rPr>
          <w:rFonts w:cs="Arial"/>
          <w:spacing w:val="0"/>
          <w:szCs w:val="20"/>
        </w:rPr>
        <w:t>elementos</w:t>
      </w:r>
      <w:r w:rsidRPr="00D62DB8">
        <w:rPr>
          <w:rFonts w:cs="Arial"/>
          <w:spacing w:val="0"/>
          <w:szCs w:val="20"/>
        </w:rPr>
        <w:t xml:space="preserve"> relativos al plazo razonable mencionados previamente ya que considera evidente que un plazo </w:t>
      </w:r>
      <w:r w:rsidRPr="00D62DB8">
        <w:rPr>
          <w:rFonts w:cs="Arial"/>
          <w:spacing w:val="0"/>
          <w:szCs w:val="20"/>
          <w:lang w:val="es-CO"/>
        </w:rPr>
        <w:t xml:space="preserve">de quince años para resolver y ejecutar un proceso por daños y perjuicios constituye una violación </w:t>
      </w:r>
      <w:r w:rsidR="00177EF7" w:rsidRPr="00D62DB8">
        <w:rPr>
          <w:rFonts w:cs="Arial"/>
          <w:spacing w:val="0"/>
          <w:szCs w:val="20"/>
        </w:rPr>
        <w:t xml:space="preserve">al plazo razonable. </w:t>
      </w:r>
      <w:r w:rsidR="00306619" w:rsidRPr="00D62DB8">
        <w:rPr>
          <w:rFonts w:cs="Arial"/>
          <w:spacing w:val="0"/>
          <w:szCs w:val="20"/>
        </w:rPr>
        <w:t xml:space="preserve"> </w:t>
      </w:r>
    </w:p>
    <w:p w14:paraId="611F026B" w14:textId="77777777" w:rsidR="00306619" w:rsidRDefault="00306619" w:rsidP="00306619">
      <w:pPr>
        <w:rPr>
          <w:lang w:val="es-CR" w:eastAsia="es-MX"/>
        </w:rPr>
      </w:pPr>
    </w:p>
    <w:p w14:paraId="1C2C811D" w14:textId="29E52317" w:rsidR="00306619" w:rsidRPr="00306619" w:rsidRDefault="00306619" w:rsidP="00306619">
      <w:pPr>
        <w:pStyle w:val="PrrafodeSentencia"/>
      </w:pPr>
      <w:bookmarkStart w:id="212" w:name="_Ref532900191"/>
      <w:r>
        <w:t>En consecuencia, el Estado violó el derecho a las garantías judiciales establecido en el artículo 8.1, en relación con el artículo 1.1 de la Convención Americana</w:t>
      </w:r>
      <w:r w:rsidR="00C75D17">
        <w:t xml:space="preserve">, </w:t>
      </w:r>
      <w:r w:rsidR="00C75D17" w:rsidRPr="00976B86">
        <w:rPr>
          <w:rFonts w:cs="Verdana"/>
          <w:bCs/>
          <w:iCs/>
          <w:noProof/>
          <w:szCs w:val="20"/>
          <w:lang w:val="es-ES_tradnl"/>
        </w:rPr>
        <w:t xml:space="preserve">respecto del señor </w:t>
      </w:r>
      <w:r w:rsidR="00C75D17">
        <w:rPr>
          <w:rFonts w:cs="Verdana"/>
          <w:bCs/>
          <w:iCs/>
          <w:noProof/>
          <w:szCs w:val="20"/>
          <w:lang w:val="es-ES_tradnl"/>
        </w:rPr>
        <w:t>Eduardo Benjamín Colindres Schonenberg</w:t>
      </w:r>
      <w:r>
        <w:t>.</w:t>
      </w:r>
      <w:bookmarkEnd w:id="212"/>
    </w:p>
    <w:p w14:paraId="7AC2B57B" w14:textId="77777777" w:rsidR="00772E4B" w:rsidRPr="0031789F" w:rsidRDefault="00772E4B" w:rsidP="00772E4B">
      <w:pPr>
        <w:jc w:val="both"/>
        <w:rPr>
          <w:b/>
          <w:lang w:val="es-CR" w:eastAsia="es-MX"/>
        </w:rPr>
      </w:pPr>
      <w:bookmarkStart w:id="213" w:name="_Ref431643901"/>
    </w:p>
    <w:p w14:paraId="37D8C024" w14:textId="77777777" w:rsidR="008B4406" w:rsidRPr="008B4406" w:rsidRDefault="008B4406" w:rsidP="008B4406">
      <w:pPr>
        <w:pStyle w:val="Heading1"/>
      </w:pPr>
      <w:bookmarkStart w:id="214" w:name="_Toc192586"/>
      <w:r w:rsidRPr="008B4406">
        <w:t>VII</w:t>
      </w:r>
      <w:bookmarkStart w:id="215" w:name="_Toc514063464"/>
      <w:bookmarkStart w:id="216" w:name="_Toc512961873"/>
      <w:bookmarkStart w:id="217" w:name="_Toc512499056"/>
      <w:bookmarkStart w:id="218" w:name="_Toc504661265"/>
      <w:bookmarkStart w:id="219" w:name="_Toc504656637"/>
      <w:bookmarkStart w:id="220" w:name="_Toc503594905"/>
      <w:bookmarkStart w:id="221" w:name="_Toc502891614"/>
      <w:bookmarkStart w:id="222" w:name="_Toc502023070"/>
      <w:bookmarkStart w:id="223" w:name="_Toc499146734"/>
      <w:r>
        <w:br/>
      </w:r>
      <w:r>
        <w:rPr>
          <w:rFonts w:eastAsiaTheme="minorHAnsi"/>
          <w:spacing w:val="-4"/>
          <w:lang w:val="es-ES_tradnl"/>
        </w:rPr>
        <w:t>REPARACIONES</w:t>
      </w:r>
      <w:bookmarkStart w:id="224" w:name="_Toc511735335"/>
      <w:bookmarkStart w:id="225" w:name="_Toc504661266"/>
      <w:bookmarkStart w:id="226" w:name="_Toc504656638"/>
      <w:bookmarkStart w:id="227" w:name="_Toc503594906"/>
      <w:bookmarkStart w:id="228" w:name="_Toc502891615"/>
      <w:bookmarkStart w:id="229" w:name="_Toc502885955"/>
      <w:bookmarkStart w:id="230" w:name="_Toc502023071"/>
      <w:bookmarkEnd w:id="215"/>
      <w:bookmarkEnd w:id="216"/>
      <w:bookmarkEnd w:id="217"/>
      <w:bookmarkEnd w:id="218"/>
      <w:bookmarkEnd w:id="219"/>
      <w:bookmarkEnd w:id="220"/>
      <w:bookmarkEnd w:id="221"/>
      <w:bookmarkEnd w:id="222"/>
      <w:bookmarkEnd w:id="223"/>
      <w:r>
        <w:rPr>
          <w:rFonts w:eastAsiaTheme="minorHAnsi"/>
          <w:spacing w:val="-4"/>
          <w:lang w:val="es-ES_tradnl"/>
        </w:rPr>
        <w:br/>
      </w:r>
      <w:r>
        <w:rPr>
          <w:lang w:val="es-ES_tradnl"/>
        </w:rPr>
        <w:t>(Aplicación del artículo 63.1 de la Convención Americana)</w:t>
      </w:r>
      <w:bookmarkEnd w:id="214"/>
      <w:bookmarkEnd w:id="224"/>
      <w:bookmarkEnd w:id="225"/>
      <w:bookmarkEnd w:id="226"/>
      <w:bookmarkEnd w:id="227"/>
      <w:bookmarkEnd w:id="228"/>
      <w:bookmarkEnd w:id="229"/>
      <w:bookmarkEnd w:id="230"/>
    </w:p>
    <w:p w14:paraId="11500823" w14:textId="77777777" w:rsidR="008B4406" w:rsidRDefault="008B4406" w:rsidP="008B4406">
      <w:pPr>
        <w:tabs>
          <w:tab w:val="left" w:pos="567"/>
        </w:tabs>
        <w:rPr>
          <w:spacing w:val="-4"/>
          <w:lang w:val="es-ES_tradnl"/>
        </w:rPr>
      </w:pPr>
    </w:p>
    <w:p w14:paraId="4654DF23" w14:textId="77777777" w:rsidR="008B4406" w:rsidRDefault="008B4406" w:rsidP="000E2D2F">
      <w:pPr>
        <w:pStyle w:val="PrrafodeSentencia"/>
      </w:pPr>
      <w:r w:rsidRPr="003F533F">
        <w:t>Sobre la base de lo dispuesto en el artículo 63.1 de la Convención Americana</w:t>
      </w:r>
      <w:r w:rsidRPr="003F533F">
        <w:rPr>
          <w:rStyle w:val="FootnoteReference"/>
          <w:sz w:val="20"/>
          <w:szCs w:val="20"/>
        </w:rPr>
        <w:footnoteReference w:id="165"/>
      </w:r>
      <w:r w:rsidRPr="003F533F">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w:t>
      </w:r>
      <w:r>
        <w:t xml:space="preserve">re responsabilidad de un </w:t>
      </w:r>
      <w:r w:rsidRPr="00176682">
        <w:t>Estado</w:t>
      </w:r>
      <w:r w:rsidRPr="00176682">
        <w:rPr>
          <w:rStyle w:val="FootnoteReference"/>
          <w:sz w:val="20"/>
          <w:szCs w:val="20"/>
          <w:lang w:val="es-ES_tradnl"/>
        </w:rPr>
        <w:footnoteReference w:id="166"/>
      </w:r>
      <w:r w:rsidRPr="00176682">
        <w:t>. Además, este Tribunal ha establecido que las reparaciones deben tener un nexo causal con los hechos del caso, las violaciones declaradas, los daños acreditados, así como las medidas solicitadas para reparar los daños respectivos</w:t>
      </w:r>
      <w:r w:rsidRPr="00176682">
        <w:rPr>
          <w:rStyle w:val="FootnoteReference"/>
          <w:sz w:val="20"/>
          <w:szCs w:val="20"/>
          <w:lang w:val="es-ES_tradnl"/>
        </w:rPr>
        <w:footnoteReference w:id="167"/>
      </w:r>
      <w:r w:rsidRPr="00176682">
        <w:t>. Por tanto, la Corte deberá analizar dicha concurrencia para pronunciarse debidamente y conforme a derecho</w:t>
      </w:r>
      <w:r w:rsidRPr="00176682">
        <w:rPr>
          <w:vertAlign w:val="superscript"/>
        </w:rPr>
        <w:footnoteReference w:id="168"/>
      </w:r>
      <w:r w:rsidRPr="00176682">
        <w:t>.</w:t>
      </w:r>
    </w:p>
    <w:p w14:paraId="410112F0" w14:textId="77777777" w:rsidR="008B4406" w:rsidRPr="00176682" w:rsidRDefault="008B4406" w:rsidP="008B4406">
      <w:pPr>
        <w:rPr>
          <w:lang w:val="es-CR" w:eastAsia="es-MX"/>
        </w:rPr>
      </w:pPr>
    </w:p>
    <w:p w14:paraId="61405721" w14:textId="1D3E9089" w:rsidR="008B4406" w:rsidRPr="00176682" w:rsidRDefault="008B4406" w:rsidP="000E2D2F">
      <w:pPr>
        <w:pStyle w:val="PrrafodeSentencia"/>
        <w:tabs>
          <w:tab w:val="left" w:pos="0"/>
        </w:tabs>
        <w:rPr>
          <w:szCs w:val="20"/>
        </w:rPr>
      </w:pPr>
      <w:r w:rsidRPr="00E25FD2">
        <w:t xml:space="preserve">En consecuencia, y sin perjuicio de cualquier forma de reparación que se acuerde posteriormente entre el Estado y la víctima, y de acuerdo con las consideraciones expuestas sobre el fondo y las violaciones a la Convención declaradas en la presente Sentencia, el Tribunal </w:t>
      </w:r>
      <w:r w:rsidRPr="00E25FD2">
        <w:lastRenderedPageBreak/>
        <w:t xml:space="preserve">procederá a analizar las pretensiones presentadas por la Comisión y los </w:t>
      </w:r>
      <w:r w:rsidRPr="00176682">
        <w:rPr>
          <w:szCs w:val="20"/>
        </w:rPr>
        <w:t>representantes de las víctimas, así como las observaciones del Estado a las mismas, a la luz de los criterios fijados en su jurisprudencia en relación con la naturaleza y alcance de la obligación de reparar, con el objeto de disponer las medidas dirigidas a reparar los daños ocasionados</w:t>
      </w:r>
      <w:r w:rsidRPr="00176682">
        <w:rPr>
          <w:rStyle w:val="FootnoteReference"/>
          <w:bCs/>
          <w:sz w:val="20"/>
          <w:szCs w:val="20"/>
        </w:rPr>
        <w:footnoteReference w:id="169"/>
      </w:r>
      <w:r w:rsidRPr="00176682">
        <w:rPr>
          <w:szCs w:val="20"/>
        </w:rPr>
        <w:t>.</w:t>
      </w:r>
    </w:p>
    <w:p w14:paraId="7C5B73F0" w14:textId="77777777" w:rsidR="008B4406" w:rsidRPr="003F533F" w:rsidRDefault="008B4406" w:rsidP="008B4406">
      <w:pPr>
        <w:tabs>
          <w:tab w:val="left" w:pos="567"/>
        </w:tabs>
        <w:rPr>
          <w:spacing w:val="-4"/>
          <w:szCs w:val="20"/>
          <w:lang w:val="es-CR" w:eastAsia="es-MX"/>
        </w:rPr>
      </w:pPr>
      <w:bookmarkStart w:id="231" w:name="_Toc375560978"/>
      <w:bookmarkStart w:id="232" w:name="_Toc499146735"/>
      <w:bookmarkStart w:id="233" w:name="_Toc480194724"/>
      <w:bookmarkStart w:id="234" w:name="_Toc430339025"/>
      <w:bookmarkStart w:id="235" w:name="_Toc426108479"/>
    </w:p>
    <w:p w14:paraId="5B7BAE0E" w14:textId="77777777" w:rsidR="008B4406" w:rsidRPr="000E2D2F" w:rsidRDefault="008B4406" w:rsidP="00507E89">
      <w:pPr>
        <w:pStyle w:val="Heading2"/>
        <w:keepNext w:val="0"/>
        <w:numPr>
          <w:ilvl w:val="0"/>
          <w:numId w:val="18"/>
        </w:numPr>
        <w:tabs>
          <w:tab w:val="left" w:pos="1134"/>
        </w:tabs>
        <w:ind w:left="1134" w:hanging="567"/>
        <w:rPr>
          <w:rFonts w:eastAsiaTheme="minorHAnsi"/>
        </w:rPr>
      </w:pPr>
      <w:bookmarkStart w:id="236" w:name="_Toc514063465"/>
      <w:bookmarkStart w:id="237" w:name="_Toc502891616"/>
      <w:bookmarkStart w:id="238" w:name="_Toc502885956"/>
      <w:bookmarkStart w:id="239" w:name="_Toc192587"/>
      <w:r w:rsidRPr="000E2D2F">
        <w:rPr>
          <w:rFonts w:eastAsiaTheme="minorHAnsi"/>
        </w:rPr>
        <w:t>Parte Lesionada</w:t>
      </w:r>
      <w:bookmarkEnd w:id="231"/>
      <w:bookmarkEnd w:id="232"/>
      <w:bookmarkEnd w:id="233"/>
      <w:bookmarkEnd w:id="234"/>
      <w:bookmarkEnd w:id="235"/>
      <w:bookmarkEnd w:id="236"/>
      <w:bookmarkEnd w:id="237"/>
      <w:bookmarkEnd w:id="238"/>
      <w:bookmarkEnd w:id="239"/>
    </w:p>
    <w:p w14:paraId="32D13045" w14:textId="77777777" w:rsidR="008B4406" w:rsidRPr="003F533F" w:rsidRDefault="008B4406" w:rsidP="008B4406">
      <w:pPr>
        <w:tabs>
          <w:tab w:val="left" w:pos="567"/>
        </w:tabs>
        <w:rPr>
          <w:spacing w:val="-4"/>
          <w:szCs w:val="20"/>
          <w:lang w:val="es-CR" w:eastAsia="es-MX"/>
        </w:rPr>
      </w:pPr>
      <w:bookmarkStart w:id="240" w:name="_Ref469938768"/>
    </w:p>
    <w:p w14:paraId="1E359119" w14:textId="77777777" w:rsidR="008B4406" w:rsidRPr="003F533F" w:rsidRDefault="008B4406" w:rsidP="000E2D2F">
      <w:pPr>
        <w:pStyle w:val="PrrafodeSentencia"/>
        <w:tabs>
          <w:tab w:val="left" w:pos="0"/>
        </w:tabs>
        <w:rPr>
          <w:szCs w:val="20"/>
        </w:rPr>
      </w:pPr>
      <w:r w:rsidRPr="003F533F">
        <w:rPr>
          <w:szCs w:val="20"/>
        </w:rPr>
        <w:t>Este Tribunal considera parte lesionada, en los términos del artículo 63.1 de la Convención, a quien ha sido declarada víctima de la violación de algún derecho reconocido en la misma. Por lo tanto, esta Corte considera como “parte lesionada” a</w:t>
      </w:r>
      <w:r>
        <w:rPr>
          <w:szCs w:val="20"/>
        </w:rPr>
        <w:t xml:space="preserve"> Eduardo</w:t>
      </w:r>
      <w:r w:rsidRPr="003F533F">
        <w:rPr>
          <w:szCs w:val="20"/>
        </w:rPr>
        <w:t xml:space="preserve"> </w:t>
      </w:r>
      <w:r>
        <w:rPr>
          <w:szCs w:val="20"/>
        </w:rPr>
        <w:t>Benjamín Colindres Schonenberg</w:t>
      </w:r>
      <w:r w:rsidRPr="003F533F">
        <w:rPr>
          <w:szCs w:val="20"/>
        </w:rPr>
        <w:t>, quien</w:t>
      </w:r>
      <w:r>
        <w:rPr>
          <w:szCs w:val="20"/>
        </w:rPr>
        <w:t xml:space="preserve"> en su carácter de víctima</w:t>
      </w:r>
      <w:r w:rsidRPr="003F533F">
        <w:rPr>
          <w:szCs w:val="20"/>
        </w:rPr>
        <w:t xml:space="preserve"> de las violacio</w:t>
      </w:r>
      <w:r>
        <w:rPr>
          <w:szCs w:val="20"/>
        </w:rPr>
        <w:t xml:space="preserve">nes declaradas en el capítulo </w:t>
      </w:r>
      <w:r w:rsidR="000E2D2F">
        <w:rPr>
          <w:szCs w:val="20"/>
        </w:rPr>
        <w:t>VI</w:t>
      </w:r>
      <w:r>
        <w:rPr>
          <w:szCs w:val="20"/>
        </w:rPr>
        <w:t xml:space="preserve"> será</w:t>
      </w:r>
      <w:r w:rsidRPr="003F533F">
        <w:rPr>
          <w:szCs w:val="20"/>
        </w:rPr>
        <w:t xml:space="preserve"> </w:t>
      </w:r>
      <w:r>
        <w:rPr>
          <w:szCs w:val="20"/>
        </w:rPr>
        <w:t>beneficia</w:t>
      </w:r>
      <w:r w:rsidRPr="003F533F">
        <w:rPr>
          <w:szCs w:val="20"/>
        </w:rPr>
        <w:t>r</w:t>
      </w:r>
      <w:r>
        <w:rPr>
          <w:szCs w:val="20"/>
        </w:rPr>
        <w:t>io</w:t>
      </w:r>
      <w:r w:rsidRPr="003F533F">
        <w:rPr>
          <w:szCs w:val="20"/>
        </w:rPr>
        <w:t xml:space="preserve"> de l</w:t>
      </w:r>
      <w:r>
        <w:rPr>
          <w:szCs w:val="20"/>
        </w:rPr>
        <w:t xml:space="preserve">as reparaciones </w:t>
      </w:r>
      <w:r w:rsidRPr="003F533F">
        <w:rPr>
          <w:szCs w:val="20"/>
        </w:rPr>
        <w:t>que la Corte ordene</w:t>
      </w:r>
      <w:bookmarkEnd w:id="240"/>
      <w:r>
        <w:rPr>
          <w:szCs w:val="20"/>
        </w:rPr>
        <w:t>.</w:t>
      </w:r>
    </w:p>
    <w:p w14:paraId="080C313F" w14:textId="77777777" w:rsidR="008B4406" w:rsidRPr="003F533F" w:rsidRDefault="008B4406" w:rsidP="008B4406">
      <w:pPr>
        <w:rPr>
          <w:szCs w:val="20"/>
          <w:lang w:val="es-CR" w:eastAsia="es-MX"/>
        </w:rPr>
      </w:pPr>
    </w:p>
    <w:p w14:paraId="3839DE50" w14:textId="7021B261" w:rsidR="008B4406" w:rsidRDefault="008B4406" w:rsidP="001F5BB9">
      <w:pPr>
        <w:pStyle w:val="Heading2"/>
        <w:keepNext w:val="0"/>
        <w:numPr>
          <w:ilvl w:val="0"/>
          <w:numId w:val="18"/>
        </w:numPr>
        <w:tabs>
          <w:tab w:val="left" w:pos="567"/>
          <w:tab w:val="left" w:pos="1134"/>
        </w:tabs>
        <w:ind w:left="1134" w:hanging="567"/>
      </w:pPr>
      <w:bookmarkStart w:id="241" w:name="_Toc192588"/>
      <w:r>
        <w:t>Medidas de satisfacción</w:t>
      </w:r>
      <w:bookmarkEnd w:id="241"/>
    </w:p>
    <w:p w14:paraId="042A931E" w14:textId="77777777" w:rsidR="001F5BB9" w:rsidRPr="001F5BB9" w:rsidRDefault="001F5BB9" w:rsidP="001F5BB9">
      <w:pPr>
        <w:rPr>
          <w:lang w:val="es-CR" w:eastAsia="es-ES"/>
        </w:rPr>
      </w:pPr>
    </w:p>
    <w:p w14:paraId="5C7E2FF8" w14:textId="6B057675" w:rsidR="008B4406" w:rsidRDefault="008B4406" w:rsidP="000E2D2F">
      <w:pPr>
        <w:pStyle w:val="PrrafodeSentencia"/>
        <w:tabs>
          <w:tab w:val="left" w:pos="0"/>
        </w:tabs>
        <w:rPr>
          <w:rFonts w:cs="Georgia"/>
          <w:b/>
          <w:szCs w:val="20"/>
        </w:rPr>
      </w:pPr>
      <w:r>
        <w:t xml:space="preserve">Los </w:t>
      </w:r>
      <w:r w:rsidRPr="00F10004">
        <w:rPr>
          <w:b/>
          <w:i/>
        </w:rPr>
        <w:t>representantes</w:t>
      </w:r>
      <w:r>
        <w:t xml:space="preserve"> solicitaron ordenar, como medida de satisfacción, la publicación del texto de la sentencia “</w:t>
      </w:r>
      <w:r w:rsidRPr="008002AE">
        <w:t>en las página</w:t>
      </w:r>
      <w:r w:rsidR="003F3111">
        <w:t>[</w:t>
      </w:r>
      <w:r>
        <w:t>s</w:t>
      </w:r>
      <w:r w:rsidR="003F3111">
        <w:t>]</w:t>
      </w:r>
      <w:r w:rsidRPr="008002AE">
        <w:t xml:space="preserve"> electrónicas de la Corte Suprema de Justicia, la</w:t>
      </w:r>
      <w:r>
        <w:t xml:space="preserve"> </w:t>
      </w:r>
      <w:r w:rsidRPr="00B42818">
        <w:rPr>
          <w:rFonts w:cs="Georgia"/>
          <w:szCs w:val="20"/>
        </w:rPr>
        <w:t>Asamblea Legislativa, el Tribunal Supremo Electoral y del Ministerio de Relaciones</w:t>
      </w:r>
      <w:r>
        <w:rPr>
          <w:rFonts w:cs="Georgia"/>
          <w:szCs w:val="20"/>
        </w:rPr>
        <w:t xml:space="preserve"> </w:t>
      </w:r>
      <w:r w:rsidRPr="00B42818">
        <w:rPr>
          <w:rFonts w:cs="Georgia"/>
          <w:szCs w:val="20"/>
        </w:rPr>
        <w:t>Exteriores”.</w:t>
      </w:r>
      <w:r w:rsidRPr="00B42818">
        <w:rPr>
          <w:rFonts w:cs="Georgia"/>
          <w:b/>
          <w:szCs w:val="20"/>
        </w:rPr>
        <w:t xml:space="preserve"> </w:t>
      </w:r>
    </w:p>
    <w:p w14:paraId="700323F8" w14:textId="77777777" w:rsidR="008B4406" w:rsidRPr="00521E39" w:rsidRDefault="008B4406" w:rsidP="008B4406">
      <w:pPr>
        <w:rPr>
          <w:lang w:val="es-CR" w:eastAsia="es-MX"/>
        </w:rPr>
      </w:pPr>
    </w:p>
    <w:p w14:paraId="06EEDAE2" w14:textId="77777777" w:rsidR="004C6A7F" w:rsidRDefault="008B4406" w:rsidP="000E2D2F">
      <w:pPr>
        <w:pStyle w:val="PrrafodeSentencia"/>
        <w:tabs>
          <w:tab w:val="left" w:pos="0"/>
        </w:tabs>
        <w:rPr>
          <w:rFonts w:cs="Georgia"/>
          <w:szCs w:val="20"/>
        </w:rPr>
      </w:pPr>
      <w:bookmarkStart w:id="242" w:name="_Ref532899431"/>
      <w:r w:rsidRPr="00521E39">
        <w:rPr>
          <w:szCs w:val="20"/>
        </w:rPr>
        <w:t xml:space="preserve">La </w:t>
      </w:r>
      <w:r w:rsidRPr="00750482">
        <w:rPr>
          <w:szCs w:val="20"/>
        </w:rPr>
        <w:t xml:space="preserve">Corte </w:t>
      </w:r>
      <w:r w:rsidRPr="00521E39">
        <w:rPr>
          <w:szCs w:val="20"/>
        </w:rPr>
        <w:t>dispone, como lo ha hecho en otros casos</w:t>
      </w:r>
      <w:r w:rsidRPr="00351D31">
        <w:rPr>
          <w:vertAlign w:val="superscript"/>
        </w:rPr>
        <w:footnoteReference w:id="170"/>
      </w:r>
      <w:r w:rsidRPr="00521E39">
        <w:rPr>
          <w:szCs w:val="20"/>
        </w:rPr>
        <w:t xml:space="preserve">, </w:t>
      </w:r>
      <w:r w:rsidRPr="00521E39">
        <w:rPr>
          <w:rFonts w:cs="Verdana"/>
          <w:lang w:val="es-ES"/>
        </w:rPr>
        <w:t xml:space="preserve">que el Estado debe publicar, en el plazo de seis meses, contado a partir de la notificación de la presente Sentencia: a) el resumen </w:t>
      </w:r>
      <w:r w:rsidRPr="00521E39">
        <w:rPr>
          <w:szCs w:val="20"/>
        </w:rPr>
        <w:t>oficial</w:t>
      </w:r>
      <w:r w:rsidRPr="00521E39">
        <w:rPr>
          <w:rFonts w:cs="Verdana"/>
          <w:lang w:val="es-ES"/>
        </w:rPr>
        <w:t xml:space="preserve"> de la presente Sentencia elaborado por la Corte, por una sola vez, en el Diario Oficial; b) el </w:t>
      </w:r>
      <w:r w:rsidRPr="00521E39">
        <w:rPr>
          <w:szCs w:val="20"/>
        </w:rPr>
        <w:t>resumen</w:t>
      </w:r>
      <w:r w:rsidRPr="00521E39">
        <w:rPr>
          <w:rFonts w:cs="Verdana"/>
          <w:lang w:val="es-ES"/>
        </w:rPr>
        <w:t xml:space="preserve"> oficial de la presente Sentencia elaborado por la Corte, por una sola vez, en un diario de amplia circulación nacional, </w:t>
      </w:r>
      <w:r w:rsidR="004C6A7F">
        <w:t xml:space="preserve">en un tamaño de letra legible y adecuado, </w:t>
      </w:r>
      <w:r w:rsidRPr="00521E39">
        <w:rPr>
          <w:rFonts w:cs="Verdana"/>
          <w:lang w:val="es-ES"/>
        </w:rPr>
        <w:t xml:space="preserve">y c) la presente Sentencia en su integridad, disponible por un período de un año, en </w:t>
      </w:r>
      <w:r>
        <w:rPr>
          <w:rFonts w:cs="Verdana"/>
          <w:lang w:val="es-ES"/>
        </w:rPr>
        <w:t xml:space="preserve">los sitios web oficiales de la </w:t>
      </w:r>
      <w:r w:rsidRPr="008002AE">
        <w:t>Corte Suprema de Justicia, la</w:t>
      </w:r>
      <w:r>
        <w:t xml:space="preserve"> </w:t>
      </w:r>
      <w:r w:rsidR="00831A9C">
        <w:rPr>
          <w:rFonts w:cs="Georgia"/>
          <w:szCs w:val="20"/>
        </w:rPr>
        <w:t xml:space="preserve">Asamblea Legislativa y </w:t>
      </w:r>
      <w:r w:rsidRPr="00B42818">
        <w:rPr>
          <w:rFonts w:cs="Georgia"/>
          <w:szCs w:val="20"/>
        </w:rPr>
        <w:t>el Tribunal Supremo Electoral</w:t>
      </w:r>
      <w:r>
        <w:rPr>
          <w:rFonts w:cs="Georgia"/>
          <w:szCs w:val="20"/>
        </w:rPr>
        <w:t xml:space="preserve">. </w:t>
      </w:r>
    </w:p>
    <w:p w14:paraId="6EBF893E" w14:textId="77777777" w:rsidR="004C6A7F" w:rsidRPr="004C6A7F" w:rsidRDefault="004C6A7F" w:rsidP="004C6A7F">
      <w:pPr>
        <w:rPr>
          <w:lang w:val="es-CR" w:eastAsia="es-MX"/>
        </w:rPr>
      </w:pPr>
    </w:p>
    <w:p w14:paraId="4387C9FE" w14:textId="144FC813" w:rsidR="008B4406" w:rsidRPr="00521E39" w:rsidRDefault="008B4406" w:rsidP="006D0723">
      <w:pPr>
        <w:pStyle w:val="PrrafodeSentencia"/>
        <w:tabs>
          <w:tab w:val="left" w:pos="0"/>
        </w:tabs>
        <w:rPr>
          <w:rFonts w:cs="Georgia"/>
          <w:b/>
          <w:szCs w:val="20"/>
        </w:rPr>
      </w:pPr>
      <w:r w:rsidRPr="00521E39">
        <w:rPr>
          <w:szCs w:val="20"/>
        </w:rPr>
        <w:t xml:space="preserve"> </w:t>
      </w:r>
      <w:bookmarkStart w:id="243" w:name="_Ref866296"/>
      <w:r w:rsidRPr="00521E39">
        <w:rPr>
          <w:szCs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3F3111">
        <w:rPr>
          <w:szCs w:val="20"/>
        </w:rPr>
        <w:fldChar w:fldCharType="begin"/>
      </w:r>
      <w:r w:rsidR="003F3111">
        <w:rPr>
          <w:szCs w:val="20"/>
        </w:rPr>
        <w:instrText xml:space="preserve"> REF _Ref536707827 \r \h </w:instrText>
      </w:r>
      <w:r w:rsidR="003F3111">
        <w:rPr>
          <w:szCs w:val="20"/>
        </w:rPr>
      </w:r>
      <w:r w:rsidR="003F3111">
        <w:rPr>
          <w:szCs w:val="20"/>
        </w:rPr>
        <w:fldChar w:fldCharType="separate"/>
      </w:r>
      <w:r w:rsidR="002D28B2">
        <w:rPr>
          <w:szCs w:val="20"/>
        </w:rPr>
        <w:t>8</w:t>
      </w:r>
      <w:r w:rsidR="003F3111">
        <w:rPr>
          <w:szCs w:val="20"/>
        </w:rPr>
        <w:fldChar w:fldCharType="end"/>
      </w:r>
      <w:r w:rsidRPr="00521E39">
        <w:rPr>
          <w:szCs w:val="20"/>
        </w:rPr>
        <w:t xml:space="preserve"> de la presente Sentencia.</w:t>
      </w:r>
      <w:bookmarkEnd w:id="242"/>
      <w:bookmarkEnd w:id="243"/>
      <w:r w:rsidRPr="00521E39">
        <w:rPr>
          <w:szCs w:val="20"/>
        </w:rPr>
        <w:t xml:space="preserve"> </w:t>
      </w:r>
    </w:p>
    <w:p w14:paraId="4B5CFA80" w14:textId="77777777" w:rsidR="008B4406" w:rsidRDefault="008B4406" w:rsidP="006D0723">
      <w:pPr>
        <w:rPr>
          <w:b/>
          <w:lang w:val="es-CR" w:eastAsia="es-MX"/>
        </w:rPr>
      </w:pPr>
    </w:p>
    <w:p w14:paraId="4902E98D" w14:textId="694963BD" w:rsidR="008B4406" w:rsidRDefault="008B4406" w:rsidP="006D0723">
      <w:pPr>
        <w:pStyle w:val="Heading2"/>
        <w:numPr>
          <w:ilvl w:val="0"/>
          <w:numId w:val="18"/>
        </w:numPr>
        <w:ind w:left="1134" w:hanging="414"/>
      </w:pPr>
      <w:bookmarkStart w:id="244" w:name="_Toc192589"/>
      <w:r>
        <w:t>Garantía de no repetición</w:t>
      </w:r>
      <w:bookmarkEnd w:id="244"/>
    </w:p>
    <w:p w14:paraId="47F638B6" w14:textId="77777777" w:rsidR="0001362E" w:rsidRPr="0001362E" w:rsidRDefault="0001362E" w:rsidP="006D0723">
      <w:pPr>
        <w:rPr>
          <w:lang w:val="es-CR" w:eastAsia="es-ES"/>
        </w:rPr>
      </w:pPr>
    </w:p>
    <w:p w14:paraId="0FC69307" w14:textId="13A6A43B" w:rsidR="008B4406" w:rsidRPr="003D499C" w:rsidRDefault="008B4406" w:rsidP="006D0723">
      <w:pPr>
        <w:pStyle w:val="PrrafodeSentencia"/>
        <w:tabs>
          <w:tab w:val="left" w:pos="0"/>
        </w:tabs>
        <w:rPr>
          <w:rFonts w:ascii="Georgia" w:hAnsi="Georgia" w:cs="Georgia"/>
          <w:sz w:val="24"/>
          <w:szCs w:val="24"/>
        </w:rPr>
      </w:pPr>
      <w:r w:rsidRPr="00A86341">
        <w:t xml:space="preserve">La </w:t>
      </w:r>
      <w:r w:rsidRPr="00A86341">
        <w:rPr>
          <w:b/>
          <w:i/>
        </w:rPr>
        <w:t>Comisión</w:t>
      </w:r>
      <w:r w:rsidRPr="00A86341">
        <w:t xml:space="preserve"> solicitó como</w:t>
      </w:r>
      <w:r>
        <w:t xml:space="preserve"> medida de no repetición en el presente caso</w:t>
      </w:r>
      <w:r w:rsidRPr="00A86341">
        <w:t xml:space="preserve"> </w:t>
      </w:r>
      <w:r>
        <w:t>“d</w:t>
      </w:r>
      <w:r w:rsidRPr="008002AE">
        <w:t xml:space="preserve">isponer las modificaciones normativas </w:t>
      </w:r>
      <w:r>
        <w:t xml:space="preserve">[…] </w:t>
      </w:r>
      <w:r w:rsidRPr="008002AE">
        <w:t>necesarias para asegurar que los</w:t>
      </w:r>
      <w:r>
        <w:t xml:space="preserve"> </w:t>
      </w:r>
      <w:r w:rsidRPr="008002AE">
        <w:t xml:space="preserve">procesos </w:t>
      </w:r>
      <w:r>
        <w:t>discip</w:t>
      </w:r>
      <w:r w:rsidRPr="008002AE">
        <w:t>linarios contra magistrados del Tribu</w:t>
      </w:r>
      <w:r>
        <w:t>nal Supremo Electoral tanto en la regulación como en l</w:t>
      </w:r>
      <w:r w:rsidRPr="008002AE">
        <w:t>a</w:t>
      </w:r>
      <w:r>
        <w:t xml:space="preserve"> </w:t>
      </w:r>
      <w:r w:rsidRPr="008002AE">
        <w:t>práctica, sean realizados con garantías de competencia</w:t>
      </w:r>
      <w:r>
        <w:t>, independencia e imparcialidad, en est</w:t>
      </w:r>
      <w:r w:rsidRPr="008002AE">
        <w:t>ricto apego al</w:t>
      </w:r>
      <w:r>
        <w:t xml:space="preserve"> </w:t>
      </w:r>
      <w:r w:rsidRPr="008002AE">
        <w:t>derecho de defensa, así como que las causales disciplinarias y las sanciones aplicables sean compatibles con el</w:t>
      </w:r>
      <w:r>
        <w:t xml:space="preserve"> principio</w:t>
      </w:r>
      <w:r w:rsidRPr="008002AE">
        <w:t xml:space="preserve"> de legalidad</w:t>
      </w:r>
      <w:r>
        <w:t xml:space="preserve">”. </w:t>
      </w:r>
      <w:r w:rsidRPr="00D619F4">
        <w:rPr>
          <w:szCs w:val="20"/>
        </w:rPr>
        <w:t xml:space="preserve">Los </w:t>
      </w:r>
      <w:r w:rsidRPr="00D619F4">
        <w:rPr>
          <w:b/>
          <w:i/>
          <w:szCs w:val="20"/>
        </w:rPr>
        <w:t>representantes</w:t>
      </w:r>
      <w:r w:rsidRPr="00D619F4">
        <w:rPr>
          <w:szCs w:val="20"/>
        </w:rPr>
        <w:t xml:space="preserve"> se adhirieron a lo solicitado por la Comisión, a</w:t>
      </w:r>
      <w:r>
        <w:rPr>
          <w:szCs w:val="20"/>
        </w:rPr>
        <w:t>clarando</w:t>
      </w:r>
      <w:r w:rsidRPr="00D619F4">
        <w:rPr>
          <w:szCs w:val="20"/>
        </w:rPr>
        <w:t xml:space="preserve"> que</w:t>
      </w:r>
      <w:r>
        <w:rPr>
          <w:szCs w:val="20"/>
        </w:rPr>
        <w:t xml:space="preserve"> en la actualidad</w:t>
      </w:r>
      <w:r w:rsidRPr="00D619F4">
        <w:rPr>
          <w:szCs w:val="20"/>
        </w:rPr>
        <w:t xml:space="preserve"> “</w:t>
      </w:r>
      <w:r w:rsidRPr="00D619F4">
        <w:rPr>
          <w:rFonts w:cs="Georgia"/>
          <w:szCs w:val="20"/>
        </w:rPr>
        <w:t>no hay un procedimiento previamente establecido y específico para cesar en sus funciones a un magistrado del TSE existiendo, por consiguiente, un vacío normativo”</w:t>
      </w:r>
      <w:r w:rsidRPr="00D619F4">
        <w:rPr>
          <w:szCs w:val="20"/>
        </w:rPr>
        <w:t xml:space="preserve"> solicitando </w:t>
      </w:r>
      <w:r w:rsidRPr="003D499C">
        <w:rPr>
          <w:szCs w:val="20"/>
        </w:rPr>
        <w:t>además, la estipulación de un plazo para que El Salvador realice las modificaciones normativas pertinentes.</w:t>
      </w:r>
      <w:r w:rsidRPr="003D499C">
        <w:t xml:space="preserve"> </w:t>
      </w:r>
    </w:p>
    <w:p w14:paraId="50032DFD" w14:textId="77777777" w:rsidR="008B4406" w:rsidRPr="003D499C" w:rsidRDefault="008B4406" w:rsidP="008B4406">
      <w:pPr>
        <w:rPr>
          <w:lang w:val="es-CR" w:eastAsia="es-MX"/>
        </w:rPr>
      </w:pPr>
    </w:p>
    <w:p w14:paraId="4D164DEF" w14:textId="025A75C5" w:rsidR="00743B11" w:rsidRPr="003D499C" w:rsidRDefault="008B4406" w:rsidP="000E2D2F">
      <w:pPr>
        <w:pStyle w:val="PrrafodeSentencia"/>
        <w:tabs>
          <w:tab w:val="left" w:pos="0"/>
        </w:tabs>
      </w:pPr>
      <w:r w:rsidRPr="003D499C">
        <w:t xml:space="preserve">Este Tribunal ya concluyó que en el presente caso la destitución del señor Colindres Schonenberg fue realizada en </w:t>
      </w:r>
      <w:r w:rsidR="00DD5239" w:rsidRPr="003D499C">
        <w:t xml:space="preserve">seguimiento </w:t>
      </w:r>
      <w:r w:rsidRPr="003D499C">
        <w:t xml:space="preserve">de una decisión de la Sala de lo Constitucional sin que existiera una normativa que la permitiese y reglamentase. La regulación existente en El </w:t>
      </w:r>
      <w:r w:rsidRPr="003D499C">
        <w:lastRenderedPageBreak/>
        <w:t>Salvador prevé que los magistrados del TSE son electos por un período de cinco años, durante el cual solo pueden ser depuestos de su cargo en casos que cometan un delito oficial o común y como consecuencia de la aplicación de un procedimiento expresamente establecido en la Constitución (</w:t>
      </w:r>
      <w:r w:rsidRPr="003D499C">
        <w:rPr>
          <w:i/>
        </w:rPr>
        <w:t xml:space="preserve">supra </w:t>
      </w:r>
      <w:r w:rsidR="0001362E" w:rsidRPr="003D499C">
        <w:t xml:space="preserve">párr. </w:t>
      </w:r>
      <w:r w:rsidR="003F3111">
        <w:fldChar w:fldCharType="begin"/>
      </w:r>
      <w:r w:rsidR="003F3111">
        <w:instrText xml:space="preserve"> REF _Ref536612800 \r \h </w:instrText>
      </w:r>
      <w:r w:rsidR="003F3111">
        <w:fldChar w:fldCharType="separate"/>
      </w:r>
      <w:r w:rsidR="002D28B2">
        <w:t>23</w:t>
      </w:r>
      <w:r w:rsidR="003F3111">
        <w:fldChar w:fldCharType="end"/>
      </w:r>
      <w:r w:rsidR="0001362E" w:rsidRPr="003D499C">
        <w:t xml:space="preserve">). La Corte considera </w:t>
      </w:r>
      <w:r w:rsidRPr="003D499C">
        <w:t xml:space="preserve">que no resulta contrario a la Convención Americana que solo se pueda destituir a un magistrado del Tribunal Supremo Electoral cuando este cometa un delito, especialmente tomando en cuenta que son electos por un período de cinco años. </w:t>
      </w:r>
      <w:r w:rsidR="00743B11" w:rsidRPr="003D499C">
        <w:t>Por tanto, es innecesario ordenar un cambio legislativo en este sentido.</w:t>
      </w:r>
    </w:p>
    <w:p w14:paraId="237FF88C" w14:textId="77777777" w:rsidR="00743B11" w:rsidRPr="00DF7F8F" w:rsidRDefault="00743B11" w:rsidP="00DF7F8F">
      <w:pPr>
        <w:pStyle w:val="Header"/>
        <w:tabs>
          <w:tab w:val="clear" w:pos="4419"/>
          <w:tab w:val="clear" w:pos="8838"/>
        </w:tabs>
        <w:rPr>
          <w:lang w:val="es-CR" w:eastAsia="es-MX"/>
        </w:rPr>
      </w:pPr>
    </w:p>
    <w:p w14:paraId="18DA54EA" w14:textId="01241A3F" w:rsidR="008620B3" w:rsidRPr="003D499C" w:rsidRDefault="008B4406" w:rsidP="00983B55">
      <w:pPr>
        <w:pStyle w:val="PrrafodeSentencia"/>
        <w:tabs>
          <w:tab w:val="left" w:pos="0"/>
        </w:tabs>
        <w:rPr>
          <w:szCs w:val="20"/>
        </w:rPr>
      </w:pPr>
      <w:r w:rsidRPr="003D499C">
        <w:t>Sin embargo, sí resulta contrario a la Convención Americana, tal como se concluyó en este caso, que un magistrado sea destituido sin que exista una ley previa que prevea esa posibilidad.</w:t>
      </w:r>
      <w:r w:rsidR="00983B55" w:rsidRPr="003D499C">
        <w:t xml:space="preserve"> En este sentido, en la presente Sentencia se concluyó que el Estado t</w:t>
      </w:r>
      <w:r w:rsidR="00C04C73" w:rsidRPr="003D499C">
        <w:t>iene</w:t>
      </w:r>
      <w:r w:rsidR="00983B55" w:rsidRPr="003D499C">
        <w:t xml:space="preserve"> la obligación de suprimir la práctica mediante la cual se permite las destituciones de magistrados del TSE en supuestos distintos a los establecidos en la ley (</w:t>
      </w:r>
      <w:r w:rsidR="00983B55" w:rsidRPr="003D499C">
        <w:rPr>
          <w:i/>
        </w:rPr>
        <w:t xml:space="preserve">supra </w:t>
      </w:r>
      <w:r w:rsidR="00983B55" w:rsidRPr="003D499C">
        <w:t xml:space="preserve">párrs. </w:t>
      </w:r>
      <w:r w:rsidR="00E53C42">
        <w:fldChar w:fldCharType="begin"/>
      </w:r>
      <w:r w:rsidR="00E53C42">
        <w:instrText xml:space="preserve"> REF _Ref308535770 \r \h </w:instrText>
      </w:r>
      <w:r w:rsidR="00E53C42">
        <w:fldChar w:fldCharType="separate"/>
      </w:r>
      <w:r w:rsidR="002D28B2">
        <w:t>96</w:t>
      </w:r>
      <w:r w:rsidR="00E53C42">
        <w:fldChar w:fldCharType="end"/>
      </w:r>
      <w:r w:rsidR="00E53C42">
        <w:t xml:space="preserve"> a </w:t>
      </w:r>
      <w:r w:rsidR="00E53C42">
        <w:fldChar w:fldCharType="begin"/>
      </w:r>
      <w:r w:rsidR="00E53C42">
        <w:instrText xml:space="preserve"> REF _Ref536708718 \r \h </w:instrText>
      </w:r>
      <w:r w:rsidR="00E53C42">
        <w:fldChar w:fldCharType="separate"/>
      </w:r>
      <w:r w:rsidR="002D28B2">
        <w:t>98</w:t>
      </w:r>
      <w:r w:rsidR="00E53C42">
        <w:fldChar w:fldCharType="end"/>
      </w:r>
      <w:r w:rsidR="00983B55" w:rsidRPr="003D499C">
        <w:t xml:space="preserve">). </w:t>
      </w:r>
      <w:r w:rsidR="00C04C73" w:rsidRPr="003D499C">
        <w:t xml:space="preserve">Esta obligación puede ser cumplida mediante una correcta aplicación del control de convencionalidad. </w:t>
      </w:r>
    </w:p>
    <w:p w14:paraId="533F2694" w14:textId="77777777" w:rsidR="0001362E" w:rsidRPr="003D499C" w:rsidRDefault="0001362E" w:rsidP="0001362E">
      <w:pPr>
        <w:pStyle w:val="PrrafodeSentencia"/>
        <w:numPr>
          <w:ilvl w:val="0"/>
          <w:numId w:val="0"/>
        </w:numPr>
        <w:tabs>
          <w:tab w:val="left" w:pos="0"/>
        </w:tabs>
        <w:rPr>
          <w:szCs w:val="20"/>
        </w:rPr>
      </w:pPr>
    </w:p>
    <w:p w14:paraId="7491098D" w14:textId="2A70B472" w:rsidR="008B4406" w:rsidRPr="0001362E" w:rsidRDefault="00D705F2" w:rsidP="0001362E">
      <w:pPr>
        <w:pStyle w:val="PrrafodeSentencia"/>
        <w:tabs>
          <w:tab w:val="left" w:pos="0"/>
        </w:tabs>
        <w:rPr>
          <w:szCs w:val="20"/>
        </w:rPr>
      </w:pPr>
      <w:r w:rsidRPr="003D499C">
        <w:rPr>
          <w:szCs w:val="20"/>
        </w:rPr>
        <w:t>Esta Corte ha señalado</w:t>
      </w:r>
      <w:r w:rsidRPr="003D499C">
        <w:t xml:space="preserve"> que todas las autoridades de un </w:t>
      </w:r>
      <w:r w:rsidRPr="00A93988">
        <w:rPr>
          <w:szCs w:val="20"/>
        </w:rPr>
        <w:t>Estado Parte en la Convención, tienen la obligación de ejercer un “control de convencionalidad”</w:t>
      </w:r>
      <w:r w:rsidR="008620B3" w:rsidRPr="00A93988">
        <w:t xml:space="preserve"> entre</w:t>
      </w:r>
      <w:r w:rsidR="00D62DB8" w:rsidRPr="00A93988">
        <w:t xml:space="preserve"> los actos u omisiones y</w:t>
      </w:r>
      <w:r w:rsidR="008620B3" w:rsidRPr="00A93988">
        <w:t xml:space="preserve"> las normas internas y la Convención Americana</w:t>
      </w:r>
      <w:r w:rsidRPr="00A93988">
        <w:rPr>
          <w:szCs w:val="20"/>
        </w:rPr>
        <w:t>, de forma tal que la interpretación y</w:t>
      </w:r>
      <w:r w:rsidRPr="0001362E">
        <w:rPr>
          <w:szCs w:val="20"/>
        </w:rPr>
        <w:t xml:space="preserve"> aplicación del derecho nacional sea consistente con las obligaciones internacionales del Estado en materia de derechos humanos</w:t>
      </w:r>
      <w:r w:rsidR="008620B3" w:rsidRPr="00D705F2">
        <w:rPr>
          <w:rStyle w:val="FootnoteReference"/>
          <w:sz w:val="20"/>
          <w:szCs w:val="20"/>
        </w:rPr>
        <w:footnoteReference w:id="171"/>
      </w:r>
      <w:r w:rsidRPr="0001362E">
        <w:rPr>
          <w:szCs w:val="20"/>
        </w:rPr>
        <w:t>.</w:t>
      </w:r>
      <w:r w:rsidR="008620B3" w:rsidRPr="0001362E">
        <w:rPr>
          <w:szCs w:val="20"/>
        </w:rPr>
        <w:t xml:space="preserve"> Este control de convencionalidad debe realizarse </w:t>
      </w:r>
      <w:r w:rsidR="008B4406" w:rsidRPr="008620B3">
        <w:t xml:space="preserve">en el marco de </w:t>
      </w:r>
      <w:r w:rsidR="008B4406" w:rsidRPr="0001362E">
        <w:rPr>
          <w:szCs w:val="20"/>
        </w:rPr>
        <w:t xml:space="preserve">sus respectivas competencias y de las regulaciones procesales correspondientes y en esta tarea, </w:t>
      </w:r>
      <w:r w:rsidR="008620B3" w:rsidRPr="0001362E">
        <w:rPr>
          <w:szCs w:val="20"/>
        </w:rPr>
        <w:t>teniendo en c</w:t>
      </w:r>
      <w:r w:rsidR="008B4406" w:rsidRPr="0001362E">
        <w:rPr>
          <w:szCs w:val="20"/>
        </w:rPr>
        <w:t>uenta no sol</w:t>
      </w:r>
      <w:r w:rsidR="008620B3" w:rsidRPr="0001362E">
        <w:rPr>
          <w:szCs w:val="20"/>
        </w:rPr>
        <w:t>o</w:t>
      </w:r>
      <w:r w:rsidR="008B4406" w:rsidRPr="0001362E">
        <w:rPr>
          <w:szCs w:val="20"/>
        </w:rPr>
        <w:t xml:space="preserve"> el tratado, sino también la interpretación que del mismo ha hecho la Corte Interamericana, intérprete última de la Convención Americana</w:t>
      </w:r>
      <w:r w:rsidR="008B4406" w:rsidRPr="00676E69">
        <w:rPr>
          <w:rStyle w:val="FootnoteReference"/>
          <w:sz w:val="20"/>
          <w:szCs w:val="20"/>
        </w:rPr>
        <w:footnoteReference w:id="172"/>
      </w:r>
      <w:r w:rsidR="008B4406" w:rsidRPr="0001362E">
        <w:rPr>
          <w:szCs w:val="20"/>
        </w:rPr>
        <w:t>.</w:t>
      </w:r>
    </w:p>
    <w:p w14:paraId="7B286A18" w14:textId="77777777" w:rsidR="008B4406" w:rsidRDefault="008B4406" w:rsidP="008B4406">
      <w:pPr>
        <w:rPr>
          <w:lang w:val="es-CR" w:eastAsia="es-MX"/>
        </w:rPr>
      </w:pPr>
    </w:p>
    <w:p w14:paraId="587B0EEE" w14:textId="27EEE7D6" w:rsidR="008B4406" w:rsidRDefault="008B4406" w:rsidP="000E2D2F">
      <w:pPr>
        <w:pStyle w:val="PrrafodeSentencia"/>
        <w:tabs>
          <w:tab w:val="left" w:pos="0"/>
        </w:tabs>
      </w:pPr>
      <w:r>
        <w:t>De tal manera, es necesario que la interpretación que realice</w:t>
      </w:r>
      <w:r w:rsidR="00013E05">
        <w:t>n los órganos competentes</w:t>
      </w:r>
      <w:r>
        <w:t xml:space="preserve"> relativ</w:t>
      </w:r>
      <w:r w:rsidR="00E53C42">
        <w:t>a</w:t>
      </w:r>
      <w:r>
        <w:t xml:space="preserve"> a la posibilidad de destituir a magistrados del Tribunal Supremo de Elecciones en supuestos diferentes a cuando estos cometan un delito </w:t>
      </w:r>
      <w:r w:rsidR="00E53C42">
        <w:t>sea</w:t>
      </w:r>
      <w:r>
        <w:t xml:space="preserve"> coherente con los principios establecidos en la jurisprudencia de este Tribunal, los cuales han sido reiterados en el presente caso.</w:t>
      </w:r>
      <w:r w:rsidRPr="008366CC">
        <w:t xml:space="preserve"> </w:t>
      </w:r>
      <w:r>
        <w:t>Bajo ese entendido, este Tribunal considera que no es necesario ordenar la modificación legislativa.</w:t>
      </w:r>
    </w:p>
    <w:p w14:paraId="5CB56BA8" w14:textId="77777777" w:rsidR="008B4406" w:rsidRDefault="008B4406" w:rsidP="008B4406">
      <w:pPr>
        <w:rPr>
          <w:lang w:val="es-CR" w:eastAsia="es-MX"/>
        </w:rPr>
      </w:pPr>
    </w:p>
    <w:p w14:paraId="36EFF29C" w14:textId="77777777" w:rsidR="008B4406" w:rsidRDefault="008B4406" w:rsidP="00873201">
      <w:pPr>
        <w:pStyle w:val="Heading2"/>
        <w:keepNext w:val="0"/>
        <w:numPr>
          <w:ilvl w:val="0"/>
          <w:numId w:val="17"/>
        </w:numPr>
        <w:tabs>
          <w:tab w:val="left" w:pos="567"/>
          <w:tab w:val="left" w:pos="1134"/>
        </w:tabs>
        <w:ind w:left="1134" w:hanging="567"/>
        <w:rPr>
          <w:rFonts w:eastAsiaTheme="minorHAnsi"/>
        </w:rPr>
      </w:pPr>
      <w:bookmarkStart w:id="245" w:name="_Toc192590"/>
      <w:r>
        <w:rPr>
          <w:rFonts w:eastAsiaTheme="minorHAnsi"/>
        </w:rPr>
        <w:t>Otras medidas solicitadas</w:t>
      </w:r>
      <w:bookmarkEnd w:id="245"/>
    </w:p>
    <w:p w14:paraId="2E3B17B3" w14:textId="77777777" w:rsidR="008B4406" w:rsidRPr="00A86341" w:rsidRDefault="008B4406" w:rsidP="008B4406">
      <w:pPr>
        <w:rPr>
          <w:lang w:val="es-CR" w:eastAsia="es-MX"/>
        </w:rPr>
      </w:pPr>
    </w:p>
    <w:p w14:paraId="2C08FD61" w14:textId="7AF738E8" w:rsidR="008B4406" w:rsidRPr="008366CC" w:rsidRDefault="008B4406" w:rsidP="000E2D2F">
      <w:pPr>
        <w:pStyle w:val="PrrafodeSentencia"/>
        <w:tabs>
          <w:tab w:val="left" w:pos="0"/>
        </w:tabs>
        <w:rPr>
          <w:b/>
        </w:rPr>
      </w:pPr>
      <w:r>
        <w:t>La</w:t>
      </w:r>
      <w:r w:rsidRPr="00E609BC">
        <w:rPr>
          <w:i/>
        </w:rPr>
        <w:t xml:space="preserve"> </w:t>
      </w:r>
      <w:r w:rsidRPr="00E609BC">
        <w:rPr>
          <w:b/>
          <w:i/>
        </w:rPr>
        <w:t>Comisión</w:t>
      </w:r>
      <w:r>
        <w:t xml:space="preserve"> solicitó </w:t>
      </w:r>
      <w:r w:rsidRPr="00A86341">
        <w:t>ordenar al Estado “</w:t>
      </w:r>
      <w:r>
        <w:t>r</w:t>
      </w:r>
      <w:r w:rsidRPr="008002AE">
        <w:t xml:space="preserve">eincorporar al señor Benjamín Eduardo Colindres en </w:t>
      </w:r>
      <w:r>
        <w:t>un cargo similar al que desempeñ</w:t>
      </w:r>
      <w:r w:rsidRPr="008002AE">
        <w:t>aba,</w:t>
      </w:r>
      <w:r>
        <w:t xml:space="preserve"> con la misma remuneració</w:t>
      </w:r>
      <w:r w:rsidRPr="008002AE">
        <w:t>n, beneficios sociales y rang</w:t>
      </w:r>
      <w:r>
        <w:t>o equiparables a los que le corresponderí</w:t>
      </w:r>
      <w:r w:rsidRPr="008002AE">
        <w:t>a el día de hoy si</w:t>
      </w:r>
      <w:r>
        <w:t xml:space="preserve"> </w:t>
      </w:r>
      <w:r w:rsidRPr="008002AE">
        <w:t>no hubiera sido destituido, por el plazo de tiempo que quedaba pendiente de su mandato, o si por razones</w:t>
      </w:r>
      <w:r>
        <w:t xml:space="preserve"> </w:t>
      </w:r>
      <w:r w:rsidRPr="008002AE">
        <w:t>fundadas no es</w:t>
      </w:r>
      <w:r>
        <w:t xml:space="preserve"> posible la reincorporación, pagar una indemnizació</w:t>
      </w:r>
      <w:r w:rsidRPr="008002AE">
        <w:t>n alternativa</w:t>
      </w:r>
      <w:r w:rsidR="00E53C42">
        <w:t>”</w:t>
      </w:r>
      <w:r>
        <w:t>.</w:t>
      </w:r>
      <w:r w:rsidRPr="0002399F">
        <w:rPr>
          <w:b/>
        </w:rPr>
        <w:t xml:space="preserve"> </w:t>
      </w:r>
      <w:r>
        <w:t xml:space="preserve">Los </w:t>
      </w:r>
      <w:r w:rsidRPr="004E2D7E">
        <w:rPr>
          <w:b/>
          <w:i/>
        </w:rPr>
        <w:t xml:space="preserve">representantes </w:t>
      </w:r>
      <w:r>
        <w:t>no solicitaron del todo la reincorporación del señor Colindres en su cargo solicitada por la Comisión.</w:t>
      </w:r>
    </w:p>
    <w:p w14:paraId="6FED336C" w14:textId="77777777" w:rsidR="008B4406" w:rsidRPr="008366CC" w:rsidRDefault="008B4406" w:rsidP="008B4406">
      <w:pPr>
        <w:pStyle w:val="PrrafodeSentencia"/>
        <w:numPr>
          <w:ilvl w:val="0"/>
          <w:numId w:val="0"/>
        </w:numPr>
        <w:rPr>
          <w:b/>
        </w:rPr>
      </w:pPr>
    </w:p>
    <w:p w14:paraId="79DAB77C" w14:textId="370962DB" w:rsidR="008B4406" w:rsidRDefault="007E79D5" w:rsidP="00F2456F">
      <w:pPr>
        <w:pStyle w:val="PrrafodeSentencia"/>
        <w:tabs>
          <w:tab w:val="left" w:pos="0"/>
        </w:tabs>
      </w:pPr>
      <w:r>
        <w:t>En</w:t>
      </w:r>
      <w:r w:rsidR="008B4406">
        <w:t xml:space="preserve"> los escritos presentados por los representantes, </w:t>
      </w:r>
      <w:r w:rsidR="00951173">
        <w:t xml:space="preserve">así </w:t>
      </w:r>
      <w:r w:rsidR="008B4406">
        <w:t>como en la declaración del señor Colindres Schon</w:t>
      </w:r>
      <w:r w:rsidR="00F2456F">
        <w:t>enberg en audiencia pública,</w:t>
      </w:r>
      <w:r w:rsidR="008B4406">
        <w:t xml:space="preserve"> la víct</w:t>
      </w:r>
      <w:r w:rsidR="00B105E9">
        <w:t>ima no expresó su deseo ser re</w:t>
      </w:r>
      <w:r w:rsidR="008B4406">
        <w:t xml:space="preserve">stituido en el cargo que ocupó como Magistrado propietario </w:t>
      </w:r>
      <w:r w:rsidR="00F2456F">
        <w:t>del Tribunal Supremo Electoral.</w:t>
      </w:r>
      <w:r w:rsidR="008B4406">
        <w:t xml:space="preserve"> Por tanto, no estima necesario ordenar la medida solicitada por la Comisión.</w:t>
      </w:r>
    </w:p>
    <w:p w14:paraId="56BDF69F" w14:textId="77777777" w:rsidR="008B4406" w:rsidRPr="008366CC" w:rsidRDefault="008B4406" w:rsidP="008B4406">
      <w:pPr>
        <w:pStyle w:val="PrrafodeSentencia"/>
        <w:numPr>
          <w:ilvl w:val="0"/>
          <w:numId w:val="0"/>
        </w:numPr>
        <w:rPr>
          <w:b/>
        </w:rPr>
      </w:pPr>
    </w:p>
    <w:p w14:paraId="50AB253A" w14:textId="794F1570" w:rsidR="008B4406" w:rsidRDefault="008B4406" w:rsidP="000E2D2F">
      <w:pPr>
        <w:pStyle w:val="PrrafodeSentencia"/>
        <w:tabs>
          <w:tab w:val="left" w:pos="0"/>
        </w:tabs>
        <w:rPr>
          <w:b/>
        </w:rPr>
      </w:pPr>
      <w:r>
        <w:t xml:space="preserve">Por otro lado, la </w:t>
      </w:r>
      <w:r>
        <w:rPr>
          <w:b/>
          <w:i/>
        </w:rPr>
        <w:t xml:space="preserve">Comisión </w:t>
      </w:r>
      <w:r>
        <w:t>solicitó ordenar al Estado realizar l</w:t>
      </w:r>
      <w:r w:rsidRPr="008002AE">
        <w:t>as capacitaciones necesarias para asegurar que los</w:t>
      </w:r>
      <w:r>
        <w:t xml:space="preserve"> </w:t>
      </w:r>
      <w:r w:rsidRPr="008002AE">
        <w:t xml:space="preserve">procesos </w:t>
      </w:r>
      <w:r>
        <w:t>discip</w:t>
      </w:r>
      <w:r w:rsidRPr="008002AE">
        <w:t>linarios contra magistrados del Tribu</w:t>
      </w:r>
      <w:r>
        <w:t>nal Supremo Electoral tanto en la regulación como en l</w:t>
      </w:r>
      <w:r w:rsidRPr="008002AE">
        <w:t>a</w:t>
      </w:r>
      <w:r>
        <w:t xml:space="preserve"> </w:t>
      </w:r>
      <w:r w:rsidRPr="008002AE">
        <w:t>práctica, sean realizados con garantías de competencia</w:t>
      </w:r>
      <w:r>
        <w:t xml:space="preserve">, </w:t>
      </w:r>
      <w:r>
        <w:lastRenderedPageBreak/>
        <w:t>independencia e imparcialidad, en est</w:t>
      </w:r>
      <w:r w:rsidRPr="008002AE">
        <w:t>ricto apego al</w:t>
      </w:r>
      <w:r>
        <w:t xml:space="preserve"> </w:t>
      </w:r>
      <w:r w:rsidRPr="008002AE">
        <w:t xml:space="preserve">derecho de defensa, así como que </w:t>
      </w:r>
      <w:r w:rsidR="00E53C42">
        <w:t xml:space="preserve">la compatibilidad entre </w:t>
      </w:r>
      <w:r w:rsidRPr="008002AE">
        <w:t>las causales disciplinarias y las sanciones aplicables con el</w:t>
      </w:r>
      <w:r>
        <w:t xml:space="preserve"> principio</w:t>
      </w:r>
      <w:r w:rsidRPr="008002AE">
        <w:t xml:space="preserve"> de legalidad</w:t>
      </w:r>
      <w:r>
        <w:t xml:space="preserve">”. </w:t>
      </w:r>
    </w:p>
    <w:p w14:paraId="054188F5" w14:textId="77777777" w:rsidR="001F5BB9" w:rsidRDefault="001F5BB9" w:rsidP="001F5BB9">
      <w:pPr>
        <w:rPr>
          <w:lang w:val="es-CR" w:eastAsia="es-MX"/>
        </w:rPr>
      </w:pPr>
    </w:p>
    <w:p w14:paraId="1CC84E5E" w14:textId="2BA57475" w:rsidR="001F5BB9" w:rsidRPr="001F5BB9" w:rsidRDefault="001F5BB9" w:rsidP="001F5BB9">
      <w:pPr>
        <w:pStyle w:val="PrrafodeSentencia"/>
      </w:pPr>
      <w:r>
        <w:t xml:space="preserve">Por su parte, los </w:t>
      </w:r>
      <w:r>
        <w:rPr>
          <w:b/>
          <w:i/>
        </w:rPr>
        <w:t xml:space="preserve">representantes </w:t>
      </w:r>
      <w:r>
        <w:t xml:space="preserve">solicitaron ordenar al Estado que “la </w:t>
      </w:r>
      <w:r w:rsidRPr="00B42818">
        <w:t>Asamblea Legislativa emita un decreto declarando que el Señor Eduardo</w:t>
      </w:r>
      <w:r>
        <w:t xml:space="preserve"> </w:t>
      </w:r>
      <w:r w:rsidRPr="00B42818">
        <w:rPr>
          <w:rFonts w:cs="Georgia"/>
          <w:szCs w:val="20"/>
        </w:rPr>
        <w:t>Benjamín Colindres siempre cumplió con los requisitos de idoneidad, instrucción</w:t>
      </w:r>
      <w:r>
        <w:rPr>
          <w:rFonts w:cs="Georgia"/>
          <w:szCs w:val="20"/>
        </w:rPr>
        <w:t xml:space="preserve"> </w:t>
      </w:r>
      <w:r w:rsidRPr="00B42818">
        <w:rPr>
          <w:rFonts w:cs="Georgia"/>
          <w:szCs w:val="20"/>
        </w:rPr>
        <w:t xml:space="preserve">y competencia </w:t>
      </w:r>
      <w:r w:rsidR="00E53C42">
        <w:rPr>
          <w:rFonts w:cs="Georgia"/>
          <w:szCs w:val="20"/>
        </w:rPr>
        <w:t>[</w:t>
      </w:r>
      <w:r w:rsidRPr="00B42818">
        <w:rPr>
          <w:rFonts w:cs="Georgia"/>
          <w:szCs w:val="20"/>
        </w:rPr>
        <w:t>y</w:t>
      </w:r>
      <w:r w:rsidR="00E53C42">
        <w:rPr>
          <w:rFonts w:cs="Georgia"/>
          <w:szCs w:val="20"/>
        </w:rPr>
        <w:t>]</w:t>
      </w:r>
      <w:r w:rsidRPr="00B42818">
        <w:rPr>
          <w:rFonts w:cs="Georgia"/>
          <w:szCs w:val="20"/>
        </w:rPr>
        <w:t xml:space="preserve"> moralidad not</w:t>
      </w:r>
      <w:r w:rsidR="00E53C42">
        <w:rPr>
          <w:rFonts w:cs="Georgia"/>
          <w:szCs w:val="20"/>
        </w:rPr>
        <w:t>o</w:t>
      </w:r>
      <w:r w:rsidRPr="00B42818">
        <w:rPr>
          <w:rFonts w:cs="Georgia"/>
          <w:szCs w:val="20"/>
        </w:rPr>
        <w:t>rias para el ejercicio como Magistrado Propietario</w:t>
      </w:r>
      <w:r>
        <w:rPr>
          <w:rFonts w:cs="Georgia"/>
          <w:szCs w:val="20"/>
        </w:rPr>
        <w:t xml:space="preserve"> </w:t>
      </w:r>
      <w:r w:rsidRPr="00B42818">
        <w:rPr>
          <w:rFonts w:cs="Georgia"/>
          <w:szCs w:val="20"/>
        </w:rPr>
        <w:t>del Tribunal Supremo Electoral, así como la admisión de las arbitrariedades</w:t>
      </w:r>
      <w:r>
        <w:rPr>
          <w:rFonts w:cs="Georgia"/>
          <w:szCs w:val="20"/>
        </w:rPr>
        <w:t xml:space="preserve"> </w:t>
      </w:r>
      <w:r w:rsidRPr="00B42818">
        <w:rPr>
          <w:rFonts w:cs="Georgia"/>
          <w:szCs w:val="20"/>
        </w:rPr>
        <w:t>cometidas por ese órgano del Estado al haberle cesado de sus funciones</w:t>
      </w:r>
      <w:r>
        <w:rPr>
          <w:rFonts w:cs="Georgia"/>
          <w:szCs w:val="20"/>
        </w:rPr>
        <w:t>”</w:t>
      </w:r>
      <w:r w:rsidRPr="00B42818">
        <w:rPr>
          <w:rFonts w:cs="Georgia"/>
          <w:szCs w:val="20"/>
        </w:rPr>
        <w:t xml:space="preserve">. </w:t>
      </w:r>
      <w:r>
        <w:rPr>
          <w:rFonts w:cs="Georgia"/>
          <w:szCs w:val="20"/>
        </w:rPr>
        <w:t>Asimismo, solicitaron que “</w:t>
      </w:r>
      <w:r w:rsidRPr="00B42818">
        <w:rPr>
          <w:rFonts w:cs="Georgia"/>
          <w:szCs w:val="20"/>
        </w:rPr>
        <w:t>en sesión plenaria solemne, con presencia de todos los Magistrados del</w:t>
      </w:r>
      <w:r>
        <w:rPr>
          <w:rFonts w:cs="Georgia"/>
          <w:szCs w:val="20"/>
        </w:rPr>
        <w:t xml:space="preserve"> </w:t>
      </w:r>
      <w:r w:rsidRPr="00B42818">
        <w:rPr>
          <w:rFonts w:cs="Georgia"/>
          <w:szCs w:val="20"/>
        </w:rPr>
        <w:t>Tribunal Supremo Electoral, el Presidente de la Corte Suprema de Justicia y</w:t>
      </w:r>
      <w:r>
        <w:rPr>
          <w:rFonts w:cs="Georgia"/>
          <w:szCs w:val="20"/>
        </w:rPr>
        <w:t xml:space="preserve"> </w:t>
      </w:r>
      <w:r w:rsidRPr="00B42818">
        <w:rPr>
          <w:rFonts w:cs="Georgia"/>
          <w:szCs w:val="20"/>
        </w:rPr>
        <w:t>magistrados de la Sala de lo Constitucional, el Presidente de la Asamblea</w:t>
      </w:r>
      <w:r>
        <w:rPr>
          <w:rFonts w:cs="Georgia"/>
          <w:szCs w:val="20"/>
        </w:rPr>
        <w:t xml:space="preserve"> </w:t>
      </w:r>
      <w:r w:rsidRPr="00B42818">
        <w:rPr>
          <w:rFonts w:cs="Georgia"/>
          <w:szCs w:val="20"/>
        </w:rPr>
        <w:t>Legislativa</w:t>
      </w:r>
      <w:r>
        <w:rPr>
          <w:rFonts w:cs="Georgia"/>
          <w:szCs w:val="20"/>
        </w:rPr>
        <w:t>” se</w:t>
      </w:r>
      <w:r w:rsidRPr="00B42818">
        <w:rPr>
          <w:rFonts w:cs="Georgia"/>
          <w:szCs w:val="20"/>
        </w:rPr>
        <w:t xml:space="preserve"> dé lectura integral al decreto anterior</w:t>
      </w:r>
      <w:r>
        <w:rPr>
          <w:rFonts w:cs="Georgia"/>
          <w:szCs w:val="20"/>
        </w:rPr>
        <w:t>.</w:t>
      </w:r>
    </w:p>
    <w:p w14:paraId="50BFF863" w14:textId="77777777" w:rsidR="008B4406" w:rsidRPr="008366CC" w:rsidRDefault="008B4406" w:rsidP="008B4406">
      <w:pPr>
        <w:rPr>
          <w:lang w:val="es-CR" w:eastAsia="es-MX"/>
        </w:rPr>
      </w:pPr>
    </w:p>
    <w:p w14:paraId="6FA8D164" w14:textId="77777777" w:rsidR="008B4406" w:rsidRPr="00ED2F65" w:rsidRDefault="008B4406" w:rsidP="000E2D2F">
      <w:pPr>
        <w:pStyle w:val="PrrafodeSentencia"/>
        <w:tabs>
          <w:tab w:val="left" w:pos="0"/>
        </w:tabs>
      </w:pPr>
      <w:r>
        <w:rPr>
          <w:b/>
        </w:rPr>
        <w:t xml:space="preserve"> </w:t>
      </w:r>
      <w:r>
        <w:t xml:space="preserve">La Corte considera que </w:t>
      </w:r>
      <w:r w:rsidRPr="00ED2F65">
        <w:t xml:space="preserve">la emisión de la presente Sentencia y las reparaciones ordenadas en este capítulo resultan suficientes y adecuadas </w:t>
      </w:r>
      <w:r w:rsidRPr="0002399F">
        <w:rPr>
          <w:szCs w:val="20"/>
        </w:rPr>
        <w:t>para remediar las violaciones sufridas por la víctima. Por tanto, no estima necesario ordenar dichas medidas adicionales, sin perjuicio de que el Estado decida adoptarlas y otorgarlas a nivel interno.</w:t>
      </w:r>
      <w:r w:rsidRPr="00ED2F65">
        <w:t xml:space="preserve"> </w:t>
      </w:r>
    </w:p>
    <w:p w14:paraId="3A75EAF4" w14:textId="77777777" w:rsidR="008B4406" w:rsidRPr="00F659BC" w:rsidRDefault="008B4406" w:rsidP="008B4406">
      <w:pPr>
        <w:pStyle w:val="CommentText"/>
        <w:rPr>
          <w:szCs w:val="22"/>
          <w:lang w:val="es-CR" w:eastAsia="es-MX"/>
        </w:rPr>
      </w:pPr>
    </w:p>
    <w:p w14:paraId="58C375C5" w14:textId="77777777" w:rsidR="008B4406" w:rsidRDefault="008B4406" w:rsidP="00873201">
      <w:pPr>
        <w:pStyle w:val="Heading2"/>
        <w:keepNext w:val="0"/>
        <w:numPr>
          <w:ilvl w:val="0"/>
          <w:numId w:val="17"/>
        </w:numPr>
        <w:tabs>
          <w:tab w:val="left" w:pos="567"/>
          <w:tab w:val="left" w:pos="1134"/>
        </w:tabs>
        <w:ind w:hanging="873"/>
        <w:rPr>
          <w:rFonts w:eastAsiaTheme="minorHAnsi"/>
        </w:rPr>
      </w:pPr>
      <w:bookmarkStart w:id="246" w:name="_Toc192591"/>
      <w:r>
        <w:rPr>
          <w:rFonts w:eastAsiaTheme="minorHAnsi"/>
        </w:rPr>
        <w:t>Indemnizaciones compensatorias</w:t>
      </w:r>
      <w:bookmarkEnd w:id="246"/>
    </w:p>
    <w:p w14:paraId="5D89EC51" w14:textId="77777777" w:rsidR="008B4406" w:rsidRPr="00F96BDB" w:rsidRDefault="008B4406" w:rsidP="008B4406">
      <w:pPr>
        <w:rPr>
          <w:lang w:val="es-CR" w:eastAsia="es-MX"/>
        </w:rPr>
      </w:pPr>
    </w:p>
    <w:p w14:paraId="0F3BD2E5" w14:textId="42752A77" w:rsidR="008B4406" w:rsidRDefault="008B4406" w:rsidP="000E2D2F">
      <w:pPr>
        <w:pStyle w:val="PrrafodeSentencia"/>
        <w:tabs>
          <w:tab w:val="left" w:pos="0"/>
        </w:tabs>
        <w:rPr>
          <w:b/>
        </w:rPr>
      </w:pPr>
      <w:r>
        <w:rPr>
          <w:lang w:val="es-MX"/>
        </w:rPr>
        <w:t xml:space="preserve">La </w:t>
      </w:r>
      <w:r w:rsidRPr="00F96BDB">
        <w:rPr>
          <w:b/>
          <w:i/>
          <w:lang w:val="es-MX"/>
        </w:rPr>
        <w:t>Comisión</w:t>
      </w:r>
      <w:r>
        <w:rPr>
          <w:lang w:val="es-MX"/>
        </w:rPr>
        <w:t xml:space="preserve"> solicitó “reparar </w:t>
      </w:r>
      <w:r w:rsidRPr="00F96BDB">
        <w:t xml:space="preserve">las consecuencias de las violaciones declaradas en el </w:t>
      </w:r>
      <w:r w:rsidR="00B04E81">
        <w:t>[</w:t>
      </w:r>
      <w:r w:rsidR="00F2456F">
        <w:t>I</w:t>
      </w:r>
      <w:r w:rsidRPr="0002399F">
        <w:t>nforme</w:t>
      </w:r>
      <w:r w:rsidR="00B04E81">
        <w:t xml:space="preserve"> de </w:t>
      </w:r>
      <w:r w:rsidR="00F2456F">
        <w:t>F</w:t>
      </w:r>
      <w:r w:rsidR="00B04E81">
        <w:t>ondo]</w:t>
      </w:r>
      <w:r w:rsidRPr="0002399F">
        <w:t>, incluyendo</w:t>
      </w:r>
      <w:r w:rsidRPr="0002399F">
        <w:rPr>
          <w:lang w:val="es-MX"/>
        </w:rPr>
        <w:t xml:space="preserve"> </w:t>
      </w:r>
      <w:r w:rsidRPr="0002399F">
        <w:t xml:space="preserve">tanto el daño material como el daño inmaterial”. Por su parte, los </w:t>
      </w:r>
      <w:r w:rsidRPr="0002399F">
        <w:rPr>
          <w:b/>
          <w:i/>
        </w:rPr>
        <w:t>representantes</w:t>
      </w:r>
      <w:r w:rsidRPr="0002399F">
        <w:t xml:space="preserve"> solicitaron el pago de indemnizaciones compensatorias por concepto de daño material y daño moral.</w:t>
      </w:r>
      <w:r>
        <w:t xml:space="preserve"> El </w:t>
      </w:r>
      <w:r>
        <w:rPr>
          <w:b/>
          <w:i/>
        </w:rPr>
        <w:t xml:space="preserve">Estado </w:t>
      </w:r>
      <w:r w:rsidRPr="00FD54C0">
        <w:rPr>
          <w:szCs w:val="20"/>
        </w:rPr>
        <w:t>solicitó que de estimarse la responsabilidad internacional del Estado, se valore el pago de salario e indemnizaci</w:t>
      </w:r>
      <w:r>
        <w:rPr>
          <w:szCs w:val="20"/>
        </w:rPr>
        <w:t>ó</w:t>
      </w:r>
      <w:r w:rsidRPr="00FD54C0">
        <w:rPr>
          <w:szCs w:val="20"/>
        </w:rPr>
        <w:t xml:space="preserve">n que ya han sido entregados al señor Colindres en el marco de procesos internos promovidos por su persona. </w:t>
      </w:r>
    </w:p>
    <w:p w14:paraId="05164B26" w14:textId="77777777" w:rsidR="008B4406" w:rsidRDefault="008B4406" w:rsidP="008B4406">
      <w:pPr>
        <w:rPr>
          <w:lang w:val="es-CR" w:eastAsia="es-MX"/>
        </w:rPr>
      </w:pPr>
    </w:p>
    <w:p w14:paraId="434DADDF" w14:textId="77777777" w:rsidR="008B4406" w:rsidRPr="00FD54C0" w:rsidRDefault="008B4406" w:rsidP="000E2D2F">
      <w:pPr>
        <w:pStyle w:val="PrrafodeSentencia"/>
        <w:tabs>
          <w:tab w:val="left" w:pos="0"/>
        </w:tabs>
      </w:pPr>
      <w:r>
        <w:t>Respecto a lo solicitado por el Estado, la Corte advierte que el pago de los salarios dejados de percibir y la indemnización por daño moral otorgada a nivel interno al señor Colindres Schonenberg corresponde únicamente al tiempo que este estuvo destituido tras la primera destitución. A nivel interno no se ha otorgado ninguna indemnización por la segunda destitución. Por tanto, la víctima no ha recibido reparación por las violaciones determinadas en esta sentencia.</w:t>
      </w:r>
    </w:p>
    <w:p w14:paraId="2AD32DED" w14:textId="2879CAEE" w:rsidR="0001362E" w:rsidRPr="0002399F" w:rsidRDefault="0001362E" w:rsidP="008B4406">
      <w:pPr>
        <w:rPr>
          <w:lang w:val="es-CR" w:eastAsia="es-MX"/>
        </w:rPr>
      </w:pPr>
    </w:p>
    <w:p w14:paraId="1D00A36A" w14:textId="7DB2C859" w:rsidR="008B4406" w:rsidRPr="00873201" w:rsidRDefault="007526C4" w:rsidP="00865D8D">
      <w:pPr>
        <w:pStyle w:val="Heading3"/>
        <w:ind w:left="1134"/>
        <w:rPr>
          <w:rFonts w:eastAsiaTheme="minorHAnsi"/>
          <w:lang w:eastAsia="es-MX"/>
        </w:rPr>
      </w:pPr>
      <w:bookmarkStart w:id="247" w:name="_Toc192592"/>
      <w:r>
        <w:rPr>
          <w:rFonts w:eastAsiaTheme="minorHAnsi"/>
          <w:lang w:eastAsia="es-MX"/>
        </w:rPr>
        <w:t>E</w:t>
      </w:r>
      <w:r w:rsidR="008B4406" w:rsidRPr="0002399F">
        <w:rPr>
          <w:rFonts w:eastAsiaTheme="minorHAnsi"/>
          <w:lang w:eastAsia="es-MX"/>
        </w:rPr>
        <w:t>.1 Daño material</w:t>
      </w:r>
      <w:bookmarkEnd w:id="247"/>
    </w:p>
    <w:p w14:paraId="3C89CAF6" w14:textId="5BF4614E" w:rsidR="008B4406" w:rsidRPr="00982781" w:rsidRDefault="008B4406" w:rsidP="000E2D2F">
      <w:pPr>
        <w:pStyle w:val="PrrafodeSentencia"/>
        <w:tabs>
          <w:tab w:val="left" w:pos="0"/>
        </w:tabs>
        <w:rPr>
          <w:b/>
          <w:spacing w:val="0"/>
          <w:szCs w:val="20"/>
        </w:rPr>
      </w:pPr>
      <w:r w:rsidRPr="000B6B58">
        <w:t xml:space="preserve">Los </w:t>
      </w:r>
      <w:r w:rsidRPr="009173F5">
        <w:rPr>
          <w:b/>
          <w:i/>
        </w:rPr>
        <w:t>representantes</w:t>
      </w:r>
      <w:r w:rsidRPr="000B6B58">
        <w:t xml:space="preserve"> </w:t>
      </w:r>
      <w:r>
        <w:t>alegaron que “r</w:t>
      </w:r>
      <w:r w:rsidRPr="008002AE">
        <w:t>estaba un año y</w:t>
      </w:r>
      <w:r>
        <w:t xml:space="preserve"> </w:t>
      </w:r>
      <w:r w:rsidRPr="009173F5">
        <w:rPr>
          <w:rFonts w:cs="Georgia"/>
          <w:szCs w:val="20"/>
        </w:rPr>
        <w:t xml:space="preserve">veintiocho días, precisamente, para que Eduardo Benjamín Colindres finalizara su cargo como magistrado del Tribunal Supremo Electoral”. En tal sentido solicitaron a la Corte tomar como parámetro para </w:t>
      </w:r>
      <w:r w:rsidRPr="00982781">
        <w:rPr>
          <w:rFonts w:cs="Georgia"/>
          <w:spacing w:val="0"/>
          <w:szCs w:val="20"/>
        </w:rPr>
        <w:t xml:space="preserve">determinar la cuantía de indemnización del daño material “aquellos salarios, gastos de representación, viajes al exterior a seminarios, conferencias, observaciones electorales u otras actividades, viáticos, prestaciones y/o servicios que correspondía percibir al doctor Eduardo Benjamín Colindres y que en la práctica percibió el magistrado [que lo sustituyó]”. </w:t>
      </w:r>
      <w:r w:rsidR="00A54F66">
        <w:rPr>
          <w:rFonts w:cs="Georgia"/>
          <w:spacing w:val="0"/>
          <w:szCs w:val="20"/>
        </w:rPr>
        <w:t>Por otro lado, señalaron que no solicitarían la indemnización pertinente por el daño emergente causado.</w:t>
      </w:r>
    </w:p>
    <w:p w14:paraId="0D3C14B7" w14:textId="77777777" w:rsidR="008B4406" w:rsidRPr="00982781" w:rsidRDefault="008B4406" w:rsidP="008B4406">
      <w:pPr>
        <w:rPr>
          <w:szCs w:val="20"/>
          <w:lang w:val="es-CR" w:eastAsia="es-MX"/>
        </w:rPr>
      </w:pPr>
    </w:p>
    <w:p w14:paraId="54F35FAF" w14:textId="362D5E49" w:rsidR="008B4406" w:rsidRPr="00982781" w:rsidRDefault="008B4406" w:rsidP="000E2D2F">
      <w:pPr>
        <w:pStyle w:val="PrrafodeSentencia"/>
        <w:tabs>
          <w:tab w:val="left" w:pos="0"/>
        </w:tabs>
        <w:rPr>
          <w:b/>
          <w:spacing w:val="0"/>
          <w:szCs w:val="20"/>
        </w:rPr>
      </w:pPr>
      <w:r w:rsidRPr="00982781">
        <w:rPr>
          <w:spacing w:val="0"/>
          <w:szCs w:val="20"/>
        </w:rPr>
        <w:t xml:space="preserve">El </w:t>
      </w:r>
      <w:r w:rsidRPr="00982781">
        <w:rPr>
          <w:b/>
          <w:i/>
          <w:spacing w:val="0"/>
          <w:szCs w:val="20"/>
        </w:rPr>
        <w:t xml:space="preserve">Estado </w:t>
      </w:r>
      <w:r w:rsidRPr="00982781">
        <w:rPr>
          <w:spacing w:val="0"/>
          <w:szCs w:val="20"/>
        </w:rPr>
        <w:t xml:space="preserve">alegó que “los viajes al exterior como tal no hacen parte inherente del ejercicio de un cargo, ni pueden ser considerados como un detrimento al ingreso de la presunta víctima, ya que los viáticos pagados constituyen un reconocimiento de los costos que implica el ejercicio de </w:t>
      </w:r>
      <w:r w:rsidR="00D45C77">
        <w:rPr>
          <w:spacing w:val="0"/>
          <w:szCs w:val="20"/>
        </w:rPr>
        <w:t>l</w:t>
      </w:r>
      <w:r w:rsidRPr="00982781">
        <w:rPr>
          <w:spacing w:val="0"/>
          <w:szCs w:val="20"/>
        </w:rPr>
        <w:t xml:space="preserve">a función pública desempeñada en el marco de alguna misión al exterior”. Agregó que la administración pública en El Salvador “ha aplicado criterios de austeridad que limitan los viajes al exterior pagados con fondos públicos por parte de </w:t>
      </w:r>
      <w:r w:rsidRPr="00982781">
        <w:rPr>
          <w:spacing w:val="0"/>
          <w:szCs w:val="20"/>
        </w:rPr>
        <w:lastRenderedPageBreak/>
        <w:t xml:space="preserve">funcionarios, lo que es objeto de una fuerte contraloría ciudadana, al igual que las prestaciones a funcionarios públicos. </w:t>
      </w:r>
    </w:p>
    <w:p w14:paraId="17AAA70D" w14:textId="77777777" w:rsidR="008B4406" w:rsidRPr="00982781" w:rsidRDefault="008B4406" w:rsidP="008B4406">
      <w:pPr>
        <w:rPr>
          <w:szCs w:val="20"/>
          <w:lang w:val="es-CR" w:eastAsia="es-MX"/>
        </w:rPr>
      </w:pPr>
    </w:p>
    <w:p w14:paraId="08D75579" w14:textId="77777777" w:rsidR="008B4406" w:rsidRDefault="008B4406" w:rsidP="000E2D2F">
      <w:pPr>
        <w:pStyle w:val="PrrafodeSentencia"/>
        <w:tabs>
          <w:tab w:val="left" w:pos="0"/>
        </w:tabs>
        <w:rPr>
          <w:spacing w:val="0"/>
          <w:szCs w:val="20"/>
        </w:rPr>
      </w:pPr>
      <w:r>
        <w:rPr>
          <w:spacing w:val="0"/>
          <w:szCs w:val="20"/>
        </w:rPr>
        <w:t>L</w:t>
      </w:r>
      <w:r w:rsidRPr="00982781">
        <w:rPr>
          <w:spacing w:val="0"/>
          <w:szCs w:val="20"/>
        </w:rPr>
        <w:t xml:space="preserve">a Corte toma nota de lo informado oportunamente por los representantes en cuanto al deseo de la víctima del caso de no recibir indemnización por concepto de daño emergente, por lo que procederá a valorar los alegatos de las partes relativos a los ingresos dejados de percibir. </w:t>
      </w:r>
    </w:p>
    <w:p w14:paraId="47F6BBD4" w14:textId="77777777" w:rsidR="008B4406" w:rsidRPr="00D87338" w:rsidRDefault="008B4406" w:rsidP="008B4406">
      <w:pPr>
        <w:rPr>
          <w:lang w:val="es-CR" w:eastAsia="es-MX"/>
        </w:rPr>
      </w:pPr>
    </w:p>
    <w:p w14:paraId="5F9088AF" w14:textId="2E72F616" w:rsidR="008B4406" w:rsidRPr="00E14EFF" w:rsidRDefault="008B4406" w:rsidP="000E2D2F">
      <w:pPr>
        <w:pStyle w:val="PrrafodeSentencia"/>
        <w:tabs>
          <w:tab w:val="left" w:pos="0"/>
        </w:tabs>
        <w:rPr>
          <w:rFonts w:eastAsiaTheme="minorHAnsi"/>
          <w:b/>
          <w:spacing w:val="0"/>
          <w:szCs w:val="20"/>
        </w:rPr>
      </w:pPr>
      <w:bookmarkStart w:id="248" w:name="_Ref532899498"/>
      <w:r w:rsidRPr="00B37B55">
        <w:rPr>
          <w:szCs w:val="20"/>
        </w:rPr>
        <w:t xml:space="preserve">En la prueba que obra en el expediente, el Tribunal ha identificado que el señor Colindres Schonenberg habría recibido como salario </w:t>
      </w:r>
      <w:r>
        <w:rPr>
          <w:szCs w:val="20"/>
        </w:rPr>
        <w:t>entr</w:t>
      </w:r>
      <w:r w:rsidRPr="00B37B55">
        <w:rPr>
          <w:szCs w:val="20"/>
        </w:rPr>
        <w:t>e el 2 de julio de 1998</w:t>
      </w:r>
      <w:r w:rsidR="00A822A9">
        <w:rPr>
          <w:szCs w:val="20"/>
        </w:rPr>
        <w:t xml:space="preserve"> hasta el 3</w:t>
      </w:r>
      <w:r w:rsidR="00724409">
        <w:rPr>
          <w:szCs w:val="20"/>
        </w:rPr>
        <w:t>0</w:t>
      </w:r>
      <w:r w:rsidR="00A822A9">
        <w:rPr>
          <w:szCs w:val="20"/>
        </w:rPr>
        <w:t xml:space="preserve"> de julio</w:t>
      </w:r>
      <w:r w:rsidRPr="00E14EFF">
        <w:rPr>
          <w:szCs w:val="20"/>
        </w:rPr>
        <w:t xml:space="preserve"> de 1999, el tiempo que restaba de su mandato, aproximadamente </w:t>
      </w:r>
      <w:r w:rsidR="00462E5C">
        <w:rPr>
          <w:szCs w:val="20"/>
        </w:rPr>
        <w:t xml:space="preserve">de </w:t>
      </w:r>
      <w:r w:rsidR="0050592C">
        <w:rPr>
          <w:szCs w:val="20"/>
        </w:rPr>
        <w:t>USD$</w:t>
      </w:r>
      <w:r w:rsidR="00D83992">
        <w:rPr>
          <w:szCs w:val="20"/>
        </w:rPr>
        <w:t xml:space="preserve"> 31.314,62</w:t>
      </w:r>
      <w:r w:rsidRPr="00E14EFF">
        <w:rPr>
          <w:rStyle w:val="FootnoteReference"/>
          <w:sz w:val="20"/>
          <w:szCs w:val="20"/>
        </w:rPr>
        <w:footnoteReference w:id="173"/>
      </w:r>
      <w:r w:rsidRPr="00E14EFF">
        <w:rPr>
          <w:szCs w:val="20"/>
        </w:rPr>
        <w:t>. Con respecto a las demás montos solicitados, la Corte no cuenta con prueba suficiente para considerar que los mismos deban considerarse como parte del salario, y por ende como ingresos dejados de percibir.</w:t>
      </w:r>
      <w:bookmarkEnd w:id="248"/>
      <w:r w:rsidRPr="00E14EFF">
        <w:rPr>
          <w:szCs w:val="20"/>
        </w:rPr>
        <w:t xml:space="preserve"> </w:t>
      </w:r>
    </w:p>
    <w:p w14:paraId="13C17546" w14:textId="77777777" w:rsidR="0050592C" w:rsidRPr="00A822A9" w:rsidRDefault="0050592C" w:rsidP="0050592C">
      <w:pPr>
        <w:jc w:val="both"/>
        <w:rPr>
          <w:color w:val="00B050"/>
          <w:lang w:val="es-CR" w:eastAsia="es-MX"/>
        </w:rPr>
      </w:pPr>
    </w:p>
    <w:p w14:paraId="7FBCCBE7" w14:textId="15649D86" w:rsidR="0050592C" w:rsidRPr="00F7198C" w:rsidRDefault="0050592C" w:rsidP="00F7198C">
      <w:pPr>
        <w:pStyle w:val="PrrafodeSentencia"/>
        <w:tabs>
          <w:tab w:val="left" w:pos="0"/>
        </w:tabs>
        <w:rPr>
          <w:rFonts w:eastAsiaTheme="minorHAnsi"/>
          <w:b/>
          <w:spacing w:val="0"/>
          <w:szCs w:val="20"/>
        </w:rPr>
      </w:pPr>
      <w:bookmarkStart w:id="249" w:name="_Ref536709840"/>
      <w:r w:rsidRPr="00E14EFF">
        <w:rPr>
          <w:szCs w:val="20"/>
        </w:rPr>
        <w:t xml:space="preserve">Por lo tanto, la Corte </w:t>
      </w:r>
      <w:r w:rsidR="00F7198C">
        <w:rPr>
          <w:szCs w:val="20"/>
        </w:rPr>
        <w:t>estima razonable fijar la cantidad de US$ 32.000,00</w:t>
      </w:r>
      <w:r w:rsidR="00F7198C" w:rsidRPr="00E14EFF">
        <w:rPr>
          <w:szCs w:val="20"/>
        </w:rPr>
        <w:t xml:space="preserve"> </w:t>
      </w:r>
      <w:r w:rsidR="00F7198C">
        <w:rPr>
          <w:szCs w:val="20"/>
        </w:rPr>
        <w:t xml:space="preserve">(treinta y dos mil dólares </w:t>
      </w:r>
      <w:r w:rsidR="00F7198C">
        <w:t xml:space="preserve">de los Estados Unidos de América) por concepto de </w:t>
      </w:r>
      <w:r w:rsidR="00F7198C" w:rsidRPr="00E14EFF">
        <w:rPr>
          <w:szCs w:val="20"/>
        </w:rPr>
        <w:t>ingresos dejados de percibir</w:t>
      </w:r>
      <w:r w:rsidR="00F7198C">
        <w:rPr>
          <w:szCs w:val="20"/>
        </w:rPr>
        <w:t xml:space="preserve">, a favor del </w:t>
      </w:r>
      <w:r w:rsidR="00D45C77" w:rsidRPr="00F7198C">
        <w:rPr>
          <w:szCs w:val="20"/>
        </w:rPr>
        <w:t>señor Eduardo Benjamín Colindres Schonenberg</w:t>
      </w:r>
      <w:bookmarkEnd w:id="249"/>
      <w:r w:rsidR="00F7198C">
        <w:rPr>
          <w:szCs w:val="20"/>
        </w:rPr>
        <w:t>.</w:t>
      </w:r>
    </w:p>
    <w:p w14:paraId="6EC27AE2" w14:textId="77777777" w:rsidR="008B4406" w:rsidRPr="00A939C0" w:rsidRDefault="008B4406" w:rsidP="008B4406">
      <w:pPr>
        <w:rPr>
          <w:lang w:val="es-CR" w:eastAsia="es-MX"/>
        </w:rPr>
      </w:pPr>
    </w:p>
    <w:p w14:paraId="35F12F1B" w14:textId="6CD9B753" w:rsidR="008B4406" w:rsidRPr="00873201" w:rsidRDefault="007526C4" w:rsidP="00865D8D">
      <w:pPr>
        <w:pStyle w:val="Heading3"/>
        <w:ind w:left="1134"/>
        <w:rPr>
          <w:rFonts w:eastAsiaTheme="minorHAnsi"/>
          <w:lang w:eastAsia="es-MX"/>
        </w:rPr>
      </w:pPr>
      <w:bookmarkStart w:id="250" w:name="_Toc192593"/>
      <w:r>
        <w:rPr>
          <w:rFonts w:eastAsiaTheme="minorHAnsi"/>
          <w:lang w:eastAsia="es-MX"/>
        </w:rPr>
        <w:t>E</w:t>
      </w:r>
      <w:r w:rsidR="008B4406">
        <w:rPr>
          <w:rFonts w:eastAsiaTheme="minorHAnsi"/>
          <w:lang w:eastAsia="es-MX"/>
        </w:rPr>
        <w:t>.2 Daño inmaterial</w:t>
      </w:r>
      <w:bookmarkEnd w:id="250"/>
    </w:p>
    <w:p w14:paraId="00A8F428" w14:textId="2276CACE" w:rsidR="008B4406" w:rsidRPr="00560E8D" w:rsidRDefault="008B4406" w:rsidP="000E2D2F">
      <w:pPr>
        <w:pStyle w:val="PrrafodeSentencia"/>
        <w:tabs>
          <w:tab w:val="left" w:pos="0"/>
        </w:tabs>
        <w:rPr>
          <w:rFonts w:cs="Georgia"/>
          <w:szCs w:val="20"/>
        </w:rPr>
      </w:pPr>
      <w:r w:rsidRPr="00560E8D">
        <w:rPr>
          <w:rStyle w:val="PrrafodeSentenciaChar"/>
          <w:szCs w:val="20"/>
        </w:rPr>
        <w:t xml:space="preserve">Los </w:t>
      </w:r>
      <w:r w:rsidRPr="00560E8D">
        <w:rPr>
          <w:rStyle w:val="PrrafodeSentenciaChar"/>
          <w:b/>
          <w:i/>
          <w:szCs w:val="20"/>
        </w:rPr>
        <w:t>representantes</w:t>
      </w:r>
      <w:r w:rsidRPr="00560E8D">
        <w:rPr>
          <w:rStyle w:val="PrrafodeSentenciaChar"/>
          <w:szCs w:val="20"/>
        </w:rPr>
        <w:t xml:space="preserve"> alegaron que las violaciones a los derechos humanos ocasionadas por el Estado en perjuicio de Eduardo Benjamín Colindres, “dañaron su imagen pública, su hono</w:t>
      </w:r>
      <w:r w:rsidR="00871D2E">
        <w:rPr>
          <w:rStyle w:val="PrrafodeSentenciaChar"/>
          <w:szCs w:val="20"/>
        </w:rPr>
        <w:t>r, su autoestima, y su dignidad</w:t>
      </w:r>
      <w:r w:rsidRPr="00560E8D">
        <w:rPr>
          <w:rStyle w:val="PrrafodeSentenciaChar"/>
          <w:szCs w:val="20"/>
        </w:rPr>
        <w:t xml:space="preserve"> </w:t>
      </w:r>
      <w:r w:rsidR="00871D2E">
        <w:rPr>
          <w:rStyle w:val="PrrafodeSentenciaChar"/>
          <w:szCs w:val="20"/>
        </w:rPr>
        <w:t>[</w:t>
      </w:r>
      <w:r w:rsidRPr="00560E8D">
        <w:rPr>
          <w:rStyle w:val="PrrafodeSentenciaChar"/>
          <w:szCs w:val="20"/>
        </w:rPr>
        <w:t>pues</w:t>
      </w:r>
      <w:r w:rsidR="00871D2E">
        <w:rPr>
          <w:rStyle w:val="PrrafodeSentenciaChar"/>
          <w:szCs w:val="20"/>
        </w:rPr>
        <w:t xml:space="preserve">] </w:t>
      </w:r>
      <w:r w:rsidRPr="00560E8D">
        <w:rPr>
          <w:rStyle w:val="PrrafodeSentenciaChar"/>
          <w:szCs w:val="20"/>
        </w:rPr>
        <w:t xml:space="preserve">conllevaron presiones, inestabilidad, incertidumbre, frustraciones, decepciones y angustias que han trascendido en el tiempo”. Agregaron que el </w:t>
      </w:r>
      <w:r>
        <w:rPr>
          <w:rStyle w:val="PrrafodeSentenciaChar"/>
          <w:szCs w:val="20"/>
        </w:rPr>
        <w:t>que se le acusara al señor Colindres de</w:t>
      </w:r>
      <w:r w:rsidRPr="00560E8D">
        <w:rPr>
          <w:rStyle w:val="PrrafodeSentenciaChar"/>
          <w:szCs w:val="20"/>
        </w:rPr>
        <w:t xml:space="preserve"> carecer de </w:t>
      </w:r>
      <w:r>
        <w:rPr>
          <w:rStyle w:val="PrrafodeSentenciaChar"/>
          <w:szCs w:val="20"/>
        </w:rPr>
        <w:t>instrucción notoria</w:t>
      </w:r>
      <w:r w:rsidRPr="00560E8D">
        <w:rPr>
          <w:rStyle w:val="PrrafodeSentenciaChar"/>
          <w:szCs w:val="20"/>
        </w:rPr>
        <w:t xml:space="preserve"> y de ser inmoral constituyó un agravio que acarrea consigo hasta el día de hoy.</w:t>
      </w:r>
      <w:r w:rsidRPr="00560E8D">
        <w:rPr>
          <w:rFonts w:cs="Georgia"/>
          <w:szCs w:val="20"/>
        </w:rPr>
        <w:t xml:space="preserve"> </w:t>
      </w:r>
      <w:r w:rsidRPr="00560E8D">
        <w:rPr>
          <w:szCs w:val="20"/>
        </w:rPr>
        <w:t xml:space="preserve">Consecuentemente, solicitaron ordenar al Estado pagar el </w:t>
      </w:r>
      <w:r w:rsidRPr="00560E8D">
        <w:rPr>
          <w:rFonts w:cs="Georgia,Bold"/>
          <w:bCs/>
          <w:szCs w:val="20"/>
        </w:rPr>
        <w:t>monto de un millón de dólares</w:t>
      </w:r>
      <w:r w:rsidRPr="00560E8D">
        <w:rPr>
          <w:rFonts w:cs="Georgia,Bold"/>
          <w:b/>
          <w:bCs/>
          <w:szCs w:val="20"/>
        </w:rPr>
        <w:t xml:space="preserve"> </w:t>
      </w:r>
      <w:r w:rsidRPr="00560E8D">
        <w:rPr>
          <w:szCs w:val="20"/>
        </w:rPr>
        <w:t>de los Estados Unidos de América, por concepto de daño moral. Finalmente, los representantes solicitaron la indemnización compensatoria por concepto de daño al proyecto de vida. En este sentido los representantes alegaron que la inhabilitación de ejercer cualquier cargo público significó</w:t>
      </w:r>
      <w:r>
        <w:rPr>
          <w:szCs w:val="20"/>
        </w:rPr>
        <w:t xml:space="preserve"> para el señor Colindres la pérdida </w:t>
      </w:r>
      <w:r w:rsidRPr="00560E8D">
        <w:rPr>
          <w:szCs w:val="20"/>
        </w:rPr>
        <w:t xml:space="preserve">del derecho de </w:t>
      </w:r>
      <w:r w:rsidR="00871D2E">
        <w:rPr>
          <w:szCs w:val="20"/>
        </w:rPr>
        <w:t>“</w:t>
      </w:r>
      <w:r w:rsidRPr="00560E8D">
        <w:rPr>
          <w:szCs w:val="20"/>
        </w:rPr>
        <w:t>optar a un cargo público, cuyo requisito constitucional es poseer moralidad, honradez e instrucción notoria</w:t>
      </w:r>
      <w:r>
        <w:rPr>
          <w:szCs w:val="20"/>
        </w:rPr>
        <w:t>”</w:t>
      </w:r>
      <w:r w:rsidRPr="00560E8D">
        <w:rPr>
          <w:szCs w:val="20"/>
        </w:rPr>
        <w:t xml:space="preserve">. Por lo tanto, solicitaron ordenar un pago adicional, de </w:t>
      </w:r>
      <w:r w:rsidRPr="00560E8D">
        <w:rPr>
          <w:rFonts w:cs="Georgia,Bold"/>
          <w:bCs/>
          <w:szCs w:val="20"/>
        </w:rPr>
        <w:t>un millón de dólares de los Estados Unidos de América.</w:t>
      </w:r>
      <w:r w:rsidRPr="00560E8D">
        <w:rPr>
          <w:rFonts w:cs="Georgia,Bold"/>
          <w:b/>
          <w:bCs/>
          <w:szCs w:val="20"/>
        </w:rPr>
        <w:t xml:space="preserve"> </w:t>
      </w:r>
    </w:p>
    <w:p w14:paraId="6CAB51BC" w14:textId="77777777" w:rsidR="008B4406" w:rsidRDefault="008B4406" w:rsidP="008B4406">
      <w:pPr>
        <w:pStyle w:val="PrrafodeSentencia"/>
        <w:numPr>
          <w:ilvl w:val="0"/>
          <w:numId w:val="0"/>
        </w:numPr>
      </w:pPr>
    </w:p>
    <w:p w14:paraId="036B83C6" w14:textId="61BCB346" w:rsidR="008B4406" w:rsidRDefault="008B4406" w:rsidP="000E2D2F">
      <w:pPr>
        <w:pStyle w:val="PrrafodeSentencia"/>
        <w:tabs>
          <w:tab w:val="left" w:pos="0"/>
        </w:tabs>
      </w:pPr>
      <w:r w:rsidRPr="00903E6E">
        <w:t xml:space="preserve">El </w:t>
      </w:r>
      <w:r w:rsidRPr="00903E6E">
        <w:rPr>
          <w:b/>
          <w:i/>
        </w:rPr>
        <w:t xml:space="preserve">Estado </w:t>
      </w:r>
      <w:r w:rsidRPr="00903E6E">
        <w:t>alegó</w:t>
      </w:r>
      <w:r>
        <w:t xml:space="preserve"> que la cantidad solicitada por los representantes no</w:t>
      </w:r>
      <w:r w:rsidRPr="008002AE">
        <w:t xml:space="preserve"> guarda</w:t>
      </w:r>
      <w:r>
        <w:t xml:space="preserve"> “una relació</w:t>
      </w:r>
      <w:r w:rsidRPr="008002AE">
        <w:t>n con el carácter</w:t>
      </w:r>
      <w:r>
        <w:t xml:space="preserve"> y l</w:t>
      </w:r>
      <w:r w:rsidRPr="008002AE">
        <w:t>a gravedad de las</w:t>
      </w:r>
      <w:r>
        <w:t xml:space="preserve"> violaciones que se atribuyen al</w:t>
      </w:r>
      <w:r w:rsidRPr="008002AE">
        <w:t xml:space="preserve"> Estado en</w:t>
      </w:r>
      <w:r>
        <w:t xml:space="preserve"> </w:t>
      </w:r>
      <w:r w:rsidRPr="002D5CCB">
        <w:t>el presente caso, ni con el daño</w:t>
      </w:r>
      <w:r>
        <w:t xml:space="preserve"> presuntamente generado al</w:t>
      </w:r>
      <w:r w:rsidRPr="002D5CCB">
        <w:t xml:space="preserve"> señor Colindres</w:t>
      </w:r>
      <w:r>
        <w:t xml:space="preserve">”. Agregaron que </w:t>
      </w:r>
      <w:r w:rsidRPr="00266C3E">
        <w:rPr>
          <w:szCs w:val="20"/>
        </w:rPr>
        <w:t>el m</w:t>
      </w:r>
      <w:r>
        <w:rPr>
          <w:szCs w:val="20"/>
        </w:rPr>
        <w:t>onto de la indemnización por la primera destitución del señor Colindres por un periodo similar a su segunda destitución, por concepto de daño moral, se fijó</w:t>
      </w:r>
      <w:r w:rsidRPr="00266C3E">
        <w:rPr>
          <w:szCs w:val="20"/>
        </w:rPr>
        <w:t xml:space="preserve"> en $114,285.71. </w:t>
      </w:r>
      <w:r w:rsidRPr="00760A6B">
        <w:rPr>
          <w:szCs w:val="20"/>
        </w:rPr>
        <w:t xml:space="preserve">Por lo anterior, el Estado solicitó a la Corte fijar en equidad una cantidad </w:t>
      </w:r>
      <w:r w:rsidRPr="00B9010E">
        <w:rPr>
          <w:szCs w:val="20"/>
        </w:rPr>
        <w:t>“</w:t>
      </w:r>
      <w:r>
        <w:rPr>
          <w:szCs w:val="20"/>
        </w:rPr>
        <w:t>acorde al</w:t>
      </w:r>
      <w:r w:rsidRPr="002D5CCB">
        <w:rPr>
          <w:szCs w:val="20"/>
        </w:rPr>
        <w:t xml:space="preserve"> carácter y</w:t>
      </w:r>
      <w:r>
        <w:rPr>
          <w:szCs w:val="20"/>
        </w:rPr>
        <w:t xml:space="preserve"> </w:t>
      </w:r>
      <w:r w:rsidRPr="002D5CCB">
        <w:rPr>
          <w:szCs w:val="20"/>
        </w:rPr>
        <w:t>gravedad de las violaciones</w:t>
      </w:r>
      <w:r w:rsidRPr="00760A6B">
        <w:rPr>
          <w:szCs w:val="20"/>
        </w:rPr>
        <w:t>”</w:t>
      </w:r>
      <w:r w:rsidRPr="00760A6B">
        <w:rPr>
          <w:b/>
          <w:szCs w:val="20"/>
        </w:rPr>
        <w:t xml:space="preserve"> </w:t>
      </w:r>
      <w:r w:rsidRPr="00760A6B">
        <w:rPr>
          <w:szCs w:val="20"/>
        </w:rPr>
        <w:t>de estimarse su responsabilidad internacional en el presente caso.</w:t>
      </w:r>
      <w:r w:rsidRPr="00760A6B">
        <w:t xml:space="preserve"> </w:t>
      </w:r>
    </w:p>
    <w:p w14:paraId="4EAB064A" w14:textId="77777777" w:rsidR="008B4406" w:rsidRPr="004A295F" w:rsidRDefault="008B4406" w:rsidP="008B4406">
      <w:pPr>
        <w:rPr>
          <w:lang w:val="es-CR" w:eastAsia="es-MX"/>
        </w:rPr>
      </w:pPr>
    </w:p>
    <w:p w14:paraId="121D2A0A" w14:textId="16F1C90D" w:rsidR="008B4406" w:rsidRDefault="008B4406" w:rsidP="000E2D2F">
      <w:pPr>
        <w:pStyle w:val="PrrafodeSentencia"/>
        <w:tabs>
          <w:tab w:val="left" w:pos="0"/>
        </w:tabs>
        <w:rPr>
          <w:spacing w:val="-2"/>
          <w:szCs w:val="20"/>
        </w:rPr>
      </w:pPr>
      <w:r w:rsidRPr="004A295F">
        <w:rPr>
          <w:spacing w:val="-2"/>
          <w:szCs w:val="20"/>
        </w:rPr>
        <w:t xml:space="preserve">Este Tribunal ha desarrollado en su jurisprudencia el concepto de daño inmaterial, y ha establecido que </w:t>
      </w:r>
      <w:r w:rsidR="00D45C77">
        <w:rPr>
          <w:spacing w:val="-2"/>
          <w:szCs w:val="20"/>
        </w:rPr>
        <w:t>e</w:t>
      </w:r>
      <w:r w:rsidRPr="004A295F">
        <w:rPr>
          <w:spacing w:val="-2"/>
          <w:szCs w:val="20"/>
        </w:rPr>
        <w:t xml:space="preserve">ste puede comprender tanto los sufrimientos y las aflicciones causados a la víctima directa y a sus allegados, como el menoscabo de valores muy significativos para las </w:t>
      </w:r>
      <w:r w:rsidRPr="004A295F">
        <w:rPr>
          <w:spacing w:val="-2"/>
          <w:szCs w:val="20"/>
        </w:rPr>
        <w:lastRenderedPageBreak/>
        <w:t>personas, así como las alteraciones, de carácter no pecuniario, en las condiciones de existencia de la víctima o su familia</w:t>
      </w:r>
      <w:r w:rsidRPr="004A295F">
        <w:rPr>
          <w:rStyle w:val="FootnoteReference"/>
          <w:spacing w:val="-2"/>
          <w:sz w:val="20"/>
          <w:szCs w:val="20"/>
        </w:rPr>
        <w:footnoteReference w:id="174"/>
      </w:r>
      <w:r w:rsidRPr="004A295F">
        <w:rPr>
          <w:spacing w:val="-2"/>
          <w:szCs w:val="20"/>
        </w:rPr>
        <w:t>.</w:t>
      </w:r>
    </w:p>
    <w:p w14:paraId="03E27D5B" w14:textId="77777777" w:rsidR="008B4406" w:rsidRPr="004A295F" w:rsidRDefault="008B4406" w:rsidP="008B4406">
      <w:pPr>
        <w:rPr>
          <w:lang w:val="es-CR" w:eastAsia="es-MX"/>
        </w:rPr>
      </w:pPr>
    </w:p>
    <w:p w14:paraId="22EFB69F" w14:textId="5373AC63" w:rsidR="008B4406" w:rsidRDefault="008B4406" w:rsidP="000E2D2F">
      <w:pPr>
        <w:pStyle w:val="PrrafodeSentencia"/>
        <w:tabs>
          <w:tab w:val="left" w:pos="0"/>
        </w:tabs>
        <w:rPr>
          <w:szCs w:val="20"/>
        </w:rPr>
      </w:pPr>
      <w:bookmarkStart w:id="251" w:name="_Ref532899546"/>
      <w:r w:rsidRPr="00B30AB8">
        <w:t>La</w:t>
      </w:r>
      <w:r>
        <w:t xml:space="preserve"> Corte nota que en la</w:t>
      </w:r>
      <w:r w:rsidRPr="00B30AB8">
        <w:t xml:space="preserve"> declaraci</w:t>
      </w:r>
      <w:r>
        <w:t>ón rendida</w:t>
      </w:r>
      <w:r w:rsidRPr="00B30AB8">
        <w:t xml:space="preserve"> por la víctima hizo referencia a</w:t>
      </w:r>
      <w:r w:rsidRPr="004A295F">
        <w:rPr>
          <w:spacing w:val="-2"/>
          <w:szCs w:val="20"/>
        </w:rPr>
        <w:t xml:space="preserve"> </w:t>
      </w:r>
      <w:r w:rsidRPr="004A295F">
        <w:rPr>
          <w:szCs w:val="20"/>
        </w:rPr>
        <w:t>los sufrimientos y aflicciones padecidas a raíz de las violaciones declaradas en este caso. En este sentido, el señor Colindres Schonenberg señaló que tras pasar “25 años de [su] vida […] estudiando y [</w:t>
      </w:r>
      <w:r w:rsidR="0045442E">
        <w:rPr>
          <w:szCs w:val="20"/>
        </w:rPr>
        <w:t>el haber declarado</w:t>
      </w:r>
      <w:r w:rsidRPr="004A295F">
        <w:rPr>
          <w:szCs w:val="20"/>
        </w:rPr>
        <w:t xml:space="preserve">] que no ten[ía] instrucción notoria, </w:t>
      </w:r>
      <w:r w:rsidR="0045442E">
        <w:rPr>
          <w:szCs w:val="20"/>
        </w:rPr>
        <w:t>[…] que [era] inmoral;</w:t>
      </w:r>
      <w:r w:rsidRPr="004A295F">
        <w:rPr>
          <w:szCs w:val="20"/>
        </w:rPr>
        <w:t xml:space="preserve"> eso indudablemente afectó a toda [su] familia en lo más profundo porque atentaban en contra de todo lo que había sido [su] vida”</w:t>
      </w:r>
      <w:r w:rsidRPr="00B36729">
        <w:rPr>
          <w:rStyle w:val="FootnoteReference"/>
          <w:sz w:val="20"/>
          <w:szCs w:val="20"/>
        </w:rPr>
        <w:footnoteReference w:id="175"/>
      </w:r>
      <w:r w:rsidRPr="004A295F">
        <w:rPr>
          <w:szCs w:val="20"/>
        </w:rPr>
        <w:t>.</w:t>
      </w:r>
      <w:bookmarkEnd w:id="251"/>
      <w:r w:rsidRPr="004A295F">
        <w:rPr>
          <w:szCs w:val="20"/>
        </w:rPr>
        <w:t xml:space="preserve"> </w:t>
      </w:r>
    </w:p>
    <w:p w14:paraId="613DABD4" w14:textId="77777777" w:rsidR="008B4406" w:rsidRPr="004A295F" w:rsidRDefault="008B4406" w:rsidP="008B4406">
      <w:pPr>
        <w:rPr>
          <w:lang w:val="es-CR" w:eastAsia="es-MX"/>
        </w:rPr>
      </w:pPr>
    </w:p>
    <w:p w14:paraId="15F5DB74" w14:textId="12B2BE2F" w:rsidR="008B4406" w:rsidRDefault="008B4406" w:rsidP="000E2D2F">
      <w:pPr>
        <w:pStyle w:val="PrrafodeSentencia"/>
        <w:tabs>
          <w:tab w:val="left" w:pos="0"/>
        </w:tabs>
      </w:pPr>
      <w:bookmarkStart w:id="252" w:name="_Ref536709858"/>
      <w:r w:rsidRPr="00151103">
        <w:t>Teniendo en cu</w:t>
      </w:r>
      <w:r>
        <w:t>enta la declaración reseñada</w:t>
      </w:r>
      <w:r w:rsidRPr="00151103">
        <w:t xml:space="preserve">, la Corte estima que </w:t>
      </w:r>
      <w:r w:rsidR="00D45C77">
        <w:t xml:space="preserve">el proceso de destitución </w:t>
      </w:r>
      <w:r w:rsidRPr="00151103">
        <w:t>y el cese d</w:t>
      </w:r>
      <w:r>
        <w:t>e su cargo</w:t>
      </w:r>
      <w:r w:rsidRPr="00151103">
        <w:t xml:space="preserve"> </w:t>
      </w:r>
      <w:r>
        <w:t>ocasionaron un daño moral en la víctima</w:t>
      </w:r>
      <w:r w:rsidRPr="00151103">
        <w:t xml:space="preserve"> del presente caso. En virtud </w:t>
      </w:r>
      <w:r w:rsidR="00EE4FE9">
        <w:t xml:space="preserve">de </w:t>
      </w:r>
      <w:r w:rsidRPr="00151103">
        <w:t>ello, en atención a las circunstancias del presente caso y las violaciones encontradas</w:t>
      </w:r>
      <w:r>
        <w:t>,</w:t>
      </w:r>
      <w:r w:rsidRPr="00151103">
        <w:t xml:space="preserve"> la Corte considera pertinente fijar, en equidad, la cantidad de US$ 10.000,00 (diez mil dólares de los Estados Unidos de América)</w:t>
      </w:r>
      <w:bookmarkEnd w:id="252"/>
    </w:p>
    <w:p w14:paraId="168DC8F9" w14:textId="77777777" w:rsidR="008B4406" w:rsidRPr="0000229A" w:rsidRDefault="008B4406" w:rsidP="008B4406">
      <w:pPr>
        <w:rPr>
          <w:color w:val="00B050"/>
          <w:sz w:val="18"/>
          <w:szCs w:val="18"/>
          <w:lang w:val="es-CR" w:eastAsia="es-MX"/>
        </w:rPr>
      </w:pPr>
    </w:p>
    <w:p w14:paraId="5863BA3E" w14:textId="77777777" w:rsidR="008B4406" w:rsidRPr="0009299C" w:rsidRDefault="008B4406" w:rsidP="000E2D2F">
      <w:pPr>
        <w:pStyle w:val="PrrafodeSentencia"/>
        <w:tabs>
          <w:tab w:val="left" w:pos="0"/>
        </w:tabs>
        <w:rPr>
          <w:color w:val="00B050"/>
        </w:rPr>
      </w:pPr>
      <w:r w:rsidRPr="0009299C">
        <w:t>Tomando en cuenta las reparaciones anteriormente otorgadas, no es necesario hacer referencia a los alegatos presentados por los representantes relacionados con la presunta afectación al proyecto de vida</w:t>
      </w:r>
      <w:r w:rsidRPr="004A295F">
        <w:rPr>
          <w:rStyle w:val="FootnoteReference"/>
          <w:sz w:val="20"/>
          <w:szCs w:val="20"/>
        </w:rPr>
        <w:footnoteReference w:id="176"/>
      </w:r>
      <w:r w:rsidRPr="004A295F">
        <w:rPr>
          <w:szCs w:val="20"/>
        </w:rPr>
        <w:t>.</w:t>
      </w:r>
    </w:p>
    <w:p w14:paraId="04ECC8CC" w14:textId="77777777" w:rsidR="008B4406" w:rsidRDefault="008B4406" w:rsidP="008B4406">
      <w:pPr>
        <w:tabs>
          <w:tab w:val="left" w:pos="567"/>
        </w:tabs>
        <w:rPr>
          <w:spacing w:val="-4"/>
          <w:szCs w:val="20"/>
          <w:lang w:val="es-ES"/>
        </w:rPr>
      </w:pPr>
    </w:p>
    <w:p w14:paraId="0ADFFFA5" w14:textId="77777777" w:rsidR="008B4406" w:rsidRDefault="008B4406" w:rsidP="00873201">
      <w:pPr>
        <w:pStyle w:val="Heading2"/>
        <w:keepNext w:val="0"/>
        <w:numPr>
          <w:ilvl w:val="0"/>
          <w:numId w:val="17"/>
        </w:numPr>
        <w:tabs>
          <w:tab w:val="left" w:pos="567"/>
          <w:tab w:val="left" w:pos="1134"/>
        </w:tabs>
        <w:ind w:hanging="873"/>
        <w:rPr>
          <w:rFonts w:eastAsiaTheme="minorHAnsi"/>
        </w:rPr>
      </w:pPr>
      <w:bookmarkStart w:id="253" w:name="_Toc192594"/>
      <w:bookmarkStart w:id="254" w:name="_Toc514063483"/>
      <w:bookmarkStart w:id="255" w:name="_Toc502891632"/>
      <w:bookmarkStart w:id="256" w:name="_Toc502885972"/>
      <w:bookmarkStart w:id="257" w:name="_Toc499146742"/>
      <w:bookmarkStart w:id="258" w:name="_Toc492646053"/>
      <w:r>
        <w:rPr>
          <w:rFonts w:eastAsiaTheme="minorHAnsi"/>
        </w:rPr>
        <w:t>Costas y gastos</w:t>
      </w:r>
      <w:bookmarkEnd w:id="253"/>
    </w:p>
    <w:p w14:paraId="4E5F25FF" w14:textId="77777777" w:rsidR="008B4406" w:rsidRPr="00460BF3" w:rsidRDefault="008B4406" w:rsidP="008B4406"/>
    <w:p w14:paraId="3341854C" w14:textId="1F3666BD" w:rsidR="008B4406" w:rsidRPr="004A295F" w:rsidRDefault="008B4406" w:rsidP="000E2D2F">
      <w:pPr>
        <w:pStyle w:val="PrrafodeSentencia"/>
        <w:tabs>
          <w:tab w:val="left" w:pos="0"/>
        </w:tabs>
      </w:pPr>
      <w:r w:rsidRPr="004A295F">
        <w:t xml:space="preserve">En su escrito de argumentos y pruebas, los </w:t>
      </w:r>
      <w:r w:rsidRPr="004A295F">
        <w:rPr>
          <w:b/>
          <w:i/>
        </w:rPr>
        <w:t>representantes</w:t>
      </w:r>
      <w:r w:rsidRPr="004A295F">
        <w:t xml:space="preserve"> indicaron que “ha</w:t>
      </w:r>
      <w:r>
        <w:t>[n]</w:t>
      </w:r>
      <w:r w:rsidRPr="004A295F">
        <w:t xml:space="preserve"> acompañado </w:t>
      </w:r>
      <w:r w:rsidRPr="0045442E">
        <w:rPr>
          <w:i/>
        </w:rPr>
        <w:t>ad honorem</w:t>
      </w:r>
      <w:r w:rsidRPr="004A295F">
        <w:t xml:space="preserve"> al doctor Eduardo Benjamín Colindres desde el 2003, año en el que se iniciaron los trámites y diligencias a fin de promover el establecimiento de la justicia en la instancia interamericana</w:t>
      </w:r>
      <w:r>
        <w:t>”</w:t>
      </w:r>
      <w:r w:rsidRPr="004A295F">
        <w:t xml:space="preserve">. Por </w:t>
      </w:r>
      <w:r>
        <w:t>lo tanto</w:t>
      </w:r>
      <w:r w:rsidRPr="004A295F">
        <w:t>, manifesta</w:t>
      </w:r>
      <w:r>
        <w:t xml:space="preserve">ron </w:t>
      </w:r>
      <w:r w:rsidRPr="004A295F">
        <w:t>a</w:t>
      </w:r>
      <w:r>
        <w:t xml:space="preserve"> la</w:t>
      </w:r>
      <w:r w:rsidRPr="004A295F">
        <w:t xml:space="preserve"> Corte que </w:t>
      </w:r>
      <w:r>
        <w:t>se “</w:t>
      </w:r>
      <w:r w:rsidRPr="00A00F50">
        <w:t>abstendr</w:t>
      </w:r>
      <w:r>
        <w:t>[ían]</w:t>
      </w:r>
      <w:r w:rsidRPr="004A295F">
        <w:t xml:space="preserve"> de solicitar una compensación monetaria en consideración de </w:t>
      </w:r>
      <w:r w:rsidRPr="00A00F50">
        <w:t>las costas y gastos judiciales</w:t>
      </w:r>
      <w:r>
        <w:t>”</w:t>
      </w:r>
      <w:r w:rsidRPr="00A00F50">
        <w:t>.</w:t>
      </w:r>
      <w:r w:rsidRPr="004A295F">
        <w:t xml:space="preserve"> </w:t>
      </w:r>
      <w:r>
        <w:t xml:space="preserve">En vista de lo anterior, la Corte no ordenará el pago de las costas y gastos en el presente caso, </w:t>
      </w:r>
      <w:r w:rsidRPr="006D52EB">
        <w:t>sin perjuicio de que el Estado decida otorgar</w:t>
      </w:r>
      <w:r>
        <w:t xml:space="preserve"> alguna indemnización por este concepto</w:t>
      </w:r>
      <w:r w:rsidRPr="006D52EB">
        <w:t xml:space="preserve"> a nivel interno</w:t>
      </w:r>
      <w:r>
        <w:t>.</w:t>
      </w:r>
    </w:p>
    <w:p w14:paraId="73A39065" w14:textId="77777777" w:rsidR="008B4406" w:rsidRPr="004A295F" w:rsidRDefault="008B4406" w:rsidP="008B4406">
      <w:pPr>
        <w:pStyle w:val="PrrafodeSentencia"/>
        <w:numPr>
          <w:ilvl w:val="0"/>
          <w:numId w:val="0"/>
        </w:numPr>
      </w:pPr>
    </w:p>
    <w:p w14:paraId="64E76016" w14:textId="77777777" w:rsidR="008B4406" w:rsidRDefault="008B4406" w:rsidP="00873201">
      <w:pPr>
        <w:pStyle w:val="Heading2"/>
        <w:keepNext w:val="0"/>
        <w:numPr>
          <w:ilvl w:val="0"/>
          <w:numId w:val="17"/>
        </w:numPr>
        <w:tabs>
          <w:tab w:val="left" w:pos="567"/>
          <w:tab w:val="left" w:pos="1134"/>
        </w:tabs>
        <w:ind w:hanging="873"/>
        <w:rPr>
          <w:rFonts w:eastAsiaTheme="minorHAnsi"/>
        </w:rPr>
      </w:pPr>
      <w:bookmarkStart w:id="259" w:name="_Toc192595"/>
      <w:r>
        <w:rPr>
          <w:rFonts w:eastAsiaTheme="minorHAnsi"/>
        </w:rPr>
        <w:t>Modalidad de cumplimiento de los pagos ordenados</w:t>
      </w:r>
      <w:bookmarkEnd w:id="254"/>
      <w:bookmarkEnd w:id="255"/>
      <w:bookmarkEnd w:id="256"/>
      <w:bookmarkEnd w:id="257"/>
      <w:bookmarkEnd w:id="258"/>
      <w:bookmarkEnd w:id="259"/>
    </w:p>
    <w:p w14:paraId="1B5E0D54" w14:textId="77777777" w:rsidR="008B4406" w:rsidRDefault="008B4406" w:rsidP="008B4406">
      <w:pPr>
        <w:pStyle w:val="PrrafodeSentencia"/>
        <w:numPr>
          <w:ilvl w:val="0"/>
          <w:numId w:val="0"/>
        </w:numPr>
      </w:pPr>
      <w:bookmarkStart w:id="260" w:name="_Ref469940428"/>
    </w:p>
    <w:p w14:paraId="0232011F" w14:textId="77777777" w:rsidR="008B4406" w:rsidRDefault="008B4406" w:rsidP="000E2D2F">
      <w:pPr>
        <w:pStyle w:val="PrrafodeSentencia"/>
        <w:tabs>
          <w:tab w:val="left" w:pos="0"/>
        </w:tabs>
      </w:pPr>
      <w:bookmarkStart w:id="261" w:name="_Ref512872975"/>
      <w:r>
        <w:t>El Estado deberá efectuar el pago de las indemnizaciones por concepto de daño material e inmaterial establecidos en la presente Sentencia directamente a la persona indicada en la misma, dentro del plazo de un año contado a partir de la notificación de la presente Sentencia</w:t>
      </w:r>
      <w:bookmarkStart w:id="262" w:name="_Ref469601153"/>
      <w:bookmarkEnd w:id="260"/>
      <w:r>
        <w:t>.</w:t>
      </w:r>
      <w:bookmarkEnd w:id="261"/>
    </w:p>
    <w:p w14:paraId="5361BF2D" w14:textId="77777777" w:rsidR="008B4406" w:rsidRDefault="008B4406" w:rsidP="008B4406">
      <w:pPr>
        <w:pStyle w:val="PrrafodeSentencia"/>
        <w:numPr>
          <w:ilvl w:val="0"/>
          <w:numId w:val="0"/>
        </w:numPr>
      </w:pPr>
    </w:p>
    <w:p w14:paraId="67F0150A" w14:textId="77777777" w:rsidR="008B4406" w:rsidRDefault="008B4406" w:rsidP="000E2D2F">
      <w:pPr>
        <w:pStyle w:val="PrrafodeSentencia"/>
        <w:tabs>
          <w:tab w:val="left" w:pos="0"/>
        </w:tabs>
      </w:pPr>
      <w:r>
        <w:t xml:space="preserve">En caso de que el beneficiario haya fallecido o fallezca antes de que le sea entregada la cantidad respectiva, esta se entregará directamente a sus derechohabientes, conforme al derecho interno aplicable. </w:t>
      </w:r>
      <w:bookmarkEnd w:id="262"/>
    </w:p>
    <w:p w14:paraId="0063FC80" w14:textId="77777777" w:rsidR="008B4406" w:rsidRDefault="008B4406" w:rsidP="008B4406">
      <w:pPr>
        <w:pStyle w:val="PrrafodeSentencia"/>
        <w:numPr>
          <w:ilvl w:val="0"/>
          <w:numId w:val="0"/>
        </w:numPr>
      </w:pPr>
    </w:p>
    <w:p w14:paraId="16DA6224" w14:textId="3295488C" w:rsidR="008B4406" w:rsidRDefault="008B4406" w:rsidP="000E2D2F">
      <w:pPr>
        <w:pStyle w:val="PrrafodeSentencia"/>
        <w:tabs>
          <w:tab w:val="left" w:pos="0"/>
        </w:tabs>
      </w:pPr>
      <w:r>
        <w:t>El Estado deberá cumplir con las obligaciones monetarias mediante el pago en dólares de los Estados Unidos de América.</w:t>
      </w:r>
    </w:p>
    <w:p w14:paraId="52F3B5ED" w14:textId="77777777" w:rsidR="008B4406" w:rsidRDefault="008B4406" w:rsidP="008B4406">
      <w:pPr>
        <w:pStyle w:val="PrrafodeSentencia"/>
        <w:numPr>
          <w:ilvl w:val="0"/>
          <w:numId w:val="0"/>
        </w:numPr>
      </w:pPr>
    </w:p>
    <w:p w14:paraId="6A972BCE" w14:textId="77777777" w:rsidR="008B4406" w:rsidRDefault="008B4406" w:rsidP="000E2D2F">
      <w:pPr>
        <w:pStyle w:val="PrrafodeSentencia"/>
        <w:tabs>
          <w:tab w:val="left" w:pos="0"/>
        </w:tabs>
      </w:pPr>
      <w:r>
        <w:t xml:space="preserve">Si por causas atribuibles al beneficiario de las indemnizaciones o a sus derechohabientes no fuese posible el pago de las cantidades determinadas dentro del plazo indicado, el Estado </w:t>
      </w:r>
      <w:r>
        <w:lastRenderedPageBreak/>
        <w:t>consignará dichos montos a su favor en una cuenta o certificado de depósito en una institución financiera salvadoreña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447860AB" w14:textId="77777777" w:rsidR="008B4406" w:rsidRDefault="008B4406" w:rsidP="008B4406">
      <w:pPr>
        <w:pStyle w:val="PrrafodeSentencia"/>
        <w:numPr>
          <w:ilvl w:val="0"/>
          <w:numId w:val="0"/>
        </w:numPr>
      </w:pPr>
    </w:p>
    <w:p w14:paraId="59214A00" w14:textId="77777777" w:rsidR="008B4406" w:rsidRDefault="008B4406" w:rsidP="000E2D2F">
      <w:pPr>
        <w:pStyle w:val="PrrafodeSentencia"/>
        <w:tabs>
          <w:tab w:val="left" w:pos="0"/>
        </w:tabs>
      </w:pPr>
      <w:bookmarkStart w:id="263" w:name="_Ref532899574"/>
      <w:r>
        <w:t>Las cantidades asignadas en la presente Sentencia como indemnización por daños materiales e inmateriales deberán ser entregadas a la persona indicada en forma íntegra, conforme a lo establecido en esta Sentencia, sin reducciones derivadas de eventuales cargas fiscales.</w:t>
      </w:r>
      <w:bookmarkEnd w:id="263"/>
    </w:p>
    <w:p w14:paraId="6D20BF95" w14:textId="77777777" w:rsidR="008B4406" w:rsidRPr="008002AE" w:rsidRDefault="008B4406" w:rsidP="008B4406">
      <w:pPr>
        <w:rPr>
          <w:rFonts w:cs="Georgia"/>
          <w:szCs w:val="20"/>
          <w:lang w:val="es-CR"/>
        </w:rPr>
      </w:pPr>
    </w:p>
    <w:p w14:paraId="1C62B250" w14:textId="77777777" w:rsidR="008B4406" w:rsidRPr="008002AE" w:rsidRDefault="008B4406" w:rsidP="008B4406">
      <w:pPr>
        <w:rPr>
          <w:rFonts w:cs="Georgia,Bold"/>
          <w:b/>
          <w:bCs/>
          <w:szCs w:val="20"/>
          <w:lang w:val="es-CR"/>
        </w:rPr>
      </w:pPr>
    </w:p>
    <w:p w14:paraId="1EDC8CA8" w14:textId="51578D6A" w:rsidR="00AE59A9" w:rsidRPr="0093488D" w:rsidRDefault="00AE59A9" w:rsidP="00AE59A9">
      <w:pPr>
        <w:keepNext/>
        <w:keepLines/>
        <w:tabs>
          <w:tab w:val="left" w:pos="851"/>
        </w:tabs>
        <w:jc w:val="center"/>
        <w:outlineLvl w:val="0"/>
        <w:rPr>
          <w:rFonts w:cs="Verdana"/>
          <w:b/>
          <w:bCs/>
          <w:caps/>
          <w:snapToGrid w:val="0"/>
          <w:szCs w:val="20"/>
        </w:rPr>
      </w:pPr>
      <w:bookmarkStart w:id="264" w:name="_Toc495658707"/>
      <w:bookmarkStart w:id="265" w:name="_Toc470180115"/>
      <w:bookmarkStart w:id="266" w:name="_Toc459158160"/>
      <w:bookmarkStart w:id="267" w:name="_Toc375517156"/>
      <w:bookmarkStart w:id="268" w:name="_Toc514172675"/>
      <w:bookmarkStart w:id="269" w:name="_Toc530132516"/>
      <w:bookmarkStart w:id="270" w:name="_Toc192596"/>
      <w:bookmarkEnd w:id="213"/>
      <w:r>
        <w:rPr>
          <w:rFonts w:cs="Verdana"/>
          <w:b/>
          <w:bCs/>
          <w:caps/>
          <w:snapToGrid w:val="0"/>
          <w:szCs w:val="20"/>
        </w:rPr>
        <w:t>VIII</w:t>
      </w:r>
      <w:r w:rsidRPr="0093488D">
        <w:rPr>
          <w:rFonts w:cs="Verdana"/>
          <w:b/>
          <w:bCs/>
          <w:caps/>
          <w:snapToGrid w:val="0"/>
          <w:szCs w:val="20"/>
        </w:rPr>
        <w:br/>
        <w:t>PUNTOS RESOLUTIVOS</w:t>
      </w:r>
      <w:bookmarkEnd w:id="264"/>
      <w:bookmarkEnd w:id="265"/>
      <w:bookmarkEnd w:id="266"/>
      <w:bookmarkEnd w:id="267"/>
      <w:bookmarkEnd w:id="268"/>
      <w:bookmarkEnd w:id="269"/>
      <w:bookmarkEnd w:id="270"/>
    </w:p>
    <w:p w14:paraId="0E0CDBC1" w14:textId="77777777" w:rsidR="00AE59A9" w:rsidRPr="0093488D" w:rsidRDefault="00AE59A9" w:rsidP="00AE59A9">
      <w:pPr>
        <w:rPr>
          <w:szCs w:val="20"/>
        </w:rPr>
      </w:pPr>
    </w:p>
    <w:p w14:paraId="1E5742F9" w14:textId="625EECD4" w:rsidR="00AE59A9" w:rsidRPr="0093488D" w:rsidRDefault="00AE59A9" w:rsidP="00AE59A9">
      <w:pPr>
        <w:pStyle w:val="PrrafodeSentencia"/>
      </w:pPr>
      <w:r w:rsidRPr="0093488D">
        <w:t xml:space="preserve">Por </w:t>
      </w:r>
      <w:r w:rsidRPr="0093488D">
        <w:rPr>
          <w:rFonts w:eastAsia="MS Mincho"/>
          <w:spacing w:val="-2"/>
          <w:lang w:bidi="en-US"/>
        </w:rPr>
        <w:t>tanto</w:t>
      </w:r>
      <w:r w:rsidRPr="0093488D">
        <w:t>,</w:t>
      </w:r>
    </w:p>
    <w:p w14:paraId="14B1055B" w14:textId="77777777" w:rsidR="00AE59A9" w:rsidRPr="0093488D" w:rsidRDefault="00AE59A9" w:rsidP="00AE59A9">
      <w:pPr>
        <w:tabs>
          <w:tab w:val="left" w:pos="720"/>
        </w:tabs>
        <w:ind w:left="720" w:right="-90"/>
        <w:contextualSpacing/>
        <w:rPr>
          <w:szCs w:val="20"/>
          <w:lang w:bidi="en-US"/>
        </w:rPr>
      </w:pPr>
    </w:p>
    <w:p w14:paraId="66271EB1" w14:textId="77777777" w:rsidR="00AE59A9" w:rsidRPr="0093488D" w:rsidRDefault="00AE59A9" w:rsidP="00AE59A9">
      <w:pPr>
        <w:tabs>
          <w:tab w:val="left" w:pos="720"/>
        </w:tabs>
        <w:ind w:right="-90"/>
        <w:contextualSpacing/>
        <w:rPr>
          <w:szCs w:val="20"/>
          <w:lang w:bidi="en-US"/>
        </w:rPr>
      </w:pPr>
      <w:r w:rsidRPr="0093488D">
        <w:rPr>
          <w:b/>
          <w:bCs/>
          <w:szCs w:val="20"/>
          <w:lang w:bidi="en-US"/>
        </w:rPr>
        <w:t>LA CORTE</w:t>
      </w:r>
    </w:p>
    <w:p w14:paraId="6C9FFDCA" w14:textId="77777777" w:rsidR="00AE59A9" w:rsidRPr="00AE59A9" w:rsidRDefault="00AE59A9" w:rsidP="00AE59A9">
      <w:pPr>
        <w:tabs>
          <w:tab w:val="left" w:pos="720"/>
        </w:tabs>
        <w:ind w:right="-90"/>
        <w:contextualSpacing/>
        <w:rPr>
          <w:szCs w:val="20"/>
          <w:lang w:val="es-CR"/>
        </w:rPr>
      </w:pPr>
    </w:p>
    <w:p w14:paraId="50D82D63" w14:textId="48595270" w:rsidR="00AE59A9" w:rsidRPr="0093488D" w:rsidRDefault="00AE59A9" w:rsidP="00AE59A9">
      <w:pPr>
        <w:tabs>
          <w:tab w:val="left" w:pos="720"/>
        </w:tabs>
        <w:ind w:right="-90"/>
        <w:contextualSpacing/>
        <w:rPr>
          <w:szCs w:val="20"/>
          <w:lang w:bidi="en-US"/>
        </w:rPr>
      </w:pPr>
      <w:r w:rsidRPr="0093488D">
        <w:rPr>
          <w:b/>
          <w:bCs/>
          <w:szCs w:val="20"/>
          <w:lang w:bidi="en-US"/>
        </w:rPr>
        <w:t>DECLARA</w:t>
      </w:r>
      <w:r>
        <w:rPr>
          <w:b/>
          <w:bCs/>
          <w:szCs w:val="20"/>
          <w:lang w:bidi="en-US"/>
        </w:rPr>
        <w:t>,</w:t>
      </w:r>
    </w:p>
    <w:p w14:paraId="10520450" w14:textId="77777777" w:rsidR="00AE59A9" w:rsidRPr="0093488D" w:rsidRDefault="00AE59A9" w:rsidP="00AE59A9">
      <w:pPr>
        <w:tabs>
          <w:tab w:val="left" w:pos="720"/>
        </w:tabs>
        <w:ind w:right="-90"/>
        <w:contextualSpacing/>
        <w:rPr>
          <w:szCs w:val="20"/>
          <w:lang w:bidi="en-US"/>
        </w:rPr>
      </w:pPr>
    </w:p>
    <w:p w14:paraId="357C2045" w14:textId="42ABBC43" w:rsidR="00AE59A9" w:rsidRPr="0093488D" w:rsidRDefault="00AE59A9" w:rsidP="00AE59A9">
      <w:pPr>
        <w:tabs>
          <w:tab w:val="left" w:pos="720"/>
        </w:tabs>
        <w:ind w:right="-90"/>
        <w:contextualSpacing/>
        <w:rPr>
          <w:szCs w:val="20"/>
          <w:lang w:bidi="en-US"/>
        </w:rPr>
      </w:pPr>
      <w:r w:rsidRPr="0007158A">
        <w:rPr>
          <w:szCs w:val="20"/>
          <w:lang w:val="es-CR" w:bidi="en-US"/>
        </w:rPr>
        <w:t xml:space="preserve">Por </w:t>
      </w:r>
      <w:r w:rsidR="00D62DB8" w:rsidRPr="0007158A">
        <w:rPr>
          <w:szCs w:val="20"/>
          <w:lang w:val="es-CR" w:bidi="en-US"/>
        </w:rPr>
        <w:t>unanimidad</w:t>
      </w:r>
      <w:r w:rsidRPr="0007158A">
        <w:rPr>
          <w:szCs w:val="20"/>
          <w:lang w:val="es-CR" w:bidi="en-US"/>
        </w:rPr>
        <w:t>,</w:t>
      </w:r>
      <w:r w:rsidRPr="0093488D">
        <w:rPr>
          <w:szCs w:val="20"/>
          <w:lang w:bidi="en-US"/>
        </w:rPr>
        <w:t xml:space="preserve"> que:</w:t>
      </w:r>
    </w:p>
    <w:p w14:paraId="2A7CE9A4" w14:textId="77777777" w:rsidR="00A13D6C" w:rsidRDefault="00A13D6C" w:rsidP="002E294E">
      <w:pPr>
        <w:widowControl w:val="0"/>
        <w:tabs>
          <w:tab w:val="left" w:pos="720"/>
        </w:tabs>
        <w:adjustRightInd w:val="0"/>
        <w:ind w:right="-90"/>
        <w:contextualSpacing/>
        <w:jc w:val="both"/>
        <w:textAlignment w:val="baseline"/>
        <w:rPr>
          <w:szCs w:val="20"/>
          <w:lang w:val="es-CR"/>
        </w:rPr>
      </w:pPr>
    </w:p>
    <w:p w14:paraId="32EAD4A7" w14:textId="48157425" w:rsidR="00A13D6C" w:rsidRPr="006D0723" w:rsidRDefault="00A13D6C" w:rsidP="002E294E">
      <w:pPr>
        <w:widowControl w:val="0"/>
        <w:numPr>
          <w:ilvl w:val="0"/>
          <w:numId w:val="24"/>
        </w:numPr>
        <w:tabs>
          <w:tab w:val="left" w:pos="720"/>
        </w:tabs>
        <w:adjustRightInd w:val="0"/>
        <w:ind w:right="-90"/>
        <w:contextualSpacing/>
        <w:jc w:val="both"/>
        <w:textAlignment w:val="baseline"/>
        <w:rPr>
          <w:szCs w:val="20"/>
          <w:lang w:val="es-CR"/>
        </w:rPr>
      </w:pPr>
      <w:r w:rsidRPr="006D0723">
        <w:rPr>
          <w:lang w:val="es-CR"/>
        </w:rPr>
        <w:t xml:space="preserve">El Estado es responsable por la violación </w:t>
      </w:r>
      <w:r w:rsidR="00D62DB8" w:rsidRPr="006D0723">
        <w:rPr>
          <w:lang w:val="es-CR"/>
        </w:rPr>
        <w:t xml:space="preserve">del artículo 8.1 </w:t>
      </w:r>
      <w:r w:rsidRPr="006D0723">
        <w:rPr>
          <w:lang w:val="es-CR"/>
        </w:rPr>
        <w:t xml:space="preserve">de la Convención Americana sobre Derechos Humanos, en relación con </w:t>
      </w:r>
      <w:r w:rsidR="002E294E" w:rsidRPr="006D0723">
        <w:rPr>
          <w:lang w:val="es-CR"/>
        </w:rPr>
        <w:t xml:space="preserve">los artículos 1.1 y 2 </w:t>
      </w:r>
      <w:r w:rsidRPr="006D0723">
        <w:rPr>
          <w:lang w:val="es-CR"/>
        </w:rPr>
        <w:t xml:space="preserve">de la misma, </w:t>
      </w:r>
      <w:r w:rsidR="002E294E" w:rsidRPr="006D0723">
        <w:rPr>
          <w:lang w:val="es-CR"/>
        </w:rPr>
        <w:t xml:space="preserve">así como en relación con el artículo 23.1.c de la Convención, </w:t>
      </w:r>
      <w:r w:rsidRPr="006D0723">
        <w:rPr>
          <w:lang w:val="es-CR"/>
        </w:rPr>
        <w:t xml:space="preserve">en perjuicio de </w:t>
      </w:r>
      <w:r w:rsidR="002E294E" w:rsidRPr="006D0723">
        <w:rPr>
          <w:szCs w:val="20"/>
          <w:lang w:val="es-CR"/>
        </w:rPr>
        <w:t>Eduardo Benjamín Colindres Schonenberg</w:t>
      </w:r>
      <w:r w:rsidRPr="006D0723">
        <w:rPr>
          <w:lang w:val="es-CR"/>
        </w:rPr>
        <w:t xml:space="preserve">, </w:t>
      </w:r>
      <w:r w:rsidR="00306619" w:rsidRPr="006D0723">
        <w:rPr>
          <w:lang w:val="es-CR"/>
        </w:rPr>
        <w:t xml:space="preserve">por el proceso de destitución al que fue sujeto, </w:t>
      </w:r>
      <w:r w:rsidRPr="006D0723">
        <w:rPr>
          <w:lang w:val="es-CR"/>
        </w:rPr>
        <w:t xml:space="preserve">en los términos de </w:t>
      </w:r>
      <w:r w:rsidR="002E294E" w:rsidRPr="006D0723">
        <w:rPr>
          <w:szCs w:val="20"/>
          <w:lang w:val="es-CR"/>
        </w:rPr>
        <w:t xml:space="preserve">los párrafos </w:t>
      </w:r>
      <w:r w:rsidR="00EE4FE9">
        <w:rPr>
          <w:szCs w:val="20"/>
          <w:lang w:val="es-CR"/>
        </w:rPr>
        <w:t>81</w:t>
      </w:r>
      <w:r w:rsidR="0045442E" w:rsidRPr="006D0723">
        <w:rPr>
          <w:szCs w:val="20"/>
          <w:lang w:val="es-CR"/>
        </w:rPr>
        <w:t xml:space="preserve"> a </w:t>
      </w:r>
      <w:r w:rsidR="00A07643">
        <w:rPr>
          <w:szCs w:val="20"/>
          <w:lang w:val="es-CR"/>
        </w:rPr>
        <w:fldChar w:fldCharType="begin"/>
      </w:r>
      <w:r w:rsidR="00A07643">
        <w:rPr>
          <w:szCs w:val="20"/>
          <w:lang w:val="es-CR"/>
        </w:rPr>
        <w:instrText xml:space="preserve"> REF _Ref535483 \r \h </w:instrText>
      </w:r>
      <w:r w:rsidR="00A07643">
        <w:rPr>
          <w:szCs w:val="20"/>
          <w:lang w:val="es-CR"/>
        </w:rPr>
      </w:r>
      <w:r w:rsidR="00A07643">
        <w:rPr>
          <w:szCs w:val="20"/>
          <w:lang w:val="es-CR"/>
        </w:rPr>
        <w:fldChar w:fldCharType="separate"/>
      </w:r>
      <w:r w:rsidR="002D28B2">
        <w:rPr>
          <w:szCs w:val="20"/>
          <w:lang w:val="es-CR"/>
        </w:rPr>
        <w:t>90</w:t>
      </w:r>
      <w:r w:rsidR="00A07643">
        <w:rPr>
          <w:szCs w:val="20"/>
          <w:lang w:val="es-CR"/>
        </w:rPr>
        <w:fldChar w:fldCharType="end"/>
      </w:r>
      <w:r w:rsidR="00A07643">
        <w:rPr>
          <w:szCs w:val="20"/>
          <w:lang w:val="es-CR"/>
        </w:rPr>
        <w:t xml:space="preserve"> </w:t>
      </w:r>
      <w:r w:rsidR="0045442E" w:rsidRPr="006D0723">
        <w:rPr>
          <w:szCs w:val="20"/>
          <w:lang w:val="es-CR"/>
        </w:rPr>
        <w:t xml:space="preserve">y </w:t>
      </w:r>
      <w:r w:rsidR="0045442E" w:rsidRPr="006D0723">
        <w:rPr>
          <w:szCs w:val="20"/>
          <w:lang w:val="es-CR"/>
        </w:rPr>
        <w:fldChar w:fldCharType="begin"/>
      </w:r>
      <w:r w:rsidR="0045442E" w:rsidRPr="006D0723">
        <w:rPr>
          <w:szCs w:val="20"/>
          <w:lang w:val="es-CR"/>
        </w:rPr>
        <w:instrText xml:space="preserve"> REF _Ref532900280 \r \h </w:instrText>
      </w:r>
      <w:r w:rsidR="006D0723">
        <w:rPr>
          <w:szCs w:val="20"/>
          <w:lang w:val="es-CR"/>
        </w:rPr>
        <w:instrText xml:space="preserve"> \* MERGEFORMAT </w:instrText>
      </w:r>
      <w:r w:rsidR="0045442E" w:rsidRPr="006D0723">
        <w:rPr>
          <w:szCs w:val="20"/>
          <w:lang w:val="es-CR"/>
        </w:rPr>
      </w:r>
      <w:r w:rsidR="0045442E" w:rsidRPr="006D0723">
        <w:rPr>
          <w:szCs w:val="20"/>
          <w:lang w:val="es-CR"/>
        </w:rPr>
        <w:fldChar w:fldCharType="separate"/>
      </w:r>
      <w:r w:rsidR="002D28B2">
        <w:rPr>
          <w:szCs w:val="20"/>
          <w:lang w:val="es-CR"/>
        </w:rPr>
        <w:t>93</w:t>
      </w:r>
      <w:r w:rsidR="0045442E" w:rsidRPr="006D0723">
        <w:rPr>
          <w:szCs w:val="20"/>
          <w:lang w:val="es-CR"/>
        </w:rPr>
        <w:fldChar w:fldCharType="end"/>
      </w:r>
      <w:r w:rsidR="002E294E" w:rsidRPr="006D0723">
        <w:rPr>
          <w:szCs w:val="20"/>
          <w:lang w:val="es-CR"/>
        </w:rPr>
        <w:t xml:space="preserve"> </w:t>
      </w:r>
      <w:r w:rsidR="0045442E" w:rsidRPr="006D0723">
        <w:rPr>
          <w:szCs w:val="20"/>
          <w:lang w:val="es-CR"/>
        </w:rPr>
        <w:t xml:space="preserve">a </w:t>
      </w:r>
      <w:r w:rsidR="00A42199" w:rsidRPr="006D0723">
        <w:rPr>
          <w:szCs w:val="20"/>
          <w:lang w:val="es-CR"/>
        </w:rPr>
        <w:fldChar w:fldCharType="begin"/>
      </w:r>
      <w:r w:rsidR="00A42199" w:rsidRPr="006D0723">
        <w:rPr>
          <w:szCs w:val="20"/>
          <w:lang w:val="es-CR"/>
        </w:rPr>
        <w:instrText xml:space="preserve"> REF _Ref532900302 \r \h </w:instrText>
      </w:r>
      <w:r w:rsidR="006D0723">
        <w:rPr>
          <w:szCs w:val="20"/>
          <w:lang w:val="es-CR"/>
        </w:rPr>
        <w:instrText xml:space="preserve"> \* MERGEFORMAT </w:instrText>
      </w:r>
      <w:r w:rsidR="00A42199" w:rsidRPr="006D0723">
        <w:rPr>
          <w:szCs w:val="20"/>
          <w:lang w:val="es-CR"/>
        </w:rPr>
      </w:r>
      <w:r w:rsidR="00A42199" w:rsidRPr="006D0723">
        <w:rPr>
          <w:szCs w:val="20"/>
          <w:lang w:val="es-CR"/>
        </w:rPr>
        <w:fldChar w:fldCharType="separate"/>
      </w:r>
      <w:r w:rsidR="002D28B2">
        <w:rPr>
          <w:szCs w:val="20"/>
          <w:lang w:val="es-CR"/>
        </w:rPr>
        <w:t>100</w:t>
      </w:r>
      <w:r w:rsidR="00A42199" w:rsidRPr="006D0723">
        <w:rPr>
          <w:szCs w:val="20"/>
          <w:lang w:val="es-CR"/>
        </w:rPr>
        <w:fldChar w:fldCharType="end"/>
      </w:r>
      <w:r w:rsidR="002E294E" w:rsidRPr="006D0723">
        <w:rPr>
          <w:szCs w:val="20"/>
          <w:lang w:val="es-CR"/>
        </w:rPr>
        <w:t xml:space="preserve"> de la presente Sentencia.</w:t>
      </w:r>
    </w:p>
    <w:p w14:paraId="7B3B062B" w14:textId="77777777" w:rsidR="00A13D6C" w:rsidRPr="006D0723" w:rsidRDefault="00A13D6C" w:rsidP="002E294E">
      <w:pPr>
        <w:widowControl w:val="0"/>
        <w:tabs>
          <w:tab w:val="left" w:pos="720"/>
        </w:tabs>
        <w:adjustRightInd w:val="0"/>
        <w:ind w:right="-90"/>
        <w:contextualSpacing/>
        <w:jc w:val="both"/>
        <w:textAlignment w:val="baseline"/>
        <w:rPr>
          <w:szCs w:val="20"/>
          <w:lang w:val="es-CR"/>
        </w:rPr>
      </w:pPr>
    </w:p>
    <w:p w14:paraId="16F83096" w14:textId="7FA8A218" w:rsidR="002E294E" w:rsidRPr="006D0723" w:rsidRDefault="002E294E" w:rsidP="002E294E">
      <w:pPr>
        <w:widowControl w:val="0"/>
        <w:numPr>
          <w:ilvl w:val="0"/>
          <w:numId w:val="24"/>
        </w:numPr>
        <w:tabs>
          <w:tab w:val="left" w:pos="720"/>
        </w:tabs>
        <w:adjustRightInd w:val="0"/>
        <w:ind w:right="-90"/>
        <w:contextualSpacing/>
        <w:jc w:val="both"/>
        <w:textAlignment w:val="baseline"/>
        <w:rPr>
          <w:szCs w:val="20"/>
          <w:lang w:val="es-CR"/>
        </w:rPr>
      </w:pPr>
      <w:r w:rsidRPr="006D0723">
        <w:rPr>
          <w:lang w:val="es-CR"/>
        </w:rPr>
        <w:t xml:space="preserve">El Estado es responsable por la violación </w:t>
      </w:r>
      <w:r w:rsidR="00831A9C" w:rsidRPr="006D0723">
        <w:rPr>
          <w:lang w:val="es-CR"/>
        </w:rPr>
        <w:t>de</w:t>
      </w:r>
      <w:r w:rsidRPr="006D0723">
        <w:rPr>
          <w:lang w:val="es-CR"/>
        </w:rPr>
        <w:t xml:space="preserve"> los artículos 8.1 y 25 de la Convención Americana sobre Derechos Humanos, en relación con el artículo 1.1 de la misma, en perjuicio de </w:t>
      </w:r>
      <w:r w:rsidRPr="006D0723">
        <w:rPr>
          <w:szCs w:val="20"/>
          <w:lang w:val="es-CR"/>
        </w:rPr>
        <w:t>Eduardo Benjamín Colindres Schonenberg</w:t>
      </w:r>
      <w:r w:rsidRPr="006D0723">
        <w:rPr>
          <w:lang w:val="es-CR"/>
        </w:rPr>
        <w:t xml:space="preserve">, </w:t>
      </w:r>
      <w:r w:rsidR="00306619" w:rsidRPr="006D0723">
        <w:rPr>
          <w:lang w:val="es-CR"/>
        </w:rPr>
        <w:t>por la inefectividad de l</w:t>
      </w:r>
      <w:r w:rsidR="00744D0C">
        <w:rPr>
          <w:lang w:val="es-CR"/>
        </w:rPr>
        <w:t xml:space="preserve">as acciones </w:t>
      </w:r>
      <w:r w:rsidR="00306619" w:rsidRPr="006D0723">
        <w:rPr>
          <w:lang w:val="es-CR"/>
        </w:rPr>
        <w:t xml:space="preserve">de amparo </w:t>
      </w:r>
      <w:r w:rsidR="00744D0C">
        <w:rPr>
          <w:lang w:val="es-CR"/>
        </w:rPr>
        <w:t>presentadas</w:t>
      </w:r>
      <w:r w:rsidR="00306619" w:rsidRPr="006D0723">
        <w:rPr>
          <w:lang w:val="es-CR"/>
        </w:rPr>
        <w:t xml:space="preserve"> tras la segunda destitución, </w:t>
      </w:r>
      <w:r w:rsidRPr="006D0723">
        <w:rPr>
          <w:lang w:val="es-CR"/>
        </w:rPr>
        <w:t xml:space="preserve">en los términos de </w:t>
      </w:r>
      <w:r w:rsidRPr="006D0723">
        <w:rPr>
          <w:szCs w:val="20"/>
          <w:lang w:val="es-CR"/>
        </w:rPr>
        <w:t>los párrafos</w:t>
      </w:r>
      <w:r w:rsidR="00A42199" w:rsidRPr="006D0723">
        <w:rPr>
          <w:szCs w:val="20"/>
          <w:lang w:val="es-CR"/>
        </w:rPr>
        <w:t xml:space="preserve"> </w:t>
      </w:r>
      <w:r w:rsidR="00A42199" w:rsidRPr="006D0723">
        <w:rPr>
          <w:szCs w:val="20"/>
          <w:lang w:val="es-CR"/>
        </w:rPr>
        <w:fldChar w:fldCharType="begin"/>
      </w:r>
      <w:r w:rsidR="00A42199" w:rsidRPr="006D0723">
        <w:rPr>
          <w:szCs w:val="20"/>
          <w:lang w:val="es-CR"/>
        </w:rPr>
        <w:instrText xml:space="preserve"> REF _Ref532900220 \r \h </w:instrText>
      </w:r>
      <w:r w:rsidR="006D0723">
        <w:rPr>
          <w:szCs w:val="20"/>
          <w:lang w:val="es-CR"/>
        </w:rPr>
        <w:instrText xml:space="preserve"> \* MERGEFORMAT </w:instrText>
      </w:r>
      <w:r w:rsidR="00A42199" w:rsidRPr="006D0723">
        <w:rPr>
          <w:szCs w:val="20"/>
          <w:lang w:val="es-CR"/>
        </w:rPr>
      </w:r>
      <w:r w:rsidR="00A42199" w:rsidRPr="006D0723">
        <w:rPr>
          <w:szCs w:val="20"/>
          <w:lang w:val="es-CR"/>
        </w:rPr>
        <w:fldChar w:fldCharType="separate"/>
      </w:r>
      <w:r w:rsidR="002D28B2">
        <w:rPr>
          <w:szCs w:val="20"/>
          <w:lang w:val="es-CR"/>
        </w:rPr>
        <w:t>101</w:t>
      </w:r>
      <w:r w:rsidR="00A42199" w:rsidRPr="006D0723">
        <w:rPr>
          <w:szCs w:val="20"/>
          <w:lang w:val="es-CR"/>
        </w:rPr>
        <w:fldChar w:fldCharType="end"/>
      </w:r>
      <w:r w:rsidR="00A42199" w:rsidRPr="006D0723">
        <w:rPr>
          <w:szCs w:val="20"/>
          <w:lang w:val="es-CR"/>
        </w:rPr>
        <w:t xml:space="preserve"> a </w:t>
      </w:r>
      <w:r w:rsidR="00A42199" w:rsidRPr="006D0723">
        <w:rPr>
          <w:szCs w:val="20"/>
          <w:lang w:val="es-CR"/>
        </w:rPr>
        <w:fldChar w:fldCharType="begin"/>
      </w:r>
      <w:r w:rsidR="00A42199" w:rsidRPr="006D0723">
        <w:rPr>
          <w:szCs w:val="20"/>
          <w:lang w:val="es-CR"/>
        </w:rPr>
        <w:instrText xml:space="preserve"> REF _Ref532900222 \r \h </w:instrText>
      </w:r>
      <w:r w:rsidR="006D0723">
        <w:rPr>
          <w:szCs w:val="20"/>
          <w:lang w:val="es-CR"/>
        </w:rPr>
        <w:instrText xml:space="preserve"> \* MERGEFORMAT </w:instrText>
      </w:r>
      <w:r w:rsidR="00A42199" w:rsidRPr="006D0723">
        <w:rPr>
          <w:szCs w:val="20"/>
          <w:lang w:val="es-CR"/>
        </w:rPr>
      </w:r>
      <w:r w:rsidR="00A42199" w:rsidRPr="006D0723">
        <w:rPr>
          <w:szCs w:val="20"/>
          <w:lang w:val="es-CR"/>
        </w:rPr>
        <w:fldChar w:fldCharType="separate"/>
      </w:r>
      <w:r w:rsidR="002D28B2">
        <w:rPr>
          <w:szCs w:val="20"/>
          <w:lang w:val="es-CR"/>
        </w:rPr>
        <w:t>112</w:t>
      </w:r>
      <w:r w:rsidR="00A42199" w:rsidRPr="006D0723">
        <w:rPr>
          <w:szCs w:val="20"/>
          <w:lang w:val="es-CR"/>
        </w:rPr>
        <w:fldChar w:fldCharType="end"/>
      </w:r>
      <w:r w:rsidRPr="006D0723">
        <w:rPr>
          <w:szCs w:val="20"/>
          <w:lang w:val="es-CR"/>
        </w:rPr>
        <w:t xml:space="preserve"> de la presente Sentencia.</w:t>
      </w:r>
    </w:p>
    <w:p w14:paraId="269E2F69" w14:textId="77777777" w:rsidR="002E294E" w:rsidRPr="006D0723" w:rsidRDefault="002E294E" w:rsidP="002E294E">
      <w:pPr>
        <w:pStyle w:val="ListParagraph"/>
        <w:rPr>
          <w:szCs w:val="20"/>
          <w:lang w:val="es-CR"/>
        </w:rPr>
      </w:pPr>
    </w:p>
    <w:p w14:paraId="07666DFC" w14:textId="03E41624" w:rsidR="00306619" w:rsidRPr="006D0723" w:rsidRDefault="00831A9C" w:rsidP="00B62C96">
      <w:pPr>
        <w:widowControl w:val="0"/>
        <w:numPr>
          <w:ilvl w:val="0"/>
          <w:numId w:val="24"/>
        </w:numPr>
        <w:tabs>
          <w:tab w:val="left" w:pos="720"/>
        </w:tabs>
        <w:adjustRightInd w:val="0"/>
        <w:ind w:right="-90"/>
        <w:contextualSpacing/>
        <w:jc w:val="both"/>
        <w:textAlignment w:val="baseline"/>
        <w:rPr>
          <w:szCs w:val="20"/>
          <w:lang w:val="es-CR"/>
        </w:rPr>
      </w:pPr>
      <w:r w:rsidRPr="006D0723">
        <w:rPr>
          <w:szCs w:val="20"/>
          <w:lang w:val="es-CR"/>
        </w:rPr>
        <w:t xml:space="preserve">El Estado </w:t>
      </w:r>
      <w:r w:rsidRPr="006D0723">
        <w:rPr>
          <w:lang w:val="es-CR"/>
        </w:rPr>
        <w:t xml:space="preserve">es responsable por la violación del artículo 8.1 de la Convención Americana sobre Derechos Humanos, en relación con el artículo 1.1 de la misma, en perjuicio de </w:t>
      </w:r>
      <w:r w:rsidRPr="006D0723">
        <w:rPr>
          <w:szCs w:val="20"/>
          <w:lang w:val="es-CR"/>
        </w:rPr>
        <w:t>Eduardo Benjamín Colindres Schonenberg</w:t>
      </w:r>
      <w:r w:rsidRPr="006D0723">
        <w:rPr>
          <w:lang w:val="es-CR"/>
        </w:rPr>
        <w:t xml:space="preserve">, por haber excedido el plazo razonable, en los términos de </w:t>
      </w:r>
      <w:r w:rsidRPr="006D0723">
        <w:rPr>
          <w:szCs w:val="20"/>
          <w:lang w:val="es-CR"/>
        </w:rPr>
        <w:t xml:space="preserve">los párrafos </w:t>
      </w:r>
      <w:r w:rsidR="00A42199" w:rsidRPr="006D0723">
        <w:rPr>
          <w:szCs w:val="20"/>
          <w:lang w:val="es-CR"/>
        </w:rPr>
        <w:fldChar w:fldCharType="begin"/>
      </w:r>
      <w:r w:rsidR="00A42199" w:rsidRPr="006D0723">
        <w:rPr>
          <w:szCs w:val="20"/>
          <w:lang w:val="es-CR"/>
        </w:rPr>
        <w:instrText xml:space="preserve"> REF _Ref532900190 \r \h </w:instrText>
      </w:r>
      <w:r w:rsidR="006D0723">
        <w:rPr>
          <w:szCs w:val="20"/>
          <w:lang w:val="es-CR"/>
        </w:rPr>
        <w:instrText xml:space="preserve"> \* MERGEFORMAT </w:instrText>
      </w:r>
      <w:r w:rsidR="00A42199" w:rsidRPr="006D0723">
        <w:rPr>
          <w:szCs w:val="20"/>
          <w:lang w:val="es-CR"/>
        </w:rPr>
      </w:r>
      <w:r w:rsidR="00A42199" w:rsidRPr="006D0723">
        <w:rPr>
          <w:szCs w:val="20"/>
          <w:lang w:val="es-CR"/>
        </w:rPr>
        <w:fldChar w:fldCharType="separate"/>
      </w:r>
      <w:r w:rsidR="002D28B2">
        <w:rPr>
          <w:szCs w:val="20"/>
          <w:lang w:val="es-CR"/>
        </w:rPr>
        <w:t>115</w:t>
      </w:r>
      <w:r w:rsidR="00A42199" w:rsidRPr="006D0723">
        <w:rPr>
          <w:szCs w:val="20"/>
          <w:lang w:val="es-CR"/>
        </w:rPr>
        <w:fldChar w:fldCharType="end"/>
      </w:r>
      <w:r w:rsidR="00A42199" w:rsidRPr="006D0723">
        <w:rPr>
          <w:szCs w:val="20"/>
          <w:lang w:val="es-CR"/>
        </w:rPr>
        <w:t xml:space="preserve"> a </w:t>
      </w:r>
      <w:r w:rsidR="00A42199" w:rsidRPr="006D0723">
        <w:rPr>
          <w:szCs w:val="20"/>
          <w:lang w:val="es-CR"/>
        </w:rPr>
        <w:fldChar w:fldCharType="begin"/>
      </w:r>
      <w:r w:rsidR="00A42199" w:rsidRPr="006D0723">
        <w:rPr>
          <w:szCs w:val="20"/>
          <w:lang w:val="es-CR"/>
        </w:rPr>
        <w:instrText xml:space="preserve"> REF _Ref532900191 \r \h </w:instrText>
      </w:r>
      <w:r w:rsidR="006D0723">
        <w:rPr>
          <w:szCs w:val="20"/>
          <w:lang w:val="es-CR"/>
        </w:rPr>
        <w:instrText xml:space="preserve"> \* MERGEFORMAT </w:instrText>
      </w:r>
      <w:r w:rsidR="00A42199" w:rsidRPr="006D0723">
        <w:rPr>
          <w:szCs w:val="20"/>
          <w:lang w:val="es-CR"/>
        </w:rPr>
      </w:r>
      <w:r w:rsidR="00A42199" w:rsidRPr="006D0723">
        <w:rPr>
          <w:szCs w:val="20"/>
          <w:lang w:val="es-CR"/>
        </w:rPr>
        <w:fldChar w:fldCharType="separate"/>
      </w:r>
      <w:r w:rsidR="002D28B2">
        <w:rPr>
          <w:szCs w:val="20"/>
          <w:lang w:val="es-CR"/>
        </w:rPr>
        <w:t>119</w:t>
      </w:r>
      <w:r w:rsidR="00A42199" w:rsidRPr="006D0723">
        <w:rPr>
          <w:szCs w:val="20"/>
          <w:lang w:val="es-CR"/>
        </w:rPr>
        <w:fldChar w:fldCharType="end"/>
      </w:r>
      <w:r w:rsidR="00A42199" w:rsidRPr="006D0723">
        <w:rPr>
          <w:szCs w:val="20"/>
          <w:lang w:val="es-CR"/>
        </w:rPr>
        <w:t xml:space="preserve"> </w:t>
      </w:r>
      <w:r w:rsidRPr="006D0723">
        <w:rPr>
          <w:szCs w:val="20"/>
          <w:lang w:val="es-CR"/>
        </w:rPr>
        <w:t>de la presente Sentencia.</w:t>
      </w:r>
    </w:p>
    <w:p w14:paraId="22FE8FD0" w14:textId="77777777" w:rsidR="00A42199" w:rsidRPr="006D0723" w:rsidRDefault="00A42199" w:rsidP="00A42199">
      <w:pPr>
        <w:pStyle w:val="ListParagraph"/>
        <w:rPr>
          <w:szCs w:val="20"/>
          <w:lang w:val="es-CR"/>
        </w:rPr>
      </w:pPr>
    </w:p>
    <w:p w14:paraId="1ADFEDB0" w14:textId="7E27A547" w:rsidR="00A42199" w:rsidRPr="00AD06C0" w:rsidRDefault="00A42199" w:rsidP="00A42199">
      <w:pPr>
        <w:widowControl w:val="0"/>
        <w:numPr>
          <w:ilvl w:val="0"/>
          <w:numId w:val="24"/>
        </w:numPr>
        <w:tabs>
          <w:tab w:val="left" w:pos="720"/>
        </w:tabs>
        <w:adjustRightInd w:val="0"/>
        <w:ind w:right="-90"/>
        <w:contextualSpacing/>
        <w:jc w:val="both"/>
        <w:textAlignment w:val="baseline"/>
        <w:rPr>
          <w:szCs w:val="20"/>
          <w:lang w:val="es-CR"/>
        </w:rPr>
      </w:pPr>
      <w:r w:rsidRPr="006D0723">
        <w:rPr>
          <w:szCs w:val="20"/>
          <w:lang w:val="es-CR"/>
        </w:rPr>
        <w:t xml:space="preserve">El Estado no </w:t>
      </w:r>
      <w:r w:rsidRPr="006D0723">
        <w:rPr>
          <w:lang w:val="es-CR"/>
        </w:rPr>
        <w:t xml:space="preserve">es responsable por la violación </w:t>
      </w:r>
      <w:r w:rsidR="00D62DB8" w:rsidRPr="006D0723">
        <w:rPr>
          <w:lang w:val="es-CR"/>
        </w:rPr>
        <w:t xml:space="preserve">de los artículos 8.2 y 9 </w:t>
      </w:r>
      <w:r w:rsidRPr="006D0723">
        <w:rPr>
          <w:lang w:val="es-CR"/>
        </w:rPr>
        <w:t xml:space="preserve">de la Convención Americana sobre Derechos Humanos, en los términos de </w:t>
      </w:r>
      <w:r w:rsidRPr="006D0723">
        <w:rPr>
          <w:szCs w:val="20"/>
          <w:lang w:val="es-CR"/>
        </w:rPr>
        <w:t xml:space="preserve">los párrafos </w:t>
      </w:r>
      <w:r w:rsidRPr="006D0723">
        <w:rPr>
          <w:szCs w:val="20"/>
          <w:lang w:val="es-CR"/>
        </w:rPr>
        <w:fldChar w:fldCharType="begin"/>
      </w:r>
      <w:r w:rsidRPr="006D0723">
        <w:rPr>
          <w:szCs w:val="20"/>
          <w:lang w:val="es-CR"/>
        </w:rPr>
        <w:instrText xml:space="preserve"> REF _Ref532900261 \r \h </w:instrText>
      </w:r>
      <w:r w:rsidR="006D0723">
        <w:rPr>
          <w:szCs w:val="20"/>
          <w:lang w:val="es-CR"/>
        </w:rPr>
        <w:instrText xml:space="preserve"> \* MERGEFORMAT </w:instrText>
      </w:r>
      <w:r w:rsidRPr="006D0723">
        <w:rPr>
          <w:szCs w:val="20"/>
          <w:lang w:val="es-CR"/>
        </w:rPr>
      </w:r>
      <w:r w:rsidRPr="006D0723">
        <w:rPr>
          <w:szCs w:val="20"/>
          <w:lang w:val="es-CR"/>
        </w:rPr>
        <w:fldChar w:fldCharType="separate"/>
      </w:r>
      <w:r w:rsidR="002D28B2">
        <w:rPr>
          <w:szCs w:val="20"/>
          <w:lang w:val="es-CR"/>
        </w:rPr>
        <w:t>92</w:t>
      </w:r>
      <w:r w:rsidRPr="006D0723">
        <w:rPr>
          <w:szCs w:val="20"/>
          <w:lang w:val="es-CR"/>
        </w:rPr>
        <w:fldChar w:fldCharType="end"/>
      </w:r>
      <w:r w:rsidRPr="006D0723">
        <w:rPr>
          <w:szCs w:val="20"/>
          <w:lang w:val="es-CR"/>
        </w:rPr>
        <w:t xml:space="preserve"> y </w:t>
      </w:r>
      <w:r w:rsidRPr="006D0723">
        <w:rPr>
          <w:szCs w:val="20"/>
          <w:lang w:val="es-CR"/>
        </w:rPr>
        <w:fldChar w:fldCharType="begin"/>
      </w:r>
      <w:r w:rsidRPr="006D0723">
        <w:rPr>
          <w:szCs w:val="20"/>
          <w:lang w:val="es-CR"/>
        </w:rPr>
        <w:instrText xml:space="preserve"> REF _Ref532900238 \r \h </w:instrText>
      </w:r>
      <w:r w:rsidR="006D0723">
        <w:rPr>
          <w:szCs w:val="20"/>
          <w:lang w:val="es-CR"/>
        </w:rPr>
        <w:instrText xml:space="preserve"> \* MERGEFORMAT </w:instrText>
      </w:r>
      <w:r w:rsidRPr="006D0723">
        <w:rPr>
          <w:szCs w:val="20"/>
          <w:lang w:val="es-CR"/>
        </w:rPr>
      </w:r>
      <w:r w:rsidRPr="006D0723">
        <w:rPr>
          <w:szCs w:val="20"/>
          <w:lang w:val="es-CR"/>
        </w:rPr>
        <w:fldChar w:fldCharType="separate"/>
      </w:r>
      <w:r w:rsidR="002D28B2">
        <w:rPr>
          <w:szCs w:val="20"/>
          <w:lang w:val="es-CR"/>
        </w:rPr>
        <w:t>113</w:t>
      </w:r>
      <w:r w:rsidRPr="006D0723">
        <w:rPr>
          <w:szCs w:val="20"/>
          <w:lang w:val="es-CR"/>
        </w:rPr>
        <w:fldChar w:fldCharType="end"/>
      </w:r>
      <w:r w:rsidRPr="002E294E">
        <w:rPr>
          <w:szCs w:val="20"/>
          <w:lang w:val="es-CR"/>
        </w:rPr>
        <w:t xml:space="preserve"> de la presente Sentencia.</w:t>
      </w:r>
    </w:p>
    <w:p w14:paraId="34E8421C" w14:textId="77777777" w:rsidR="00AE59A9" w:rsidRPr="00AE59A9" w:rsidRDefault="00AE59A9" w:rsidP="00AE59A9">
      <w:pPr>
        <w:tabs>
          <w:tab w:val="left" w:pos="720"/>
        </w:tabs>
        <w:ind w:right="-90"/>
        <w:contextualSpacing/>
        <w:rPr>
          <w:szCs w:val="20"/>
          <w:lang w:val="es-CR"/>
        </w:rPr>
      </w:pPr>
    </w:p>
    <w:p w14:paraId="4D3D04BD" w14:textId="77777777" w:rsidR="00AE59A9" w:rsidRPr="00AE59A9" w:rsidRDefault="00AE59A9" w:rsidP="00AE59A9">
      <w:pPr>
        <w:tabs>
          <w:tab w:val="left" w:pos="720"/>
        </w:tabs>
        <w:ind w:right="-90"/>
        <w:contextualSpacing/>
        <w:rPr>
          <w:b/>
          <w:bCs/>
          <w:szCs w:val="20"/>
          <w:lang w:val="es-CR" w:bidi="en-US"/>
        </w:rPr>
      </w:pPr>
      <w:r w:rsidRPr="00AE59A9">
        <w:rPr>
          <w:b/>
          <w:bCs/>
          <w:szCs w:val="20"/>
          <w:lang w:val="es-CR" w:bidi="en-US"/>
        </w:rPr>
        <w:t>Y DISPONE:</w:t>
      </w:r>
    </w:p>
    <w:p w14:paraId="38EB94F6" w14:textId="77777777" w:rsidR="00AE59A9" w:rsidRPr="00AE59A9" w:rsidRDefault="00AE59A9" w:rsidP="00AE59A9">
      <w:pPr>
        <w:tabs>
          <w:tab w:val="left" w:pos="720"/>
        </w:tabs>
        <w:ind w:right="-90"/>
        <w:contextualSpacing/>
        <w:rPr>
          <w:b/>
          <w:bCs/>
          <w:szCs w:val="20"/>
          <w:lang w:val="es-CR" w:bidi="en-US"/>
        </w:rPr>
      </w:pPr>
    </w:p>
    <w:p w14:paraId="40BE7417" w14:textId="0E7BFD0D" w:rsidR="00AE59A9" w:rsidRPr="00AE59A9" w:rsidRDefault="00AE59A9" w:rsidP="00AE59A9">
      <w:pPr>
        <w:tabs>
          <w:tab w:val="left" w:pos="720"/>
        </w:tabs>
        <w:ind w:right="-90"/>
        <w:contextualSpacing/>
        <w:rPr>
          <w:szCs w:val="20"/>
          <w:lang w:val="es-CR" w:bidi="en-US"/>
        </w:rPr>
      </w:pPr>
      <w:r w:rsidRPr="00AE59A9">
        <w:rPr>
          <w:szCs w:val="20"/>
          <w:lang w:val="es-CR" w:bidi="en-US"/>
        </w:rPr>
        <w:t xml:space="preserve">Por </w:t>
      </w:r>
      <w:r w:rsidR="00D62DB8">
        <w:rPr>
          <w:szCs w:val="20"/>
          <w:lang w:val="es-CR" w:bidi="en-US"/>
        </w:rPr>
        <w:t>unanimidad</w:t>
      </w:r>
      <w:r w:rsidRPr="00AE59A9">
        <w:rPr>
          <w:szCs w:val="20"/>
          <w:lang w:val="es-CR" w:bidi="en-US"/>
        </w:rPr>
        <w:t>,</w:t>
      </w:r>
      <w:r w:rsidRPr="00AE59A9">
        <w:rPr>
          <w:bCs/>
          <w:szCs w:val="20"/>
          <w:lang w:val="es-CR" w:bidi="en-US"/>
        </w:rPr>
        <w:t xml:space="preserve"> que:</w:t>
      </w:r>
    </w:p>
    <w:p w14:paraId="65785E36" w14:textId="77777777" w:rsidR="00AE59A9" w:rsidRPr="00AE59A9" w:rsidRDefault="00AE59A9" w:rsidP="00AE59A9">
      <w:pPr>
        <w:tabs>
          <w:tab w:val="left" w:pos="720"/>
        </w:tabs>
        <w:ind w:right="-90"/>
        <w:contextualSpacing/>
        <w:rPr>
          <w:bCs/>
          <w:szCs w:val="20"/>
          <w:lang w:val="es-CR" w:bidi="en-US"/>
        </w:rPr>
      </w:pPr>
    </w:p>
    <w:p w14:paraId="55C31EE0" w14:textId="77777777" w:rsidR="00AE59A9" w:rsidRPr="00AE59A9" w:rsidRDefault="00AE59A9" w:rsidP="00AE59A9">
      <w:pPr>
        <w:widowControl w:val="0"/>
        <w:numPr>
          <w:ilvl w:val="0"/>
          <w:numId w:val="24"/>
        </w:numPr>
        <w:tabs>
          <w:tab w:val="left" w:pos="720"/>
        </w:tabs>
        <w:adjustRightInd w:val="0"/>
        <w:ind w:right="-90"/>
        <w:contextualSpacing/>
        <w:jc w:val="both"/>
        <w:textAlignment w:val="baseline"/>
        <w:rPr>
          <w:bCs/>
          <w:szCs w:val="20"/>
          <w:lang w:val="es-CR"/>
        </w:rPr>
      </w:pPr>
      <w:r w:rsidRPr="00AE59A9">
        <w:rPr>
          <w:szCs w:val="20"/>
          <w:lang w:val="es-CR"/>
        </w:rPr>
        <w:t>Esta</w:t>
      </w:r>
      <w:r w:rsidRPr="00AE59A9">
        <w:rPr>
          <w:bCs/>
          <w:szCs w:val="20"/>
          <w:lang w:val="es-CR"/>
        </w:rPr>
        <w:t xml:space="preserve"> Sentencia constituye, por sí misma, una forma de reparación.</w:t>
      </w:r>
    </w:p>
    <w:p w14:paraId="0E496A44" w14:textId="77777777" w:rsidR="00AD06C0" w:rsidRPr="00AE59A9" w:rsidRDefault="00AD06C0" w:rsidP="00AD06C0">
      <w:pPr>
        <w:tabs>
          <w:tab w:val="left" w:pos="720"/>
        </w:tabs>
        <w:ind w:right="-90"/>
        <w:contextualSpacing/>
        <w:rPr>
          <w:bCs/>
          <w:szCs w:val="20"/>
          <w:lang w:val="es-CR"/>
        </w:rPr>
      </w:pPr>
    </w:p>
    <w:p w14:paraId="317E5C70" w14:textId="1CDF7C99" w:rsidR="00AD06C0" w:rsidRPr="00AE59A9" w:rsidRDefault="00AD06C0" w:rsidP="00AD06C0">
      <w:pPr>
        <w:widowControl w:val="0"/>
        <w:numPr>
          <w:ilvl w:val="0"/>
          <w:numId w:val="24"/>
        </w:numPr>
        <w:tabs>
          <w:tab w:val="left" w:pos="720"/>
        </w:tabs>
        <w:adjustRightInd w:val="0"/>
        <w:ind w:right="-90"/>
        <w:contextualSpacing/>
        <w:jc w:val="both"/>
        <w:textAlignment w:val="baseline"/>
        <w:rPr>
          <w:bCs/>
          <w:szCs w:val="20"/>
          <w:lang w:val="es-CR"/>
        </w:rPr>
      </w:pPr>
      <w:r w:rsidRPr="00AE59A9">
        <w:rPr>
          <w:bCs/>
          <w:szCs w:val="20"/>
          <w:lang w:val="es-CR"/>
        </w:rPr>
        <w:t>El Estado debe realizar las publicaciones indicadas en el párrafo</w:t>
      </w:r>
      <w:r w:rsidR="00A42199">
        <w:rPr>
          <w:bCs/>
          <w:szCs w:val="20"/>
          <w:lang w:val="es-CR"/>
        </w:rPr>
        <w:t xml:space="preserve"> </w:t>
      </w:r>
      <w:r w:rsidR="00A42199">
        <w:rPr>
          <w:bCs/>
          <w:szCs w:val="20"/>
          <w:lang w:val="es-CR"/>
        </w:rPr>
        <w:fldChar w:fldCharType="begin"/>
      </w:r>
      <w:r w:rsidR="00A42199">
        <w:rPr>
          <w:bCs/>
          <w:szCs w:val="20"/>
          <w:lang w:val="es-CR"/>
        </w:rPr>
        <w:instrText xml:space="preserve"> REF _Ref532899431 \r \h </w:instrText>
      </w:r>
      <w:r w:rsidR="00A42199">
        <w:rPr>
          <w:bCs/>
          <w:szCs w:val="20"/>
          <w:lang w:val="es-CR"/>
        </w:rPr>
      </w:r>
      <w:r w:rsidR="00A42199">
        <w:rPr>
          <w:bCs/>
          <w:szCs w:val="20"/>
          <w:lang w:val="es-CR"/>
        </w:rPr>
        <w:fldChar w:fldCharType="separate"/>
      </w:r>
      <w:r w:rsidR="002D28B2">
        <w:rPr>
          <w:bCs/>
          <w:szCs w:val="20"/>
          <w:lang w:val="es-CR"/>
        </w:rPr>
        <w:t>124</w:t>
      </w:r>
      <w:r w:rsidR="00A42199">
        <w:rPr>
          <w:bCs/>
          <w:szCs w:val="20"/>
          <w:lang w:val="es-CR"/>
        </w:rPr>
        <w:fldChar w:fldCharType="end"/>
      </w:r>
      <w:r w:rsidR="00A42199" w:rsidRPr="00AE59A9">
        <w:rPr>
          <w:bCs/>
          <w:szCs w:val="20"/>
          <w:lang w:val="es-CR"/>
        </w:rPr>
        <w:t xml:space="preserve"> </w:t>
      </w:r>
      <w:r w:rsidRPr="00AE59A9">
        <w:rPr>
          <w:bCs/>
          <w:szCs w:val="20"/>
          <w:lang w:val="es-CR"/>
        </w:rPr>
        <w:t>de la presente Sentencia.</w:t>
      </w:r>
    </w:p>
    <w:p w14:paraId="4276C1B3" w14:textId="77777777" w:rsidR="00AD06C0" w:rsidRPr="00AD06C0" w:rsidRDefault="00AD06C0" w:rsidP="00AD06C0">
      <w:pPr>
        <w:widowControl w:val="0"/>
        <w:tabs>
          <w:tab w:val="left" w:pos="720"/>
        </w:tabs>
        <w:adjustRightInd w:val="0"/>
        <w:ind w:right="-90"/>
        <w:contextualSpacing/>
        <w:jc w:val="both"/>
        <w:textAlignment w:val="baseline"/>
        <w:rPr>
          <w:bCs/>
          <w:szCs w:val="20"/>
          <w:lang w:val="es-CR"/>
        </w:rPr>
      </w:pPr>
    </w:p>
    <w:p w14:paraId="68E0AE1D" w14:textId="6AEA46A9" w:rsidR="00AE59A9" w:rsidRPr="00AE59A9" w:rsidRDefault="00AE59A9" w:rsidP="00AE59A9">
      <w:pPr>
        <w:widowControl w:val="0"/>
        <w:numPr>
          <w:ilvl w:val="0"/>
          <w:numId w:val="24"/>
        </w:numPr>
        <w:tabs>
          <w:tab w:val="left" w:pos="720"/>
        </w:tabs>
        <w:adjustRightInd w:val="0"/>
        <w:ind w:right="-90"/>
        <w:contextualSpacing/>
        <w:jc w:val="both"/>
        <w:textAlignment w:val="baseline"/>
        <w:rPr>
          <w:bCs/>
          <w:szCs w:val="20"/>
          <w:lang w:val="es-CR"/>
        </w:rPr>
      </w:pPr>
      <w:r w:rsidRPr="00AE59A9">
        <w:rPr>
          <w:bCs/>
          <w:szCs w:val="20"/>
          <w:lang w:val="es-CR"/>
        </w:rPr>
        <w:lastRenderedPageBreak/>
        <w:t>El Estado debe pagar las cantidades fijadas en los párrafos</w:t>
      </w:r>
      <w:r w:rsidR="007659B7">
        <w:rPr>
          <w:bCs/>
          <w:szCs w:val="20"/>
          <w:lang w:val="es-CR"/>
        </w:rPr>
        <w:t xml:space="preserve"> </w:t>
      </w:r>
      <w:r w:rsidR="0045442E">
        <w:rPr>
          <w:bCs/>
          <w:szCs w:val="20"/>
          <w:lang w:val="es-CR"/>
        </w:rPr>
        <w:fldChar w:fldCharType="begin"/>
      </w:r>
      <w:r w:rsidR="0045442E">
        <w:rPr>
          <w:bCs/>
          <w:szCs w:val="20"/>
          <w:lang w:val="es-CR"/>
        </w:rPr>
        <w:instrText xml:space="preserve"> REF _Ref536709840 \r \h </w:instrText>
      </w:r>
      <w:r w:rsidR="0045442E">
        <w:rPr>
          <w:bCs/>
          <w:szCs w:val="20"/>
          <w:lang w:val="es-CR"/>
        </w:rPr>
      </w:r>
      <w:r w:rsidR="0045442E">
        <w:rPr>
          <w:bCs/>
          <w:szCs w:val="20"/>
          <w:lang w:val="es-CR"/>
        </w:rPr>
        <w:fldChar w:fldCharType="separate"/>
      </w:r>
      <w:r w:rsidR="002D28B2">
        <w:rPr>
          <w:bCs/>
          <w:szCs w:val="20"/>
          <w:lang w:val="es-CR"/>
        </w:rPr>
        <w:t>142</w:t>
      </w:r>
      <w:r w:rsidR="0045442E">
        <w:rPr>
          <w:bCs/>
          <w:szCs w:val="20"/>
          <w:lang w:val="es-CR"/>
        </w:rPr>
        <w:fldChar w:fldCharType="end"/>
      </w:r>
      <w:r w:rsidR="0007158A">
        <w:rPr>
          <w:bCs/>
          <w:szCs w:val="20"/>
          <w:lang w:val="es-CR"/>
        </w:rPr>
        <w:t xml:space="preserve"> y</w:t>
      </w:r>
      <w:r w:rsidR="007A1AD6">
        <w:rPr>
          <w:bCs/>
          <w:szCs w:val="20"/>
          <w:lang w:val="es-CR"/>
        </w:rPr>
        <w:t xml:space="preserve"> </w:t>
      </w:r>
      <w:r w:rsidR="0045442E">
        <w:rPr>
          <w:bCs/>
          <w:szCs w:val="20"/>
          <w:lang w:val="es-CR"/>
        </w:rPr>
        <w:fldChar w:fldCharType="begin"/>
      </w:r>
      <w:r w:rsidR="0045442E">
        <w:rPr>
          <w:bCs/>
          <w:szCs w:val="20"/>
          <w:lang w:val="es-CR"/>
        </w:rPr>
        <w:instrText xml:space="preserve"> REF _Ref536709858 \r \h </w:instrText>
      </w:r>
      <w:r w:rsidR="0045442E">
        <w:rPr>
          <w:bCs/>
          <w:szCs w:val="20"/>
          <w:lang w:val="es-CR"/>
        </w:rPr>
      </w:r>
      <w:r w:rsidR="0045442E">
        <w:rPr>
          <w:bCs/>
          <w:szCs w:val="20"/>
          <w:lang w:val="es-CR"/>
        </w:rPr>
        <w:fldChar w:fldCharType="separate"/>
      </w:r>
      <w:r w:rsidR="002D28B2">
        <w:rPr>
          <w:bCs/>
          <w:szCs w:val="20"/>
          <w:lang w:val="es-CR"/>
        </w:rPr>
        <w:t>147</w:t>
      </w:r>
      <w:r w:rsidR="0045442E">
        <w:rPr>
          <w:bCs/>
          <w:szCs w:val="20"/>
          <w:lang w:val="es-CR"/>
        </w:rPr>
        <w:fldChar w:fldCharType="end"/>
      </w:r>
      <w:r w:rsidRPr="00AE59A9">
        <w:rPr>
          <w:bCs/>
          <w:szCs w:val="20"/>
          <w:lang w:val="es-CR"/>
        </w:rPr>
        <w:t xml:space="preserve"> de la presente Sentencia, por concepto de indemnización </w:t>
      </w:r>
      <w:r w:rsidR="007659B7">
        <w:rPr>
          <w:bCs/>
          <w:szCs w:val="20"/>
          <w:lang w:val="es-CR"/>
        </w:rPr>
        <w:t>por daño material e inmaterial</w:t>
      </w:r>
      <w:r w:rsidRPr="00AE59A9">
        <w:rPr>
          <w:bCs/>
          <w:szCs w:val="20"/>
          <w:lang w:val="es-CR"/>
        </w:rPr>
        <w:t xml:space="preserve">, en los términos de los referidos párrafos y de los párrafos </w:t>
      </w:r>
      <w:r w:rsidR="007659B7">
        <w:rPr>
          <w:bCs/>
          <w:szCs w:val="20"/>
          <w:lang w:val="es-CR"/>
        </w:rPr>
        <w:fldChar w:fldCharType="begin"/>
      </w:r>
      <w:r w:rsidR="007659B7">
        <w:rPr>
          <w:bCs/>
          <w:szCs w:val="20"/>
          <w:lang w:val="es-CR"/>
        </w:rPr>
        <w:instrText xml:space="preserve"> REF _Ref512872975 \r \h </w:instrText>
      </w:r>
      <w:r w:rsidR="007659B7">
        <w:rPr>
          <w:bCs/>
          <w:szCs w:val="20"/>
          <w:lang w:val="es-CR"/>
        </w:rPr>
      </w:r>
      <w:r w:rsidR="007659B7">
        <w:rPr>
          <w:bCs/>
          <w:szCs w:val="20"/>
          <w:lang w:val="es-CR"/>
        </w:rPr>
        <w:fldChar w:fldCharType="separate"/>
      </w:r>
      <w:r w:rsidR="002D28B2">
        <w:rPr>
          <w:bCs/>
          <w:szCs w:val="20"/>
          <w:lang w:val="es-CR"/>
        </w:rPr>
        <w:t>150</w:t>
      </w:r>
      <w:r w:rsidR="007659B7">
        <w:rPr>
          <w:bCs/>
          <w:szCs w:val="20"/>
          <w:lang w:val="es-CR"/>
        </w:rPr>
        <w:fldChar w:fldCharType="end"/>
      </w:r>
      <w:r w:rsidR="007659B7">
        <w:rPr>
          <w:bCs/>
          <w:szCs w:val="20"/>
          <w:lang w:val="es-CR"/>
        </w:rPr>
        <w:t xml:space="preserve"> a </w:t>
      </w:r>
      <w:r w:rsidR="007659B7">
        <w:rPr>
          <w:bCs/>
          <w:szCs w:val="20"/>
          <w:lang w:val="es-CR"/>
        </w:rPr>
        <w:fldChar w:fldCharType="begin"/>
      </w:r>
      <w:r w:rsidR="007659B7">
        <w:rPr>
          <w:bCs/>
          <w:szCs w:val="20"/>
          <w:lang w:val="es-CR"/>
        </w:rPr>
        <w:instrText xml:space="preserve"> REF _Ref532899574 \r \h </w:instrText>
      </w:r>
      <w:r w:rsidR="007659B7">
        <w:rPr>
          <w:bCs/>
          <w:szCs w:val="20"/>
          <w:lang w:val="es-CR"/>
        </w:rPr>
      </w:r>
      <w:r w:rsidR="007659B7">
        <w:rPr>
          <w:bCs/>
          <w:szCs w:val="20"/>
          <w:lang w:val="es-CR"/>
        </w:rPr>
        <w:fldChar w:fldCharType="separate"/>
      </w:r>
      <w:r w:rsidR="002D28B2">
        <w:rPr>
          <w:bCs/>
          <w:szCs w:val="20"/>
          <w:lang w:val="es-CR"/>
        </w:rPr>
        <w:t>154</w:t>
      </w:r>
      <w:r w:rsidR="007659B7">
        <w:rPr>
          <w:bCs/>
          <w:szCs w:val="20"/>
          <w:lang w:val="es-CR"/>
        </w:rPr>
        <w:fldChar w:fldCharType="end"/>
      </w:r>
      <w:r w:rsidR="007659B7">
        <w:rPr>
          <w:bCs/>
          <w:szCs w:val="20"/>
          <w:lang w:val="es-CR"/>
        </w:rPr>
        <w:t>.</w:t>
      </w:r>
    </w:p>
    <w:p w14:paraId="6F81044C" w14:textId="77777777" w:rsidR="00AE59A9" w:rsidRPr="00AE59A9" w:rsidRDefault="00AE59A9" w:rsidP="00AE59A9">
      <w:pPr>
        <w:ind w:right="-90"/>
        <w:contextualSpacing/>
        <w:rPr>
          <w:bCs/>
          <w:szCs w:val="20"/>
          <w:lang w:val="es-CR" w:bidi="en-US"/>
        </w:rPr>
      </w:pPr>
    </w:p>
    <w:p w14:paraId="438EC7ED" w14:textId="35765406" w:rsidR="00AE59A9" w:rsidRPr="00AE59A9" w:rsidRDefault="00AE59A9" w:rsidP="00AE59A9">
      <w:pPr>
        <w:widowControl w:val="0"/>
        <w:numPr>
          <w:ilvl w:val="0"/>
          <w:numId w:val="24"/>
        </w:numPr>
        <w:tabs>
          <w:tab w:val="left" w:pos="720"/>
        </w:tabs>
        <w:adjustRightInd w:val="0"/>
        <w:ind w:right="-90"/>
        <w:contextualSpacing/>
        <w:jc w:val="both"/>
        <w:textAlignment w:val="baseline"/>
        <w:rPr>
          <w:bCs/>
          <w:szCs w:val="20"/>
          <w:lang w:val="es-CR"/>
        </w:rPr>
      </w:pPr>
      <w:bookmarkStart w:id="271" w:name="_Ref536707827"/>
      <w:r w:rsidRPr="00AE59A9">
        <w:rPr>
          <w:bCs/>
          <w:szCs w:val="20"/>
          <w:lang w:val="es-CR"/>
        </w:rPr>
        <w:t xml:space="preserve">El Estado, dentro del plazo de un año contado a partir de la notificación de esta Sentencia, debe rendir al Tribunal un informe sobre las medidas adoptadas para cumplir con la misma, sin perjuicio de lo establecido en el párrafo </w:t>
      </w:r>
      <w:r w:rsidR="00D07FBA">
        <w:rPr>
          <w:bCs/>
          <w:szCs w:val="20"/>
          <w:lang w:val="es-CR"/>
        </w:rPr>
        <w:fldChar w:fldCharType="begin"/>
      </w:r>
      <w:r w:rsidR="00D07FBA">
        <w:rPr>
          <w:bCs/>
          <w:szCs w:val="20"/>
          <w:lang w:val="es-CR"/>
        </w:rPr>
        <w:instrText xml:space="preserve"> REF _Ref866296 \r \h </w:instrText>
      </w:r>
      <w:r w:rsidR="00D07FBA">
        <w:rPr>
          <w:bCs/>
          <w:szCs w:val="20"/>
          <w:lang w:val="es-CR"/>
        </w:rPr>
      </w:r>
      <w:r w:rsidR="00D07FBA">
        <w:rPr>
          <w:bCs/>
          <w:szCs w:val="20"/>
          <w:lang w:val="es-CR"/>
        </w:rPr>
        <w:fldChar w:fldCharType="separate"/>
      </w:r>
      <w:r w:rsidR="002D28B2">
        <w:rPr>
          <w:bCs/>
          <w:szCs w:val="20"/>
          <w:lang w:val="es-CR"/>
        </w:rPr>
        <w:t>125</w:t>
      </w:r>
      <w:r w:rsidR="00D07FBA">
        <w:rPr>
          <w:bCs/>
          <w:szCs w:val="20"/>
          <w:lang w:val="es-CR"/>
        </w:rPr>
        <w:fldChar w:fldCharType="end"/>
      </w:r>
      <w:r w:rsidR="00D07FBA">
        <w:rPr>
          <w:bCs/>
          <w:szCs w:val="20"/>
          <w:lang w:val="es-CR"/>
        </w:rPr>
        <w:t xml:space="preserve"> </w:t>
      </w:r>
      <w:r w:rsidRPr="00AE59A9">
        <w:rPr>
          <w:bCs/>
          <w:szCs w:val="20"/>
          <w:lang w:val="es-CR"/>
        </w:rPr>
        <w:t>de la presente Sentencia.</w:t>
      </w:r>
      <w:bookmarkEnd w:id="271"/>
    </w:p>
    <w:p w14:paraId="5798B3BA" w14:textId="77777777" w:rsidR="00AE59A9" w:rsidRPr="00AE59A9" w:rsidRDefault="00AE59A9" w:rsidP="00AE59A9">
      <w:pPr>
        <w:ind w:right="-90"/>
        <w:contextualSpacing/>
        <w:rPr>
          <w:bCs/>
          <w:szCs w:val="20"/>
          <w:lang w:val="es-CR" w:bidi="en-US"/>
        </w:rPr>
      </w:pPr>
    </w:p>
    <w:p w14:paraId="1833BE3D" w14:textId="77777777" w:rsidR="00AE59A9" w:rsidRPr="00AE59A9" w:rsidRDefault="00AE59A9" w:rsidP="00AE59A9">
      <w:pPr>
        <w:widowControl w:val="0"/>
        <w:numPr>
          <w:ilvl w:val="0"/>
          <w:numId w:val="24"/>
        </w:numPr>
        <w:tabs>
          <w:tab w:val="left" w:pos="720"/>
        </w:tabs>
        <w:adjustRightInd w:val="0"/>
        <w:ind w:right="-90"/>
        <w:contextualSpacing/>
        <w:jc w:val="both"/>
        <w:textAlignment w:val="baseline"/>
        <w:rPr>
          <w:bCs/>
          <w:szCs w:val="20"/>
          <w:lang w:val="es-CR"/>
        </w:rPr>
      </w:pPr>
      <w:r w:rsidRPr="00AE59A9">
        <w:rPr>
          <w:bCs/>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1415F192" w14:textId="77777777" w:rsidR="00AE59A9" w:rsidRPr="00AE59A9" w:rsidRDefault="00AE59A9" w:rsidP="00AE59A9">
      <w:pPr>
        <w:tabs>
          <w:tab w:val="left" w:pos="720"/>
        </w:tabs>
        <w:ind w:right="-90"/>
        <w:contextualSpacing/>
        <w:rPr>
          <w:b/>
          <w:bCs/>
          <w:szCs w:val="20"/>
          <w:lang w:val="es-CR"/>
        </w:rPr>
      </w:pPr>
    </w:p>
    <w:p w14:paraId="28E1257D" w14:textId="735406F3" w:rsidR="00AE59A9" w:rsidRDefault="00AE59A9" w:rsidP="00AE59A9">
      <w:pPr>
        <w:tabs>
          <w:tab w:val="left" w:pos="720"/>
        </w:tabs>
        <w:ind w:right="-90"/>
        <w:contextualSpacing/>
        <w:rPr>
          <w:bCs/>
          <w:szCs w:val="20"/>
          <w:lang w:val="es-CR"/>
        </w:rPr>
      </w:pPr>
      <w:r w:rsidRPr="00AE59A9">
        <w:rPr>
          <w:bCs/>
          <w:szCs w:val="20"/>
          <w:lang w:val="es-CR"/>
        </w:rPr>
        <w:t xml:space="preserve">Redactada en español en San José, Costa Rica, el </w:t>
      </w:r>
      <w:r w:rsidR="00D62DB8">
        <w:rPr>
          <w:bCs/>
          <w:szCs w:val="20"/>
          <w:lang w:val="es-CR"/>
        </w:rPr>
        <w:t>4</w:t>
      </w:r>
      <w:r w:rsidR="007A1AD6">
        <w:rPr>
          <w:bCs/>
          <w:szCs w:val="20"/>
          <w:lang w:val="es-CR"/>
        </w:rPr>
        <w:t xml:space="preserve"> de febrero</w:t>
      </w:r>
      <w:r w:rsidRPr="00AE59A9">
        <w:rPr>
          <w:bCs/>
          <w:szCs w:val="20"/>
          <w:lang w:val="es-CR"/>
        </w:rPr>
        <w:t xml:space="preserve"> de 201</w:t>
      </w:r>
      <w:r w:rsidR="007A1AD6">
        <w:rPr>
          <w:bCs/>
          <w:szCs w:val="20"/>
          <w:lang w:val="es-CR"/>
        </w:rPr>
        <w:t>9</w:t>
      </w:r>
      <w:r w:rsidRPr="00AE59A9">
        <w:rPr>
          <w:bCs/>
          <w:szCs w:val="20"/>
          <w:lang w:val="es-CR"/>
        </w:rPr>
        <w:t>.</w:t>
      </w:r>
    </w:p>
    <w:p w14:paraId="2BB97DF7" w14:textId="77777777" w:rsidR="00272A2F" w:rsidRDefault="00272A2F" w:rsidP="00AE59A9">
      <w:pPr>
        <w:tabs>
          <w:tab w:val="left" w:pos="720"/>
        </w:tabs>
        <w:ind w:right="-90"/>
        <w:contextualSpacing/>
        <w:rPr>
          <w:bCs/>
          <w:szCs w:val="20"/>
          <w:lang w:val="es-CR"/>
        </w:rPr>
        <w:sectPr w:rsidR="00272A2F" w:rsidSect="00A93988">
          <w:headerReference w:type="default" r:id="rId9"/>
          <w:pgSz w:w="12240" w:h="15840"/>
          <w:pgMar w:top="1418" w:right="1418" w:bottom="1418" w:left="1418" w:header="708" w:footer="708" w:gutter="0"/>
          <w:cols w:space="708"/>
          <w:titlePg/>
          <w:docGrid w:linePitch="360"/>
        </w:sectPr>
      </w:pPr>
    </w:p>
    <w:p w14:paraId="3AF814B0" w14:textId="5A3E8678" w:rsidR="00272A2F" w:rsidRDefault="00272A2F" w:rsidP="00AE59A9">
      <w:pPr>
        <w:tabs>
          <w:tab w:val="left" w:pos="720"/>
        </w:tabs>
        <w:ind w:right="-90"/>
        <w:contextualSpacing/>
        <w:rPr>
          <w:bCs/>
          <w:szCs w:val="20"/>
          <w:lang w:val="es-CR"/>
        </w:rPr>
      </w:pPr>
    </w:p>
    <w:p w14:paraId="06223471" w14:textId="77777777" w:rsidR="00272A2F" w:rsidRDefault="00272A2F" w:rsidP="00AE59A9">
      <w:pPr>
        <w:tabs>
          <w:tab w:val="left" w:pos="720"/>
        </w:tabs>
        <w:ind w:right="-90"/>
        <w:contextualSpacing/>
        <w:rPr>
          <w:bCs/>
          <w:szCs w:val="20"/>
          <w:lang w:val="es-CR"/>
        </w:rPr>
      </w:pPr>
    </w:p>
    <w:p w14:paraId="69428001" w14:textId="77777777" w:rsidR="00272A2F" w:rsidRDefault="00272A2F" w:rsidP="00AE59A9">
      <w:pPr>
        <w:tabs>
          <w:tab w:val="left" w:pos="720"/>
        </w:tabs>
        <w:ind w:right="-90"/>
        <w:contextualSpacing/>
        <w:rPr>
          <w:bCs/>
          <w:szCs w:val="20"/>
          <w:lang w:val="es-CR"/>
        </w:rPr>
      </w:pPr>
    </w:p>
    <w:p w14:paraId="3735A5F8" w14:textId="77777777" w:rsidR="00272A2F" w:rsidRDefault="00272A2F" w:rsidP="00AE59A9">
      <w:pPr>
        <w:tabs>
          <w:tab w:val="left" w:pos="720"/>
        </w:tabs>
        <w:ind w:right="-90"/>
        <w:contextualSpacing/>
        <w:rPr>
          <w:bCs/>
          <w:szCs w:val="20"/>
          <w:lang w:val="es-CR"/>
        </w:rPr>
      </w:pPr>
    </w:p>
    <w:p w14:paraId="202CDB62" w14:textId="77777777" w:rsidR="00272A2F" w:rsidRDefault="00272A2F" w:rsidP="00AE59A9">
      <w:pPr>
        <w:tabs>
          <w:tab w:val="left" w:pos="720"/>
        </w:tabs>
        <w:ind w:right="-90"/>
        <w:contextualSpacing/>
        <w:rPr>
          <w:bCs/>
          <w:szCs w:val="20"/>
          <w:lang w:val="es-CR"/>
        </w:rPr>
      </w:pPr>
    </w:p>
    <w:p w14:paraId="73E91298" w14:textId="77777777" w:rsidR="00272A2F" w:rsidRDefault="00272A2F" w:rsidP="00AE59A9">
      <w:pPr>
        <w:tabs>
          <w:tab w:val="left" w:pos="720"/>
        </w:tabs>
        <w:ind w:right="-90"/>
        <w:contextualSpacing/>
        <w:rPr>
          <w:bCs/>
          <w:szCs w:val="20"/>
          <w:lang w:val="es-CR"/>
        </w:rPr>
      </w:pPr>
    </w:p>
    <w:p w14:paraId="4F7B42CF" w14:textId="77777777" w:rsidR="00272A2F" w:rsidRDefault="00272A2F" w:rsidP="00AE59A9">
      <w:pPr>
        <w:tabs>
          <w:tab w:val="left" w:pos="720"/>
        </w:tabs>
        <w:ind w:right="-90"/>
        <w:contextualSpacing/>
        <w:rPr>
          <w:bCs/>
          <w:szCs w:val="20"/>
          <w:lang w:val="es-CR"/>
        </w:rPr>
      </w:pPr>
    </w:p>
    <w:p w14:paraId="46BEE720" w14:textId="77777777" w:rsidR="00272A2F" w:rsidRDefault="00272A2F" w:rsidP="00AE59A9">
      <w:pPr>
        <w:tabs>
          <w:tab w:val="left" w:pos="720"/>
        </w:tabs>
        <w:ind w:right="-90"/>
        <w:contextualSpacing/>
        <w:rPr>
          <w:bCs/>
          <w:szCs w:val="20"/>
          <w:lang w:val="es-CR"/>
        </w:rPr>
      </w:pPr>
    </w:p>
    <w:p w14:paraId="24B58DFE" w14:textId="77777777" w:rsidR="00272A2F" w:rsidRDefault="00272A2F" w:rsidP="00AE59A9">
      <w:pPr>
        <w:tabs>
          <w:tab w:val="left" w:pos="720"/>
        </w:tabs>
        <w:ind w:right="-90"/>
        <w:contextualSpacing/>
        <w:rPr>
          <w:bCs/>
          <w:szCs w:val="20"/>
          <w:lang w:val="es-CR"/>
        </w:rPr>
      </w:pPr>
    </w:p>
    <w:p w14:paraId="64151B2B" w14:textId="77777777" w:rsidR="00272A2F" w:rsidRDefault="00272A2F" w:rsidP="00AE59A9">
      <w:pPr>
        <w:tabs>
          <w:tab w:val="left" w:pos="720"/>
        </w:tabs>
        <w:ind w:right="-90"/>
        <w:contextualSpacing/>
        <w:rPr>
          <w:bCs/>
          <w:szCs w:val="20"/>
          <w:lang w:val="es-CR"/>
        </w:rPr>
      </w:pPr>
    </w:p>
    <w:p w14:paraId="18C02EEB" w14:textId="77777777" w:rsidR="00272A2F" w:rsidRDefault="00272A2F" w:rsidP="00AE59A9">
      <w:pPr>
        <w:tabs>
          <w:tab w:val="left" w:pos="720"/>
        </w:tabs>
        <w:ind w:right="-90"/>
        <w:contextualSpacing/>
        <w:rPr>
          <w:bCs/>
          <w:szCs w:val="20"/>
          <w:lang w:val="es-CR"/>
        </w:rPr>
      </w:pPr>
    </w:p>
    <w:p w14:paraId="1FD4AF3C" w14:textId="77777777" w:rsidR="00272A2F" w:rsidRDefault="00272A2F" w:rsidP="00AE59A9">
      <w:pPr>
        <w:tabs>
          <w:tab w:val="left" w:pos="720"/>
        </w:tabs>
        <w:ind w:right="-90"/>
        <w:contextualSpacing/>
        <w:rPr>
          <w:bCs/>
          <w:szCs w:val="20"/>
          <w:lang w:val="es-CR"/>
        </w:rPr>
      </w:pPr>
    </w:p>
    <w:p w14:paraId="3D535DAC" w14:textId="77777777" w:rsidR="00272A2F" w:rsidRDefault="00272A2F" w:rsidP="00AE59A9">
      <w:pPr>
        <w:tabs>
          <w:tab w:val="left" w:pos="720"/>
        </w:tabs>
        <w:ind w:right="-90"/>
        <w:contextualSpacing/>
        <w:rPr>
          <w:bCs/>
          <w:szCs w:val="20"/>
          <w:lang w:val="es-CR"/>
        </w:rPr>
      </w:pPr>
    </w:p>
    <w:p w14:paraId="423D7743" w14:textId="77777777" w:rsidR="00272A2F" w:rsidRDefault="00272A2F" w:rsidP="00AE59A9">
      <w:pPr>
        <w:tabs>
          <w:tab w:val="left" w:pos="720"/>
        </w:tabs>
        <w:ind w:right="-90"/>
        <w:contextualSpacing/>
        <w:rPr>
          <w:bCs/>
          <w:szCs w:val="20"/>
          <w:lang w:val="es-CR"/>
        </w:rPr>
      </w:pPr>
    </w:p>
    <w:p w14:paraId="4B150EC5" w14:textId="77777777" w:rsidR="00272A2F" w:rsidRDefault="00272A2F" w:rsidP="00AE59A9">
      <w:pPr>
        <w:tabs>
          <w:tab w:val="left" w:pos="720"/>
        </w:tabs>
        <w:ind w:right="-90"/>
        <w:contextualSpacing/>
        <w:rPr>
          <w:bCs/>
          <w:szCs w:val="20"/>
          <w:lang w:val="es-CR"/>
        </w:rPr>
      </w:pPr>
    </w:p>
    <w:p w14:paraId="01E475B6" w14:textId="77777777" w:rsidR="00272A2F" w:rsidRDefault="00272A2F" w:rsidP="00AE59A9">
      <w:pPr>
        <w:tabs>
          <w:tab w:val="left" w:pos="720"/>
        </w:tabs>
        <w:ind w:right="-90"/>
        <w:contextualSpacing/>
        <w:rPr>
          <w:bCs/>
          <w:szCs w:val="20"/>
          <w:lang w:val="es-CR"/>
        </w:rPr>
      </w:pPr>
    </w:p>
    <w:p w14:paraId="348467F0" w14:textId="77777777" w:rsidR="00272A2F" w:rsidRDefault="00272A2F" w:rsidP="00AE59A9">
      <w:pPr>
        <w:tabs>
          <w:tab w:val="left" w:pos="720"/>
        </w:tabs>
        <w:ind w:right="-90"/>
        <w:contextualSpacing/>
        <w:rPr>
          <w:bCs/>
          <w:szCs w:val="20"/>
          <w:lang w:val="es-CR"/>
        </w:rPr>
      </w:pPr>
    </w:p>
    <w:p w14:paraId="56942B18" w14:textId="77777777" w:rsidR="00272A2F" w:rsidRDefault="00272A2F" w:rsidP="00AE59A9">
      <w:pPr>
        <w:tabs>
          <w:tab w:val="left" w:pos="720"/>
        </w:tabs>
        <w:ind w:right="-90"/>
        <w:contextualSpacing/>
        <w:rPr>
          <w:bCs/>
          <w:szCs w:val="20"/>
          <w:lang w:val="es-CR"/>
        </w:rPr>
      </w:pPr>
    </w:p>
    <w:p w14:paraId="0D461E73" w14:textId="77777777" w:rsidR="00272A2F" w:rsidRDefault="00272A2F" w:rsidP="00AE59A9">
      <w:pPr>
        <w:tabs>
          <w:tab w:val="left" w:pos="720"/>
        </w:tabs>
        <w:ind w:right="-90"/>
        <w:contextualSpacing/>
        <w:rPr>
          <w:bCs/>
          <w:szCs w:val="20"/>
          <w:lang w:val="es-CR"/>
        </w:rPr>
      </w:pPr>
    </w:p>
    <w:p w14:paraId="560AD660" w14:textId="77777777" w:rsidR="00272A2F" w:rsidRDefault="00272A2F" w:rsidP="00AE59A9">
      <w:pPr>
        <w:tabs>
          <w:tab w:val="left" w:pos="720"/>
        </w:tabs>
        <w:ind w:right="-90"/>
        <w:contextualSpacing/>
        <w:rPr>
          <w:bCs/>
          <w:szCs w:val="20"/>
          <w:lang w:val="es-CR"/>
        </w:rPr>
      </w:pPr>
    </w:p>
    <w:p w14:paraId="78CF0E58" w14:textId="77777777" w:rsidR="00272A2F" w:rsidRDefault="00272A2F" w:rsidP="00AE59A9">
      <w:pPr>
        <w:tabs>
          <w:tab w:val="left" w:pos="720"/>
        </w:tabs>
        <w:ind w:right="-90"/>
        <w:contextualSpacing/>
        <w:rPr>
          <w:bCs/>
          <w:szCs w:val="20"/>
          <w:lang w:val="es-CR"/>
        </w:rPr>
      </w:pPr>
    </w:p>
    <w:p w14:paraId="3A662E45" w14:textId="77777777" w:rsidR="00272A2F" w:rsidRDefault="00272A2F" w:rsidP="00AE59A9">
      <w:pPr>
        <w:tabs>
          <w:tab w:val="left" w:pos="720"/>
        </w:tabs>
        <w:ind w:right="-90"/>
        <w:contextualSpacing/>
        <w:rPr>
          <w:bCs/>
          <w:szCs w:val="20"/>
          <w:lang w:val="es-CR"/>
        </w:rPr>
      </w:pPr>
    </w:p>
    <w:p w14:paraId="7D09E0E8" w14:textId="77777777" w:rsidR="00272A2F" w:rsidRDefault="00272A2F" w:rsidP="00AE59A9">
      <w:pPr>
        <w:tabs>
          <w:tab w:val="left" w:pos="720"/>
        </w:tabs>
        <w:ind w:right="-90"/>
        <w:contextualSpacing/>
        <w:rPr>
          <w:bCs/>
          <w:szCs w:val="20"/>
          <w:lang w:val="es-CR"/>
        </w:rPr>
      </w:pPr>
    </w:p>
    <w:p w14:paraId="7F062E4C" w14:textId="77777777" w:rsidR="00272A2F" w:rsidRDefault="00272A2F" w:rsidP="00AE59A9">
      <w:pPr>
        <w:tabs>
          <w:tab w:val="left" w:pos="720"/>
        </w:tabs>
        <w:ind w:right="-90"/>
        <w:contextualSpacing/>
        <w:rPr>
          <w:bCs/>
          <w:szCs w:val="20"/>
          <w:lang w:val="es-CR"/>
        </w:rPr>
      </w:pPr>
    </w:p>
    <w:p w14:paraId="2B2B09C7" w14:textId="77777777" w:rsidR="00272A2F" w:rsidRDefault="00272A2F" w:rsidP="00AE59A9">
      <w:pPr>
        <w:tabs>
          <w:tab w:val="left" w:pos="720"/>
        </w:tabs>
        <w:ind w:right="-90"/>
        <w:contextualSpacing/>
        <w:rPr>
          <w:bCs/>
          <w:szCs w:val="20"/>
          <w:lang w:val="es-CR"/>
        </w:rPr>
      </w:pPr>
    </w:p>
    <w:p w14:paraId="2D22EDFD" w14:textId="77777777" w:rsidR="00272A2F" w:rsidRDefault="00272A2F" w:rsidP="00AE59A9">
      <w:pPr>
        <w:tabs>
          <w:tab w:val="left" w:pos="720"/>
        </w:tabs>
        <w:ind w:right="-90"/>
        <w:contextualSpacing/>
        <w:rPr>
          <w:bCs/>
          <w:szCs w:val="20"/>
          <w:lang w:val="es-CR"/>
        </w:rPr>
      </w:pPr>
    </w:p>
    <w:p w14:paraId="3010BC75" w14:textId="77777777" w:rsidR="00272A2F" w:rsidRDefault="00272A2F" w:rsidP="00AE59A9">
      <w:pPr>
        <w:tabs>
          <w:tab w:val="left" w:pos="720"/>
        </w:tabs>
        <w:ind w:right="-90"/>
        <w:contextualSpacing/>
        <w:rPr>
          <w:bCs/>
          <w:szCs w:val="20"/>
          <w:lang w:val="es-CR"/>
        </w:rPr>
      </w:pPr>
    </w:p>
    <w:p w14:paraId="0D1A9B2A" w14:textId="77777777" w:rsidR="00272A2F" w:rsidRDefault="00272A2F" w:rsidP="00AE59A9">
      <w:pPr>
        <w:tabs>
          <w:tab w:val="left" w:pos="720"/>
        </w:tabs>
        <w:ind w:right="-90"/>
        <w:contextualSpacing/>
        <w:rPr>
          <w:bCs/>
          <w:szCs w:val="20"/>
          <w:lang w:val="es-CR"/>
        </w:rPr>
      </w:pPr>
    </w:p>
    <w:p w14:paraId="50BF58BF" w14:textId="77777777" w:rsidR="00272A2F" w:rsidRDefault="00272A2F" w:rsidP="00AE59A9">
      <w:pPr>
        <w:tabs>
          <w:tab w:val="left" w:pos="720"/>
        </w:tabs>
        <w:ind w:right="-90"/>
        <w:contextualSpacing/>
        <w:rPr>
          <w:bCs/>
          <w:szCs w:val="20"/>
          <w:lang w:val="es-CR"/>
        </w:rPr>
      </w:pPr>
    </w:p>
    <w:p w14:paraId="57BC83F5" w14:textId="77777777" w:rsidR="00272A2F" w:rsidRDefault="00272A2F" w:rsidP="00AE59A9">
      <w:pPr>
        <w:tabs>
          <w:tab w:val="left" w:pos="720"/>
        </w:tabs>
        <w:ind w:right="-90"/>
        <w:contextualSpacing/>
        <w:rPr>
          <w:bCs/>
          <w:szCs w:val="20"/>
          <w:lang w:val="es-CR"/>
        </w:rPr>
      </w:pPr>
    </w:p>
    <w:p w14:paraId="761F2F68" w14:textId="77777777" w:rsidR="00272A2F" w:rsidRDefault="00272A2F" w:rsidP="00AE59A9">
      <w:pPr>
        <w:tabs>
          <w:tab w:val="left" w:pos="720"/>
        </w:tabs>
        <w:ind w:right="-90"/>
        <w:contextualSpacing/>
        <w:rPr>
          <w:bCs/>
          <w:szCs w:val="20"/>
          <w:lang w:val="es-CR"/>
        </w:rPr>
      </w:pPr>
    </w:p>
    <w:p w14:paraId="256AAE15" w14:textId="77777777" w:rsidR="00272A2F" w:rsidRDefault="00272A2F" w:rsidP="00AE59A9">
      <w:pPr>
        <w:tabs>
          <w:tab w:val="left" w:pos="720"/>
        </w:tabs>
        <w:ind w:right="-90"/>
        <w:contextualSpacing/>
        <w:rPr>
          <w:bCs/>
          <w:szCs w:val="20"/>
          <w:lang w:val="es-CR"/>
        </w:rPr>
      </w:pPr>
    </w:p>
    <w:p w14:paraId="08A51481" w14:textId="77777777" w:rsidR="00272A2F" w:rsidRDefault="00272A2F" w:rsidP="00AE59A9">
      <w:pPr>
        <w:tabs>
          <w:tab w:val="left" w:pos="720"/>
        </w:tabs>
        <w:ind w:right="-90"/>
        <w:contextualSpacing/>
        <w:rPr>
          <w:bCs/>
          <w:szCs w:val="20"/>
          <w:lang w:val="es-CR"/>
        </w:rPr>
      </w:pPr>
    </w:p>
    <w:p w14:paraId="4010472B" w14:textId="77777777" w:rsidR="00272A2F" w:rsidRDefault="00272A2F" w:rsidP="00AE59A9">
      <w:pPr>
        <w:tabs>
          <w:tab w:val="left" w:pos="720"/>
        </w:tabs>
        <w:ind w:right="-90"/>
        <w:contextualSpacing/>
        <w:rPr>
          <w:bCs/>
          <w:szCs w:val="20"/>
          <w:lang w:val="es-CR"/>
        </w:rPr>
      </w:pPr>
    </w:p>
    <w:p w14:paraId="4B872033" w14:textId="77777777" w:rsidR="00272A2F" w:rsidRDefault="00272A2F" w:rsidP="00AE59A9">
      <w:pPr>
        <w:tabs>
          <w:tab w:val="left" w:pos="720"/>
        </w:tabs>
        <w:ind w:right="-90"/>
        <w:contextualSpacing/>
        <w:rPr>
          <w:bCs/>
          <w:szCs w:val="20"/>
          <w:lang w:val="es-CR"/>
        </w:rPr>
      </w:pPr>
    </w:p>
    <w:p w14:paraId="19EB2DBB" w14:textId="77777777" w:rsidR="00272A2F" w:rsidRDefault="00272A2F" w:rsidP="00AE59A9">
      <w:pPr>
        <w:tabs>
          <w:tab w:val="left" w:pos="720"/>
        </w:tabs>
        <w:ind w:right="-90"/>
        <w:contextualSpacing/>
        <w:rPr>
          <w:bCs/>
          <w:szCs w:val="20"/>
          <w:lang w:val="es-CR"/>
        </w:rPr>
      </w:pPr>
    </w:p>
    <w:p w14:paraId="6E46134E" w14:textId="77777777" w:rsidR="00272A2F" w:rsidRDefault="00272A2F" w:rsidP="00AE59A9">
      <w:pPr>
        <w:tabs>
          <w:tab w:val="left" w:pos="720"/>
        </w:tabs>
        <w:ind w:right="-90"/>
        <w:contextualSpacing/>
        <w:rPr>
          <w:bCs/>
          <w:szCs w:val="20"/>
          <w:lang w:val="es-CR"/>
        </w:rPr>
      </w:pPr>
    </w:p>
    <w:p w14:paraId="115F9645" w14:textId="77777777" w:rsidR="00272A2F" w:rsidRDefault="00272A2F" w:rsidP="00AE59A9">
      <w:pPr>
        <w:tabs>
          <w:tab w:val="left" w:pos="720"/>
        </w:tabs>
        <w:ind w:right="-90"/>
        <w:contextualSpacing/>
        <w:rPr>
          <w:bCs/>
          <w:szCs w:val="20"/>
          <w:lang w:val="es-CR"/>
        </w:rPr>
      </w:pPr>
    </w:p>
    <w:p w14:paraId="1B147D01" w14:textId="77777777" w:rsidR="00272A2F" w:rsidRDefault="00272A2F" w:rsidP="00AE59A9">
      <w:pPr>
        <w:tabs>
          <w:tab w:val="left" w:pos="720"/>
        </w:tabs>
        <w:ind w:right="-90"/>
        <w:contextualSpacing/>
        <w:rPr>
          <w:bCs/>
          <w:szCs w:val="20"/>
          <w:lang w:val="es-CR"/>
        </w:rPr>
      </w:pPr>
    </w:p>
    <w:p w14:paraId="268DB667" w14:textId="77777777" w:rsidR="00272A2F" w:rsidRPr="00745B6E" w:rsidRDefault="00272A2F" w:rsidP="00272A2F">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Colindres Schonenberg</w:t>
      </w:r>
      <w:r w:rsidRPr="00745B6E">
        <w:rPr>
          <w:i/>
          <w:lang w:val="es-ES"/>
        </w:rPr>
        <w:t xml:space="preserve"> Vs. </w:t>
      </w:r>
      <w:r>
        <w:rPr>
          <w:i/>
          <w:lang w:val="es-ES"/>
        </w:rPr>
        <w:t>El Salvador</w:t>
      </w:r>
      <w:r w:rsidRPr="00745B6E">
        <w:rPr>
          <w:i/>
          <w:lang w:val="es-ES"/>
        </w:rPr>
        <w:t xml:space="preserve">. </w:t>
      </w:r>
      <w:r>
        <w:rPr>
          <w:i/>
          <w:lang w:val="es-ES"/>
        </w:rPr>
        <w:t>Fondo, Reparaciones y Costas. Sentencia</w:t>
      </w:r>
      <w:r w:rsidRPr="00745B6E">
        <w:rPr>
          <w:lang w:val="es-ES"/>
        </w:rPr>
        <w:t xml:space="preserve"> de </w:t>
      </w:r>
      <w:r w:rsidRPr="00233F03">
        <w:rPr>
          <w:lang w:val="es-ES"/>
        </w:rPr>
        <w:t>4 de febrero de</w:t>
      </w:r>
      <w:r w:rsidRPr="00745B6E">
        <w:rPr>
          <w:lang w:val="es-ES"/>
        </w:rPr>
        <w:t xml:space="preserve"> 2019.</w:t>
      </w:r>
    </w:p>
    <w:p w14:paraId="259B5833" w14:textId="77777777" w:rsidR="00272A2F" w:rsidRPr="00745B6E" w:rsidRDefault="00272A2F" w:rsidP="00272A2F">
      <w:pPr>
        <w:jc w:val="center"/>
        <w:rPr>
          <w:lang w:val="es-ES"/>
        </w:rPr>
      </w:pPr>
    </w:p>
    <w:p w14:paraId="53935AA4" w14:textId="77777777" w:rsidR="00272A2F" w:rsidRDefault="00272A2F" w:rsidP="00272A2F">
      <w:pPr>
        <w:jc w:val="center"/>
        <w:rPr>
          <w:lang w:val="es-ES"/>
        </w:rPr>
      </w:pPr>
    </w:p>
    <w:p w14:paraId="570935AB" w14:textId="77777777" w:rsidR="00272A2F" w:rsidRPr="00745B6E" w:rsidRDefault="00272A2F" w:rsidP="00272A2F">
      <w:pPr>
        <w:jc w:val="center"/>
        <w:rPr>
          <w:lang w:val="es-ES"/>
        </w:rPr>
      </w:pPr>
    </w:p>
    <w:p w14:paraId="175CD723" w14:textId="77777777" w:rsidR="00272A2F" w:rsidRPr="00745B6E" w:rsidRDefault="00272A2F" w:rsidP="00272A2F">
      <w:pPr>
        <w:jc w:val="center"/>
        <w:rPr>
          <w:lang w:val="es-ES"/>
        </w:rPr>
      </w:pPr>
    </w:p>
    <w:p w14:paraId="5FB61069" w14:textId="77777777" w:rsidR="00272A2F" w:rsidRPr="00745B6E" w:rsidRDefault="00272A2F" w:rsidP="00272A2F">
      <w:pPr>
        <w:jc w:val="center"/>
        <w:rPr>
          <w:lang w:val="es-ES"/>
        </w:rPr>
      </w:pPr>
    </w:p>
    <w:p w14:paraId="66A07CE9" w14:textId="77777777" w:rsidR="00272A2F" w:rsidRPr="00745B6E" w:rsidRDefault="00272A2F" w:rsidP="00272A2F">
      <w:pPr>
        <w:jc w:val="center"/>
        <w:rPr>
          <w:lang w:val="es-ES"/>
        </w:rPr>
      </w:pPr>
    </w:p>
    <w:p w14:paraId="35E4DEA5" w14:textId="77777777" w:rsidR="00272A2F" w:rsidRPr="00745B6E" w:rsidRDefault="00272A2F" w:rsidP="00272A2F">
      <w:pPr>
        <w:jc w:val="center"/>
        <w:rPr>
          <w:lang w:val="es-ES"/>
        </w:rPr>
      </w:pPr>
      <w:r w:rsidRPr="00745B6E">
        <w:rPr>
          <w:lang w:val="es-ES"/>
        </w:rPr>
        <w:t xml:space="preserve">Eduardo Ferrer Mac-Gregor Poisot </w:t>
      </w:r>
    </w:p>
    <w:p w14:paraId="283E3E47" w14:textId="77777777" w:rsidR="00272A2F" w:rsidRPr="00745B6E" w:rsidRDefault="00272A2F" w:rsidP="00272A2F">
      <w:pPr>
        <w:jc w:val="center"/>
        <w:rPr>
          <w:lang w:val="es-ES"/>
        </w:rPr>
      </w:pPr>
      <w:r w:rsidRPr="00745B6E">
        <w:rPr>
          <w:lang w:val="es-ES"/>
        </w:rPr>
        <w:t xml:space="preserve">Presidente </w:t>
      </w:r>
    </w:p>
    <w:p w14:paraId="76E7F791" w14:textId="77777777" w:rsidR="00272A2F" w:rsidRPr="00745B6E" w:rsidRDefault="00272A2F" w:rsidP="00272A2F">
      <w:pPr>
        <w:jc w:val="both"/>
        <w:rPr>
          <w:lang w:val="es-ES"/>
        </w:rPr>
      </w:pPr>
    </w:p>
    <w:p w14:paraId="3C116458" w14:textId="77777777" w:rsidR="00272A2F" w:rsidRPr="00745B6E" w:rsidRDefault="00272A2F" w:rsidP="00272A2F">
      <w:pPr>
        <w:jc w:val="both"/>
        <w:rPr>
          <w:lang w:val="es-ES"/>
        </w:rPr>
      </w:pPr>
    </w:p>
    <w:p w14:paraId="024368C0" w14:textId="77777777" w:rsidR="00272A2F" w:rsidRPr="00745B6E" w:rsidRDefault="00272A2F" w:rsidP="00272A2F">
      <w:pPr>
        <w:jc w:val="both"/>
        <w:rPr>
          <w:lang w:val="es-ES"/>
        </w:rPr>
      </w:pPr>
    </w:p>
    <w:p w14:paraId="6F164CFD" w14:textId="77777777" w:rsidR="00272A2F" w:rsidRPr="00745B6E" w:rsidRDefault="00272A2F" w:rsidP="00272A2F">
      <w:pPr>
        <w:jc w:val="both"/>
        <w:rPr>
          <w:lang w:val="es-ES"/>
        </w:rPr>
      </w:pPr>
    </w:p>
    <w:p w14:paraId="45946B71" w14:textId="77777777" w:rsidR="00272A2F" w:rsidRPr="00745B6E" w:rsidRDefault="00272A2F" w:rsidP="00272A2F">
      <w:pPr>
        <w:jc w:val="both"/>
        <w:rPr>
          <w:lang w:val="es-ES"/>
        </w:rPr>
      </w:pPr>
    </w:p>
    <w:p w14:paraId="69EA9D3F" w14:textId="77777777" w:rsidR="00272A2F" w:rsidRPr="00745B6E" w:rsidRDefault="00272A2F" w:rsidP="00272A2F">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w:t>
      </w:r>
      <w:r>
        <w:rPr>
          <w:lang w:val="es-ES"/>
        </w:rPr>
        <w:tab/>
        <w:t xml:space="preserve">    Elizabeth Odio Benito</w:t>
      </w:r>
    </w:p>
    <w:p w14:paraId="689F79DD" w14:textId="77777777" w:rsidR="00272A2F" w:rsidRPr="00745B6E" w:rsidRDefault="00272A2F" w:rsidP="00272A2F">
      <w:pPr>
        <w:jc w:val="both"/>
        <w:rPr>
          <w:lang w:val="es-ES"/>
        </w:rPr>
      </w:pPr>
    </w:p>
    <w:p w14:paraId="4912F66A" w14:textId="77777777" w:rsidR="00272A2F" w:rsidRPr="00745B6E" w:rsidRDefault="00272A2F" w:rsidP="00272A2F">
      <w:pPr>
        <w:jc w:val="both"/>
        <w:rPr>
          <w:lang w:val="es-ES"/>
        </w:rPr>
      </w:pPr>
    </w:p>
    <w:p w14:paraId="77842642" w14:textId="77777777" w:rsidR="00272A2F" w:rsidRPr="00745B6E" w:rsidRDefault="00272A2F" w:rsidP="00272A2F">
      <w:pPr>
        <w:jc w:val="both"/>
        <w:rPr>
          <w:lang w:val="es-ES"/>
        </w:rPr>
      </w:pPr>
    </w:p>
    <w:p w14:paraId="23BCA571" w14:textId="77777777" w:rsidR="00272A2F" w:rsidRPr="00745B6E" w:rsidRDefault="00272A2F" w:rsidP="00272A2F">
      <w:pPr>
        <w:jc w:val="both"/>
        <w:rPr>
          <w:lang w:val="es-ES"/>
        </w:rPr>
      </w:pPr>
    </w:p>
    <w:p w14:paraId="1723B672" w14:textId="77777777" w:rsidR="00272A2F" w:rsidRPr="00745B6E" w:rsidRDefault="00272A2F" w:rsidP="00272A2F">
      <w:pPr>
        <w:jc w:val="both"/>
        <w:rPr>
          <w:lang w:val="es-ES"/>
        </w:rPr>
      </w:pPr>
    </w:p>
    <w:p w14:paraId="501AF773" w14:textId="77777777" w:rsidR="00272A2F" w:rsidRPr="00745B6E" w:rsidRDefault="00272A2F" w:rsidP="00272A2F">
      <w:pPr>
        <w:jc w:val="center"/>
        <w:rPr>
          <w:lang w:val="es-ES"/>
        </w:rPr>
      </w:pPr>
      <w:r>
        <w:rPr>
          <w:lang w:val="es-ES"/>
        </w:rPr>
        <w:t>Eugenio Raúl Zaffaroni</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L. Patricio Pazmiño Freire</w:t>
      </w:r>
    </w:p>
    <w:p w14:paraId="3593CDEB" w14:textId="77777777" w:rsidR="00272A2F" w:rsidRPr="00745B6E" w:rsidRDefault="00272A2F" w:rsidP="00272A2F">
      <w:pPr>
        <w:jc w:val="both"/>
        <w:rPr>
          <w:lang w:val="es-ES"/>
        </w:rPr>
      </w:pPr>
    </w:p>
    <w:p w14:paraId="024F93BB" w14:textId="77777777" w:rsidR="00272A2F" w:rsidRPr="00745B6E" w:rsidRDefault="00272A2F" w:rsidP="00272A2F">
      <w:pPr>
        <w:jc w:val="both"/>
        <w:rPr>
          <w:lang w:val="es-ES"/>
        </w:rPr>
      </w:pPr>
    </w:p>
    <w:p w14:paraId="41E31ADD" w14:textId="77777777" w:rsidR="00272A2F" w:rsidRPr="00745B6E" w:rsidRDefault="00272A2F" w:rsidP="00272A2F">
      <w:pPr>
        <w:jc w:val="both"/>
        <w:rPr>
          <w:lang w:val="es-ES"/>
        </w:rPr>
      </w:pPr>
    </w:p>
    <w:p w14:paraId="408A7764" w14:textId="77777777" w:rsidR="00272A2F" w:rsidRPr="00745B6E" w:rsidRDefault="00272A2F" w:rsidP="00272A2F">
      <w:pPr>
        <w:jc w:val="both"/>
        <w:rPr>
          <w:lang w:val="es-ES"/>
        </w:rPr>
      </w:pPr>
    </w:p>
    <w:p w14:paraId="1B12FF69" w14:textId="77777777" w:rsidR="00272A2F" w:rsidRPr="00745B6E" w:rsidRDefault="00272A2F" w:rsidP="00272A2F">
      <w:pPr>
        <w:jc w:val="both"/>
        <w:rPr>
          <w:lang w:val="es-ES"/>
        </w:rPr>
      </w:pPr>
    </w:p>
    <w:p w14:paraId="42DD2EF1" w14:textId="77777777" w:rsidR="00272A2F" w:rsidRPr="00745B6E" w:rsidRDefault="00272A2F" w:rsidP="00272A2F">
      <w:pPr>
        <w:jc w:val="center"/>
        <w:rPr>
          <w:lang w:val="es-ES"/>
        </w:rPr>
      </w:pPr>
      <w:r w:rsidRPr="00745B6E">
        <w:rPr>
          <w:lang w:val="es-ES"/>
        </w:rPr>
        <w:t>Pablo Saavedra Alessandri</w:t>
      </w:r>
    </w:p>
    <w:p w14:paraId="3A5EBE8D" w14:textId="77777777" w:rsidR="00272A2F" w:rsidRPr="00745B6E" w:rsidRDefault="00272A2F" w:rsidP="00272A2F">
      <w:pPr>
        <w:jc w:val="center"/>
        <w:rPr>
          <w:lang w:val="es-ES"/>
        </w:rPr>
      </w:pPr>
      <w:r w:rsidRPr="00745B6E">
        <w:rPr>
          <w:lang w:val="es-ES"/>
        </w:rPr>
        <w:t>Secretario</w:t>
      </w:r>
    </w:p>
    <w:p w14:paraId="5FC0E962" w14:textId="77777777" w:rsidR="00272A2F" w:rsidRPr="00745B6E" w:rsidRDefault="00272A2F" w:rsidP="00272A2F">
      <w:pPr>
        <w:rPr>
          <w:lang w:val="es-ES"/>
        </w:rPr>
      </w:pPr>
    </w:p>
    <w:p w14:paraId="06C63D5B" w14:textId="77777777" w:rsidR="00272A2F" w:rsidRDefault="00272A2F" w:rsidP="00272A2F">
      <w:pPr>
        <w:pStyle w:val="FootnoteText"/>
        <w:rPr>
          <w:lang w:val="es-ES"/>
        </w:rPr>
      </w:pPr>
    </w:p>
    <w:p w14:paraId="7E2C7CFC" w14:textId="77777777" w:rsidR="00272A2F" w:rsidRDefault="00272A2F" w:rsidP="00272A2F">
      <w:pPr>
        <w:pStyle w:val="FootnoteText"/>
        <w:rPr>
          <w:lang w:val="es-ES"/>
        </w:rPr>
      </w:pPr>
    </w:p>
    <w:p w14:paraId="0BC3C0D8" w14:textId="77777777" w:rsidR="00272A2F" w:rsidRPr="00745B6E" w:rsidRDefault="00272A2F" w:rsidP="00272A2F">
      <w:pPr>
        <w:pStyle w:val="FootnoteText"/>
        <w:rPr>
          <w:lang w:val="es-ES"/>
        </w:rPr>
      </w:pPr>
    </w:p>
    <w:p w14:paraId="6FC9C428" w14:textId="77777777" w:rsidR="00272A2F" w:rsidRPr="00745B6E" w:rsidRDefault="00272A2F" w:rsidP="00272A2F">
      <w:pPr>
        <w:pStyle w:val="FootnoteText"/>
        <w:rPr>
          <w:lang w:val="es-ES"/>
        </w:rPr>
      </w:pPr>
    </w:p>
    <w:p w14:paraId="2A771A62" w14:textId="77777777" w:rsidR="00272A2F" w:rsidRPr="00745B6E" w:rsidRDefault="00272A2F" w:rsidP="00272A2F">
      <w:pPr>
        <w:jc w:val="both"/>
        <w:rPr>
          <w:lang w:val="es-ES"/>
        </w:rPr>
      </w:pPr>
      <w:r w:rsidRPr="00745B6E">
        <w:rPr>
          <w:lang w:val="es-ES"/>
        </w:rPr>
        <w:t>Comuníquese y ejecútese,</w:t>
      </w:r>
    </w:p>
    <w:p w14:paraId="363BF200" w14:textId="77777777" w:rsidR="00272A2F" w:rsidRPr="00745B6E" w:rsidRDefault="00272A2F" w:rsidP="00272A2F">
      <w:pPr>
        <w:jc w:val="both"/>
        <w:rPr>
          <w:lang w:val="es-ES"/>
        </w:rPr>
      </w:pPr>
    </w:p>
    <w:p w14:paraId="34BFC005" w14:textId="77777777" w:rsidR="00272A2F" w:rsidRPr="00745B6E" w:rsidRDefault="00272A2F" w:rsidP="00272A2F">
      <w:pPr>
        <w:jc w:val="both"/>
        <w:rPr>
          <w:lang w:val="es-ES"/>
        </w:rPr>
      </w:pPr>
    </w:p>
    <w:p w14:paraId="3B364760" w14:textId="77777777" w:rsidR="00272A2F" w:rsidRDefault="00272A2F" w:rsidP="00272A2F">
      <w:pPr>
        <w:jc w:val="both"/>
        <w:rPr>
          <w:lang w:val="es-ES"/>
        </w:rPr>
      </w:pPr>
    </w:p>
    <w:p w14:paraId="2C5CF343" w14:textId="77777777" w:rsidR="00272A2F" w:rsidRPr="00745B6E" w:rsidRDefault="00272A2F" w:rsidP="00272A2F">
      <w:pPr>
        <w:jc w:val="both"/>
        <w:rPr>
          <w:lang w:val="es-ES"/>
        </w:rPr>
      </w:pPr>
    </w:p>
    <w:p w14:paraId="04ED0C76" w14:textId="77777777" w:rsidR="00272A2F" w:rsidRPr="00745B6E" w:rsidRDefault="00272A2F" w:rsidP="00272A2F">
      <w:pPr>
        <w:jc w:val="both"/>
        <w:rPr>
          <w:lang w:val="es-ES"/>
        </w:rPr>
      </w:pPr>
    </w:p>
    <w:p w14:paraId="1503CA69" w14:textId="77777777" w:rsidR="00272A2F" w:rsidRPr="00745B6E" w:rsidRDefault="00272A2F" w:rsidP="00272A2F">
      <w:pPr>
        <w:ind w:left="4956"/>
        <w:jc w:val="center"/>
        <w:rPr>
          <w:lang w:val="es-ES"/>
        </w:rPr>
      </w:pPr>
      <w:r w:rsidRPr="00745B6E">
        <w:rPr>
          <w:lang w:val="es-ES"/>
        </w:rPr>
        <w:t>Eduardo Ferrer Mac-Gregor Poisot</w:t>
      </w:r>
    </w:p>
    <w:p w14:paraId="4D78D2D2" w14:textId="77777777" w:rsidR="00272A2F" w:rsidRPr="00745B6E" w:rsidRDefault="00272A2F" w:rsidP="00272A2F">
      <w:pPr>
        <w:ind w:left="4956"/>
        <w:jc w:val="center"/>
        <w:rPr>
          <w:lang w:val="es-ES"/>
        </w:rPr>
      </w:pPr>
      <w:r w:rsidRPr="00745B6E">
        <w:rPr>
          <w:lang w:val="es-ES"/>
        </w:rPr>
        <w:t>Presidente</w:t>
      </w:r>
    </w:p>
    <w:p w14:paraId="2F3C905E" w14:textId="77777777" w:rsidR="00272A2F" w:rsidRPr="00745B6E" w:rsidRDefault="00272A2F" w:rsidP="00272A2F">
      <w:pPr>
        <w:jc w:val="both"/>
        <w:rPr>
          <w:lang w:val="es-ES"/>
        </w:rPr>
      </w:pPr>
    </w:p>
    <w:p w14:paraId="417B23F7" w14:textId="77777777" w:rsidR="00272A2F" w:rsidRPr="00745B6E" w:rsidRDefault="00272A2F" w:rsidP="00272A2F">
      <w:pPr>
        <w:jc w:val="both"/>
        <w:rPr>
          <w:lang w:val="es-ES"/>
        </w:rPr>
      </w:pPr>
    </w:p>
    <w:p w14:paraId="2C1F8EF4" w14:textId="77777777" w:rsidR="00272A2F" w:rsidRPr="00745B6E" w:rsidRDefault="00272A2F" w:rsidP="00272A2F">
      <w:pPr>
        <w:jc w:val="both"/>
        <w:rPr>
          <w:lang w:val="es-ES"/>
        </w:rPr>
      </w:pPr>
    </w:p>
    <w:p w14:paraId="51BBE069" w14:textId="77777777" w:rsidR="00272A2F" w:rsidRPr="00745B6E" w:rsidRDefault="00272A2F" w:rsidP="00272A2F">
      <w:pPr>
        <w:jc w:val="both"/>
        <w:rPr>
          <w:lang w:val="es-ES"/>
        </w:rPr>
      </w:pPr>
    </w:p>
    <w:p w14:paraId="2F9CF7B5" w14:textId="77777777" w:rsidR="00272A2F" w:rsidRPr="00745B6E" w:rsidRDefault="00272A2F" w:rsidP="00272A2F">
      <w:pPr>
        <w:jc w:val="both"/>
        <w:rPr>
          <w:lang w:val="es-ES"/>
        </w:rPr>
      </w:pPr>
    </w:p>
    <w:p w14:paraId="33D7B33F" w14:textId="77777777" w:rsidR="00272A2F" w:rsidRPr="00745B6E" w:rsidRDefault="00272A2F" w:rsidP="00272A2F">
      <w:pPr>
        <w:jc w:val="both"/>
        <w:rPr>
          <w:lang w:val="es-ES"/>
        </w:rPr>
      </w:pPr>
      <w:r w:rsidRPr="00745B6E">
        <w:rPr>
          <w:lang w:val="es-ES"/>
        </w:rPr>
        <w:t>Pablo Saavedra Alessandri</w:t>
      </w:r>
    </w:p>
    <w:p w14:paraId="75043F37" w14:textId="77777777" w:rsidR="00272A2F" w:rsidRPr="00745B6E" w:rsidRDefault="00272A2F" w:rsidP="00272A2F">
      <w:pPr>
        <w:rPr>
          <w:lang w:val="es-CR"/>
        </w:rPr>
      </w:pPr>
      <w:r w:rsidRPr="00745B6E">
        <w:rPr>
          <w:lang w:val="es-ES"/>
        </w:rPr>
        <w:tab/>
      </w:r>
      <w:r w:rsidRPr="00745B6E">
        <w:rPr>
          <w:lang w:val="es-CR"/>
        </w:rPr>
        <w:t>Secretario</w:t>
      </w:r>
    </w:p>
    <w:p w14:paraId="2838CFEE" w14:textId="77777777" w:rsidR="00272A2F" w:rsidRPr="00AE59A9" w:rsidRDefault="00272A2F" w:rsidP="00AE59A9">
      <w:pPr>
        <w:tabs>
          <w:tab w:val="left" w:pos="720"/>
        </w:tabs>
        <w:ind w:right="-90"/>
        <w:contextualSpacing/>
        <w:rPr>
          <w:bCs/>
          <w:szCs w:val="20"/>
          <w:lang w:val="es-CR"/>
        </w:rPr>
      </w:pPr>
    </w:p>
    <w:p w14:paraId="115F7238" w14:textId="77777777" w:rsidR="00546C18" w:rsidRPr="00F34209" w:rsidRDefault="00546C18" w:rsidP="00F34209">
      <w:pPr>
        <w:pStyle w:val="Header"/>
        <w:tabs>
          <w:tab w:val="clear" w:pos="4419"/>
          <w:tab w:val="clear" w:pos="8838"/>
        </w:tabs>
        <w:rPr>
          <w:lang w:val="es-CR" w:eastAsia="es-MX"/>
        </w:rPr>
      </w:pPr>
    </w:p>
    <w:sectPr w:rsidR="00546C18" w:rsidRPr="00F34209" w:rsidSect="00272A2F">
      <w:type w:val="continuous"/>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5465" w14:textId="77777777" w:rsidR="007D60D2" w:rsidRDefault="007D60D2" w:rsidP="00A65FF2">
      <w:r>
        <w:separator/>
      </w:r>
    </w:p>
  </w:endnote>
  <w:endnote w:type="continuationSeparator" w:id="0">
    <w:p w14:paraId="0B5459F0" w14:textId="77777777" w:rsidR="007D60D2" w:rsidRDefault="007D60D2" w:rsidP="00A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Bold">
    <w:altName w:val="Times New Roman"/>
    <w:panose1 w:val="020B0804030504040204"/>
    <w:charset w:val="00"/>
    <w:family w:val="auto"/>
    <w:pitch w:val="variable"/>
    <w:sig w:usb0="00000001"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79d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4400" w14:textId="77777777" w:rsidR="007D60D2" w:rsidRDefault="007D60D2" w:rsidP="00A65FF2">
      <w:r>
        <w:separator/>
      </w:r>
    </w:p>
  </w:footnote>
  <w:footnote w:type="continuationSeparator" w:id="0">
    <w:p w14:paraId="2F4F46F9" w14:textId="77777777" w:rsidR="007D60D2" w:rsidRDefault="007D60D2" w:rsidP="00A65FF2">
      <w:r>
        <w:continuationSeparator/>
      </w:r>
    </w:p>
  </w:footnote>
  <w:footnote w:id="1">
    <w:p w14:paraId="69E2B454" w14:textId="77777777" w:rsidR="007D60D2" w:rsidRPr="00025642" w:rsidRDefault="007D60D2" w:rsidP="004C3FCA">
      <w:pPr>
        <w:pStyle w:val="FootnoteText"/>
        <w:rPr>
          <w:sz w:val="24"/>
          <w:szCs w:val="24"/>
          <w:highlight w:val="yellow"/>
        </w:rPr>
      </w:pPr>
      <w:r w:rsidRPr="004C3FCA">
        <w:rPr>
          <w:rStyle w:val="FootnoteReference"/>
          <w:szCs w:val="16"/>
          <w:lang w:val="es-CR"/>
        </w:rPr>
        <w:t>*</w:t>
      </w:r>
      <w:r w:rsidRPr="004C3FCA">
        <w:rPr>
          <w:szCs w:val="16"/>
          <w:lang w:val="es-CR"/>
        </w:rPr>
        <w:t xml:space="preserve"> </w:t>
      </w:r>
      <w:r w:rsidRPr="004C3FCA">
        <w:rPr>
          <w:szCs w:val="16"/>
          <w:lang w:val="es-CR"/>
        </w:rPr>
        <w:tab/>
      </w:r>
      <w:r w:rsidRPr="004C3FCA">
        <w:rPr>
          <w:spacing w:val="-4"/>
          <w:szCs w:val="16"/>
        </w:rPr>
        <w:t xml:space="preserve">El </w:t>
      </w:r>
      <w:r w:rsidRPr="004C3FCA">
        <w:rPr>
          <w:szCs w:val="16"/>
          <w:lang w:val="es-MX"/>
        </w:rPr>
        <w:t xml:space="preserve">Juez </w:t>
      </w:r>
      <w:r w:rsidRPr="004C3FCA">
        <w:rPr>
          <w:spacing w:val="-4"/>
          <w:szCs w:val="16"/>
        </w:rPr>
        <w:t>Humberto A. Sierra Porto</w:t>
      </w:r>
      <w:r w:rsidRPr="004C3FCA">
        <w:rPr>
          <w:szCs w:val="16"/>
          <w:lang w:val="es-MX"/>
        </w:rPr>
        <w:t xml:space="preserve">, por razones de fuerza mayor aceptadas por el Pleno del Tribunal, no participó en la deliberación y firma de la presente Sentencia. Por otra parte, </w:t>
      </w:r>
      <w:r w:rsidRPr="004C3FCA">
        <w:rPr>
          <w:szCs w:val="16"/>
        </w:rPr>
        <w:t>el Juez Ricardo Pérez Manrique no participó en la deliberación y firma de la presente Sentencia debido a que se incorporó a la Corte el 1 de enero de 2019, cuando el presente caso se encontraba en estado de sentencia.</w:t>
      </w:r>
    </w:p>
  </w:footnote>
  <w:footnote w:id="2">
    <w:p w14:paraId="65370E38" w14:textId="4349B45F" w:rsidR="007D60D2" w:rsidRPr="00550CAE" w:rsidRDefault="007D60D2" w:rsidP="00550CAE">
      <w:pPr>
        <w:pStyle w:val="FootnoteText"/>
        <w:tabs>
          <w:tab w:val="left" w:pos="540"/>
          <w:tab w:val="left" w:pos="1440"/>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R"/>
        </w:rPr>
        <w:t>Cfr.</w:t>
      </w:r>
      <w:r w:rsidRPr="00550CAE">
        <w:rPr>
          <w:szCs w:val="16"/>
          <w:lang w:val="es-CR"/>
        </w:rPr>
        <w:t xml:space="preserve"> CIDH, Informe No. 25/06, </w:t>
      </w:r>
      <w:r>
        <w:rPr>
          <w:szCs w:val="16"/>
          <w:lang w:val="es-CR"/>
        </w:rPr>
        <w:t>Caso 12.311</w:t>
      </w:r>
      <w:r w:rsidRPr="00550CAE">
        <w:rPr>
          <w:szCs w:val="16"/>
          <w:lang w:val="es-CR"/>
        </w:rPr>
        <w:t xml:space="preserve">, Admisibilidad, </w:t>
      </w:r>
      <w:r w:rsidRPr="00550CAE">
        <w:rPr>
          <w:i/>
          <w:szCs w:val="16"/>
          <w:lang w:val="es-CR"/>
        </w:rPr>
        <w:t>Eduardo Benjamín Colindres</w:t>
      </w:r>
      <w:r w:rsidRPr="00550CAE">
        <w:rPr>
          <w:szCs w:val="16"/>
          <w:lang w:val="es-CR"/>
        </w:rPr>
        <w:t>, El Salvador, 14 de marzo de 2006.</w:t>
      </w:r>
    </w:p>
  </w:footnote>
  <w:footnote w:id="3">
    <w:p w14:paraId="5968CDA8" w14:textId="31022FC6" w:rsidR="007D60D2" w:rsidRPr="00C26623" w:rsidRDefault="007D60D2" w:rsidP="00550CAE">
      <w:pPr>
        <w:pStyle w:val="FootnoteText"/>
        <w:rPr>
          <w:szCs w:val="16"/>
        </w:rPr>
      </w:pPr>
      <w:r w:rsidRPr="00C26623">
        <w:rPr>
          <w:rStyle w:val="FootnoteReference"/>
          <w:szCs w:val="16"/>
        </w:rPr>
        <w:footnoteRef/>
      </w:r>
      <w:r w:rsidRPr="00C26623">
        <w:rPr>
          <w:szCs w:val="16"/>
        </w:rPr>
        <w:t xml:space="preserve"> </w:t>
      </w:r>
      <w:r w:rsidRPr="00C26623">
        <w:rPr>
          <w:szCs w:val="16"/>
        </w:rPr>
        <w:tab/>
      </w:r>
      <w:r w:rsidRPr="00C26623">
        <w:rPr>
          <w:szCs w:val="16"/>
          <w:lang w:val="es-CR"/>
        </w:rPr>
        <w:t>La Comisión concluyó que el Estado de El Salvador es responsable por la violación de los derechos a las garantías judiciales, legalidad, derechos políticos y protección judicial establecidos en los artículos 8.1, 8.2b), 8.2c), 8.2h), 9, 23.1c), 25.1 y 25.2c) de la Convención Americana sobre Derechos Humanos en relación con los artículos 1.1 y 2 del mismo instrumento en perjuicio de Eduardo Benjamín Colindres.</w:t>
      </w:r>
    </w:p>
  </w:footnote>
  <w:footnote w:id="4">
    <w:p w14:paraId="7838FD9D" w14:textId="6241ACF0" w:rsidR="007D60D2" w:rsidRPr="00C26623" w:rsidRDefault="007D60D2" w:rsidP="00C26623">
      <w:pPr>
        <w:pStyle w:val="NoSpacing"/>
        <w:tabs>
          <w:tab w:val="left" w:pos="567"/>
          <w:tab w:val="left" w:pos="1170"/>
        </w:tabs>
        <w:jc w:val="both"/>
        <w:rPr>
          <w:rFonts w:ascii="Verdana" w:hAnsi="Verdana"/>
          <w:sz w:val="16"/>
          <w:szCs w:val="16"/>
          <w:lang w:val="es-CR"/>
        </w:rPr>
      </w:pPr>
      <w:r w:rsidRPr="00C26623">
        <w:rPr>
          <w:rStyle w:val="FootnoteReference"/>
          <w:szCs w:val="16"/>
        </w:rPr>
        <w:footnoteRef/>
      </w:r>
      <w:r w:rsidRPr="00C26623">
        <w:rPr>
          <w:rFonts w:ascii="Verdana" w:hAnsi="Verdana"/>
          <w:sz w:val="16"/>
          <w:szCs w:val="16"/>
        </w:rPr>
        <w:t xml:space="preserve"> </w:t>
      </w:r>
      <w:r w:rsidRPr="00C26623">
        <w:rPr>
          <w:rFonts w:ascii="Verdana" w:hAnsi="Verdana"/>
          <w:sz w:val="16"/>
          <w:szCs w:val="16"/>
        </w:rPr>
        <w:tab/>
      </w:r>
      <w:r w:rsidRPr="00C26623">
        <w:rPr>
          <w:rFonts w:ascii="Verdana" w:hAnsi="Verdana"/>
          <w:sz w:val="16"/>
          <w:szCs w:val="16"/>
          <w:lang w:val="es-CR"/>
        </w:rPr>
        <w:t>En consecuencia, la Comisión hizo al Estado una serie de rec</w:t>
      </w:r>
      <w:r>
        <w:rPr>
          <w:rFonts w:ascii="Verdana" w:hAnsi="Verdana"/>
          <w:sz w:val="16"/>
          <w:szCs w:val="16"/>
          <w:lang w:val="es-CR"/>
        </w:rPr>
        <w:t>omendaciones en relación con:</w:t>
      </w:r>
      <w:r w:rsidRPr="00C26623">
        <w:rPr>
          <w:rFonts w:ascii="Verdana" w:hAnsi="Verdana"/>
          <w:sz w:val="16"/>
          <w:szCs w:val="16"/>
          <w:lang w:val="es-CR"/>
        </w:rPr>
        <w:t xml:space="preserve"> 1. Reincorporar al señor Eduardo Benjamín Colindres en un cargo similar al que desempeñaba, con la misma remuneración, beneficios sociales y rango equiparables a los que le correspondería el día de hoy si no hubiera sido destituido, por el plazo de tiempo que quedaba pendiente de su mandato, o si por razones fundadas no es posible la reincorporación, pagar una indemnización alternativa. 2. Reparar las consecuencias de las violaciones declaradas en el presente informe, incluyendo tanto el daño material como el daño inmaterial. 3. Disponer las modificaciones normativas y las capacitaciones necesarias para asegurar que los procesos disciplinarios contra magistrados del Tribunal Supremo Electoral tanto en la regulación como en la práctica, sean realizados con garantías de competencia, independencia e imparcialidad, en estricto apego al derecho de defensa, así como que las causales disciplinarias y las sanciones aplicables sean compatibles con el principio de legalidad</w:t>
      </w:r>
      <w:r w:rsidRPr="00C26623">
        <w:rPr>
          <w:rFonts w:ascii="Verdana" w:hAnsi="Verdana"/>
          <w:color w:val="494949"/>
          <w:sz w:val="16"/>
          <w:szCs w:val="16"/>
          <w:lang w:val="es-CR"/>
        </w:rPr>
        <w:t>.</w:t>
      </w:r>
      <w:r w:rsidRPr="00C26623">
        <w:rPr>
          <w:rFonts w:ascii="Verdana" w:hAnsi="Verdana"/>
          <w:sz w:val="16"/>
          <w:szCs w:val="16"/>
          <w:lang w:val="es-CR"/>
        </w:rPr>
        <w:t xml:space="preserve"> </w:t>
      </w:r>
    </w:p>
    <w:p w14:paraId="740ED005" w14:textId="38B22215" w:rsidR="007D60D2" w:rsidRPr="00550CAE" w:rsidRDefault="007D60D2" w:rsidP="00550CAE">
      <w:pPr>
        <w:pStyle w:val="FootnoteText"/>
        <w:rPr>
          <w:szCs w:val="16"/>
        </w:rPr>
      </w:pPr>
    </w:p>
  </w:footnote>
  <w:footnote w:id="5">
    <w:p w14:paraId="0C297754" w14:textId="763C4793"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rPr>
        <w:t xml:space="preserve"> </w:t>
      </w:r>
      <w:r w:rsidRPr="00550CAE">
        <w:rPr>
          <w:szCs w:val="16"/>
        </w:rPr>
        <w:tab/>
        <w:t>El Estado designó como agente</w:t>
      </w:r>
      <w:r>
        <w:rPr>
          <w:szCs w:val="16"/>
        </w:rPr>
        <w:t>s</w:t>
      </w:r>
      <w:r w:rsidRPr="00550CAE">
        <w:rPr>
          <w:szCs w:val="16"/>
        </w:rPr>
        <w:t xml:space="preserve"> a Tania Camila Rosa, Directora General de Derechos Humanos de esta Cancillería y a Sebastián Vaquerano, Embajador de la Republica de El Salvador en Costa Rica. </w:t>
      </w:r>
    </w:p>
  </w:footnote>
  <w:footnote w:id="6">
    <w:p w14:paraId="2DD38418" w14:textId="77777777" w:rsidR="007D60D2" w:rsidRPr="00550CAE" w:rsidRDefault="007D60D2" w:rsidP="00550CAE">
      <w:pPr>
        <w:pStyle w:val="FootnoteText"/>
        <w:tabs>
          <w:tab w:val="left" w:pos="540"/>
          <w:tab w:val="left" w:pos="567"/>
        </w:tabs>
        <w:rPr>
          <w:rFonts w:cs="Verdana"/>
          <w:szCs w:val="16"/>
          <w:lang w:val="es-CR"/>
        </w:rPr>
      </w:pPr>
      <w:r w:rsidRPr="00550CAE">
        <w:rPr>
          <w:rStyle w:val="FootnoteReference"/>
          <w:szCs w:val="16"/>
        </w:rPr>
        <w:footnoteRef/>
      </w:r>
      <w:r w:rsidRPr="00A93988">
        <w:rPr>
          <w:szCs w:val="16"/>
          <w:lang w:val="pt-BR"/>
        </w:rPr>
        <w:t xml:space="preserve"> </w:t>
      </w:r>
      <w:r w:rsidRPr="00A93988">
        <w:rPr>
          <w:szCs w:val="16"/>
          <w:lang w:val="pt-BR"/>
        </w:rPr>
        <w:tab/>
      </w:r>
      <w:r w:rsidRPr="00A93988">
        <w:rPr>
          <w:i/>
          <w:szCs w:val="16"/>
          <w:lang w:val="pt-BR"/>
        </w:rPr>
        <w:t xml:space="preserve">Cfr. </w:t>
      </w:r>
      <w:r w:rsidRPr="00A93988">
        <w:rPr>
          <w:bCs/>
          <w:i/>
          <w:szCs w:val="16"/>
          <w:lang w:val="pt-BR"/>
        </w:rPr>
        <w:t xml:space="preserve">Caso Colindres Schonenberg  Vs. </w:t>
      </w:r>
      <w:r w:rsidRPr="00550CAE">
        <w:rPr>
          <w:bCs/>
          <w:i/>
          <w:szCs w:val="16"/>
          <w:lang w:val="es-CR"/>
        </w:rPr>
        <w:t xml:space="preserve">El Salvador. Convocatoria de audiencia. </w:t>
      </w:r>
      <w:r w:rsidRPr="00550CAE">
        <w:rPr>
          <w:bCs/>
          <w:szCs w:val="16"/>
          <w:lang w:val="es-CR"/>
        </w:rPr>
        <w:t>Resolución del Presidente de la Corte de 21 de agosto de 2018.</w:t>
      </w:r>
      <w:r w:rsidRPr="00550CAE">
        <w:rPr>
          <w:szCs w:val="16"/>
        </w:rPr>
        <w:t xml:space="preserve"> Disponible en: </w:t>
      </w:r>
      <w:hyperlink r:id="rId1" w:history="1">
        <w:r w:rsidRPr="00550CAE">
          <w:rPr>
            <w:rStyle w:val="Hyperlink"/>
            <w:szCs w:val="16"/>
          </w:rPr>
          <w:t>http://www.corteidh.or.cr/docs/asuntos/colindres_21_08_18.pdf</w:t>
        </w:r>
      </w:hyperlink>
      <w:r w:rsidRPr="00550CAE">
        <w:rPr>
          <w:szCs w:val="16"/>
        </w:rPr>
        <w:t xml:space="preserve"> </w:t>
      </w:r>
    </w:p>
  </w:footnote>
  <w:footnote w:id="7">
    <w:p w14:paraId="267F5780" w14:textId="0A39C228"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t xml:space="preserve">A esta audiencia comparecieron: a) por la Comisión Interamericana: Margarette May Macaulay, Presidenta de la CIDH, y Christian Gonzalez Chacón, Asesor CIDH; b) por los representantes de la presunta víctima: de Kathia Gabriela López Hernández, y Arnau Baulenas Bardia, </w:t>
      </w:r>
      <w:r>
        <w:rPr>
          <w:szCs w:val="16"/>
        </w:rPr>
        <w:t xml:space="preserve">ambos del </w:t>
      </w:r>
      <w:r w:rsidRPr="00550CAE">
        <w:rPr>
          <w:szCs w:val="16"/>
        </w:rPr>
        <w:t xml:space="preserve">Instituto de Derechos Humanos de la Universidad Centroamericana </w:t>
      </w:r>
      <w:r>
        <w:rPr>
          <w:szCs w:val="16"/>
        </w:rPr>
        <w:t>“</w:t>
      </w:r>
      <w:r w:rsidRPr="00550CAE">
        <w:rPr>
          <w:szCs w:val="16"/>
        </w:rPr>
        <w:t>José Simeón Cañas</w:t>
      </w:r>
      <w:r>
        <w:rPr>
          <w:szCs w:val="16"/>
        </w:rPr>
        <w:t xml:space="preserve">”, y </w:t>
      </w:r>
      <w:r w:rsidRPr="00550CAE">
        <w:rPr>
          <w:szCs w:val="16"/>
        </w:rPr>
        <w:t>c) por el Estado de El Salvador: Sebastián Vaquerano López, Embajador de El Salvador en Costa Rica</w:t>
      </w:r>
      <w:r>
        <w:rPr>
          <w:szCs w:val="16"/>
        </w:rPr>
        <w:t>,</w:t>
      </w:r>
      <w:r w:rsidRPr="00550CAE">
        <w:rPr>
          <w:szCs w:val="16"/>
        </w:rPr>
        <w:t xml:space="preserve"> y Tania Camila Rosa, Directora General de Derechos Humanos de la Cancillería salvadoreña y agente de Estado, y Gloria Evelyn Martínez Ramos, Directora de Sistemas Internacionales de Protección a Derechos Humanos de la Cancillería salvadoreña</w:t>
      </w:r>
      <w:r>
        <w:rPr>
          <w:szCs w:val="16"/>
        </w:rPr>
        <w:t>.</w:t>
      </w:r>
    </w:p>
  </w:footnote>
  <w:footnote w:id="8">
    <w:p w14:paraId="6A3A7825" w14:textId="77777777" w:rsidR="007D60D2" w:rsidRPr="00550CAE" w:rsidRDefault="007D60D2" w:rsidP="004C3FCA">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bCs/>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550CAE">
        <w:rPr>
          <w:bCs/>
          <w:i/>
          <w:szCs w:val="16"/>
        </w:rPr>
        <w:t xml:space="preserve">Cfr. Caso Familia Barrios Vs. Venezuela. Fondo, Reparaciones y Costas. </w:t>
      </w:r>
      <w:r w:rsidRPr="00550CAE">
        <w:rPr>
          <w:bCs/>
          <w:szCs w:val="16"/>
        </w:rPr>
        <w:t xml:space="preserve">Sentencia de 24 de noviembre de 2011. Serie C No. 237, párrs. 17 y 18, y </w:t>
      </w:r>
      <w:r w:rsidRPr="00550CAE">
        <w:rPr>
          <w:bCs/>
          <w:i/>
          <w:szCs w:val="16"/>
        </w:rPr>
        <w:t xml:space="preserve">Caso Amrhein y otros vs. Costa Rica. Excepciones Preliminares, Fondo, Reparaciones y Costas. </w:t>
      </w:r>
      <w:r w:rsidRPr="00550CAE">
        <w:rPr>
          <w:bCs/>
          <w:szCs w:val="16"/>
        </w:rPr>
        <w:t>Sentencia de 25 de abril de 2018. Serie C No. 354, párr. 138.</w:t>
      </w:r>
    </w:p>
  </w:footnote>
  <w:footnote w:id="9">
    <w:p w14:paraId="60201674" w14:textId="77777777" w:rsidR="007D60D2" w:rsidRPr="00550CAE" w:rsidRDefault="007D60D2" w:rsidP="004C3FCA">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w:t>
      </w:r>
      <w:r w:rsidRPr="00550CAE">
        <w:rPr>
          <w:i/>
          <w:szCs w:val="16"/>
        </w:rPr>
        <w:t>Caso Velásquez Rodríguez Vs. Honduras. Fondo</w:t>
      </w:r>
      <w:r w:rsidRPr="00550CAE">
        <w:rPr>
          <w:szCs w:val="16"/>
        </w:rPr>
        <w:t xml:space="preserve">. Sentencia de 29 de julio de 1988. Serie C No.4, párr. 140, y </w:t>
      </w:r>
      <w:r w:rsidRPr="00550CAE">
        <w:rPr>
          <w:bCs/>
          <w:i/>
          <w:szCs w:val="16"/>
        </w:rPr>
        <w:t xml:space="preserve">Caso Amrhein y otros vs. Costa Rica. Excepciones Preliminares, Fondo, Reparaciones y Costas. </w:t>
      </w:r>
      <w:r w:rsidRPr="00550CAE">
        <w:rPr>
          <w:bCs/>
          <w:szCs w:val="16"/>
        </w:rPr>
        <w:t>Sentencia de 25 de abril de 2018. Serie C No. 354, párr. 137.</w:t>
      </w:r>
    </w:p>
  </w:footnote>
  <w:footnote w:id="10">
    <w:p w14:paraId="5037E703" w14:textId="64DA2BEE" w:rsidR="007D60D2" w:rsidRPr="00133549" w:rsidRDefault="007D60D2" w:rsidP="004C3FCA">
      <w:pPr>
        <w:autoSpaceDE w:val="0"/>
        <w:autoSpaceDN w:val="0"/>
        <w:adjustRightInd w:val="0"/>
        <w:jc w:val="both"/>
        <w:rPr>
          <w:rFonts w:eastAsiaTheme="minorHAnsi" w:cs="Arial"/>
          <w:sz w:val="16"/>
          <w:szCs w:val="16"/>
          <w:lang w:val="es-CR"/>
        </w:rPr>
      </w:pPr>
      <w:r w:rsidRPr="00133549">
        <w:rPr>
          <w:rStyle w:val="FootnoteReference"/>
          <w:szCs w:val="16"/>
        </w:rPr>
        <w:footnoteRef/>
      </w:r>
      <w:r w:rsidRPr="00133549">
        <w:rPr>
          <w:sz w:val="16"/>
          <w:szCs w:val="16"/>
          <w:lang w:val="es-CR"/>
        </w:rPr>
        <w:t xml:space="preserve">  </w:t>
      </w:r>
      <w:r w:rsidRPr="00133549">
        <w:rPr>
          <w:sz w:val="16"/>
          <w:szCs w:val="16"/>
          <w:lang w:val="es-CR"/>
        </w:rPr>
        <w:tab/>
      </w:r>
      <w:r w:rsidRPr="00743225">
        <w:rPr>
          <w:sz w:val="16"/>
          <w:szCs w:val="16"/>
          <w:lang w:val="es-CR"/>
        </w:rPr>
        <w:t xml:space="preserve">Los documentos aportados por los representantes corresponden a </w:t>
      </w:r>
      <w:r w:rsidRPr="00743225">
        <w:rPr>
          <w:rFonts w:eastAsiaTheme="minorHAnsi"/>
          <w:sz w:val="16"/>
          <w:szCs w:val="16"/>
          <w:lang w:val="es-CR"/>
        </w:rPr>
        <w:t>información solicitada al Tribunal Supremo Electoral de fechas 12 de enero y 17 de mayo de 2018. Puntualmente, los representantes aportaron la siguiente información oficial del Tribunal Supremo Electoral: (i)</w:t>
      </w:r>
      <w:r w:rsidRPr="00743225">
        <w:rPr>
          <w:rFonts w:eastAsiaTheme="minorHAnsi" w:cs="Arial"/>
          <w:sz w:val="16"/>
          <w:szCs w:val="16"/>
          <w:lang w:val="es-CR"/>
        </w:rPr>
        <w:t xml:space="preserve"> copia del informe presentado par el Director Financiero Institucional del TSE sobre los salarios devengados por el funcionario público Mártir Arnaldo Marín</w:t>
      </w:r>
      <w:r>
        <w:rPr>
          <w:rFonts w:eastAsiaTheme="minorHAnsi" w:cs="Arial"/>
          <w:sz w:val="16"/>
          <w:szCs w:val="16"/>
          <w:lang w:val="es-CR"/>
        </w:rPr>
        <w:t>,</w:t>
      </w:r>
      <w:r w:rsidRPr="00743225">
        <w:rPr>
          <w:rFonts w:eastAsiaTheme="minorHAnsi" w:cs="Arial"/>
          <w:sz w:val="16"/>
          <w:szCs w:val="16"/>
          <w:lang w:val="es-CR"/>
        </w:rPr>
        <w:t xml:space="preserve"> correspondiente al periodo relativo a los años </w:t>
      </w:r>
      <w:r w:rsidRPr="00743225">
        <w:rPr>
          <w:rFonts w:eastAsiaTheme="minorHAnsi"/>
          <w:sz w:val="16"/>
          <w:szCs w:val="16"/>
          <w:lang w:val="es-CR"/>
        </w:rPr>
        <w:t xml:space="preserve">1998 y 1999; (ii) </w:t>
      </w:r>
      <w:r w:rsidRPr="00743225">
        <w:rPr>
          <w:rFonts w:eastAsiaTheme="minorHAnsi" w:cs="Arial"/>
          <w:sz w:val="16"/>
          <w:szCs w:val="16"/>
          <w:lang w:val="es-CR"/>
        </w:rPr>
        <w:t xml:space="preserve">carta de remisión del Director Administrativo, de los informes brindados por la Subdirectora de Desarrollo Humano y el Jefe del Departamento de Servicios Administrativos del TSE con relación a información del ex magistrado Mártir Arnoldo Marín, y (iii) certificaciones de los acuerdos adoptados por el TSE en el que se aprueban las misiones oficiales al señor Marín durante el periodo comprendido entre los años </w:t>
      </w:r>
      <w:r w:rsidRPr="00743225">
        <w:rPr>
          <w:rFonts w:eastAsiaTheme="minorHAnsi"/>
          <w:sz w:val="16"/>
          <w:szCs w:val="16"/>
          <w:lang w:val="es-CR"/>
        </w:rPr>
        <w:t xml:space="preserve">1998 </w:t>
      </w:r>
      <w:r w:rsidRPr="00743225">
        <w:rPr>
          <w:rFonts w:eastAsiaTheme="minorHAnsi" w:cs="Arial"/>
          <w:sz w:val="16"/>
          <w:szCs w:val="16"/>
          <w:lang w:val="es-CR"/>
        </w:rPr>
        <w:t xml:space="preserve">y </w:t>
      </w:r>
      <w:r w:rsidRPr="00743225">
        <w:rPr>
          <w:rFonts w:eastAsiaTheme="minorHAnsi"/>
          <w:sz w:val="16"/>
          <w:szCs w:val="16"/>
          <w:lang w:val="es-CR"/>
        </w:rPr>
        <w:t>1999 (expediente de fondo, folios 170 a 184).</w:t>
      </w:r>
    </w:p>
  </w:footnote>
  <w:footnote w:id="11">
    <w:p w14:paraId="26BD233D" w14:textId="19B2884D" w:rsidR="007D60D2" w:rsidRPr="00550CAE" w:rsidRDefault="007D60D2" w:rsidP="00550CAE">
      <w:pPr>
        <w:pStyle w:val="FootnoteText"/>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Comunicación de los representantes de 27 de noviembre de 2017 (expediente de prueba, folios 1495 y 1496), y comunicación de los representantes de 26 de enero de 2018 (expediente de fondo, folio 165).</w:t>
      </w:r>
    </w:p>
  </w:footnote>
  <w:footnote w:id="12">
    <w:p w14:paraId="56B341E9" w14:textId="1AD4570D" w:rsidR="007D60D2" w:rsidRPr="00550CAE" w:rsidRDefault="007D60D2" w:rsidP="00550CAE">
      <w:pPr>
        <w:pStyle w:val="FootnoteText"/>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Comunicación del Tribunal Supremo Electoral de 5 de enero de 2018 (expediente fondo, folio 169), y comunicación del Tribunal Supremo Electoral de 15 de mayo de 2018 (expediente fondo, folio 167).</w:t>
      </w:r>
    </w:p>
  </w:footnote>
  <w:footnote w:id="13">
    <w:p w14:paraId="7D04617E" w14:textId="08D62A8F" w:rsidR="007D60D2" w:rsidRPr="00743225" w:rsidRDefault="007D60D2" w:rsidP="004C3FCA">
      <w:pPr>
        <w:autoSpaceDE w:val="0"/>
        <w:autoSpaceDN w:val="0"/>
        <w:adjustRightInd w:val="0"/>
        <w:jc w:val="both"/>
        <w:rPr>
          <w:rFonts w:ascii="Times New Roman" w:eastAsiaTheme="minorHAnsi" w:hAnsi="Times New Roman"/>
          <w:color w:val="252525"/>
          <w:sz w:val="28"/>
          <w:szCs w:val="28"/>
          <w:lang w:val="es-CR"/>
        </w:rPr>
      </w:pPr>
      <w:r w:rsidRPr="001C4455">
        <w:rPr>
          <w:rStyle w:val="FootnoteReference"/>
          <w:szCs w:val="16"/>
        </w:rPr>
        <w:footnoteRef/>
      </w:r>
      <w:r w:rsidRPr="001C4455">
        <w:rPr>
          <w:sz w:val="16"/>
          <w:szCs w:val="16"/>
          <w:lang w:val="es-CR"/>
        </w:rPr>
        <w:t xml:space="preserve"> </w:t>
      </w:r>
      <w:r w:rsidRPr="001C4455">
        <w:rPr>
          <w:sz w:val="16"/>
          <w:szCs w:val="16"/>
          <w:lang w:val="es-CR"/>
        </w:rPr>
        <w:tab/>
      </w:r>
      <w:r w:rsidRPr="00743225">
        <w:rPr>
          <w:sz w:val="16"/>
          <w:szCs w:val="16"/>
          <w:lang w:val="es-CR"/>
        </w:rPr>
        <w:t xml:space="preserve">El anexo 3 a los alegatos finales escritos del Estado corresponde a una </w:t>
      </w:r>
      <w:r w:rsidRPr="00743225">
        <w:rPr>
          <w:rFonts w:eastAsiaTheme="minorHAnsi"/>
          <w:sz w:val="16"/>
          <w:szCs w:val="16"/>
          <w:lang w:val="es-CR"/>
        </w:rPr>
        <w:t xml:space="preserve">copia de la sentencia de la casación 02-C-200 1, de 22 de diciembre de 2009, respecto a la reclamación por daños </w:t>
      </w:r>
      <w:r w:rsidRPr="00743225">
        <w:rPr>
          <w:rFonts w:eastAsiaTheme="minorHAnsi" w:cs="Arial"/>
          <w:sz w:val="16"/>
          <w:szCs w:val="16"/>
          <w:lang w:val="es-CR"/>
        </w:rPr>
        <w:t xml:space="preserve">y </w:t>
      </w:r>
      <w:r w:rsidRPr="00743225">
        <w:rPr>
          <w:rFonts w:eastAsiaTheme="minorHAnsi"/>
          <w:sz w:val="16"/>
          <w:szCs w:val="16"/>
          <w:lang w:val="es-CR"/>
        </w:rPr>
        <w:t>perjuicios promovida por el señor Eduardo Benjamín Colindres. Por otra parte, el anexo 4 corresponde a una copia del Acuerdo Legislativo N°281, por el cual se conformó una Comisión para instruir un informativo que garantizara el derecho de audiencia al señor Eduardo Benjamín Colindres. El anexo 5 consiste en una copia del acuerdo de la Comisión por medio del cual se confiere audiencia al señor Colindres. Por último, el anexo 6 corresponde a una copia del</w:t>
      </w:r>
      <w:r w:rsidRPr="00743225">
        <w:rPr>
          <w:rFonts w:eastAsiaTheme="minorHAnsi"/>
          <w:b/>
          <w:bCs/>
          <w:sz w:val="16"/>
          <w:szCs w:val="16"/>
          <w:lang w:val="es-CR"/>
        </w:rPr>
        <w:t xml:space="preserve"> </w:t>
      </w:r>
      <w:r w:rsidRPr="00743225">
        <w:rPr>
          <w:rFonts w:eastAsiaTheme="minorHAnsi"/>
          <w:sz w:val="16"/>
          <w:szCs w:val="16"/>
          <w:lang w:val="es-CR"/>
        </w:rPr>
        <w:t>escrito pres</w:t>
      </w:r>
      <w:r>
        <w:rPr>
          <w:rFonts w:eastAsiaTheme="minorHAnsi"/>
          <w:sz w:val="16"/>
          <w:szCs w:val="16"/>
          <w:lang w:val="es-CR"/>
        </w:rPr>
        <w:t>entado</w:t>
      </w:r>
      <w:r w:rsidRPr="00743225">
        <w:rPr>
          <w:rFonts w:eastAsiaTheme="minorHAnsi"/>
          <w:sz w:val="16"/>
          <w:szCs w:val="16"/>
          <w:lang w:val="es-CR"/>
        </w:rPr>
        <w:t xml:space="preserve"> a la Comisión Especial de la Asamblea Legislativa por el señor Eduardo Benjamín Colindres.</w:t>
      </w:r>
    </w:p>
  </w:footnote>
  <w:footnote w:id="14">
    <w:p w14:paraId="1991BA48" w14:textId="77777777" w:rsidR="007D60D2" w:rsidRPr="00411BE9" w:rsidRDefault="007D60D2" w:rsidP="004C3FCA">
      <w:pPr>
        <w:pStyle w:val="FootnoteText"/>
      </w:pPr>
      <w:r w:rsidRPr="00743225">
        <w:rPr>
          <w:rStyle w:val="FootnoteReference"/>
        </w:rPr>
        <w:footnoteRef/>
      </w:r>
      <w:r w:rsidRPr="00743225">
        <w:t xml:space="preserve"> </w:t>
      </w:r>
      <w:r w:rsidRPr="00743225">
        <w:tab/>
      </w:r>
      <w:r w:rsidRPr="00743225">
        <w:rPr>
          <w:szCs w:val="16"/>
          <w:lang w:val="es-CR"/>
        </w:rPr>
        <w:t xml:space="preserve">El anexo 10 a los alegatos finales escritos del Estado corresponde a una </w:t>
      </w:r>
      <w:r w:rsidRPr="00743225">
        <w:rPr>
          <w:rFonts w:eastAsiaTheme="minorHAnsi"/>
          <w:szCs w:val="16"/>
          <w:lang w:val="es-CR"/>
        </w:rPr>
        <w:t xml:space="preserve">constancia emitida por el Secretario General del Tribunal Supremo Electoral, relativa a la elección del señor Colindres Schonenberg como diputado propietario de la Asamblea Legislativa en las elecciones celebradas el 17 de marzo de 1991. Por su parte, el anexo 11 consiste en una copia del testimonio de la escritura pública de protocolización del Acta de la Convención Nacional Extraordinaria del Partido Demócrata Cristiano (PDC), celebrada el 11 de septiembre de 1994. Finalmente, el anexo 16 corresponde a una copia de nota fechada 13 de febrero de 1992, suscrita por el Secretario General del Partido Demócrata Cristiano, dirigida al Presidente de la Asamblea Legislativa, por el cual se propone temas para magistrados propietarios </w:t>
      </w:r>
      <w:r w:rsidRPr="00743225">
        <w:rPr>
          <w:rFonts w:eastAsiaTheme="minorHAnsi" w:cs="Arial"/>
          <w:szCs w:val="16"/>
          <w:lang w:val="es-CR"/>
        </w:rPr>
        <w:t xml:space="preserve">y </w:t>
      </w:r>
      <w:r w:rsidRPr="00743225">
        <w:rPr>
          <w:rFonts w:eastAsiaTheme="minorHAnsi"/>
          <w:szCs w:val="16"/>
          <w:lang w:val="es-CR"/>
        </w:rPr>
        <w:t>suplentes del Tribunal Supremo Electoral.</w:t>
      </w:r>
    </w:p>
  </w:footnote>
  <w:footnote w:id="15">
    <w:p w14:paraId="0DBFFD30" w14:textId="4D08ECA9" w:rsidR="007D60D2" w:rsidRPr="00411BE9" w:rsidRDefault="007D60D2" w:rsidP="004C3FCA">
      <w:pPr>
        <w:pStyle w:val="FootnoteText"/>
      </w:pPr>
      <w:r>
        <w:rPr>
          <w:rStyle w:val="FootnoteReference"/>
        </w:rPr>
        <w:footnoteRef/>
      </w:r>
      <w:r>
        <w:t xml:space="preserve"> </w:t>
      </w:r>
      <w:r>
        <w:tab/>
      </w:r>
      <w:r w:rsidRPr="007B280D">
        <w:rPr>
          <w:szCs w:val="16"/>
          <w:lang w:val="es-CR"/>
        </w:rPr>
        <w:t xml:space="preserve">El Estado aportó </w:t>
      </w:r>
      <w:r w:rsidRPr="007B280D">
        <w:rPr>
          <w:rFonts w:eastAsiaTheme="minorHAnsi" w:cs="Arial"/>
          <w:szCs w:val="16"/>
          <w:lang w:val="es-CR"/>
        </w:rPr>
        <w:t>copia de planillas de pagos correspondientes a los meses de noviembre y diciembre de 1996, enero a noviembre de 1997 y de junio de 1998 a julio de 1999, las cuales fueron “localizadas en el archivo del Tribunal Supremo Electoral” (expediente de fondo, folios 369 al 397).</w:t>
      </w:r>
    </w:p>
  </w:footnote>
  <w:footnote w:id="16">
    <w:p w14:paraId="43BBFBA3" w14:textId="69EA6ABE"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lang w:val="es-CO"/>
        </w:rPr>
        <w:tab/>
        <w:t xml:space="preserve">Constitución de El Salvador de 1983, reformada el </w:t>
      </w:r>
      <w:r w:rsidRPr="00550CAE">
        <w:rPr>
          <w:szCs w:val="16"/>
          <w:lang w:val="es-CR"/>
        </w:rPr>
        <w:t>31 de octubre de 1991</w:t>
      </w:r>
      <w:r w:rsidRPr="00550CAE">
        <w:rPr>
          <w:szCs w:val="16"/>
          <w:lang w:val="es-CO"/>
        </w:rPr>
        <w:t xml:space="preserve"> (expediente de prueba, folio 24).</w:t>
      </w:r>
    </w:p>
  </w:footnote>
  <w:footnote w:id="17">
    <w:p w14:paraId="1DB17947"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t xml:space="preserve">Código Electoral, Decreto N° 417, art. 56 (expediente de prueba, folio 1731). </w:t>
      </w:r>
    </w:p>
  </w:footnote>
  <w:footnote w:id="18">
    <w:p w14:paraId="3C866333" w14:textId="7D3C883A" w:rsidR="007D60D2" w:rsidRPr="00550CAE" w:rsidRDefault="007D60D2" w:rsidP="00550CAE">
      <w:pPr>
        <w:pStyle w:val="FootnoteText"/>
        <w:tabs>
          <w:tab w:val="left" w:pos="540"/>
          <w:tab w:val="left" w:pos="567"/>
        </w:tabs>
        <w:rPr>
          <w:szCs w:val="16"/>
        </w:rPr>
      </w:pPr>
      <w:r w:rsidRPr="00550CAE">
        <w:rPr>
          <w:rStyle w:val="FootnoteReference"/>
          <w:szCs w:val="16"/>
        </w:rPr>
        <w:footnoteRef/>
      </w:r>
      <w:r>
        <w:rPr>
          <w:szCs w:val="16"/>
        </w:rPr>
        <w:t xml:space="preserve"> </w:t>
      </w:r>
      <w:r>
        <w:rPr>
          <w:szCs w:val="16"/>
        </w:rPr>
        <w:tab/>
        <w:t xml:space="preserve">Específicamente del </w:t>
      </w:r>
      <w:r w:rsidRPr="00550CAE">
        <w:rPr>
          <w:szCs w:val="16"/>
        </w:rPr>
        <w:t>Presidente y Vicepresidente de la República; ii. Diputados al Parlamento Centroamericano; iii. Diputad</w:t>
      </w:r>
      <w:r>
        <w:rPr>
          <w:szCs w:val="16"/>
        </w:rPr>
        <w:t>os a la Asamblea Legislativa; y</w:t>
      </w:r>
      <w:r w:rsidRPr="00550CAE">
        <w:rPr>
          <w:szCs w:val="16"/>
        </w:rPr>
        <w:t xml:space="preserve"> iv. Miemb</w:t>
      </w:r>
      <w:r>
        <w:rPr>
          <w:szCs w:val="16"/>
        </w:rPr>
        <w:t>ros de los Concejos Municipales</w:t>
      </w:r>
      <w:r w:rsidRPr="00550CAE">
        <w:rPr>
          <w:szCs w:val="16"/>
        </w:rPr>
        <w:t>. Código Electoral, Decreto N° 417, art. 79 (expediente de prueba, folio 1737).</w:t>
      </w:r>
    </w:p>
  </w:footnote>
  <w:footnote w:id="19">
    <w:p w14:paraId="0A985D2B"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t xml:space="preserve">Código Electoral, Decreto N° 417, art. 80 (expediente de prueba, folio 1740). </w:t>
      </w:r>
    </w:p>
  </w:footnote>
  <w:footnote w:id="20">
    <w:p w14:paraId="123AF298"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szCs w:val="16"/>
          <w:lang w:val="es-CR"/>
        </w:rPr>
        <w:t xml:space="preserve">Código Electoral, Decreto N° 417, art. 60 (expediente de prueba, folio 1732). </w:t>
      </w:r>
    </w:p>
  </w:footnote>
  <w:footnote w:id="21">
    <w:p w14:paraId="7A797EFE"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lang w:val="es-CO"/>
        </w:rPr>
        <w:tab/>
      </w:r>
      <w:r w:rsidRPr="00550CAE">
        <w:rPr>
          <w:i/>
          <w:szCs w:val="16"/>
          <w:lang w:val="es-CO"/>
        </w:rPr>
        <w:t>Cfr</w:t>
      </w:r>
      <w:r w:rsidRPr="00550CAE">
        <w:rPr>
          <w:szCs w:val="16"/>
          <w:lang w:val="es-CO"/>
        </w:rPr>
        <w:t xml:space="preserve">. Constitución de El Salvador de 1983, reformada el </w:t>
      </w:r>
      <w:r w:rsidRPr="00550CAE">
        <w:rPr>
          <w:szCs w:val="16"/>
          <w:lang w:val="es-CR"/>
        </w:rPr>
        <w:t>31 de octubre de 1991, art. 236</w:t>
      </w:r>
      <w:r w:rsidRPr="00550CAE">
        <w:rPr>
          <w:szCs w:val="16"/>
          <w:lang w:val="es-CO"/>
        </w:rPr>
        <w:t xml:space="preserve"> (expediente de prueba, folio 25).</w:t>
      </w:r>
    </w:p>
  </w:footnote>
  <w:footnote w:id="22">
    <w:p w14:paraId="14E64296" w14:textId="77777777" w:rsidR="007D60D2" w:rsidRPr="00550CAE" w:rsidRDefault="007D60D2" w:rsidP="00AE59A9">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szCs w:val="16"/>
          <w:lang w:val="es-CR"/>
        </w:rPr>
        <w:t xml:space="preserve">Código Electoral, Decreto N° 417, art. 78 (expediente de prueba, folio 1737). </w:t>
      </w:r>
    </w:p>
  </w:footnote>
  <w:footnote w:id="23">
    <w:p w14:paraId="2209C4F2" w14:textId="20AD6B65" w:rsidR="007D60D2" w:rsidRPr="00550CAE" w:rsidRDefault="007D60D2" w:rsidP="00550CAE">
      <w:pPr>
        <w:pStyle w:val="FootnoteText"/>
        <w:tabs>
          <w:tab w:val="left" w:pos="540"/>
        </w:tabs>
        <w:rPr>
          <w:szCs w:val="16"/>
          <w:lang w:eastAsia="en-US"/>
        </w:rPr>
      </w:pPr>
      <w:r w:rsidRPr="00550CAE">
        <w:rPr>
          <w:rStyle w:val="FootnoteReference"/>
          <w:szCs w:val="16"/>
        </w:rPr>
        <w:footnoteRef/>
      </w:r>
      <w:r w:rsidRPr="00550CAE">
        <w:rPr>
          <w:szCs w:val="16"/>
        </w:rPr>
        <w:t xml:space="preserve"> </w:t>
      </w:r>
      <w:r w:rsidRPr="00550CAE">
        <w:rPr>
          <w:szCs w:val="16"/>
          <w:lang w:val="es-CO"/>
        </w:rPr>
        <w:tab/>
        <w:t>“</w:t>
      </w:r>
      <w:r w:rsidRPr="00550CAE">
        <w:rPr>
          <w:szCs w:val="16"/>
          <w:lang w:eastAsia="en-US"/>
        </w:rPr>
        <w:t>La Asamblea, oyendo a un fiscal de su seno y al indiciado, o a un defensor especial, en su caso, declarará si hay o no hay lugar a formación de causa. En el primer caso, se pasarán las diligencias a la Cámara de Segunda Instancia que determine la ley, para que conozca en primera instancia, y, en el segundo caso, se archivarán. De las resoluciones que pronuncie la Cámara mencionada conocerá en segunda instancia una de las Salas de la Corte Suprema de Justicia, y del recurso que dichas resoluciones admitan, la Corte en pleno. Cualquier persona tiene derecho de denunciar los delitos de que trata este artículo, y de mostrarse parte, si para ello tuviere las cualidades requeridas por la ley”. Además se señala que</w:t>
      </w:r>
      <w:r w:rsidRPr="00550CAE">
        <w:rPr>
          <w:szCs w:val="16"/>
          <w:lang w:val="es-CR" w:eastAsia="en-US"/>
        </w:rPr>
        <w:t xml:space="preserve"> “[d]esde que se declare por la Asamblea Legislativa o por la Corte Suprema de Justicia, que hay lugar a formación de causa, el indiciado quedará suspendido en el ejercicio de sus funciones y por ningún motivo podrá continuar en su cargo. En caso contrario se hará culpable del delito de prolongación de funciones. Si la sentencia fuere condenatoria, por el mismo hecho quedará depuesto del cargo. Si fuere absolutoria, volverá al ejercicio de sus funciones, si el cargo fuere de aquellos que se confieren por tiempo determinado y no hubiere expirado el período de la elección o del nombramiento”.</w:t>
      </w:r>
      <w:r w:rsidRPr="00550CAE">
        <w:rPr>
          <w:szCs w:val="16"/>
          <w:lang w:eastAsia="en-US"/>
        </w:rPr>
        <w:t xml:space="preserve"> </w:t>
      </w:r>
      <w:r w:rsidRPr="00550CAE">
        <w:rPr>
          <w:i/>
          <w:szCs w:val="16"/>
          <w:lang w:val="es-CO"/>
        </w:rPr>
        <w:t>Cfr</w:t>
      </w:r>
      <w:r w:rsidRPr="00550CAE">
        <w:rPr>
          <w:szCs w:val="16"/>
          <w:lang w:val="es-CO"/>
        </w:rPr>
        <w:t xml:space="preserve">. Constitución de El Salvador de 1983, reformada el </w:t>
      </w:r>
      <w:r w:rsidRPr="00550CAE">
        <w:rPr>
          <w:szCs w:val="16"/>
          <w:lang w:val="es-CR"/>
        </w:rPr>
        <w:t>31 de octubre de 1991, arts. 236</w:t>
      </w:r>
      <w:r w:rsidRPr="00550CAE">
        <w:rPr>
          <w:szCs w:val="16"/>
          <w:lang w:val="es-CO"/>
        </w:rPr>
        <w:t xml:space="preserve"> y 237</w:t>
      </w:r>
      <w:r>
        <w:rPr>
          <w:szCs w:val="16"/>
          <w:lang w:val="es-CO"/>
        </w:rPr>
        <w:t xml:space="preserve"> </w:t>
      </w:r>
      <w:r w:rsidRPr="00550CAE">
        <w:rPr>
          <w:szCs w:val="16"/>
          <w:lang w:val="es-CO"/>
        </w:rPr>
        <w:t>(expediente de prueba, folios 25 y 26).</w:t>
      </w:r>
    </w:p>
  </w:footnote>
  <w:footnote w:id="24">
    <w:p w14:paraId="6D921A1E"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lang w:val="es-CO"/>
        </w:rPr>
        <w:tab/>
      </w:r>
      <w:r w:rsidRPr="00550CAE">
        <w:rPr>
          <w:i/>
          <w:szCs w:val="16"/>
          <w:lang w:val="es-CO"/>
        </w:rPr>
        <w:t>Cfr</w:t>
      </w:r>
      <w:r w:rsidRPr="00550CAE">
        <w:rPr>
          <w:szCs w:val="16"/>
          <w:lang w:val="es-CO"/>
        </w:rPr>
        <w:t xml:space="preserve">. Constitución de El Salvador de 1983, reformada el </w:t>
      </w:r>
      <w:r w:rsidRPr="00550CAE">
        <w:rPr>
          <w:szCs w:val="16"/>
          <w:lang w:val="es-CR"/>
        </w:rPr>
        <w:t>31 de octubre de 1991, art. 11</w:t>
      </w:r>
      <w:r w:rsidRPr="00550CAE">
        <w:rPr>
          <w:szCs w:val="16"/>
          <w:lang w:val="es-CO"/>
        </w:rPr>
        <w:t xml:space="preserve"> (expediente de prueba, folio 15).</w:t>
      </w:r>
    </w:p>
  </w:footnote>
  <w:footnote w:id="25">
    <w:p w14:paraId="1900D66E" w14:textId="6F55FD89" w:rsidR="007D60D2" w:rsidRPr="00550CAE" w:rsidRDefault="007D60D2" w:rsidP="00E938D8">
      <w:pPr>
        <w:pStyle w:val="FootnoteText"/>
        <w:tabs>
          <w:tab w:val="left" w:pos="540"/>
          <w:tab w:val="left" w:pos="567"/>
        </w:tabs>
        <w:rPr>
          <w:i/>
          <w:szCs w:val="16"/>
          <w:lang w:val="es-CO"/>
        </w:rPr>
      </w:pPr>
      <w:r w:rsidRPr="00550CAE">
        <w:rPr>
          <w:rStyle w:val="FootnoteReference"/>
          <w:szCs w:val="16"/>
        </w:rPr>
        <w:footnoteRef/>
      </w:r>
      <w:r w:rsidRPr="00550CAE">
        <w:rPr>
          <w:szCs w:val="16"/>
          <w:lang w:val="es-CO"/>
        </w:rPr>
        <w:t xml:space="preserve">     </w:t>
      </w:r>
      <w:r>
        <w:rPr>
          <w:szCs w:val="16"/>
          <w:lang w:val="es-CO"/>
        </w:rPr>
        <w:tab/>
      </w:r>
      <w:r w:rsidRPr="00550CAE">
        <w:rPr>
          <w:i/>
          <w:szCs w:val="16"/>
          <w:lang w:val="es-CO"/>
        </w:rPr>
        <w:t xml:space="preserve">Cfr. </w:t>
      </w:r>
      <w:r w:rsidRPr="00550CAE">
        <w:rPr>
          <w:szCs w:val="16"/>
          <w:lang w:val="es-CO"/>
        </w:rPr>
        <w:t xml:space="preserve">Escrito del señor Colindres </w:t>
      </w:r>
      <w:r>
        <w:rPr>
          <w:szCs w:val="16"/>
          <w:lang w:val="es-CO"/>
        </w:rPr>
        <w:t xml:space="preserve">Schonenberg </w:t>
      </w:r>
      <w:r w:rsidRPr="00550CAE">
        <w:rPr>
          <w:szCs w:val="16"/>
          <w:lang w:val="es-CO"/>
        </w:rPr>
        <w:t xml:space="preserve">dirigido a la Comisión Política de 20 de abril de 1998 (expediente de prueba, folio 5), y declaración de </w:t>
      </w:r>
      <w:r w:rsidRPr="00550CAE">
        <w:rPr>
          <w:szCs w:val="16"/>
        </w:rPr>
        <w:t xml:space="preserve">Eduardo Colindres Schonenberg rendida en la Audiencia Pública. </w:t>
      </w:r>
    </w:p>
  </w:footnote>
  <w:footnote w:id="26">
    <w:p w14:paraId="502EF23B"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 xml:space="preserve">Cfr. </w:t>
      </w:r>
      <w:r w:rsidRPr="00550CAE">
        <w:rPr>
          <w:szCs w:val="16"/>
          <w:lang w:val="es-CO"/>
        </w:rPr>
        <w:t>Diario Oficial de la República</w:t>
      </w:r>
      <w:r w:rsidRPr="00550CAE">
        <w:rPr>
          <w:szCs w:val="16"/>
          <w:lang w:val="es-CR"/>
        </w:rPr>
        <w:t xml:space="preserve"> de El Salvador, Decreto Legislativo 102 de 29 de Agosto 1994 (expediente de prueba, folio 11).</w:t>
      </w:r>
    </w:p>
  </w:footnote>
  <w:footnote w:id="27">
    <w:p w14:paraId="340FAB15" w14:textId="6DF17AB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lang w:val="es-CO"/>
        </w:rPr>
        <w:t xml:space="preserve">Declaración de </w:t>
      </w:r>
      <w:r w:rsidRPr="00550CAE">
        <w:rPr>
          <w:szCs w:val="16"/>
        </w:rPr>
        <w:t xml:space="preserve">Eduardo Colindres Schonenberg rendida en la Audiencia Pública; </w:t>
      </w:r>
      <w:r w:rsidRPr="00550CAE">
        <w:rPr>
          <w:szCs w:val="16"/>
          <w:lang w:val="es-CR"/>
        </w:rPr>
        <w:t>Artículo periodístico publicado en el diario “El Mundo” el 22 de noviembre de 1996, titulada “Destituyen a Colindres” (expediente de prueba, folio 1317), y Artículo periodístico publicado en el diario "El Mundo" el 28 de noviembre de 199</w:t>
      </w:r>
      <w:r>
        <w:rPr>
          <w:szCs w:val="16"/>
          <w:lang w:val="es-CR"/>
        </w:rPr>
        <w:t>6</w:t>
      </w:r>
      <w:r w:rsidRPr="00550CAE">
        <w:rPr>
          <w:szCs w:val="16"/>
          <w:lang w:val="es-CR"/>
        </w:rPr>
        <w:t>, titulada “Destitución de Colindres es ‘terrorismo’” (expediente de prueba, folio 1322).</w:t>
      </w:r>
    </w:p>
  </w:footnote>
  <w:footnote w:id="28">
    <w:p w14:paraId="582322D0"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w:t>
      </w:r>
      <w:r w:rsidRPr="00550CAE">
        <w:rPr>
          <w:szCs w:val="16"/>
          <w:lang w:val="es-CR"/>
        </w:rPr>
        <w:t xml:space="preserve">Artículo periodístico publicado en el diario "La Prensa Gráfica" el 8 de noviembre de 1997, titulada </w:t>
      </w:r>
      <w:r w:rsidRPr="00550CAE">
        <w:rPr>
          <w:szCs w:val="16"/>
          <w:lang w:val="es-CO"/>
        </w:rPr>
        <w:t>“Colindres restituido en TSE</w:t>
      </w:r>
      <w:r w:rsidRPr="00550CAE">
        <w:rPr>
          <w:szCs w:val="16"/>
          <w:lang w:val="es-CR"/>
        </w:rPr>
        <w:t>” (expediente de prueba, folio 1289).</w:t>
      </w:r>
    </w:p>
  </w:footnote>
  <w:footnote w:id="29">
    <w:p w14:paraId="56FB6BC3" w14:textId="38238F93" w:rsidR="007D60D2" w:rsidRPr="00550CAE" w:rsidRDefault="007D60D2" w:rsidP="00550CAE">
      <w:pPr>
        <w:tabs>
          <w:tab w:val="left" w:pos="540"/>
        </w:tabs>
        <w:jc w:val="both"/>
        <w:rPr>
          <w:sz w:val="16"/>
          <w:szCs w:val="16"/>
          <w:lang w:val="es-CR"/>
        </w:rPr>
      </w:pPr>
      <w:r w:rsidRPr="00550CAE">
        <w:rPr>
          <w:rStyle w:val="FootnoteReference"/>
          <w:szCs w:val="16"/>
        </w:rPr>
        <w:footnoteRef/>
      </w:r>
      <w:r w:rsidRPr="00550CAE">
        <w:rPr>
          <w:sz w:val="16"/>
          <w:szCs w:val="16"/>
          <w:lang w:val="es-CR"/>
        </w:rPr>
        <w:t xml:space="preserve"> </w:t>
      </w:r>
      <w:r w:rsidRPr="00550CAE">
        <w:rPr>
          <w:sz w:val="16"/>
          <w:szCs w:val="16"/>
          <w:lang w:val="es-CR"/>
        </w:rPr>
        <w:tab/>
      </w:r>
      <w:r w:rsidRPr="00550CAE">
        <w:rPr>
          <w:i/>
          <w:sz w:val="16"/>
          <w:szCs w:val="16"/>
          <w:lang w:val="es-CR"/>
        </w:rPr>
        <w:t xml:space="preserve">Cfr. </w:t>
      </w:r>
      <w:r w:rsidRPr="00550CAE">
        <w:rPr>
          <w:sz w:val="16"/>
          <w:szCs w:val="16"/>
          <w:lang w:val="es-CR"/>
        </w:rPr>
        <w:t xml:space="preserve">Artículo periodístico publicado en el diario "La Prensa Gráfica" el 2 de noviembre de 1996, titulada </w:t>
      </w:r>
      <w:r>
        <w:rPr>
          <w:sz w:val="16"/>
          <w:szCs w:val="16"/>
          <w:lang w:val="es-CR"/>
        </w:rPr>
        <w:t>“</w:t>
      </w:r>
      <w:r w:rsidRPr="00550CAE">
        <w:rPr>
          <w:sz w:val="16"/>
          <w:szCs w:val="16"/>
          <w:lang w:val="es-CR"/>
        </w:rPr>
        <w:t>Magistrado se abstendrá de conocer conflicto en PDC</w:t>
      </w:r>
      <w:r>
        <w:rPr>
          <w:sz w:val="16"/>
          <w:szCs w:val="16"/>
          <w:lang w:val="es-CR"/>
        </w:rPr>
        <w:t>”</w:t>
      </w:r>
      <w:r w:rsidRPr="00550CAE">
        <w:rPr>
          <w:sz w:val="16"/>
          <w:szCs w:val="16"/>
          <w:lang w:val="es-CR"/>
        </w:rPr>
        <w:t xml:space="preserve"> (expediente de prueba, folio 1283); Artículo periodístico publicado en el diario "Co Latino" el 10 de noviembre de 1997, titulada "Colindres reformará algunos procesos del TSE" (expediente de prueba, folio 1253), y Artículo periodístico publicado en el diario "Co Latino" el 8 </w:t>
      </w:r>
      <w:r>
        <w:rPr>
          <w:sz w:val="16"/>
          <w:szCs w:val="16"/>
          <w:lang w:val="es-CR"/>
        </w:rPr>
        <w:t xml:space="preserve">de noviembre de 1997, titulada </w:t>
      </w:r>
      <w:r w:rsidRPr="00550CAE">
        <w:rPr>
          <w:sz w:val="16"/>
          <w:szCs w:val="16"/>
          <w:lang w:val="es-CO"/>
        </w:rPr>
        <w:t>“Vuelve Colindres al TSE</w:t>
      </w:r>
      <w:r w:rsidRPr="00550CAE">
        <w:rPr>
          <w:sz w:val="16"/>
          <w:szCs w:val="16"/>
          <w:lang w:val="es-CR"/>
        </w:rPr>
        <w:t>” (expediente de prueba, folio 1251).</w:t>
      </w:r>
    </w:p>
  </w:footnote>
  <w:footnote w:id="30">
    <w:p w14:paraId="06620EC1" w14:textId="5000D089" w:rsidR="007D60D2" w:rsidRPr="00550CAE" w:rsidRDefault="007D60D2" w:rsidP="00550CAE">
      <w:pPr>
        <w:tabs>
          <w:tab w:val="left" w:pos="540"/>
        </w:tabs>
        <w:jc w:val="both"/>
        <w:rPr>
          <w:sz w:val="16"/>
          <w:szCs w:val="16"/>
          <w:lang w:val="es-CR"/>
        </w:rPr>
      </w:pPr>
      <w:r w:rsidRPr="00550CAE">
        <w:rPr>
          <w:rStyle w:val="FootnoteReference"/>
          <w:szCs w:val="16"/>
        </w:rPr>
        <w:footnoteRef/>
      </w:r>
      <w:r w:rsidRPr="00550CAE">
        <w:rPr>
          <w:sz w:val="16"/>
          <w:szCs w:val="16"/>
          <w:lang w:val="es-CR"/>
        </w:rPr>
        <w:t xml:space="preserve"> </w:t>
      </w:r>
      <w:r w:rsidRPr="00550CAE">
        <w:rPr>
          <w:sz w:val="16"/>
          <w:szCs w:val="16"/>
          <w:lang w:val="es-CR"/>
        </w:rPr>
        <w:tab/>
      </w:r>
      <w:r w:rsidRPr="00550CAE">
        <w:rPr>
          <w:i/>
          <w:sz w:val="16"/>
          <w:szCs w:val="16"/>
          <w:lang w:val="es-CR"/>
        </w:rPr>
        <w:t xml:space="preserve">Cfr. </w:t>
      </w:r>
      <w:r w:rsidRPr="00550CAE">
        <w:rPr>
          <w:sz w:val="16"/>
          <w:szCs w:val="16"/>
          <w:lang w:val="es-CR"/>
        </w:rPr>
        <w:t xml:space="preserve">Artículo periodístico publicado en el diario "La Prensa Gráfica" el 2 de noviembre de 1996, titulada </w:t>
      </w:r>
      <w:r>
        <w:rPr>
          <w:sz w:val="16"/>
          <w:szCs w:val="16"/>
          <w:lang w:val="es-CR"/>
        </w:rPr>
        <w:t>“</w:t>
      </w:r>
      <w:r w:rsidRPr="00550CAE">
        <w:rPr>
          <w:sz w:val="16"/>
          <w:szCs w:val="16"/>
          <w:lang w:val="es-CR"/>
        </w:rPr>
        <w:t>Magistrado se absten</w:t>
      </w:r>
      <w:r>
        <w:rPr>
          <w:sz w:val="16"/>
          <w:szCs w:val="16"/>
          <w:lang w:val="es-CR"/>
        </w:rPr>
        <w:t>drá de conocer conflicto en PDC”</w:t>
      </w:r>
      <w:r w:rsidRPr="00550CAE">
        <w:rPr>
          <w:sz w:val="16"/>
          <w:szCs w:val="16"/>
          <w:lang w:val="es-CR"/>
        </w:rPr>
        <w:t xml:space="preserve"> (expediente de prueba, folio 1283).</w:t>
      </w:r>
    </w:p>
  </w:footnote>
  <w:footnote w:id="31">
    <w:p w14:paraId="7ADCBFB3"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w:t>
      </w:r>
      <w:r w:rsidRPr="00550CAE">
        <w:rPr>
          <w:szCs w:val="16"/>
          <w:lang w:val="es-CR"/>
        </w:rPr>
        <w:t>Artículo periodístico publicado en el diario “El Mundo” el 22 de noviembre de 1996, titulada “Destituyen a Colindres” (expediente de prueba, folio 1317), y Artículo periodístico publicado en el diario "El Mundo" el 28 de noviembre de 1997, titulada “Destitución de Colindres es ‘terrorismo’” (expediente de prueba, folio 1322).</w:t>
      </w:r>
    </w:p>
  </w:footnote>
  <w:footnote w:id="32">
    <w:p w14:paraId="01B34213" w14:textId="13B228FD" w:rsidR="007D60D2" w:rsidRPr="00550CAE" w:rsidRDefault="007D60D2" w:rsidP="00550CAE">
      <w:pPr>
        <w:tabs>
          <w:tab w:val="left" w:pos="540"/>
        </w:tabs>
        <w:contextualSpacing/>
        <w:jc w:val="both"/>
        <w:rPr>
          <w:sz w:val="16"/>
          <w:szCs w:val="16"/>
          <w:lang w:val="es-CR"/>
        </w:rPr>
      </w:pPr>
      <w:r w:rsidRPr="00550CAE">
        <w:rPr>
          <w:rStyle w:val="FootnoteReference"/>
          <w:szCs w:val="16"/>
        </w:rPr>
        <w:footnoteRef/>
      </w:r>
      <w:r w:rsidRPr="00550CAE">
        <w:rPr>
          <w:sz w:val="16"/>
          <w:szCs w:val="16"/>
          <w:lang w:val="es-CR"/>
        </w:rPr>
        <w:t xml:space="preserve"> </w:t>
      </w:r>
      <w:r w:rsidRPr="00550CAE">
        <w:rPr>
          <w:sz w:val="16"/>
          <w:szCs w:val="16"/>
          <w:lang w:val="es-CR"/>
        </w:rPr>
        <w:tab/>
      </w:r>
      <w:r w:rsidRPr="00550CAE">
        <w:rPr>
          <w:i/>
          <w:sz w:val="16"/>
          <w:szCs w:val="16"/>
          <w:lang w:val="es-CO"/>
        </w:rPr>
        <w:t>Cfr</w:t>
      </w:r>
      <w:r w:rsidRPr="00550CAE">
        <w:rPr>
          <w:sz w:val="16"/>
          <w:szCs w:val="16"/>
          <w:lang w:val="es-CO"/>
        </w:rPr>
        <w:t xml:space="preserve">. Declaración de </w:t>
      </w:r>
      <w:r w:rsidRPr="00550CAE">
        <w:rPr>
          <w:sz w:val="16"/>
          <w:szCs w:val="16"/>
          <w:lang w:val="es-CR"/>
        </w:rPr>
        <w:t xml:space="preserve">Eduardo Colindres Schonenberg rendida en la Audiencia Pública; Artículo periodístico publicado en el diario “El Diario de Hoy" el 22 de noviembre de 1996, titulada </w:t>
      </w:r>
      <w:r w:rsidRPr="00550CAE">
        <w:rPr>
          <w:sz w:val="16"/>
          <w:szCs w:val="16"/>
          <w:lang w:val="es-CO"/>
        </w:rPr>
        <w:t>“PDC pide destitución de Colindres</w:t>
      </w:r>
      <w:r w:rsidRPr="00550CAE">
        <w:rPr>
          <w:sz w:val="16"/>
          <w:szCs w:val="16"/>
          <w:lang w:val="es-CR"/>
        </w:rPr>
        <w:t>” (expediente de prueba, folio 1273); Artículo periodístico publicado en el diario “La Prensa</w:t>
      </w:r>
      <w:r>
        <w:rPr>
          <w:sz w:val="16"/>
          <w:szCs w:val="16"/>
          <w:lang w:val="es-CR"/>
        </w:rPr>
        <w:t xml:space="preserve"> Gráfica”</w:t>
      </w:r>
      <w:r w:rsidRPr="00550CAE">
        <w:rPr>
          <w:sz w:val="16"/>
          <w:szCs w:val="16"/>
          <w:lang w:val="es-CR"/>
        </w:rPr>
        <w:t xml:space="preserve"> el 24 de noviembre de 1996, titulada </w:t>
      </w:r>
      <w:r w:rsidRPr="00550CAE">
        <w:rPr>
          <w:sz w:val="16"/>
          <w:szCs w:val="16"/>
          <w:lang w:val="es-CO"/>
        </w:rPr>
        <w:t>“Tres grupos disputan supremacía del partido</w:t>
      </w:r>
      <w:r w:rsidRPr="00550CAE">
        <w:rPr>
          <w:sz w:val="16"/>
          <w:szCs w:val="16"/>
          <w:lang w:val="es-CR"/>
        </w:rPr>
        <w:t>” (expediente de prueba, folio 1304), y Artículo periodístico publicado en el diario “La Prensa</w:t>
      </w:r>
      <w:r>
        <w:rPr>
          <w:sz w:val="16"/>
          <w:szCs w:val="16"/>
          <w:lang w:val="es-CR"/>
        </w:rPr>
        <w:t xml:space="preserve"> Gráfica”</w:t>
      </w:r>
      <w:r w:rsidRPr="00550CAE">
        <w:rPr>
          <w:sz w:val="16"/>
          <w:szCs w:val="16"/>
          <w:lang w:val="es-CR"/>
        </w:rPr>
        <w:t xml:space="preserve"> el 11 de diciembre de 1996, titulada </w:t>
      </w:r>
      <w:r w:rsidRPr="00550CAE">
        <w:rPr>
          <w:sz w:val="16"/>
          <w:szCs w:val="16"/>
          <w:lang w:val="es-CO"/>
        </w:rPr>
        <w:t>“Corte Suprema ampara a magistrado TSE</w:t>
      </w:r>
      <w:r w:rsidRPr="00550CAE">
        <w:rPr>
          <w:sz w:val="16"/>
          <w:szCs w:val="16"/>
          <w:lang w:val="es-CR"/>
        </w:rPr>
        <w:t>” (expediente de prueba, folio 1296).</w:t>
      </w:r>
    </w:p>
  </w:footnote>
  <w:footnote w:id="33">
    <w:p w14:paraId="54FA72BF" w14:textId="34DB306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Decreto Legislativo 899 de 22 de Noviembre de 1996 (expediente de prueba, folio 39), y Declaración de </w:t>
      </w:r>
      <w:r w:rsidRPr="00550CAE">
        <w:rPr>
          <w:szCs w:val="16"/>
        </w:rPr>
        <w:t xml:space="preserve">Eduardo Colindres Schonenberg rendida en la Audiencia Pública. </w:t>
      </w:r>
    </w:p>
  </w:footnote>
  <w:footnote w:id="34">
    <w:p w14:paraId="2710EACC"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Decreto Legislativo 899 de 22 de Noviembre de 1996 (expediente de prueba, folios 38 y 39).</w:t>
      </w:r>
    </w:p>
  </w:footnote>
  <w:footnote w:id="35">
    <w:p w14:paraId="4F0C63AF" w14:textId="2A88728B"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w:t>
      </w:r>
      <w:r w:rsidRPr="00A54F66">
        <w:rPr>
          <w:szCs w:val="16"/>
          <w:lang w:val="es-CO"/>
        </w:rPr>
        <w:t xml:space="preserve"> </w:t>
      </w:r>
      <w:r>
        <w:rPr>
          <w:szCs w:val="16"/>
          <w:lang w:val="es-CO"/>
        </w:rPr>
        <w:t>Acción</w:t>
      </w:r>
      <w:r w:rsidRPr="00550CAE">
        <w:rPr>
          <w:szCs w:val="16"/>
          <w:lang w:val="es-CO"/>
        </w:rPr>
        <w:t xml:space="preserve"> de Amparo </w:t>
      </w:r>
      <w:r>
        <w:rPr>
          <w:szCs w:val="16"/>
          <w:lang w:val="es-CO"/>
        </w:rPr>
        <w:t>de</w:t>
      </w:r>
      <w:r w:rsidRPr="00550CAE">
        <w:rPr>
          <w:szCs w:val="16"/>
          <w:lang w:val="es-CO"/>
        </w:rPr>
        <w:t xml:space="preserve"> 2 de diciembre de 1996 (expediente de prueba, folios 335 a 341).</w:t>
      </w:r>
    </w:p>
  </w:footnote>
  <w:footnote w:id="36">
    <w:p w14:paraId="33078D7F" w14:textId="64429475" w:rsidR="007D60D2" w:rsidRPr="00550CAE" w:rsidRDefault="007D60D2" w:rsidP="00F6115F">
      <w:pPr>
        <w:pStyle w:val="FootnoteText"/>
        <w:tabs>
          <w:tab w:val="left" w:pos="540"/>
        </w:tabs>
        <w:rPr>
          <w:b/>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375). De acuerdo con la prueba aportada por el Estado, el señor Colindres recibió el pago de los salarios dejados de percibir desde su destitución en noviembre de 1996, hasta su restitución en noviembre de 1997 por un monto total</w:t>
      </w:r>
      <w:r>
        <w:rPr>
          <w:szCs w:val="16"/>
          <w:lang w:val="es-CO"/>
        </w:rPr>
        <w:t xml:space="preserve"> de </w:t>
      </w:r>
      <w:r>
        <w:rPr>
          <w:lang w:val="es-PE"/>
        </w:rPr>
        <w:t>157,344.63 colones salvadoreños</w:t>
      </w:r>
      <w:r w:rsidRPr="00550CAE">
        <w:rPr>
          <w:szCs w:val="16"/>
          <w:lang w:val="es-CO"/>
        </w:rPr>
        <w:t xml:space="preserve"> </w:t>
      </w:r>
      <w:r w:rsidRPr="002F2885">
        <w:rPr>
          <w:rFonts w:ascii="Arial" w:hAnsi="Arial" w:cs="Arial"/>
          <w:szCs w:val="16"/>
          <w:shd w:val="clear" w:color="auto" w:fill="FFFFFF"/>
        </w:rPr>
        <w:t>‎</w:t>
      </w:r>
      <w:r w:rsidRPr="002F2885">
        <w:rPr>
          <w:szCs w:val="16"/>
          <w:lang w:val="es-CO"/>
        </w:rPr>
        <w:t xml:space="preserve">. </w:t>
      </w:r>
      <w:r w:rsidRPr="00550CAE">
        <w:rPr>
          <w:i/>
          <w:szCs w:val="16"/>
          <w:lang w:val="es-CO"/>
        </w:rPr>
        <w:t>Cfr</w:t>
      </w:r>
      <w:r w:rsidRPr="00550CAE">
        <w:rPr>
          <w:szCs w:val="16"/>
          <w:lang w:val="es-CO"/>
        </w:rPr>
        <w:t xml:space="preserve">. </w:t>
      </w:r>
      <w:r w:rsidRPr="00550CAE">
        <w:rPr>
          <w:rFonts w:eastAsia="Times New Roman"/>
          <w:szCs w:val="16"/>
          <w:lang w:val="es-CR"/>
        </w:rPr>
        <w:t>Copia de las planillas de pago del señor Eduardo Benjamín Colindres por los meses de diciembre de 1996 a noviembre de 1997 (expediente de prueba, folios 1993 a 200</w:t>
      </w:r>
      <w:r>
        <w:rPr>
          <w:rFonts w:eastAsia="Times New Roman"/>
          <w:szCs w:val="16"/>
          <w:lang w:val="es-CR"/>
        </w:rPr>
        <w:t>7</w:t>
      </w:r>
      <w:r w:rsidRPr="00550CAE">
        <w:rPr>
          <w:rFonts w:eastAsia="Times New Roman"/>
          <w:szCs w:val="16"/>
          <w:lang w:val="es-CR"/>
        </w:rPr>
        <w:t>)</w:t>
      </w:r>
      <w:r w:rsidRPr="00550CAE">
        <w:rPr>
          <w:szCs w:val="16"/>
          <w:lang w:val="es-CO"/>
        </w:rPr>
        <w:t xml:space="preserve">. </w:t>
      </w:r>
    </w:p>
  </w:footnote>
  <w:footnote w:id="37">
    <w:p w14:paraId="57619CA5" w14:textId="33AA0A99"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365). </w:t>
      </w:r>
    </w:p>
  </w:footnote>
  <w:footnote w:id="38">
    <w:p w14:paraId="56C34D91"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366). </w:t>
      </w:r>
    </w:p>
  </w:footnote>
  <w:footnote w:id="39">
    <w:p w14:paraId="1D839589"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369). </w:t>
      </w:r>
    </w:p>
  </w:footnote>
  <w:footnote w:id="40">
    <w:p w14:paraId="5C0C64C9"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369).</w:t>
      </w:r>
    </w:p>
  </w:footnote>
  <w:footnote w:id="41">
    <w:p w14:paraId="62835FD0"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368).</w:t>
      </w:r>
    </w:p>
  </w:footnote>
  <w:footnote w:id="42">
    <w:p w14:paraId="3E64F7F2" w14:textId="37598FC9"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Solicitud de moción de </w:t>
      </w:r>
      <w:r>
        <w:rPr>
          <w:szCs w:val="16"/>
          <w:lang w:val="es-CO"/>
        </w:rPr>
        <w:t>23</w:t>
      </w:r>
      <w:r w:rsidRPr="00550CAE">
        <w:rPr>
          <w:szCs w:val="16"/>
          <w:lang w:val="es-CO"/>
        </w:rPr>
        <w:t xml:space="preserve"> de marzo de 1998 (expediente de prueba, folio</w:t>
      </w:r>
      <w:r>
        <w:rPr>
          <w:szCs w:val="16"/>
          <w:lang w:val="es-CO"/>
        </w:rPr>
        <w:t>s 380 a 382</w:t>
      </w:r>
      <w:r w:rsidRPr="00550CAE">
        <w:rPr>
          <w:szCs w:val="16"/>
          <w:lang w:val="es-CO"/>
        </w:rPr>
        <w:t>).</w:t>
      </w:r>
    </w:p>
  </w:footnote>
  <w:footnote w:id="43">
    <w:p w14:paraId="4288DF32" w14:textId="6DC4AE7D"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Solicitud de moción de </w:t>
      </w:r>
      <w:r>
        <w:rPr>
          <w:szCs w:val="16"/>
          <w:lang w:val="es-CO"/>
        </w:rPr>
        <w:t>23</w:t>
      </w:r>
      <w:r w:rsidRPr="00550CAE">
        <w:rPr>
          <w:szCs w:val="16"/>
          <w:lang w:val="es-CO"/>
        </w:rPr>
        <w:t xml:space="preserve"> de marzo de 1998 (expediente de prueba, folio 382).</w:t>
      </w:r>
    </w:p>
  </w:footnote>
  <w:footnote w:id="44">
    <w:p w14:paraId="17E76AAA"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Acuerdo Legislativo N° 281 de 24 de marzo de 1998 (expediente de prueba, folio 384).</w:t>
      </w:r>
    </w:p>
  </w:footnote>
  <w:footnote w:id="45">
    <w:p w14:paraId="4D335AB8" w14:textId="77777777" w:rsidR="007D60D2" w:rsidRPr="00550CAE" w:rsidRDefault="007D60D2" w:rsidP="009274DC">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Escrito </w:t>
      </w:r>
      <w:r>
        <w:rPr>
          <w:szCs w:val="16"/>
          <w:lang w:val="es-CO"/>
        </w:rPr>
        <w:t>suscrito por</w:t>
      </w:r>
      <w:r w:rsidRPr="00550CAE">
        <w:rPr>
          <w:szCs w:val="16"/>
          <w:lang w:val="es-CO"/>
        </w:rPr>
        <w:t xml:space="preserve"> tres diputados del PDC de 15 de abril de 1998 (expediente de prueba, folio</w:t>
      </w:r>
      <w:r>
        <w:rPr>
          <w:szCs w:val="16"/>
          <w:lang w:val="es-CO"/>
        </w:rPr>
        <w:t>s</w:t>
      </w:r>
      <w:r w:rsidRPr="00550CAE">
        <w:rPr>
          <w:szCs w:val="16"/>
          <w:lang w:val="es-CO"/>
        </w:rPr>
        <w:t xml:space="preserve"> 386</w:t>
      </w:r>
      <w:r>
        <w:rPr>
          <w:szCs w:val="16"/>
          <w:lang w:val="es-CO"/>
        </w:rPr>
        <w:t xml:space="preserve"> a 387</w:t>
      </w:r>
      <w:r w:rsidRPr="00550CAE">
        <w:rPr>
          <w:szCs w:val="16"/>
          <w:lang w:val="es-CO"/>
        </w:rPr>
        <w:t>).</w:t>
      </w:r>
    </w:p>
  </w:footnote>
  <w:footnote w:id="46">
    <w:p w14:paraId="23F3CC02" w14:textId="39D9DA97"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Escrito </w:t>
      </w:r>
      <w:r>
        <w:rPr>
          <w:szCs w:val="16"/>
          <w:lang w:val="es-CO"/>
        </w:rPr>
        <w:t>suscrito por</w:t>
      </w:r>
      <w:r w:rsidRPr="00550CAE">
        <w:rPr>
          <w:szCs w:val="16"/>
          <w:lang w:val="es-CO"/>
        </w:rPr>
        <w:t xml:space="preserve"> tres diputados del PDC de 15 de abril de 1998 (expediente de prueba, folio 386).</w:t>
      </w:r>
    </w:p>
  </w:footnote>
  <w:footnote w:id="47">
    <w:p w14:paraId="5AE630CE"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Pronunciamiento de la Comisión Especial de 15 de abril de 1998 (expediente de prueba, folio 389).</w:t>
      </w:r>
    </w:p>
  </w:footnote>
  <w:footnote w:id="48">
    <w:p w14:paraId="4BEB44FF" w14:textId="16DA927C"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Escrito del señor Colindres Schonenberg dirigido a la Comisión Política de 20 de abril de 1998 (expediente de prueba, folios </w:t>
      </w:r>
      <w:r>
        <w:rPr>
          <w:szCs w:val="16"/>
          <w:lang w:val="es-CO"/>
        </w:rPr>
        <w:t>5</w:t>
      </w:r>
      <w:r w:rsidRPr="00550CAE">
        <w:rPr>
          <w:szCs w:val="16"/>
          <w:lang w:val="es-CO"/>
        </w:rPr>
        <w:t xml:space="preserve"> </w:t>
      </w:r>
      <w:r>
        <w:rPr>
          <w:szCs w:val="16"/>
          <w:lang w:val="es-CO"/>
        </w:rPr>
        <w:t>a</w:t>
      </w:r>
      <w:r w:rsidRPr="00550CAE">
        <w:rPr>
          <w:szCs w:val="16"/>
          <w:lang w:val="es-CO"/>
        </w:rPr>
        <w:t xml:space="preserve"> 8). </w:t>
      </w:r>
    </w:p>
  </w:footnote>
  <w:footnote w:id="49">
    <w:p w14:paraId="1BC2D5A3"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Pronunciamiento de la Comisión Especial de 21 de abril de 1998 (expediente de prueba, folio 396), y comunicación de la Comisión Especial de 21 de abril de 1998 (expediente de prueba, folio 1710).</w:t>
      </w:r>
    </w:p>
  </w:footnote>
  <w:footnote w:id="50">
    <w:p w14:paraId="1C8A9061" w14:textId="4927ED19"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Carta </w:t>
      </w:r>
      <w:r w:rsidRPr="00550CAE">
        <w:rPr>
          <w:szCs w:val="16"/>
          <w:lang w:val="es-CO"/>
        </w:rPr>
        <w:t>del TSE dirig</w:t>
      </w:r>
      <w:r>
        <w:rPr>
          <w:szCs w:val="16"/>
          <w:lang w:val="es-CO"/>
        </w:rPr>
        <w:t>ido a la Comisión Política de 26</w:t>
      </w:r>
      <w:r w:rsidRPr="00550CAE">
        <w:rPr>
          <w:szCs w:val="16"/>
          <w:lang w:val="es-CO"/>
        </w:rPr>
        <w:t xml:space="preserve"> de mayo de 1998 (expediente de prueba, folio 399)</w:t>
      </w:r>
      <w:r>
        <w:rPr>
          <w:szCs w:val="16"/>
          <w:lang w:val="es-CO"/>
        </w:rPr>
        <w:t>.</w:t>
      </w:r>
    </w:p>
  </w:footnote>
  <w:footnote w:id="51">
    <w:p w14:paraId="0AD19BA1" w14:textId="0FD70581"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Informe de la Comisión Especial de 21 de mayo de 1998 (expediente de prueba, folio</w:t>
      </w:r>
      <w:r>
        <w:rPr>
          <w:szCs w:val="16"/>
          <w:lang w:val="es-CO"/>
        </w:rPr>
        <w:t>s</w:t>
      </w:r>
      <w:r w:rsidRPr="00550CAE">
        <w:rPr>
          <w:szCs w:val="16"/>
          <w:lang w:val="es-CO"/>
        </w:rPr>
        <w:t xml:space="preserve"> 401</w:t>
      </w:r>
      <w:r>
        <w:rPr>
          <w:szCs w:val="16"/>
          <w:lang w:val="es-CO"/>
        </w:rPr>
        <w:t xml:space="preserve"> a 407</w:t>
      </w:r>
      <w:r w:rsidRPr="00550CAE">
        <w:rPr>
          <w:szCs w:val="16"/>
          <w:lang w:val="es-CO"/>
        </w:rPr>
        <w:t>).</w:t>
      </w:r>
    </w:p>
  </w:footnote>
  <w:footnote w:id="52">
    <w:p w14:paraId="264C206B" w14:textId="77777777"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Informe de la Comisión Especial de 21 de mayo de 1998 (expediente de prueba, folio 407).</w:t>
      </w:r>
    </w:p>
  </w:footnote>
  <w:footnote w:id="53">
    <w:p w14:paraId="518473CC" w14:textId="136F80BB"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Informe de la Comisión Política de 24 de junio de 1998 (expediente de prueba, folio</w:t>
      </w:r>
      <w:r>
        <w:rPr>
          <w:szCs w:val="16"/>
        </w:rPr>
        <w:t>s</w:t>
      </w:r>
      <w:r w:rsidRPr="00550CAE">
        <w:rPr>
          <w:szCs w:val="16"/>
        </w:rPr>
        <w:t xml:space="preserve"> 409</w:t>
      </w:r>
      <w:r>
        <w:rPr>
          <w:szCs w:val="16"/>
        </w:rPr>
        <w:t xml:space="preserve"> y 410</w:t>
      </w:r>
      <w:r w:rsidRPr="00550CAE">
        <w:rPr>
          <w:szCs w:val="16"/>
        </w:rPr>
        <w:t>).</w:t>
      </w:r>
    </w:p>
  </w:footnote>
  <w:footnote w:id="54">
    <w:p w14:paraId="615B4B86" w14:textId="473EFF78"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 xml:space="preserve">Escrito del señor Colindres Schonenberg de 26 de mayo de 1998 (expediente de prueba, folio 328). </w:t>
      </w:r>
    </w:p>
  </w:footnote>
  <w:footnote w:id="55">
    <w:p w14:paraId="2791A0CE" w14:textId="58D60180"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rPr>
        <w:t xml:space="preserve">Cfr. </w:t>
      </w:r>
      <w:r w:rsidRPr="00550CAE">
        <w:rPr>
          <w:szCs w:val="16"/>
        </w:rPr>
        <w:t>Escrito del señor Colindres Schonenberg de 26 de mayo de 1998 (expediente de prueba, folio</w:t>
      </w:r>
      <w:r>
        <w:rPr>
          <w:szCs w:val="16"/>
        </w:rPr>
        <w:t>s 328 y</w:t>
      </w:r>
      <w:r w:rsidRPr="00550CAE">
        <w:rPr>
          <w:szCs w:val="16"/>
        </w:rPr>
        <w:t xml:space="preserve"> 329).</w:t>
      </w:r>
    </w:p>
  </w:footnote>
  <w:footnote w:id="56">
    <w:p w14:paraId="18D2D4DB" w14:textId="29F71338"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rPr>
        <w:t xml:space="preserve">Cfr. </w:t>
      </w:r>
      <w:r w:rsidRPr="00550CAE">
        <w:rPr>
          <w:szCs w:val="16"/>
        </w:rPr>
        <w:t>Informe de la Comisión Política de 24 de junio de 1998</w:t>
      </w:r>
      <w:r>
        <w:rPr>
          <w:szCs w:val="16"/>
        </w:rPr>
        <w:t xml:space="preserve"> (expediente de prueba, folio 410</w:t>
      </w:r>
      <w:r w:rsidRPr="00550CAE">
        <w:rPr>
          <w:szCs w:val="16"/>
        </w:rPr>
        <w:t>).</w:t>
      </w:r>
    </w:p>
  </w:footnote>
  <w:footnote w:id="57">
    <w:p w14:paraId="6B3C9D1D"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Escrito dirigido a la junta directiva de la Asamblea Legislativa de 29 de junio de 1998 (expediente de prueba, folios 412 y 413).</w:t>
      </w:r>
    </w:p>
  </w:footnote>
  <w:footnote w:id="58">
    <w:p w14:paraId="0F644D49" w14:textId="43E1EF27"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Escrito dirigido a la junta directiva de la Asamblea Legislativa de </w:t>
      </w:r>
      <w:r>
        <w:rPr>
          <w:szCs w:val="16"/>
          <w:lang w:val="es-CO"/>
        </w:rPr>
        <w:t>30</w:t>
      </w:r>
      <w:r w:rsidRPr="00550CAE">
        <w:rPr>
          <w:szCs w:val="16"/>
          <w:lang w:val="es-CO"/>
        </w:rPr>
        <w:t xml:space="preserve"> de junio de 1998 (expediente de prueba, folio 412).</w:t>
      </w:r>
    </w:p>
  </w:footnote>
  <w:footnote w:id="59">
    <w:p w14:paraId="15F5A4CA" w14:textId="180B664F"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Escrito dirigido a la junta directiva de la Asamblea Legislativa de </w:t>
      </w:r>
      <w:r>
        <w:rPr>
          <w:szCs w:val="16"/>
          <w:lang w:val="es-CO"/>
        </w:rPr>
        <w:t>30</w:t>
      </w:r>
      <w:r w:rsidRPr="00550CAE">
        <w:rPr>
          <w:szCs w:val="16"/>
          <w:lang w:val="es-CO"/>
        </w:rPr>
        <w:t xml:space="preserve"> de junio de 1998 (expediente de prueba, folio 413).</w:t>
      </w:r>
    </w:p>
  </w:footnote>
  <w:footnote w:id="60">
    <w:p w14:paraId="0BBFA6DD"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w:t>
      </w:r>
      <w:r w:rsidRPr="00550CAE">
        <w:rPr>
          <w:szCs w:val="16"/>
        </w:rPr>
        <w:t>Transcripción de la sesión plenaria de la Asamblea Legislativa de 2 de julio de 1998 (expediente de prueba, folio 415).</w:t>
      </w:r>
    </w:p>
  </w:footnote>
  <w:footnote w:id="61">
    <w:p w14:paraId="527118B8"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w:t>
      </w:r>
      <w:r w:rsidRPr="00550CAE">
        <w:rPr>
          <w:szCs w:val="16"/>
        </w:rPr>
        <w:t>Transcripción de la sesión plenaria de la Asamblea Legislativa de 2 de julio de 1998 (expediente de prueba, folios 416 a 418).</w:t>
      </w:r>
    </w:p>
  </w:footnote>
  <w:footnote w:id="62">
    <w:p w14:paraId="57CE19AB"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w:t>
      </w:r>
      <w:r w:rsidRPr="00550CAE">
        <w:rPr>
          <w:szCs w:val="16"/>
        </w:rPr>
        <w:t>Transcripción de la sesión plenaria de la Asamblea Legislativa de 2 de julio de 1998 (expediente de prueba, folio 465).</w:t>
      </w:r>
    </w:p>
  </w:footnote>
  <w:footnote w:id="63">
    <w:p w14:paraId="18BB9242" w14:textId="77777777"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Decreto Legislativo N° 348 de 2 de julio de 1998 (expediente de prueba, folio 377).</w:t>
      </w:r>
    </w:p>
  </w:footnote>
  <w:footnote w:id="64">
    <w:p w14:paraId="6EE6BF59" w14:textId="3F4999D2"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w:t>
      </w:r>
      <w:r>
        <w:rPr>
          <w:szCs w:val="16"/>
          <w:lang w:val="es-CO"/>
        </w:rPr>
        <w:t>Acción</w:t>
      </w:r>
      <w:r w:rsidRPr="00550CAE">
        <w:rPr>
          <w:szCs w:val="16"/>
          <w:lang w:val="es-CO"/>
        </w:rPr>
        <w:t xml:space="preserve"> de amparo de 20 de abril de 1998 (expediente de prueba, folios 474). </w:t>
      </w:r>
      <w:r>
        <w:rPr>
          <w:szCs w:val="16"/>
          <w:lang w:val="es-CO"/>
        </w:rPr>
        <w:t>E</w:t>
      </w:r>
      <w:r w:rsidRPr="00550CAE">
        <w:rPr>
          <w:szCs w:val="16"/>
          <w:lang w:val="es-ES"/>
        </w:rPr>
        <w:t>l</w:t>
      </w:r>
      <w:r>
        <w:rPr>
          <w:szCs w:val="16"/>
          <w:lang w:val="es-CO"/>
        </w:rPr>
        <w:t xml:space="preserve"> 22</w:t>
      </w:r>
      <w:r w:rsidRPr="00550CAE">
        <w:rPr>
          <w:szCs w:val="16"/>
          <w:lang w:val="es-CO"/>
        </w:rPr>
        <w:t xml:space="preserve"> de abril de 1998, el </w:t>
      </w:r>
      <w:r w:rsidRPr="00550CAE">
        <w:rPr>
          <w:szCs w:val="16"/>
          <w:lang w:val="es-ES"/>
        </w:rPr>
        <w:t xml:space="preserve">señor Colindres Schonenberg </w:t>
      </w:r>
      <w:r w:rsidRPr="00550CAE">
        <w:rPr>
          <w:szCs w:val="16"/>
          <w:lang w:val="es-CO"/>
        </w:rPr>
        <w:t>presentó ante la Sala de lo Constitucional un recurso de exhibición personal,</w:t>
      </w:r>
      <w:r w:rsidRPr="00550CAE">
        <w:rPr>
          <w:i/>
          <w:szCs w:val="16"/>
          <w:lang w:val="es-CO"/>
        </w:rPr>
        <w:t xml:space="preserve"> </w:t>
      </w:r>
      <w:r w:rsidRPr="00550CAE">
        <w:rPr>
          <w:szCs w:val="16"/>
          <w:lang w:val="es-CO"/>
        </w:rPr>
        <w:t>que se declaró improcedente al no constituir la vía adecuada</w:t>
      </w:r>
      <w:r>
        <w:rPr>
          <w:szCs w:val="16"/>
          <w:lang w:val="es-CO"/>
        </w:rPr>
        <w:t>.</w:t>
      </w:r>
      <w:r w:rsidRPr="00550CAE">
        <w:rPr>
          <w:i/>
          <w:szCs w:val="16"/>
          <w:lang w:val="es-CO"/>
        </w:rPr>
        <w:t xml:space="preserve"> Cfr</w:t>
      </w:r>
      <w:r w:rsidRPr="00550CAE">
        <w:rPr>
          <w:szCs w:val="16"/>
          <w:lang w:val="es-CO"/>
        </w:rPr>
        <w:t>. Recurso de exhibición personal de 2</w:t>
      </w:r>
      <w:r>
        <w:rPr>
          <w:szCs w:val="16"/>
          <w:lang w:val="es-CO"/>
        </w:rPr>
        <w:t>2</w:t>
      </w:r>
      <w:r w:rsidRPr="00550CAE">
        <w:rPr>
          <w:szCs w:val="16"/>
          <w:lang w:val="es-CO"/>
        </w:rPr>
        <w:t xml:space="preserve"> de abril de 1998 (expediente de prueba, folio</w:t>
      </w:r>
      <w:r>
        <w:rPr>
          <w:szCs w:val="16"/>
          <w:lang w:val="es-CO"/>
        </w:rPr>
        <w:t>s 483 y</w:t>
      </w:r>
      <w:r w:rsidRPr="00550CAE">
        <w:rPr>
          <w:szCs w:val="16"/>
          <w:lang w:val="es-CO"/>
        </w:rPr>
        <w:t xml:space="preserve"> 484), y resolución de sobreseimiento de 30 de abril de 1998 (expediente de prueba, folio 1539).</w:t>
      </w:r>
    </w:p>
  </w:footnote>
  <w:footnote w:id="65">
    <w:p w14:paraId="25479D37"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la Corte Suprema de 20 de abril de 1998 (expediente de prueba, folio 478).</w:t>
      </w:r>
    </w:p>
  </w:footnote>
  <w:footnote w:id="66">
    <w:p w14:paraId="4766FF67" w14:textId="77777777"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rPr>
        <w:tab/>
      </w:r>
      <w:r w:rsidRPr="00550CAE">
        <w:rPr>
          <w:i/>
          <w:szCs w:val="16"/>
        </w:rPr>
        <w:t xml:space="preserve">Cfr. </w:t>
      </w:r>
      <w:r w:rsidRPr="00550CAE">
        <w:rPr>
          <w:szCs w:val="16"/>
        </w:rPr>
        <w:t>Transcripción de la sesión plenaria de la Asamblea Legislativa de 30 de abril de 1998 (expediente de prueba, folios 311 y 318).</w:t>
      </w:r>
    </w:p>
  </w:footnote>
  <w:footnote w:id="67">
    <w:p w14:paraId="5560E3A4"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30 de abril de 1998 (expediente de prueba, folio 481).</w:t>
      </w:r>
    </w:p>
  </w:footnote>
  <w:footnote w:id="68">
    <w:p w14:paraId="0109E086" w14:textId="0BCB1D2A" w:rsidR="007D60D2" w:rsidRPr="00A54F66"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w:t>
      </w:r>
      <w:r w:rsidRPr="00A54F66">
        <w:rPr>
          <w:szCs w:val="16"/>
          <w:lang w:val="es-CO"/>
        </w:rPr>
        <w:t>Acción de amparo de 5 de mayo de 1998 (expediente de prueba, folio 496).</w:t>
      </w:r>
    </w:p>
  </w:footnote>
  <w:footnote w:id="69">
    <w:p w14:paraId="72F73544" w14:textId="77777777" w:rsidR="007D60D2" w:rsidRPr="00A54F66" w:rsidRDefault="007D60D2" w:rsidP="00550CAE">
      <w:pPr>
        <w:pStyle w:val="FootnoteText"/>
        <w:tabs>
          <w:tab w:val="left" w:pos="540"/>
        </w:tabs>
        <w:rPr>
          <w:color w:val="FF0000"/>
          <w:szCs w:val="16"/>
          <w:lang w:val="es-CO"/>
        </w:rPr>
      </w:pPr>
      <w:r w:rsidRPr="00A54F66">
        <w:rPr>
          <w:rStyle w:val="FootnoteReference"/>
          <w:szCs w:val="16"/>
        </w:rPr>
        <w:footnoteRef/>
      </w:r>
      <w:r w:rsidRPr="00A54F66">
        <w:rPr>
          <w:szCs w:val="16"/>
          <w:lang w:val="es-CO"/>
        </w:rPr>
        <w:t xml:space="preserve"> </w:t>
      </w:r>
      <w:r w:rsidRPr="00A54F66">
        <w:rPr>
          <w:szCs w:val="16"/>
          <w:lang w:val="es-CO"/>
        </w:rPr>
        <w:tab/>
      </w:r>
      <w:r w:rsidRPr="00A54F66">
        <w:rPr>
          <w:i/>
          <w:szCs w:val="16"/>
          <w:lang w:val="es-CO"/>
        </w:rPr>
        <w:t>Cfr</w:t>
      </w:r>
      <w:r w:rsidRPr="00A54F66">
        <w:rPr>
          <w:szCs w:val="16"/>
          <w:lang w:val="es-CO"/>
        </w:rPr>
        <w:t>. Resolución de la Sala de lo Constitucional de 11 de junio de 1998 (expediente de prueba, folio 1542).</w:t>
      </w:r>
    </w:p>
  </w:footnote>
  <w:footnote w:id="70">
    <w:p w14:paraId="2C9253C9" w14:textId="2F52D460" w:rsidR="007D60D2" w:rsidRPr="00A54F66" w:rsidRDefault="007D60D2" w:rsidP="00E609BC">
      <w:pPr>
        <w:tabs>
          <w:tab w:val="left" w:pos="540"/>
        </w:tabs>
        <w:jc w:val="both"/>
        <w:rPr>
          <w:sz w:val="16"/>
          <w:szCs w:val="16"/>
          <w:lang w:val="es-CO"/>
        </w:rPr>
      </w:pPr>
      <w:r w:rsidRPr="00A54F66">
        <w:rPr>
          <w:rStyle w:val="FootnoteReference"/>
          <w:szCs w:val="16"/>
        </w:rPr>
        <w:footnoteRef/>
      </w:r>
      <w:r w:rsidRPr="00A54F66">
        <w:rPr>
          <w:sz w:val="16"/>
          <w:szCs w:val="16"/>
          <w:lang w:val="es-CO"/>
        </w:rPr>
        <w:t xml:space="preserve"> </w:t>
      </w:r>
      <w:r w:rsidRPr="00A54F66">
        <w:rPr>
          <w:sz w:val="16"/>
          <w:szCs w:val="16"/>
          <w:lang w:val="es-CO"/>
        </w:rPr>
        <w:tab/>
      </w:r>
      <w:r w:rsidRPr="00A54F66">
        <w:rPr>
          <w:i/>
          <w:sz w:val="16"/>
          <w:szCs w:val="16"/>
          <w:lang w:val="es-CO"/>
        </w:rPr>
        <w:t xml:space="preserve">Cfr. </w:t>
      </w:r>
      <w:r w:rsidRPr="00A54F66">
        <w:rPr>
          <w:sz w:val="16"/>
          <w:szCs w:val="16"/>
          <w:lang w:val="es-CO"/>
        </w:rPr>
        <w:t>Acción de amparo de 15 de julio de 1998 (expediente de prueba, folios 505, 506, 507 y 508).</w:t>
      </w:r>
    </w:p>
  </w:footnote>
  <w:footnote w:id="71">
    <w:p w14:paraId="6840A3D1" w14:textId="77777777" w:rsidR="007D60D2" w:rsidRPr="00550CAE" w:rsidRDefault="007D60D2" w:rsidP="00550CAE">
      <w:pPr>
        <w:pStyle w:val="FootnoteText"/>
        <w:tabs>
          <w:tab w:val="left" w:pos="540"/>
        </w:tabs>
        <w:rPr>
          <w:szCs w:val="16"/>
          <w:lang w:val="es-CO"/>
        </w:rPr>
      </w:pPr>
      <w:r w:rsidRPr="00A54F66">
        <w:rPr>
          <w:rStyle w:val="FootnoteReference"/>
          <w:szCs w:val="16"/>
        </w:rPr>
        <w:footnoteRef/>
      </w:r>
      <w:r w:rsidRPr="00A54F66">
        <w:rPr>
          <w:szCs w:val="16"/>
          <w:lang w:val="es-CO"/>
        </w:rPr>
        <w:t xml:space="preserve"> </w:t>
      </w:r>
      <w:r w:rsidRPr="00A54F66">
        <w:rPr>
          <w:szCs w:val="16"/>
          <w:lang w:val="es-CO"/>
        </w:rPr>
        <w:tab/>
      </w:r>
      <w:r w:rsidRPr="00A54F66">
        <w:rPr>
          <w:i/>
          <w:szCs w:val="16"/>
          <w:lang w:val="es-CO"/>
        </w:rPr>
        <w:t>Cfr</w:t>
      </w:r>
      <w:r w:rsidRPr="00A54F66">
        <w:rPr>
          <w:szCs w:val="16"/>
          <w:lang w:val="es-CO"/>
        </w:rPr>
        <w:t>. Escrito presentado por</w:t>
      </w:r>
      <w:r w:rsidRPr="00550CAE">
        <w:rPr>
          <w:szCs w:val="16"/>
          <w:lang w:val="es-CO"/>
        </w:rPr>
        <w:t xml:space="preserve"> el fiscal de Corte de 11 de enero de 1999 (expediente de prueba, folio 513).</w:t>
      </w:r>
    </w:p>
  </w:footnote>
  <w:footnote w:id="72">
    <w:p w14:paraId="12D985FC"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 1579).</w:t>
      </w:r>
    </w:p>
  </w:footnote>
  <w:footnote w:id="73">
    <w:p w14:paraId="3DF5CE18"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 1552).</w:t>
      </w:r>
    </w:p>
  </w:footnote>
  <w:footnote w:id="74">
    <w:p w14:paraId="19F03561"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 1559).</w:t>
      </w:r>
    </w:p>
  </w:footnote>
  <w:footnote w:id="75">
    <w:p w14:paraId="2F3C88BB"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 1560).</w:t>
      </w:r>
    </w:p>
  </w:footnote>
  <w:footnote w:id="76">
    <w:p w14:paraId="40563424"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folios 1560 y 1561).</w:t>
      </w:r>
    </w:p>
  </w:footnote>
  <w:footnote w:id="77">
    <w:p w14:paraId="461B2A7C"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Sentencia de la Sala de lo Constitucional de 4 de mayo de 1999 (expediente de prueba, folio 1565).</w:t>
      </w:r>
    </w:p>
  </w:footnote>
  <w:footnote w:id="78">
    <w:p w14:paraId="1B39B5FC" w14:textId="77777777" w:rsidR="007D60D2" w:rsidRPr="00550CAE" w:rsidRDefault="007D60D2" w:rsidP="00550CAE">
      <w:pPr>
        <w:pStyle w:val="FootnoteText"/>
        <w:tabs>
          <w:tab w:val="left" w:pos="540"/>
        </w:tabs>
        <w:rPr>
          <w:szCs w:val="16"/>
          <w:lang w:val="es-MX"/>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Voto en contra de la Sentencia de la Sala de lo Constitucional de 4 de mayo de 1999 del doctor Jose Enrique Argumedo (expediente de prueba, folio 1580).</w:t>
      </w:r>
    </w:p>
  </w:footnote>
  <w:footnote w:id="79">
    <w:p w14:paraId="10073D59" w14:textId="68674B6A" w:rsidR="007D60D2" w:rsidRPr="00550CAE" w:rsidRDefault="007D60D2" w:rsidP="00550CAE">
      <w:pPr>
        <w:pStyle w:val="FootnoteText"/>
        <w:tabs>
          <w:tab w:val="left" w:pos="540"/>
        </w:tabs>
        <w:rPr>
          <w:color w:val="FF0000"/>
          <w:szCs w:val="16"/>
          <w:lang w:val="es-CO"/>
        </w:rPr>
      </w:pPr>
      <w:r w:rsidRPr="00550CAE">
        <w:rPr>
          <w:rStyle w:val="FootnoteReference"/>
          <w:szCs w:val="16"/>
        </w:rPr>
        <w:footnoteRef/>
      </w:r>
      <w:r w:rsidRPr="00550CAE">
        <w:rPr>
          <w:szCs w:val="16"/>
          <w:lang w:val="es-CR"/>
        </w:rPr>
        <w:t xml:space="preserve"> </w:t>
      </w:r>
      <w:r w:rsidRPr="00550CAE">
        <w:rPr>
          <w:szCs w:val="16"/>
          <w:lang w:val="es-CR"/>
        </w:rPr>
        <w:tab/>
      </w:r>
      <w:r w:rsidRPr="00550CAE">
        <w:rPr>
          <w:i/>
          <w:szCs w:val="16"/>
          <w:lang w:val="es-CR"/>
        </w:rPr>
        <w:t>Cfr</w:t>
      </w:r>
      <w:r w:rsidRPr="00550CAE">
        <w:rPr>
          <w:szCs w:val="16"/>
          <w:lang w:val="es-CR"/>
        </w:rPr>
        <w:t xml:space="preserve">. </w:t>
      </w:r>
      <w:r>
        <w:rPr>
          <w:szCs w:val="16"/>
          <w:lang w:val="es-CO"/>
        </w:rPr>
        <w:t>Acción</w:t>
      </w:r>
      <w:r w:rsidRPr="00550CAE">
        <w:rPr>
          <w:szCs w:val="16"/>
          <w:lang w:val="es-CR"/>
        </w:rPr>
        <w:t xml:space="preserve"> de Amparo de 27 de julio de 1999 (expediente de prueba, folio</w:t>
      </w:r>
      <w:r>
        <w:rPr>
          <w:szCs w:val="16"/>
          <w:lang w:val="es-CR"/>
        </w:rPr>
        <w:t>s 552 a 559</w:t>
      </w:r>
      <w:r w:rsidRPr="00550CAE">
        <w:rPr>
          <w:szCs w:val="16"/>
          <w:lang w:val="es-CR"/>
        </w:rPr>
        <w:t>)</w:t>
      </w:r>
      <w:r w:rsidRPr="00550CAE">
        <w:rPr>
          <w:szCs w:val="16"/>
          <w:lang w:val="es-CO"/>
        </w:rPr>
        <w:t>.</w:t>
      </w:r>
    </w:p>
  </w:footnote>
  <w:footnote w:id="80">
    <w:p w14:paraId="00C926AC" w14:textId="77777777" w:rsidR="007D60D2" w:rsidRPr="00550CAE" w:rsidRDefault="007D60D2" w:rsidP="00550CAE">
      <w:pPr>
        <w:tabs>
          <w:tab w:val="left" w:pos="540"/>
        </w:tabs>
        <w:jc w:val="both"/>
        <w:rPr>
          <w:sz w:val="16"/>
          <w:szCs w:val="16"/>
          <w:lang w:val="es-CO"/>
        </w:rPr>
      </w:pPr>
      <w:r w:rsidRPr="00550CAE">
        <w:rPr>
          <w:rStyle w:val="FootnoteReference"/>
          <w:szCs w:val="16"/>
        </w:rPr>
        <w:footnoteRef/>
      </w:r>
      <w:r w:rsidRPr="00550CAE">
        <w:rPr>
          <w:sz w:val="16"/>
          <w:szCs w:val="16"/>
          <w:lang w:val="es-CO"/>
        </w:rPr>
        <w:t xml:space="preserve"> </w:t>
      </w:r>
      <w:r w:rsidRPr="00550CAE">
        <w:rPr>
          <w:sz w:val="16"/>
          <w:szCs w:val="16"/>
          <w:lang w:val="es-CO"/>
        </w:rPr>
        <w:tab/>
      </w:r>
      <w:r w:rsidRPr="00550CAE">
        <w:rPr>
          <w:i/>
          <w:sz w:val="16"/>
          <w:szCs w:val="16"/>
          <w:lang w:val="es-CO"/>
        </w:rPr>
        <w:t xml:space="preserve">Cfr. </w:t>
      </w:r>
      <w:r w:rsidRPr="00550CAE">
        <w:rPr>
          <w:sz w:val="16"/>
          <w:szCs w:val="16"/>
          <w:lang w:val="es-CO"/>
        </w:rPr>
        <w:t>Resolución de la Sala de lo Constitucional de 5 de noviembre de 1999 (expediente de prueba, folio 1586).</w:t>
      </w:r>
    </w:p>
  </w:footnote>
  <w:footnote w:id="81">
    <w:p w14:paraId="3FDD55D2" w14:textId="77777777" w:rsidR="007D60D2" w:rsidRPr="00550CAE" w:rsidRDefault="007D60D2" w:rsidP="00550CAE">
      <w:pPr>
        <w:tabs>
          <w:tab w:val="left" w:pos="540"/>
        </w:tabs>
        <w:jc w:val="both"/>
        <w:rPr>
          <w:sz w:val="16"/>
          <w:szCs w:val="16"/>
          <w:lang w:val="es-CO"/>
        </w:rPr>
      </w:pPr>
      <w:r w:rsidRPr="00550CAE">
        <w:rPr>
          <w:rStyle w:val="FootnoteReference"/>
          <w:szCs w:val="16"/>
        </w:rPr>
        <w:footnoteRef/>
      </w:r>
      <w:r w:rsidRPr="00550CAE">
        <w:rPr>
          <w:sz w:val="16"/>
          <w:szCs w:val="16"/>
          <w:lang w:val="es-CO"/>
        </w:rPr>
        <w:t xml:space="preserve"> </w:t>
      </w:r>
      <w:r w:rsidRPr="00550CAE">
        <w:rPr>
          <w:sz w:val="16"/>
          <w:szCs w:val="16"/>
          <w:lang w:val="es-CO"/>
        </w:rPr>
        <w:tab/>
      </w:r>
      <w:r w:rsidRPr="00550CAE">
        <w:rPr>
          <w:i/>
          <w:sz w:val="16"/>
          <w:szCs w:val="16"/>
          <w:lang w:val="es-CO"/>
        </w:rPr>
        <w:t xml:space="preserve">Cfr. </w:t>
      </w:r>
      <w:r w:rsidRPr="00550CAE">
        <w:rPr>
          <w:sz w:val="16"/>
          <w:szCs w:val="16"/>
          <w:lang w:val="es-CO"/>
        </w:rPr>
        <w:t>Resolución de la Sala de lo Constitucional de 5 de noviembre de 1999 (expediente de prueba, folio 1585).</w:t>
      </w:r>
    </w:p>
  </w:footnote>
  <w:footnote w:id="82">
    <w:p w14:paraId="2932421E"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 xml:space="preserve">Cfr. </w:t>
      </w:r>
      <w:r w:rsidRPr="00550CAE">
        <w:rPr>
          <w:szCs w:val="16"/>
          <w:lang w:val="es-CO"/>
        </w:rPr>
        <w:t>Resolución de la Sala de lo Constitucional de 5 de noviembre de 1999 (expediente de prueba, folio 1585).</w:t>
      </w:r>
    </w:p>
  </w:footnote>
  <w:footnote w:id="83">
    <w:p w14:paraId="081F3C43" w14:textId="77777777" w:rsidR="007D60D2" w:rsidRPr="00550CAE" w:rsidRDefault="007D60D2" w:rsidP="00550CAE">
      <w:pPr>
        <w:pStyle w:val="FootnoteText"/>
        <w:tabs>
          <w:tab w:val="left" w:pos="540"/>
          <w:tab w:val="left" w:pos="567"/>
        </w:tabs>
        <w:rPr>
          <w:i/>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lang w:val="es-CR"/>
        </w:rPr>
        <w:t xml:space="preserve">Escrito de 12 de enero de 1999 presentado ante la Cámara Primera de lo Civil de la Primera Sección del Centro (expediente de prueba, folios 570 a 575). </w:t>
      </w:r>
    </w:p>
  </w:footnote>
  <w:footnote w:id="84">
    <w:p w14:paraId="31579522" w14:textId="77777777" w:rsidR="007D60D2" w:rsidRPr="00550CAE" w:rsidRDefault="007D60D2" w:rsidP="00550CAE">
      <w:pPr>
        <w:pStyle w:val="FootnoteText"/>
        <w:tabs>
          <w:tab w:val="left" w:pos="540"/>
        </w:tabs>
        <w:rPr>
          <w:b/>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 xml:space="preserve">Sentencia de la </w:t>
      </w:r>
      <w:r w:rsidRPr="00550CAE">
        <w:rPr>
          <w:szCs w:val="16"/>
          <w:lang w:val="es-CO"/>
        </w:rPr>
        <w:t xml:space="preserve">Cámara Primera de lo Civil de la Primera Sección del Centro de 23 de diciembre de 1999 (expediente de prueba, folio 1646). </w:t>
      </w:r>
    </w:p>
  </w:footnote>
  <w:footnote w:id="85">
    <w:p w14:paraId="0800F513"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 xml:space="preserve">Sentencia de la </w:t>
      </w:r>
      <w:r w:rsidRPr="00550CAE">
        <w:rPr>
          <w:szCs w:val="16"/>
          <w:lang w:val="es-CO"/>
        </w:rPr>
        <w:t xml:space="preserve">Cámara Primera de lo Civil de la Primera Sección del Centro de 23 de diciembre de 1999 (expediente de prueba, folio 1637). </w:t>
      </w:r>
    </w:p>
  </w:footnote>
  <w:footnote w:id="86">
    <w:p w14:paraId="27C68477"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lang w:val="es-CR"/>
        </w:rPr>
        <w:tab/>
      </w:r>
      <w:r w:rsidRPr="00550CAE">
        <w:rPr>
          <w:i/>
          <w:szCs w:val="16"/>
        </w:rPr>
        <w:t>Cfr</w:t>
      </w:r>
      <w:r w:rsidRPr="00550CAE">
        <w:rPr>
          <w:szCs w:val="16"/>
        </w:rPr>
        <w:t>. Sentencia de segunda instancia de la Sala de lo Civil de la Corte Suprema de Justicia de 13 de junio de 2001 (expediente de prueba, folios 1658 y 1660).</w:t>
      </w:r>
    </w:p>
  </w:footnote>
  <w:footnote w:id="87">
    <w:p w14:paraId="05D4834E"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 xml:space="preserve">Sentencia de la </w:t>
      </w:r>
      <w:r w:rsidRPr="00550CAE">
        <w:rPr>
          <w:szCs w:val="16"/>
          <w:lang w:val="es-CO"/>
        </w:rPr>
        <w:t xml:space="preserve">la Sala de lo Civil de la Corte Suprema de Justicia de 13 de junio de 2001 (expediente de prueba, folio </w:t>
      </w:r>
      <w:r w:rsidRPr="00550CAE">
        <w:rPr>
          <w:szCs w:val="16"/>
        </w:rPr>
        <w:t>1672).</w:t>
      </w:r>
    </w:p>
  </w:footnote>
  <w:footnote w:id="88">
    <w:p w14:paraId="44BDF20C" w14:textId="77777777"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lang w:val="es-CR"/>
        </w:rPr>
        <w:tab/>
      </w:r>
      <w:r w:rsidRPr="00550CAE">
        <w:rPr>
          <w:i/>
          <w:szCs w:val="16"/>
        </w:rPr>
        <w:t>Cfr</w:t>
      </w:r>
      <w:r w:rsidRPr="00550CAE">
        <w:rPr>
          <w:szCs w:val="16"/>
        </w:rPr>
        <w:t>. Sentencia de la Corte Suprema de Justicia de 22 de diciembre de 2009 (expediente de prueba, folios 1678 a 1681).</w:t>
      </w:r>
    </w:p>
  </w:footnote>
  <w:footnote w:id="89">
    <w:p w14:paraId="45FB7E5E" w14:textId="77777777" w:rsidR="007D60D2" w:rsidRPr="00550CAE" w:rsidRDefault="007D60D2" w:rsidP="00550CA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Sentencia de la Corte Suprema de Justicia de 22 de diciembre de 2009 (expediente de prueba, folio 1692).</w:t>
      </w:r>
    </w:p>
  </w:footnote>
  <w:footnote w:id="90">
    <w:p w14:paraId="5C2BA4FA"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Copia de la certificación del cheque de 7 de febrero de 2014 (expediente de prueba, folio 1618), y</w:t>
      </w:r>
      <w:r w:rsidRPr="00550CAE">
        <w:rPr>
          <w:i/>
          <w:szCs w:val="16"/>
        </w:rPr>
        <w:t xml:space="preserve"> </w:t>
      </w:r>
      <w:r w:rsidRPr="00550CAE">
        <w:rPr>
          <w:szCs w:val="16"/>
        </w:rPr>
        <w:t>acta notarial de finiquito de 6 de febrero de 2014 (expediente de prueba, folios 1615 y 1616).</w:t>
      </w:r>
    </w:p>
  </w:footnote>
  <w:footnote w:id="91">
    <w:p w14:paraId="1164F9F1"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rPr>
        <w:t xml:space="preserve"> </w:t>
      </w:r>
      <w:r w:rsidRPr="00550CAE">
        <w:rPr>
          <w:szCs w:val="16"/>
          <w:lang w:val="es-CR"/>
        </w:rPr>
        <w:tab/>
        <w:t>El artículo 8.1 de la Convención establece que:</w:t>
      </w:r>
      <w:r w:rsidRPr="00550CAE">
        <w:rPr>
          <w:rFonts w:cs="Tahoma"/>
          <w:color w:val="000000"/>
          <w:szCs w:val="16"/>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92">
    <w:p w14:paraId="69D55456"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szCs w:val="16"/>
          <w:lang w:val="es-CR"/>
        </w:rPr>
        <w:t>El artículo 25.1 de la Convención establece que:</w:t>
      </w:r>
      <w:r w:rsidRPr="00550CAE">
        <w:rPr>
          <w:rFonts w:cs="Tahoma"/>
          <w:color w:val="000000"/>
          <w:szCs w:val="16"/>
        </w:rPr>
        <w:t xml:space="preserv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3">
    <w:p w14:paraId="38115384"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t>El artículo 23.1.c de la Convención Americana establece: “[t]odos los ciudadanos deben gozar de los siguientes derechos y oportunidades: […] de tener acceso, en condiciones generales de igualdad, a las funciones públicas de su país”.</w:t>
      </w:r>
    </w:p>
  </w:footnote>
  <w:footnote w:id="94">
    <w:p w14:paraId="0BBDB47D" w14:textId="77777777" w:rsidR="007D60D2" w:rsidRPr="00550CAE" w:rsidRDefault="007D60D2" w:rsidP="00550CAE">
      <w:pPr>
        <w:pStyle w:val="FootnoteText"/>
        <w:tabs>
          <w:tab w:val="left" w:pos="540"/>
          <w:tab w:val="left" w:pos="567"/>
        </w:tabs>
        <w:rPr>
          <w:bCs/>
          <w:szCs w:val="16"/>
        </w:rPr>
      </w:pPr>
      <w:r w:rsidRPr="00550CAE">
        <w:rPr>
          <w:rStyle w:val="FootnoteReference"/>
          <w:szCs w:val="16"/>
        </w:rPr>
        <w:footnoteRef/>
      </w:r>
      <w:r w:rsidRPr="00550CAE">
        <w:rPr>
          <w:szCs w:val="16"/>
        </w:rPr>
        <w:t xml:space="preserve"> </w:t>
      </w:r>
      <w:r w:rsidRPr="00550CAE">
        <w:rPr>
          <w:szCs w:val="16"/>
        </w:rPr>
        <w:tab/>
        <w:t>El artículo 1.1 de la Convención establece que: “[L]</w:t>
      </w:r>
      <w:r w:rsidRPr="00550CAE">
        <w:rPr>
          <w:bCs/>
          <w:szCs w:val="16"/>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550CAE">
        <w:rPr>
          <w:szCs w:val="16"/>
        </w:rPr>
        <w:t>”.</w:t>
      </w:r>
    </w:p>
  </w:footnote>
  <w:footnote w:id="95">
    <w:p w14:paraId="07C1E878"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t>El artículo 2 de la Convención establece que “</w:t>
      </w:r>
      <w:r w:rsidRPr="00550CAE">
        <w:rPr>
          <w:szCs w:val="16"/>
          <w:lang w:val="es-MX"/>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96">
    <w:p w14:paraId="1E442D17" w14:textId="0CDB15E9" w:rsidR="007D60D2" w:rsidRPr="00D731DA" w:rsidRDefault="007D60D2" w:rsidP="00533384">
      <w:pPr>
        <w:pStyle w:val="FootnoteText"/>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 Garantías Judiciales en Estados de Emergencia (arts. 27.2, 25 y 8 Convención Americana sobre Derechos Humanos).</w:t>
      </w:r>
      <w:r w:rsidRPr="00550CAE">
        <w:rPr>
          <w:szCs w:val="16"/>
        </w:rPr>
        <w:t xml:space="preserve"> Opinión Consultiva OC-9/87 del 6 de octubre de 1987. Serie A No. 9, párr. 27, y </w:t>
      </w:r>
      <w:r w:rsidRPr="00D731DA">
        <w:rPr>
          <w:i/>
          <w:szCs w:val="16"/>
        </w:rPr>
        <w:t xml:space="preserve">Caso Ruano Torres y otros Vs. El Salvador. Fondo, Reparaciones y Costas. </w:t>
      </w:r>
      <w:r w:rsidRPr="00D731DA">
        <w:rPr>
          <w:szCs w:val="16"/>
        </w:rPr>
        <w:t>Sentencia de 5 de o</w:t>
      </w:r>
      <w:r>
        <w:rPr>
          <w:szCs w:val="16"/>
        </w:rPr>
        <w:t>ctubre de 2015. Serie C No. 303, párr. 151.</w:t>
      </w:r>
    </w:p>
  </w:footnote>
  <w:footnote w:id="97">
    <w:p w14:paraId="38828859" w14:textId="6368989A" w:rsidR="007D60D2" w:rsidRPr="00550CAE" w:rsidRDefault="007D60D2" w:rsidP="00533384">
      <w:pPr>
        <w:pStyle w:val="FootnoteText"/>
        <w:rPr>
          <w:i/>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 Excepciones al Agotamiento de los Recursos Internos (arts. 46.1, 46.2.a y 46.2.b, Convención Americana sobre Derechos Humanos).</w:t>
      </w:r>
      <w:r w:rsidRPr="00550CAE">
        <w:rPr>
          <w:szCs w:val="16"/>
        </w:rPr>
        <w:t xml:space="preserve"> Opinión Consultiva OC-11/90 del 10 de agosto de 1990. Serie A No. 11, párr. 28, y </w:t>
      </w:r>
      <w:r w:rsidRPr="00D731DA">
        <w:rPr>
          <w:i/>
          <w:szCs w:val="16"/>
        </w:rPr>
        <w:t xml:space="preserve">Caso Familia Pacheco Tineo Vs. Bolivia. Excepciones Preliminares, Fondo, Reparaciones y Costas. </w:t>
      </w:r>
      <w:r w:rsidRPr="00D731DA">
        <w:rPr>
          <w:szCs w:val="16"/>
        </w:rPr>
        <w:t>Sentencia de 25 de nov</w:t>
      </w:r>
      <w:r>
        <w:rPr>
          <w:szCs w:val="16"/>
        </w:rPr>
        <w:t>iembre de 2013. Serie C No. 272, párr. 130.</w:t>
      </w:r>
    </w:p>
  </w:footnote>
  <w:footnote w:id="98">
    <w:p w14:paraId="02B592A1" w14:textId="77777777" w:rsidR="007D60D2" w:rsidRPr="00550CAE" w:rsidRDefault="007D60D2" w:rsidP="00533384">
      <w:pPr>
        <w:pStyle w:val="FootnoteText"/>
        <w:tabs>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Caso Claude Reyes y otros Vs. Chile. Fondo, Reparaciones y Costas. </w:t>
      </w:r>
      <w:r w:rsidRPr="00550CAE">
        <w:rPr>
          <w:szCs w:val="16"/>
        </w:rPr>
        <w:t xml:space="preserve">Sentencia de 19 de septiembre de 2006. Serie C No. 151, párr. 119, y </w:t>
      </w:r>
      <w:r w:rsidRPr="00550CAE">
        <w:rPr>
          <w:i/>
          <w:szCs w:val="16"/>
        </w:rPr>
        <w:t>Caso Barbani Duarte y otros Vs. Uruguay. Fondo, Reparaciones y costas.</w:t>
      </w:r>
      <w:r w:rsidRPr="00550CAE">
        <w:rPr>
          <w:szCs w:val="16"/>
        </w:rPr>
        <w:t xml:space="preserve"> Sentencia de 13 de octubre de 2011. Serie C No. 234, párr. 117.</w:t>
      </w:r>
    </w:p>
  </w:footnote>
  <w:footnote w:id="99">
    <w:p w14:paraId="0AC6EB3B" w14:textId="5E876185" w:rsidR="007D60D2" w:rsidRPr="00550CAE" w:rsidRDefault="007D60D2" w:rsidP="00533384">
      <w:pPr>
        <w:pStyle w:val="FootnoteText"/>
        <w:tabs>
          <w:tab w:val="left" w:pos="540"/>
          <w:tab w:val="left" w:pos="567"/>
        </w:tabs>
        <w:ind w:right="11"/>
        <w:rPr>
          <w:szCs w:val="16"/>
          <w:lang w:bidi="en-US"/>
        </w:rPr>
      </w:pPr>
      <w:r w:rsidRPr="00550CAE">
        <w:rPr>
          <w:rStyle w:val="FootnoteReference"/>
          <w:szCs w:val="16"/>
        </w:rPr>
        <w:footnoteRef/>
      </w:r>
      <w:r w:rsidRPr="00550CAE">
        <w:rPr>
          <w:szCs w:val="16"/>
        </w:rPr>
        <w:t xml:space="preserve"> </w:t>
      </w:r>
      <w:r w:rsidRPr="00550CAE">
        <w:rPr>
          <w:szCs w:val="16"/>
        </w:rPr>
        <w:tab/>
      </w:r>
      <w:r w:rsidRPr="00550CAE">
        <w:rPr>
          <w:i/>
          <w:szCs w:val="16"/>
          <w:lang w:bidi="en-US"/>
        </w:rPr>
        <w:t>Cfr</w:t>
      </w:r>
      <w:r w:rsidRPr="00550CAE">
        <w:rPr>
          <w:szCs w:val="16"/>
          <w:lang w:bidi="en-US"/>
        </w:rPr>
        <w:t xml:space="preserve">. </w:t>
      </w:r>
      <w:r w:rsidRPr="00550CAE">
        <w:rPr>
          <w:i/>
          <w:iCs/>
          <w:szCs w:val="16"/>
          <w:lang w:bidi="en-US"/>
        </w:rPr>
        <w:t xml:space="preserve">Caso del Tribunal Constitucional Vs. Perú, </w:t>
      </w:r>
      <w:r w:rsidRPr="00550CAE">
        <w:rPr>
          <w:rFonts w:cs="Arial"/>
          <w:i/>
          <w:szCs w:val="16"/>
          <w:lang w:val="es-CL"/>
        </w:rPr>
        <w:t xml:space="preserve">Fondo, Reparaciones y Costas. </w:t>
      </w:r>
      <w:r w:rsidRPr="00550CAE">
        <w:rPr>
          <w:rFonts w:cs="Arial"/>
          <w:szCs w:val="16"/>
          <w:lang w:val="es-CL"/>
        </w:rPr>
        <w:t>Sentencia de 31 de enero de 2001</w:t>
      </w:r>
      <w:r w:rsidRPr="00550CAE">
        <w:rPr>
          <w:rFonts w:cs="Arial"/>
          <w:bCs/>
          <w:szCs w:val="16"/>
          <w:lang w:val="es-CO"/>
        </w:rPr>
        <w:t xml:space="preserve">, </w:t>
      </w:r>
      <w:r w:rsidRPr="00550CAE">
        <w:rPr>
          <w:rFonts w:cs="Arial"/>
          <w:szCs w:val="16"/>
          <w:lang w:val="es-CL"/>
        </w:rPr>
        <w:t>párr. 71</w:t>
      </w:r>
      <w:r w:rsidRPr="00550CAE">
        <w:rPr>
          <w:szCs w:val="16"/>
          <w:lang w:bidi="en-US"/>
        </w:rPr>
        <w:t xml:space="preserve">, y </w:t>
      </w:r>
      <w:r w:rsidRPr="00D731DA">
        <w:rPr>
          <w:i/>
          <w:szCs w:val="16"/>
        </w:rPr>
        <w:t xml:space="preserve">Caso Flor Freire Vs. Ecuador. Excepción Preliminar, Fondo, Reparaciones y Costas. </w:t>
      </w:r>
      <w:r w:rsidRPr="00D731DA">
        <w:rPr>
          <w:szCs w:val="16"/>
        </w:rPr>
        <w:t xml:space="preserve">Sentencia de 31 de </w:t>
      </w:r>
      <w:r>
        <w:rPr>
          <w:szCs w:val="16"/>
        </w:rPr>
        <w:t>agosto de 2016. Serie C No. 315, párr. 165.</w:t>
      </w:r>
    </w:p>
  </w:footnote>
  <w:footnote w:id="100">
    <w:p w14:paraId="0C3AE784" w14:textId="4619200E" w:rsidR="007D60D2" w:rsidRPr="00550CAE" w:rsidRDefault="007D60D2" w:rsidP="00533384">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iCs/>
          <w:szCs w:val="16"/>
          <w:lang w:bidi="en-US"/>
        </w:rPr>
        <w:t>Cfr.</w:t>
      </w:r>
      <w:r w:rsidRPr="00550CAE">
        <w:rPr>
          <w:szCs w:val="16"/>
          <w:lang w:bidi="en-US"/>
        </w:rPr>
        <w:t xml:space="preserve"> </w:t>
      </w:r>
      <w:r w:rsidRPr="00550CAE">
        <w:rPr>
          <w:i/>
          <w:szCs w:val="16"/>
          <w:lang w:bidi="en-US"/>
        </w:rPr>
        <w:t>Caso Claude Reyes y otros Vs. Chile. Fondo, Reparaciones y Costas.</w:t>
      </w:r>
      <w:r w:rsidRPr="00550CAE">
        <w:rPr>
          <w:szCs w:val="16"/>
          <w:lang w:bidi="en-US"/>
        </w:rPr>
        <w:t xml:space="preserve"> Sentencia de 19 de septiembre de 2006. Serie C No. 151, párr. 119, y </w:t>
      </w:r>
      <w:r w:rsidRPr="00D731DA">
        <w:rPr>
          <w:i/>
          <w:szCs w:val="16"/>
        </w:rPr>
        <w:t xml:space="preserve">Caso Flor Freire Vs. Ecuador. Excepción Preliminar, Fondo, Reparaciones y Costas. </w:t>
      </w:r>
      <w:r w:rsidRPr="00D731DA">
        <w:rPr>
          <w:szCs w:val="16"/>
        </w:rPr>
        <w:t xml:space="preserve">Sentencia de 31 de </w:t>
      </w:r>
      <w:r>
        <w:rPr>
          <w:szCs w:val="16"/>
        </w:rPr>
        <w:t>agosto de 2016. Serie C No. 315, párr. 165.</w:t>
      </w:r>
    </w:p>
  </w:footnote>
  <w:footnote w:id="101">
    <w:p w14:paraId="4AD07C73" w14:textId="77777777" w:rsidR="007D60D2" w:rsidRPr="00550CAE" w:rsidRDefault="007D60D2" w:rsidP="00533384">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t xml:space="preserve">Código Electoral, Decreto N° 47, art. 80 (expediente de prueba, folios 1384 y 1385). </w:t>
      </w:r>
    </w:p>
  </w:footnote>
  <w:footnote w:id="102">
    <w:p w14:paraId="3B4319A1" w14:textId="77777777" w:rsidR="007D60D2" w:rsidRPr="00550CAE" w:rsidRDefault="007D60D2" w:rsidP="00533384">
      <w:pPr>
        <w:pStyle w:val="FootnoteText"/>
        <w:tabs>
          <w:tab w:val="left" w:pos="540"/>
          <w:tab w:val="left" w:pos="567"/>
        </w:tabs>
        <w:rPr>
          <w:rFonts w:cs="Arial"/>
          <w:i/>
          <w:szCs w:val="16"/>
          <w:lang w:val="es-CR"/>
        </w:rPr>
      </w:pPr>
      <w:r w:rsidRPr="00550CAE">
        <w:rPr>
          <w:rStyle w:val="FootnoteReference"/>
          <w:szCs w:val="16"/>
        </w:rPr>
        <w:footnoteRef/>
      </w:r>
      <w:r w:rsidRPr="00550CAE">
        <w:rPr>
          <w:rFonts w:cs="Arial"/>
          <w:szCs w:val="16"/>
          <w:vertAlign w:val="superscript"/>
          <w:lang w:val="es-CR"/>
        </w:rPr>
        <w:t xml:space="preserve"> </w:t>
      </w:r>
      <w:r w:rsidRPr="00550CAE">
        <w:rPr>
          <w:rFonts w:cs="Arial"/>
          <w:szCs w:val="16"/>
          <w:lang w:val="es-CR"/>
        </w:rPr>
        <w:tab/>
      </w:r>
      <w:r w:rsidRPr="00550CAE">
        <w:rPr>
          <w:rFonts w:cs="Arial"/>
          <w:i/>
          <w:szCs w:val="16"/>
          <w:lang w:val="es-CR"/>
        </w:rPr>
        <w:t xml:space="preserve">Cfr. </w:t>
      </w:r>
      <w:r w:rsidRPr="00550CAE">
        <w:rPr>
          <w:bCs/>
          <w:i/>
          <w:szCs w:val="16"/>
        </w:rPr>
        <w:t xml:space="preserve">Caso Reverón Trujillo Vs. Venezuela. Excepción Preliminar, Fondo, Reparaciones y Costas. </w:t>
      </w:r>
      <w:r w:rsidRPr="00550CAE">
        <w:rPr>
          <w:bCs/>
          <w:szCs w:val="16"/>
        </w:rPr>
        <w:t>Sentencia de 30 de junio de 2009. Serie C No. 197</w:t>
      </w:r>
      <w:r w:rsidRPr="00550CAE">
        <w:rPr>
          <w:szCs w:val="16"/>
        </w:rPr>
        <w:t xml:space="preserve">, </w:t>
      </w:r>
      <w:r w:rsidRPr="00550CAE">
        <w:rPr>
          <w:rFonts w:cs="Arial"/>
          <w:szCs w:val="16"/>
          <w:lang w:val="es-CR"/>
        </w:rPr>
        <w:t>párr. 67</w:t>
      </w:r>
      <w:r w:rsidRPr="00550CAE">
        <w:rPr>
          <w:szCs w:val="16"/>
          <w:lang w:val="es-CO"/>
        </w:rPr>
        <w:t xml:space="preserve">, </w:t>
      </w:r>
      <w:r w:rsidRPr="00550CAE">
        <w:rPr>
          <w:rFonts w:cs="Arial"/>
          <w:szCs w:val="16"/>
          <w:lang w:val="es-CO"/>
        </w:rPr>
        <w:t xml:space="preserve">y </w:t>
      </w:r>
      <w:r w:rsidRPr="00550CAE">
        <w:rPr>
          <w:i/>
          <w:szCs w:val="16"/>
        </w:rPr>
        <w:t>Caso López Lone y otros Vs. Honduras. Excepción Preliminar, Fondo, Reparaciones y Costas.</w:t>
      </w:r>
      <w:r w:rsidRPr="00550CAE">
        <w:rPr>
          <w:szCs w:val="16"/>
        </w:rPr>
        <w:t xml:space="preserve"> Sentencia de 5 de octubre de 2015. Serie C No. 302, párr. 190.</w:t>
      </w:r>
    </w:p>
  </w:footnote>
  <w:footnote w:id="103">
    <w:p w14:paraId="2C1A394E" w14:textId="77777777" w:rsidR="007D60D2" w:rsidRPr="00550CAE" w:rsidRDefault="007D60D2" w:rsidP="00533384">
      <w:pPr>
        <w:pStyle w:val="FootnoteText"/>
        <w:tabs>
          <w:tab w:val="left" w:pos="540"/>
          <w:tab w:val="left" w:pos="567"/>
        </w:tabs>
        <w:rPr>
          <w:rFonts w:cs="Arial"/>
          <w:szCs w:val="16"/>
          <w:lang w:val="es-ES"/>
        </w:rPr>
      </w:pPr>
      <w:r w:rsidRPr="00550CAE">
        <w:rPr>
          <w:rStyle w:val="FootnoteReference"/>
          <w:szCs w:val="16"/>
          <w:lang w:val="es-ES"/>
        </w:rPr>
        <w:footnoteRef/>
      </w:r>
      <w:r w:rsidRPr="00550CAE">
        <w:rPr>
          <w:rFonts w:cs="Arial"/>
          <w:szCs w:val="16"/>
          <w:vertAlign w:val="superscript"/>
          <w:lang w:val="es-ES"/>
        </w:rPr>
        <w:t xml:space="preserve"> </w:t>
      </w:r>
      <w:r w:rsidRPr="00550CAE">
        <w:rPr>
          <w:rFonts w:cs="Arial"/>
          <w:szCs w:val="16"/>
          <w:lang w:val="es-ES"/>
        </w:rPr>
        <w:tab/>
      </w:r>
      <w:r w:rsidRPr="00550CAE">
        <w:rPr>
          <w:rFonts w:cs="Arial"/>
          <w:i/>
          <w:szCs w:val="16"/>
          <w:lang w:val="es-CL"/>
        </w:rPr>
        <w:t>Cfr.</w:t>
      </w:r>
      <w:r w:rsidRPr="00550CAE">
        <w:rPr>
          <w:rFonts w:cs="Arial"/>
          <w:i/>
          <w:szCs w:val="16"/>
          <w:lang w:val="es-CO"/>
        </w:rPr>
        <w:t xml:space="preserve"> </w:t>
      </w:r>
      <w:r w:rsidRPr="00550CAE">
        <w:rPr>
          <w:rFonts w:cs="Arial"/>
          <w:i/>
          <w:szCs w:val="16"/>
          <w:lang w:val="es-CL"/>
        </w:rPr>
        <w:t xml:space="preserve">Caso del Tribunal Constitucional Vs. Perú. Fondo, Reparaciones y Costas. </w:t>
      </w:r>
      <w:r w:rsidRPr="00550CAE">
        <w:rPr>
          <w:rFonts w:cs="Arial"/>
          <w:szCs w:val="16"/>
          <w:lang w:val="es-CL"/>
        </w:rPr>
        <w:t>Sentencia de 31 de enero de 2001</w:t>
      </w:r>
      <w:r w:rsidRPr="00550CAE">
        <w:rPr>
          <w:rFonts w:cs="Arial"/>
          <w:bCs/>
          <w:szCs w:val="16"/>
          <w:lang w:val="es-CO"/>
        </w:rPr>
        <w:t xml:space="preserve">, </w:t>
      </w:r>
      <w:r w:rsidRPr="00550CAE">
        <w:rPr>
          <w:rFonts w:cs="Arial"/>
          <w:szCs w:val="16"/>
          <w:lang w:val="es-CL"/>
        </w:rPr>
        <w:t xml:space="preserve">párr. 75, y </w:t>
      </w:r>
      <w:r w:rsidRPr="00550CAE">
        <w:rPr>
          <w:i/>
          <w:szCs w:val="16"/>
        </w:rPr>
        <w:t>Caso López Lone y otros Vs. Honduras. Excepción Preliminar, Fondo, Reparaciones y Costas.</w:t>
      </w:r>
      <w:r w:rsidRPr="00550CAE">
        <w:rPr>
          <w:szCs w:val="16"/>
        </w:rPr>
        <w:t xml:space="preserve"> Sentencia de 5 de octubre de 2015. Serie C No. 302, párr. 191.</w:t>
      </w:r>
    </w:p>
  </w:footnote>
  <w:footnote w:id="104">
    <w:p w14:paraId="05152900" w14:textId="3B4A8DC7" w:rsidR="007D60D2" w:rsidRPr="00550CAE" w:rsidRDefault="007D60D2" w:rsidP="00533384">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bCs/>
          <w:i/>
          <w:szCs w:val="16"/>
        </w:rPr>
        <w:t xml:space="preserve">Caso Reverón Trujillo Vs. Venezuela. Excepción Preliminar, Fondo, Reparaciones y Costas. </w:t>
      </w:r>
      <w:r w:rsidRPr="00550CAE">
        <w:rPr>
          <w:bCs/>
          <w:szCs w:val="16"/>
        </w:rPr>
        <w:t>Sentencia de 30 de junio de 2009. Serie C No. 197</w:t>
      </w:r>
      <w:r w:rsidRPr="00550CAE">
        <w:rPr>
          <w:szCs w:val="16"/>
        </w:rPr>
        <w:t xml:space="preserve">, </w:t>
      </w:r>
      <w:r w:rsidRPr="00550CAE">
        <w:rPr>
          <w:rFonts w:cs="Arial"/>
          <w:szCs w:val="16"/>
          <w:lang w:val="es-CR"/>
        </w:rPr>
        <w:t xml:space="preserve">párr. </w:t>
      </w:r>
      <w:r>
        <w:rPr>
          <w:rFonts w:cs="Arial"/>
          <w:szCs w:val="16"/>
          <w:lang w:val="es-CR"/>
        </w:rPr>
        <w:t xml:space="preserve">77, y </w:t>
      </w:r>
      <w:r w:rsidRPr="00550CAE">
        <w:rPr>
          <w:i/>
          <w:szCs w:val="16"/>
        </w:rPr>
        <w:t>Caso López Lone y otros Vs. Honduras. Excepción Preliminar, Fondo, Reparaciones y Costas.</w:t>
      </w:r>
      <w:r w:rsidRPr="00550CAE">
        <w:rPr>
          <w:szCs w:val="16"/>
        </w:rPr>
        <w:t xml:space="preserve"> Sentencia de 5 de octubre de 2015. Serie C No. 302, párr. 200</w:t>
      </w:r>
      <w:r w:rsidRPr="00550CAE">
        <w:rPr>
          <w:rFonts w:cs="Arial"/>
          <w:szCs w:val="16"/>
        </w:rPr>
        <w:t>.</w:t>
      </w:r>
    </w:p>
  </w:footnote>
  <w:footnote w:id="105">
    <w:p w14:paraId="34FFFAE4" w14:textId="1681BD98" w:rsidR="007D60D2" w:rsidRPr="00550CAE" w:rsidRDefault="007D60D2" w:rsidP="00550CAE">
      <w:pPr>
        <w:pStyle w:val="FootnoteText"/>
        <w:tabs>
          <w:tab w:val="left" w:pos="540"/>
          <w:tab w:val="left" w:pos="567"/>
        </w:tabs>
        <w:rPr>
          <w:b/>
          <w:szCs w:val="16"/>
        </w:rPr>
      </w:pPr>
      <w:r w:rsidRPr="00550CAE">
        <w:rPr>
          <w:rStyle w:val="FootnoteReference"/>
          <w:szCs w:val="16"/>
        </w:rPr>
        <w:footnoteRef/>
      </w:r>
      <w:r w:rsidRPr="00550CAE">
        <w:rPr>
          <w:i/>
          <w:szCs w:val="16"/>
        </w:rPr>
        <w:t xml:space="preserve"> </w:t>
      </w:r>
      <w:r w:rsidRPr="00550CAE">
        <w:rPr>
          <w:i/>
          <w:szCs w:val="16"/>
        </w:rPr>
        <w:tab/>
        <w:t xml:space="preserve">Cfr. Caso Las Palmeras Vs. Colombia. Fondo. </w:t>
      </w:r>
      <w:r w:rsidRPr="00550CAE">
        <w:rPr>
          <w:szCs w:val="16"/>
        </w:rPr>
        <w:t>Sentencia de 6 de diciembre de 2001. Serie C No. 90, párr. 33;</w:t>
      </w:r>
      <w:r w:rsidRPr="00550CAE">
        <w:rPr>
          <w:i/>
          <w:szCs w:val="16"/>
        </w:rPr>
        <w:t xml:space="preserve"> Caso Acevedo Jaramillo y otros Vs. Perú. Interpretación de la Sentencia de Excepciones Preliminares, Fondo, Reparaciones y Costas. </w:t>
      </w:r>
      <w:r w:rsidRPr="00550CAE">
        <w:rPr>
          <w:szCs w:val="16"/>
        </w:rPr>
        <w:t xml:space="preserve">Sentencia de 24 de noviembre de 2006. Serie C No. 157, párr. 66; </w:t>
      </w:r>
      <w:r w:rsidRPr="00550CAE">
        <w:rPr>
          <w:i/>
          <w:szCs w:val="16"/>
        </w:rPr>
        <w:t xml:space="preserve">Caso Masacre de Santo Domingo Vs. Colombia. Excepciones Preliminares, Fondo y Reparaciones. </w:t>
      </w:r>
      <w:r w:rsidRPr="00550CAE">
        <w:rPr>
          <w:szCs w:val="16"/>
        </w:rPr>
        <w:t xml:space="preserve">Sentencia de 30 de noviembre de 2012. Serie C No. 259, párr. 142; </w:t>
      </w:r>
      <w:r w:rsidRPr="00550CAE">
        <w:rPr>
          <w:i/>
          <w:szCs w:val="16"/>
        </w:rPr>
        <w:t xml:space="preserve">Caso Comunidad Campesina de Santa Bárbara Vs. Perú. Excepciones Preliminares, Fondo, Reparaciones y Costas. </w:t>
      </w:r>
      <w:r w:rsidRPr="00550CAE">
        <w:rPr>
          <w:szCs w:val="16"/>
        </w:rPr>
        <w:t xml:space="preserve">Sentencia de 1 de septiembre de 2015. Serie C No. 299, párr. 159; </w:t>
      </w:r>
      <w:r w:rsidRPr="00550CAE">
        <w:rPr>
          <w:i/>
          <w:szCs w:val="16"/>
        </w:rPr>
        <w:t>Caso García Ibarra y otros Vs. Ecuador. Excepciones Preliminares, Fondo, Reparaciones y Costas.</w:t>
      </w:r>
      <w:r w:rsidRPr="00550CAE">
        <w:rPr>
          <w:szCs w:val="16"/>
        </w:rPr>
        <w:t xml:space="preserve"> Sentencia de 17 de noviembre de 2015. Serie C No. 306, párr. 103;</w:t>
      </w:r>
      <w:r w:rsidRPr="00550CAE">
        <w:rPr>
          <w:i/>
          <w:szCs w:val="16"/>
        </w:rPr>
        <w:t xml:space="preserve"> Caso Duque Vs. Colombia. Excepciones Preliminares, Fondo, Reparaciones y Costas. </w:t>
      </w:r>
      <w:r w:rsidRPr="00550CAE">
        <w:rPr>
          <w:szCs w:val="16"/>
        </w:rPr>
        <w:t xml:space="preserve">Sentencia de 26 de febrero de 2016. Serie C No. 310, párr. 128; </w:t>
      </w:r>
      <w:r w:rsidRPr="00550CAE">
        <w:rPr>
          <w:i/>
          <w:szCs w:val="16"/>
        </w:rPr>
        <w:t xml:space="preserve">Caso Andrade Salmón Vs. Bolivia. Fondo, Reparaciones y Costas. </w:t>
      </w:r>
      <w:r w:rsidRPr="00550CAE">
        <w:rPr>
          <w:szCs w:val="16"/>
        </w:rPr>
        <w:t xml:space="preserve">Sentencia de 1 de diciembre de 2016. Serie C No. 330, párr. 92, y </w:t>
      </w:r>
      <w:r w:rsidRPr="00550CAE">
        <w:rPr>
          <w:i/>
          <w:szCs w:val="16"/>
        </w:rPr>
        <w:t>Caso Amrhein y otros Vs. Costa Rica. Excepciones Preliminares, Fondo, Reparaciones y Costas</w:t>
      </w:r>
      <w:r w:rsidRPr="00550CAE">
        <w:rPr>
          <w:szCs w:val="16"/>
        </w:rPr>
        <w:t>. Sentencia de 25 de abril de 2018. Serie C No. 354, párr. 97.</w:t>
      </w:r>
    </w:p>
  </w:footnote>
  <w:footnote w:id="106">
    <w:p w14:paraId="5B48D89D" w14:textId="668C006F" w:rsidR="007D60D2" w:rsidRPr="004D21C5" w:rsidRDefault="007D60D2" w:rsidP="00550CAE">
      <w:pPr>
        <w:pStyle w:val="FootnoteText"/>
        <w:tabs>
          <w:tab w:val="left" w:pos="540"/>
          <w:tab w:val="left" w:pos="567"/>
        </w:tabs>
        <w:rPr>
          <w:b/>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rStyle w:val="Strong"/>
          <w:b w:val="0"/>
          <w:i/>
          <w:color w:val="000000"/>
          <w:szCs w:val="16"/>
          <w:shd w:val="clear" w:color="auto" w:fill="FFFFFF"/>
        </w:rPr>
        <w:t>Caso Duque Vs. Colombia. Excepciones Preliminares, Fondo, Reparaciones y Costas.</w:t>
      </w:r>
      <w:r w:rsidRPr="00550CAE">
        <w:rPr>
          <w:rStyle w:val="Strong"/>
          <w:b w:val="0"/>
          <w:color w:val="000000"/>
          <w:szCs w:val="16"/>
          <w:shd w:val="clear" w:color="auto" w:fill="FFFFFF"/>
        </w:rPr>
        <w:t xml:space="preserve"> Sentencia de 26 de febrero de 2016. Serie C No. 310, párr. 128</w:t>
      </w:r>
      <w:r w:rsidRPr="00550CAE">
        <w:rPr>
          <w:szCs w:val="16"/>
        </w:rPr>
        <w:t xml:space="preserve">, y </w:t>
      </w:r>
      <w:r w:rsidRPr="004D21C5">
        <w:rPr>
          <w:i/>
          <w:szCs w:val="16"/>
        </w:rPr>
        <w:t xml:space="preserve">Caso Villamizar Durán y otros Vs. Colombia. Excepción Preliminar, Fondo, Reparaciones y Costas. </w:t>
      </w:r>
      <w:r w:rsidRPr="004D21C5">
        <w:rPr>
          <w:szCs w:val="16"/>
        </w:rPr>
        <w:t>Sentencia de 20 de noviembre de 2018. Serie C No. 364, párr. 129.</w:t>
      </w:r>
    </w:p>
  </w:footnote>
  <w:footnote w:id="107">
    <w:p w14:paraId="14AAEC6F" w14:textId="61F90032" w:rsidR="007D60D2" w:rsidRPr="00550CAE" w:rsidRDefault="007D60D2" w:rsidP="00550CAE">
      <w:pPr>
        <w:pStyle w:val="FootnoteText"/>
        <w:tabs>
          <w:tab w:val="left" w:pos="540"/>
          <w:tab w:val="left" w:pos="567"/>
        </w:tabs>
        <w:rPr>
          <w:b/>
          <w:szCs w:val="16"/>
        </w:rPr>
      </w:pPr>
      <w:r w:rsidRPr="00550CAE">
        <w:rPr>
          <w:rStyle w:val="FootnoteReference"/>
          <w:szCs w:val="16"/>
        </w:rPr>
        <w:footnoteRef/>
      </w:r>
      <w:r w:rsidRPr="00550CAE">
        <w:rPr>
          <w:i/>
          <w:szCs w:val="16"/>
        </w:rPr>
        <w:t xml:space="preserve"> </w:t>
      </w:r>
      <w:r w:rsidRPr="00550CAE">
        <w:rPr>
          <w:i/>
          <w:szCs w:val="16"/>
        </w:rPr>
        <w:tab/>
        <w:t>Cfr. Caso Acevedo Jaramillo y otros Vs. Perú. Interpretación de la Sentencia de Excepciones Preliminares, Fondo, Reparaciones y Costas</w:t>
      </w:r>
      <w:r w:rsidRPr="00550CAE">
        <w:rPr>
          <w:szCs w:val="16"/>
        </w:rPr>
        <w:t xml:space="preserve">, párr. 66, y </w:t>
      </w:r>
      <w:r w:rsidRPr="004D21C5">
        <w:rPr>
          <w:i/>
          <w:szCs w:val="16"/>
        </w:rPr>
        <w:t xml:space="preserve">Caso Villamizar Durán y otros Vs. Colombia. Excepción Preliminar, Fondo, Reparaciones y Costas. </w:t>
      </w:r>
      <w:r w:rsidRPr="004D21C5">
        <w:rPr>
          <w:szCs w:val="16"/>
        </w:rPr>
        <w:t>Sentencia de 20 de noviembre de 2018. Serie C No. 364, párr. 129.</w:t>
      </w:r>
    </w:p>
  </w:footnote>
  <w:footnote w:id="108">
    <w:p w14:paraId="7C3D194A" w14:textId="77777777" w:rsidR="007D60D2" w:rsidRPr="00550CAE" w:rsidRDefault="007D60D2" w:rsidP="00550CAE">
      <w:pPr>
        <w:pStyle w:val="FootnoteText"/>
        <w:tabs>
          <w:tab w:val="left" w:pos="540"/>
          <w:tab w:val="left" w:pos="567"/>
        </w:tabs>
        <w:rPr>
          <w:b/>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 Caso Masacre de Santo Domingo Vs. Colombia. Excepciones Preliminares, Fondo y Reparaciones</w:t>
      </w:r>
      <w:r w:rsidRPr="00550CAE">
        <w:rPr>
          <w:szCs w:val="16"/>
        </w:rPr>
        <w:t>, párr. 143</w:t>
      </w:r>
      <w:r w:rsidRPr="00550CAE">
        <w:rPr>
          <w:i/>
          <w:szCs w:val="16"/>
        </w:rPr>
        <w:t xml:space="preserve">, </w:t>
      </w:r>
      <w:r w:rsidRPr="00550CAE">
        <w:rPr>
          <w:szCs w:val="16"/>
        </w:rPr>
        <w:t xml:space="preserve">y </w:t>
      </w:r>
      <w:r w:rsidRPr="00550CAE">
        <w:rPr>
          <w:i/>
          <w:szCs w:val="16"/>
        </w:rPr>
        <w:t>Caso Amrhein y otros Vs. Costa Rica. Excepciones Preliminares, Fondo, Reparaciones y Costas</w:t>
      </w:r>
      <w:r w:rsidRPr="00550CAE">
        <w:rPr>
          <w:szCs w:val="16"/>
        </w:rPr>
        <w:t>. Sentencia de 25 de abril de 2018. Serie C No. 354, párr. 99.</w:t>
      </w:r>
    </w:p>
  </w:footnote>
  <w:footnote w:id="109">
    <w:p w14:paraId="4F002A36" w14:textId="58108129"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0089226C" w:rsidRPr="00930580">
        <w:rPr>
          <w:i/>
          <w:szCs w:val="16"/>
          <w:lang w:val="es-CR"/>
        </w:rPr>
        <w:t>Véase por ejemplo</w:t>
      </w:r>
      <w:r w:rsidR="0089226C" w:rsidRPr="00A54F66">
        <w:rPr>
          <w:szCs w:val="16"/>
        </w:rPr>
        <w:t xml:space="preserve">, </w:t>
      </w:r>
      <w:r w:rsidRPr="00550CAE">
        <w:rPr>
          <w:i/>
          <w:szCs w:val="16"/>
        </w:rPr>
        <w:t xml:space="preserve">Caso Masacre de Santo Domingo Vs. Colombia. Sentencia sobre Excepciones Preliminares, Fondo, Reparaciones y Costas, </w:t>
      </w:r>
      <w:r w:rsidRPr="00550CAE">
        <w:rPr>
          <w:szCs w:val="16"/>
        </w:rPr>
        <w:t>párrs. 143, 196, 200, 203, 206, 209, 220, 221, 225.</w:t>
      </w:r>
      <w:r w:rsidRPr="00550CAE">
        <w:rPr>
          <w:rStyle w:val="Strong"/>
          <w:color w:val="000000"/>
          <w:szCs w:val="16"/>
        </w:rPr>
        <w:t xml:space="preserve"> </w:t>
      </w:r>
      <w:r w:rsidRPr="00550CAE">
        <w:rPr>
          <w:i/>
          <w:szCs w:val="16"/>
        </w:rPr>
        <w:t>Véase asimismo,</w:t>
      </w:r>
      <w:r w:rsidRPr="00550CAE">
        <w:rPr>
          <w:szCs w:val="16"/>
        </w:rPr>
        <w:t xml:space="preserve"> </w:t>
      </w:r>
      <w:r w:rsidRPr="00550CAE">
        <w:rPr>
          <w:i/>
          <w:szCs w:val="16"/>
        </w:rPr>
        <w:t>Caso de la Masacre de Mapiripán Vs. Colombia. Fondo, Reparaciones y Costas.</w:t>
      </w:r>
      <w:r w:rsidRPr="00550CAE">
        <w:rPr>
          <w:szCs w:val="16"/>
        </w:rPr>
        <w:t xml:space="preserve"> Sentencia de 15 de septiembre de 2005. Serie C No. 134, párrs. 167 y ss</w:t>
      </w:r>
      <w:r w:rsidRPr="00550CAE">
        <w:rPr>
          <w:i/>
          <w:szCs w:val="16"/>
        </w:rPr>
        <w:t>.</w:t>
      </w:r>
      <w:r w:rsidRPr="00550CAE">
        <w:rPr>
          <w:szCs w:val="16"/>
        </w:rPr>
        <w:t xml:space="preserve">, y </w:t>
      </w:r>
      <w:r w:rsidRPr="00550CAE">
        <w:rPr>
          <w:rStyle w:val="Strong"/>
          <w:b w:val="0"/>
          <w:i/>
          <w:color w:val="000000"/>
          <w:szCs w:val="16"/>
        </w:rPr>
        <w:t>Caso Gelman Vs. Uruguay. Fondo y Reparaciones.</w:t>
      </w:r>
      <w:r w:rsidRPr="00550CAE">
        <w:rPr>
          <w:rStyle w:val="Strong"/>
          <w:b w:val="0"/>
          <w:color w:val="000000"/>
          <w:szCs w:val="16"/>
        </w:rPr>
        <w:t xml:space="preserve"> Sentencia de 24 de febrero de 2011. Serie C No. 221, párr. 124.</w:t>
      </w:r>
    </w:p>
  </w:footnote>
  <w:footnote w:id="110">
    <w:p w14:paraId="54603D0C" w14:textId="50384C5A"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4E1BA1">
        <w:rPr>
          <w:i/>
          <w:szCs w:val="16"/>
        </w:rPr>
        <w:t xml:space="preserve">Cfr. </w:t>
      </w:r>
      <w:r w:rsidRPr="004E1BA1">
        <w:rPr>
          <w:i/>
        </w:rPr>
        <w:t>Caso Tarazona Arrieta y otros vs. Perú</w:t>
      </w:r>
      <w:r w:rsidRPr="004E1BA1">
        <w:t xml:space="preserve">. </w:t>
      </w:r>
      <w:r w:rsidRPr="00B76C00">
        <w:rPr>
          <w:i/>
        </w:rPr>
        <w:t>Excepción Preliminar, Fondo, Reparaciones y Costas.</w:t>
      </w:r>
      <w:r w:rsidRPr="004E1BA1">
        <w:t xml:space="preserve"> Sentencia de 15 de Octubre de 2014</w:t>
      </w:r>
      <w:r>
        <w:t>. Serie C No. 286</w:t>
      </w:r>
      <w:r w:rsidRPr="004E1BA1">
        <w:t xml:space="preserve">, párrs. 139 a 141. </w:t>
      </w:r>
      <w:r w:rsidRPr="00474341">
        <w:rPr>
          <w:i/>
        </w:rPr>
        <w:t>V</w:t>
      </w:r>
      <w:r>
        <w:rPr>
          <w:i/>
        </w:rPr>
        <w:t>éase</w:t>
      </w:r>
      <w:r w:rsidRPr="00474341">
        <w:rPr>
          <w:i/>
        </w:rPr>
        <w:t xml:space="preserve"> también,</w:t>
      </w:r>
      <w:r w:rsidRPr="004E1BA1">
        <w:t xml:space="preserve"> </w:t>
      </w:r>
      <w:r w:rsidRPr="004E1BA1">
        <w:rPr>
          <w:i/>
        </w:rPr>
        <w:t>Caso Las Palmeras vs. Colombia</w:t>
      </w:r>
      <w:r w:rsidRPr="004E1BA1">
        <w:t>. Fondo. Sentencia de 6 de diciembre de 2001</w:t>
      </w:r>
      <w:r>
        <w:t xml:space="preserve">. </w:t>
      </w:r>
      <w:r w:rsidRPr="00550CAE">
        <w:rPr>
          <w:szCs w:val="16"/>
        </w:rPr>
        <w:t>Serie C No. 90</w:t>
      </w:r>
      <w:r w:rsidRPr="004E1BA1">
        <w:t>, párrs. 32 a 24 y punto resolutivo 1.</w:t>
      </w:r>
    </w:p>
  </w:footnote>
  <w:footnote w:id="111">
    <w:p w14:paraId="5581BA15" w14:textId="18A08144"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930580">
        <w:rPr>
          <w:i/>
          <w:szCs w:val="16"/>
        </w:rPr>
        <w:t>Véase por ejemplo</w:t>
      </w:r>
      <w:r>
        <w:rPr>
          <w:szCs w:val="16"/>
        </w:rPr>
        <w:t>,</w:t>
      </w:r>
      <w:r w:rsidRPr="00550CAE">
        <w:rPr>
          <w:szCs w:val="16"/>
        </w:rPr>
        <w:t xml:space="preserve"> </w:t>
      </w:r>
      <w:r w:rsidRPr="00930580">
        <w:rPr>
          <w:i/>
          <w:szCs w:val="16"/>
        </w:rPr>
        <w:t>Caso Amrhein y otros Vs. Costa Rica. Excepciones Preliminares, Fondo, Reparaciones y Costas.</w:t>
      </w:r>
      <w:r w:rsidRPr="00930580">
        <w:rPr>
          <w:szCs w:val="16"/>
        </w:rPr>
        <w:t xml:space="preserve"> Sentencia de 25 de</w:t>
      </w:r>
      <w:r>
        <w:rPr>
          <w:szCs w:val="16"/>
        </w:rPr>
        <w:t xml:space="preserve"> abril de 2018. Serie C No. 354, párrs. 97 a 115. </w:t>
      </w:r>
    </w:p>
  </w:footnote>
  <w:footnote w:id="112">
    <w:p w14:paraId="6BDA46BD" w14:textId="315A2517" w:rsidR="007D60D2" w:rsidRPr="00550CAE" w:rsidRDefault="007D60D2" w:rsidP="00550CAE">
      <w:pPr>
        <w:tabs>
          <w:tab w:val="left" w:pos="540"/>
          <w:tab w:val="left" w:pos="567"/>
        </w:tabs>
        <w:jc w:val="both"/>
        <w:rPr>
          <w:rStyle w:val="FootnoteReference"/>
          <w:szCs w:val="16"/>
          <w:lang w:val="es-CR"/>
        </w:rPr>
      </w:pPr>
      <w:r w:rsidRPr="00550CAE">
        <w:rPr>
          <w:rStyle w:val="FootnoteReference"/>
          <w:szCs w:val="16"/>
        </w:rPr>
        <w:footnoteRef/>
      </w:r>
      <w:r w:rsidRPr="00550CAE">
        <w:rPr>
          <w:rStyle w:val="FootnoteReference"/>
          <w:szCs w:val="16"/>
          <w:lang w:val="es-CR"/>
        </w:rPr>
        <w:t xml:space="preserve"> </w:t>
      </w:r>
      <w:r w:rsidRPr="00550CAE">
        <w:rPr>
          <w:sz w:val="16"/>
          <w:szCs w:val="16"/>
          <w:lang w:val="es-CR"/>
        </w:rPr>
        <w:tab/>
      </w:r>
      <w:r w:rsidRPr="00930580">
        <w:rPr>
          <w:i/>
          <w:sz w:val="16"/>
          <w:szCs w:val="16"/>
          <w:lang w:val="es-CR"/>
        </w:rPr>
        <w:t>Véase por ejemplo</w:t>
      </w:r>
      <w:r w:rsidRPr="00A54F66">
        <w:rPr>
          <w:sz w:val="16"/>
          <w:szCs w:val="16"/>
          <w:lang w:val="es-ES_tradnl"/>
        </w:rPr>
        <w:t xml:space="preserve">, </w:t>
      </w:r>
      <w:r w:rsidRPr="004D21C5">
        <w:rPr>
          <w:i/>
          <w:sz w:val="16"/>
          <w:szCs w:val="16"/>
          <w:lang w:val="es-CR"/>
        </w:rPr>
        <w:t>Caso Masacre de Santo Domingo Vs. Colombia. Excepciones Preliminares, Fondo y Reparaciones.</w:t>
      </w:r>
      <w:r w:rsidRPr="004D21C5">
        <w:rPr>
          <w:sz w:val="16"/>
          <w:szCs w:val="16"/>
          <w:lang w:val="es-CR"/>
        </w:rPr>
        <w:t xml:space="preserve"> Sentencia de 30 de noviembre</w:t>
      </w:r>
      <w:r w:rsidRPr="00550CAE">
        <w:rPr>
          <w:sz w:val="16"/>
          <w:szCs w:val="16"/>
          <w:lang w:val="es-CR"/>
        </w:rPr>
        <w:t xml:space="preserve"> de 2012. Serie C No. 259, párrs. 334 a 336.</w:t>
      </w:r>
    </w:p>
  </w:footnote>
  <w:footnote w:id="113">
    <w:p w14:paraId="2FD8BED7" w14:textId="3201AD13" w:rsidR="007D60D2" w:rsidRPr="00550CAE" w:rsidRDefault="007D60D2" w:rsidP="00550CAE">
      <w:pPr>
        <w:pStyle w:val="FootnoteText"/>
        <w:tabs>
          <w:tab w:val="left" w:pos="540"/>
          <w:tab w:val="left" w:pos="567"/>
        </w:tabs>
        <w:rPr>
          <w:bCs/>
          <w:color w:val="000000"/>
          <w:szCs w:val="16"/>
          <w:lang w:val="es-CR"/>
        </w:rPr>
      </w:pPr>
      <w:r w:rsidRPr="00550CAE">
        <w:rPr>
          <w:rStyle w:val="FootnoteReference"/>
          <w:szCs w:val="16"/>
        </w:rPr>
        <w:footnoteRef/>
      </w:r>
      <w:r w:rsidRPr="00550CAE">
        <w:rPr>
          <w:szCs w:val="16"/>
        </w:rPr>
        <w:t xml:space="preserve"> </w:t>
      </w:r>
      <w:r w:rsidRPr="00550CAE">
        <w:rPr>
          <w:szCs w:val="16"/>
        </w:rPr>
        <w:tab/>
      </w:r>
      <w:r w:rsidR="0089226C" w:rsidRPr="00930580">
        <w:rPr>
          <w:i/>
          <w:szCs w:val="16"/>
          <w:lang w:val="es-CR"/>
        </w:rPr>
        <w:t>Véase por ejemplo</w:t>
      </w:r>
      <w:r w:rsidR="0089226C" w:rsidRPr="00A54F66">
        <w:rPr>
          <w:szCs w:val="16"/>
        </w:rPr>
        <w:t xml:space="preserve">, </w:t>
      </w:r>
      <w:r w:rsidRPr="00474341">
        <w:rPr>
          <w:i/>
          <w:szCs w:val="16"/>
        </w:rPr>
        <w:t xml:space="preserve">Caso Gelman Vs. Uruguay. Fondo y Reparaciones. </w:t>
      </w:r>
      <w:r w:rsidRPr="00474341">
        <w:rPr>
          <w:szCs w:val="16"/>
        </w:rPr>
        <w:t>Sentencia de 24 de febrero de 2011. Serie C No. 221, párr. 239,</w:t>
      </w:r>
      <w:r w:rsidRPr="00474341">
        <w:rPr>
          <w:i/>
          <w:szCs w:val="16"/>
        </w:rPr>
        <w:t xml:space="preserve"> </w:t>
      </w:r>
      <w:r w:rsidRPr="00474341">
        <w:rPr>
          <w:rFonts w:cs="Verdana"/>
          <w:szCs w:val="16"/>
        </w:rPr>
        <w:t xml:space="preserve">y </w:t>
      </w:r>
      <w:r w:rsidRPr="00474341">
        <w:rPr>
          <w:i/>
          <w:szCs w:val="16"/>
          <w:lang w:val="es-CR"/>
        </w:rPr>
        <w:t xml:space="preserve">Caso Tenorio Roca y otros Vs. Perú. Excepciones Preliminares, Fondo, Reparaciones y Costas. </w:t>
      </w:r>
      <w:r w:rsidRPr="00474341">
        <w:rPr>
          <w:szCs w:val="16"/>
          <w:lang w:val="es-CR"/>
        </w:rPr>
        <w:t xml:space="preserve">Sentencia de 22 de junio de 2016. Serie C No. 31, párrs. 230 y ss. </w:t>
      </w:r>
    </w:p>
  </w:footnote>
  <w:footnote w:id="114">
    <w:p w14:paraId="291E1373"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r>
      <w:r w:rsidRPr="00550CAE">
        <w:rPr>
          <w:i/>
          <w:szCs w:val="16"/>
          <w:lang w:val="es-CR"/>
        </w:rPr>
        <w:t xml:space="preserve">Cfr. Caso Masacre de Santo Domingo Vs. </w:t>
      </w:r>
      <w:r w:rsidRPr="00550CAE">
        <w:rPr>
          <w:i/>
          <w:szCs w:val="16"/>
        </w:rPr>
        <w:t xml:space="preserve">Colombia. Sentencia sobre Excepciones Preliminares, Fondo, Reparaciones y Costas, </w:t>
      </w:r>
      <w:r w:rsidRPr="00550CAE">
        <w:rPr>
          <w:szCs w:val="16"/>
        </w:rPr>
        <w:t xml:space="preserve">párr. 143, y </w:t>
      </w:r>
      <w:r w:rsidRPr="00550CAE">
        <w:rPr>
          <w:i/>
          <w:szCs w:val="16"/>
        </w:rPr>
        <w:t>Caso Amrhein y otros Vs. Costa Rica. Excepciones Preliminares, Fondo, Reparaciones y Costas</w:t>
      </w:r>
      <w:r w:rsidRPr="00550CAE">
        <w:rPr>
          <w:szCs w:val="16"/>
        </w:rPr>
        <w:t>. Sentencia de 25 de abril de 2018. Serie C No. 354, párr. 99.</w:t>
      </w:r>
    </w:p>
  </w:footnote>
  <w:footnote w:id="115">
    <w:p w14:paraId="01DCF859" w14:textId="293982D6"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947B1D">
        <w:rPr>
          <w:szCs w:val="16"/>
          <w:lang w:val="es-CR"/>
        </w:rPr>
        <w:t xml:space="preserve"> </w:t>
      </w:r>
      <w:r w:rsidRPr="00947B1D">
        <w:rPr>
          <w:szCs w:val="16"/>
          <w:lang w:val="es-CR"/>
        </w:rPr>
        <w:tab/>
      </w:r>
      <w:r w:rsidRPr="00947B1D">
        <w:rPr>
          <w:i/>
          <w:szCs w:val="16"/>
          <w:lang w:val="es-CR"/>
        </w:rPr>
        <w:t>Cfr., mutatis mutandis,</w:t>
      </w:r>
      <w:r w:rsidRPr="00947B1D">
        <w:rPr>
          <w:szCs w:val="16"/>
          <w:lang w:val="es-CR"/>
        </w:rPr>
        <w:t xml:space="preserve"> </w:t>
      </w:r>
      <w:r w:rsidRPr="00947B1D">
        <w:rPr>
          <w:i/>
          <w:szCs w:val="16"/>
          <w:lang w:val="es-CR"/>
        </w:rPr>
        <w:t xml:space="preserve">Caso Masacre de Santo Domingo Vs. </w:t>
      </w:r>
      <w:r w:rsidRPr="00550CAE">
        <w:rPr>
          <w:i/>
          <w:szCs w:val="16"/>
        </w:rPr>
        <w:t xml:space="preserve">Colombia. Excepciones Preliminares, Fondo y Reparaciones. </w:t>
      </w:r>
      <w:r w:rsidRPr="00550CAE">
        <w:rPr>
          <w:szCs w:val="16"/>
        </w:rPr>
        <w:t xml:space="preserve">Sentencia de 30 de noviembre de 2012. Serie C No. 259, párr. 171; </w:t>
      </w:r>
      <w:r w:rsidRPr="00550CAE">
        <w:rPr>
          <w:i/>
          <w:szCs w:val="16"/>
        </w:rPr>
        <w:t xml:space="preserve">Caso Duque Vs. Colombia. Excepciones Preliminares, Fondo, Reparaciones y Costas. </w:t>
      </w:r>
      <w:r w:rsidRPr="00550CAE">
        <w:rPr>
          <w:szCs w:val="16"/>
        </w:rPr>
        <w:t xml:space="preserve">Sentencia de 26 de febrero de 2016. Serie C No. 310, párr. 137, y </w:t>
      </w:r>
      <w:r w:rsidRPr="00550CAE">
        <w:rPr>
          <w:i/>
          <w:szCs w:val="16"/>
        </w:rPr>
        <w:t xml:space="preserve">Caso Andrade Salmón Vs. Bolivia. Fondo, Reparaciones y Costas. </w:t>
      </w:r>
      <w:r w:rsidRPr="00550CAE">
        <w:rPr>
          <w:szCs w:val="16"/>
        </w:rPr>
        <w:t>Sentencia de 1 de diciembre de 2016. Serie C No. 330, párr. 96.</w:t>
      </w:r>
    </w:p>
  </w:footnote>
  <w:footnote w:id="116">
    <w:p w14:paraId="434EADDE" w14:textId="2B10E2D5" w:rsidR="007D60D2" w:rsidRPr="00550CAE" w:rsidRDefault="007D60D2" w:rsidP="0047330E">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w:t>
      </w:r>
      <w:r>
        <w:rPr>
          <w:szCs w:val="16"/>
          <w:lang w:val="es-CO"/>
        </w:rPr>
        <w:t>72</w:t>
      </w:r>
      <w:r w:rsidRPr="00550CAE">
        <w:rPr>
          <w:szCs w:val="16"/>
          <w:lang w:val="es-CO"/>
        </w:rPr>
        <w:t xml:space="preserve">). </w:t>
      </w:r>
    </w:p>
  </w:footnote>
  <w:footnote w:id="117">
    <w:p w14:paraId="44907FF2" w14:textId="15F3DE54" w:rsidR="007D60D2" w:rsidRPr="004D21C5" w:rsidRDefault="007D60D2">
      <w:pPr>
        <w:pStyle w:val="FootnoteText"/>
        <w:rPr>
          <w:lang w:val="es-CR"/>
        </w:rPr>
      </w:pPr>
      <w:r>
        <w:rPr>
          <w:rStyle w:val="FootnoteReference"/>
        </w:rPr>
        <w:footnoteRef/>
      </w:r>
      <w:r>
        <w:t xml:space="preserve"> </w:t>
      </w:r>
      <w:r>
        <w:tab/>
      </w:r>
      <w:r w:rsidRPr="00550CAE">
        <w:rPr>
          <w:i/>
          <w:szCs w:val="16"/>
          <w:lang w:val="es-CO"/>
        </w:rPr>
        <w:t>Cfr</w:t>
      </w:r>
      <w:r w:rsidRPr="00550CAE">
        <w:rPr>
          <w:szCs w:val="16"/>
          <w:lang w:val="es-CO"/>
        </w:rPr>
        <w:t>. Resolución de la Sala de lo Constitucional de 4 de noviembre de 1997 (expediente de prueba, folio 3</w:t>
      </w:r>
      <w:r>
        <w:rPr>
          <w:szCs w:val="16"/>
          <w:lang w:val="es-CO"/>
        </w:rPr>
        <w:t>73</w:t>
      </w:r>
      <w:r w:rsidRPr="00550CAE">
        <w:rPr>
          <w:szCs w:val="16"/>
          <w:lang w:val="es-CO"/>
        </w:rPr>
        <w:t>).</w:t>
      </w:r>
    </w:p>
  </w:footnote>
  <w:footnote w:id="118">
    <w:p w14:paraId="58AFEA69" w14:textId="77777777" w:rsidR="007D60D2" w:rsidRPr="00550CAE" w:rsidRDefault="007D60D2" w:rsidP="004C6A7F">
      <w:pPr>
        <w:pStyle w:val="FootnoteText"/>
        <w:tabs>
          <w:tab w:val="left" w:pos="540"/>
        </w:tabs>
        <w:rPr>
          <w:b/>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375). De acuerdo con la prueba aportada por el Estado, el señor Colindres recibió el pago de los salarios dejados de percibir desde su destitución en noviembre de 1996, hasta su restitución en noviembre de 1997 por un monto total de </w:t>
      </w:r>
      <w:r w:rsidRPr="00550CAE">
        <w:rPr>
          <w:rFonts w:ascii="Arial" w:hAnsi="Arial" w:cs="Arial"/>
          <w:color w:val="666666"/>
          <w:szCs w:val="16"/>
          <w:shd w:val="clear" w:color="auto" w:fill="FFFFFF"/>
        </w:rPr>
        <w:t>‎</w:t>
      </w:r>
      <w:r>
        <w:rPr>
          <w:szCs w:val="16"/>
          <w:lang w:val="es-CO"/>
        </w:rPr>
        <w:t xml:space="preserve">169,571.76 </w:t>
      </w:r>
      <w:r w:rsidRPr="00550CAE">
        <w:rPr>
          <w:szCs w:val="16"/>
          <w:lang w:val="es-CO"/>
        </w:rPr>
        <w:t>colones salvadore</w:t>
      </w:r>
      <w:r>
        <w:rPr>
          <w:szCs w:val="16"/>
          <w:lang w:val="es-CO"/>
        </w:rPr>
        <w:t>ños con setenta y seis centavos</w:t>
      </w:r>
      <w:r w:rsidRPr="00550CAE">
        <w:rPr>
          <w:szCs w:val="16"/>
          <w:lang w:val="es-CO"/>
        </w:rPr>
        <w:t xml:space="preserve">. </w:t>
      </w:r>
      <w:r w:rsidRPr="00550CAE">
        <w:rPr>
          <w:i/>
          <w:szCs w:val="16"/>
          <w:lang w:val="es-CO"/>
        </w:rPr>
        <w:t>Cfr</w:t>
      </w:r>
      <w:r w:rsidRPr="00550CAE">
        <w:rPr>
          <w:szCs w:val="16"/>
          <w:lang w:val="es-CO"/>
        </w:rPr>
        <w:t xml:space="preserve">. </w:t>
      </w:r>
      <w:r w:rsidRPr="00550CAE">
        <w:rPr>
          <w:rFonts w:eastAsia="Times New Roman"/>
          <w:szCs w:val="16"/>
          <w:lang w:val="es-CR"/>
        </w:rPr>
        <w:t>Copia de las planillas de pago del señor Eduardo Benjamín Colindres por los meses de diciembre de 1996 a noviembre de 1997 (expediente de prueba, folios 1993 a 200</w:t>
      </w:r>
      <w:r>
        <w:rPr>
          <w:rFonts w:eastAsia="Times New Roman"/>
          <w:szCs w:val="16"/>
          <w:lang w:val="es-CR"/>
        </w:rPr>
        <w:t>7</w:t>
      </w:r>
      <w:r w:rsidRPr="00550CAE">
        <w:rPr>
          <w:rFonts w:eastAsia="Times New Roman"/>
          <w:szCs w:val="16"/>
          <w:lang w:val="es-CR"/>
        </w:rPr>
        <w:t>)</w:t>
      </w:r>
      <w:r w:rsidRPr="00550CAE">
        <w:rPr>
          <w:szCs w:val="16"/>
          <w:lang w:val="es-CO"/>
        </w:rPr>
        <w:t xml:space="preserve">. </w:t>
      </w:r>
    </w:p>
  </w:footnote>
  <w:footnote w:id="119">
    <w:p w14:paraId="57AAFA74" w14:textId="651824D4" w:rsidR="007D60D2" w:rsidRPr="00D705F2" w:rsidRDefault="007D60D2">
      <w:pPr>
        <w:pStyle w:val="FootnoteText"/>
        <w:rPr>
          <w:i/>
        </w:rPr>
      </w:pPr>
      <w:r>
        <w:rPr>
          <w:rStyle w:val="FootnoteReference"/>
        </w:rPr>
        <w:footnoteRef/>
      </w:r>
      <w:r>
        <w:t xml:space="preserve"> </w:t>
      </w:r>
      <w:r>
        <w:tab/>
      </w:r>
      <w:r>
        <w:rPr>
          <w:i/>
        </w:rPr>
        <w:t xml:space="preserve">Mutatis Mutandis, </w:t>
      </w:r>
      <w:r w:rsidRPr="00550CAE">
        <w:rPr>
          <w:i/>
          <w:szCs w:val="16"/>
        </w:rPr>
        <w:t xml:space="preserve">Caso Andrade Salmón Vs. Bolivia. Fondo, Reparaciones y Costas. </w:t>
      </w:r>
      <w:r w:rsidRPr="00550CAE">
        <w:rPr>
          <w:szCs w:val="16"/>
        </w:rPr>
        <w:t xml:space="preserve">Sentencia de 1 de diciembre de 2016. Serie C No. 330, párr. </w:t>
      </w:r>
      <w:r>
        <w:rPr>
          <w:szCs w:val="16"/>
        </w:rPr>
        <w:t>100</w:t>
      </w:r>
      <w:r w:rsidRPr="00550CAE">
        <w:rPr>
          <w:szCs w:val="16"/>
        </w:rPr>
        <w:t>.</w:t>
      </w:r>
    </w:p>
  </w:footnote>
  <w:footnote w:id="120">
    <w:p w14:paraId="099A4EF7"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365). </w:t>
      </w:r>
    </w:p>
  </w:footnote>
  <w:footnote w:id="121">
    <w:p w14:paraId="7FD41DEA"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xml:space="preserve">. Resolución de la Sala de lo Constitucional de 4 de noviembre de 1997 (expediente de prueba, folio 369). </w:t>
      </w:r>
    </w:p>
  </w:footnote>
  <w:footnote w:id="122">
    <w:p w14:paraId="61DDC68D" w14:textId="3E3EDEDF" w:rsidR="007D60D2" w:rsidRPr="00550CAE" w:rsidRDefault="007D60D2" w:rsidP="00550CAE">
      <w:pPr>
        <w:pStyle w:val="FootnoteText"/>
        <w:rPr>
          <w:szCs w:val="16"/>
        </w:rPr>
      </w:pPr>
      <w:r w:rsidRPr="00550CAE">
        <w:rPr>
          <w:rStyle w:val="FootnoteReference"/>
          <w:szCs w:val="16"/>
        </w:rPr>
        <w:footnoteRef/>
      </w:r>
      <w:r w:rsidRPr="00550CAE">
        <w:rPr>
          <w:szCs w:val="16"/>
        </w:rPr>
        <w:t xml:space="preserve"> </w:t>
      </w:r>
      <w:r>
        <w:rPr>
          <w:szCs w:val="16"/>
        </w:rPr>
        <w:tab/>
      </w:r>
      <w:r w:rsidRPr="00550CAE">
        <w:rPr>
          <w:i/>
          <w:szCs w:val="16"/>
          <w:lang w:val="es-CO"/>
        </w:rPr>
        <w:t>Cfr</w:t>
      </w:r>
      <w:r w:rsidRPr="00550CAE">
        <w:rPr>
          <w:szCs w:val="16"/>
          <w:lang w:val="es-CO"/>
        </w:rPr>
        <w:t>. Resolución de la Sala de lo Constitucional de 4 de noviembre de 1997 (expediente de prueba, folio 369</w:t>
      </w:r>
      <w:r>
        <w:rPr>
          <w:szCs w:val="16"/>
          <w:lang w:val="es-CO"/>
        </w:rPr>
        <w:t>).</w:t>
      </w:r>
    </w:p>
  </w:footnote>
  <w:footnote w:id="123">
    <w:p w14:paraId="078C9615"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369).</w:t>
      </w:r>
    </w:p>
  </w:footnote>
  <w:footnote w:id="124">
    <w:p w14:paraId="6E789DD6" w14:textId="73E33A2B"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lang w:val="pt-BR"/>
        </w:rPr>
        <w:t xml:space="preserve"> </w:t>
      </w:r>
      <w:r w:rsidRPr="00550CAE">
        <w:rPr>
          <w:szCs w:val="16"/>
          <w:lang w:val="pt-BR"/>
        </w:rPr>
        <w:tab/>
      </w:r>
      <w:r w:rsidRPr="00550CAE">
        <w:rPr>
          <w:i/>
          <w:szCs w:val="16"/>
          <w:lang w:val="pt-BR"/>
        </w:rPr>
        <w:t xml:space="preserve">Cfr. Caso Barreto Leiva Vs. </w:t>
      </w:r>
      <w:r w:rsidRPr="00550CAE">
        <w:rPr>
          <w:i/>
          <w:szCs w:val="16"/>
        </w:rPr>
        <w:t xml:space="preserve">Venezuela. Fondo, Reparaciones y Costas. </w:t>
      </w:r>
      <w:r w:rsidRPr="00550CAE">
        <w:rPr>
          <w:szCs w:val="16"/>
        </w:rPr>
        <w:t>Sentencia de 17 de noviembre de 2009. Serie C No. 206, párr. 76.</w:t>
      </w:r>
    </w:p>
  </w:footnote>
  <w:footnote w:id="125">
    <w:p w14:paraId="244C158D" w14:textId="547BCB55"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 La Expresión "Leyes" en el Artículo 30 de la Convención Americana sobre Derechos Humanos</w:t>
      </w:r>
      <w:r w:rsidRPr="00550CAE">
        <w:rPr>
          <w:szCs w:val="16"/>
        </w:rPr>
        <w:t xml:space="preserve">. Opinión Consultiva OC-6/86 del 9 de mayo de 1986. Serie A No. 6, y </w:t>
      </w:r>
      <w:r w:rsidRPr="00550CAE">
        <w:rPr>
          <w:i/>
          <w:szCs w:val="16"/>
        </w:rPr>
        <w:t xml:space="preserve">Caso Barreto Leiva Vs. Venezuela. Fondo, Reparaciones y Costas. </w:t>
      </w:r>
      <w:r w:rsidRPr="00550CAE">
        <w:rPr>
          <w:szCs w:val="16"/>
        </w:rPr>
        <w:t>Sentencia de 17 de noviembre de 2009. Serie C No. 206, párr. 76</w:t>
      </w:r>
      <w:r>
        <w:rPr>
          <w:szCs w:val="16"/>
        </w:rPr>
        <w:t>.</w:t>
      </w:r>
    </w:p>
  </w:footnote>
  <w:footnote w:id="126">
    <w:p w14:paraId="2F1491A0"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r>
      <w:r w:rsidRPr="00550CAE">
        <w:rPr>
          <w:i/>
          <w:szCs w:val="16"/>
          <w:lang w:val="es-CR"/>
        </w:rPr>
        <w:t xml:space="preserve">Cfr. </w:t>
      </w:r>
      <w:r w:rsidRPr="00550CAE">
        <w:rPr>
          <w:i/>
          <w:szCs w:val="16"/>
        </w:rPr>
        <w:t>Caso Castillo Petruzzi y otros Vs. Perú. Fondo, Reparaciones y Costas</w:t>
      </w:r>
      <w:r w:rsidRPr="00550CAE">
        <w:rPr>
          <w:szCs w:val="16"/>
        </w:rPr>
        <w:t xml:space="preserve">. Sentencia de 30 de mayo de 1999. Serie C No. 52, párr. 129, y </w:t>
      </w:r>
      <w:r w:rsidRPr="00550CAE">
        <w:rPr>
          <w:i/>
          <w:szCs w:val="16"/>
        </w:rPr>
        <w:t>Caso Apitz Barbera y otros (“Corte Primera de lo Contencioso Administrativo”) Vs. Venezuela. Excepción Preliminar, Fondo, Reparaciones y Costas</w:t>
      </w:r>
      <w:r w:rsidRPr="00550CAE">
        <w:rPr>
          <w:szCs w:val="16"/>
        </w:rPr>
        <w:t xml:space="preserve">. Sentencia de 5 de agosto de 2008. </w:t>
      </w:r>
      <w:r w:rsidRPr="00550CAE">
        <w:rPr>
          <w:szCs w:val="16"/>
          <w:lang w:val="es-CR"/>
        </w:rPr>
        <w:t>Serie C No. 182, párr. 50.</w:t>
      </w:r>
    </w:p>
  </w:footnote>
  <w:footnote w:id="127">
    <w:p w14:paraId="5C064BF0"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369).</w:t>
      </w:r>
    </w:p>
  </w:footnote>
  <w:footnote w:id="128">
    <w:p w14:paraId="789C217B"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Acuerdo Legislativo N° 281 de 24 de marzo de 1998 (expediente de prueba, folio 384).</w:t>
      </w:r>
    </w:p>
  </w:footnote>
  <w:footnote w:id="129">
    <w:p w14:paraId="0F7081AB" w14:textId="0DB683FF"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t xml:space="preserve">En similar sentido, </w:t>
      </w:r>
      <w:r w:rsidRPr="00550CAE">
        <w:rPr>
          <w:i/>
          <w:szCs w:val="16"/>
        </w:rPr>
        <w:t>cfr.</w:t>
      </w:r>
      <w:r w:rsidRPr="00550CAE">
        <w:rPr>
          <w:szCs w:val="16"/>
        </w:rPr>
        <w:t xml:space="preserve"> </w:t>
      </w:r>
      <w:r w:rsidRPr="00550CAE">
        <w:rPr>
          <w:bCs/>
          <w:i/>
          <w:szCs w:val="16"/>
          <w:lang w:val="es-MX"/>
        </w:rPr>
        <w:t xml:space="preserve">Caso de la Corte Suprema de Justicia (Quintana Coello y otros) Vs. Ecuador, </w:t>
      </w:r>
      <w:r w:rsidRPr="00550CAE">
        <w:rPr>
          <w:rFonts w:cs="Arial"/>
          <w:bCs/>
          <w:i/>
          <w:szCs w:val="16"/>
          <w:lang w:val="es-MX"/>
        </w:rPr>
        <w:t xml:space="preserve">Excepción Preliminar, Fondo, Reparaciones y Costas. </w:t>
      </w:r>
      <w:r w:rsidRPr="00550CAE">
        <w:rPr>
          <w:rFonts w:cs="Arial"/>
          <w:bCs/>
          <w:szCs w:val="16"/>
          <w:lang w:val="es-MX"/>
        </w:rPr>
        <w:t xml:space="preserve">Sentencia de 23 de agosto de 2013. Serie C No. 266, </w:t>
      </w:r>
      <w:r w:rsidRPr="00550CAE">
        <w:rPr>
          <w:bCs/>
          <w:szCs w:val="16"/>
          <w:lang w:val="es-MX"/>
        </w:rPr>
        <w:t>párr. 181</w:t>
      </w:r>
      <w:r>
        <w:rPr>
          <w:bCs/>
          <w:szCs w:val="16"/>
          <w:lang w:val="es-MX"/>
        </w:rPr>
        <w:t>,</w:t>
      </w:r>
      <w:r w:rsidRPr="00550CAE">
        <w:rPr>
          <w:bCs/>
          <w:szCs w:val="16"/>
          <w:lang w:val="es-MX"/>
        </w:rPr>
        <w:t xml:space="preserve"> y</w:t>
      </w:r>
      <w:r w:rsidRPr="00550CAE">
        <w:rPr>
          <w:rFonts w:cs="Calibri"/>
          <w:b/>
          <w:bCs/>
          <w:color w:val="000000"/>
          <w:szCs w:val="16"/>
          <w:lang w:val="es-MX" w:eastAsia="en-US"/>
        </w:rPr>
        <w:t xml:space="preserve"> </w:t>
      </w:r>
      <w:r w:rsidRPr="00550CAE">
        <w:rPr>
          <w:i/>
          <w:szCs w:val="16"/>
        </w:rPr>
        <w:t>Caso López Lone y otros Vs. Honduras. Excepción Preliminar, Fondo, Reparaciones y Costas.</w:t>
      </w:r>
      <w:r w:rsidRPr="00550CAE">
        <w:rPr>
          <w:szCs w:val="16"/>
        </w:rPr>
        <w:t xml:space="preserve"> Sentencia de 5 de octubre de 2015. Serie C No. 302, párr. 241.</w:t>
      </w:r>
    </w:p>
  </w:footnote>
  <w:footnote w:id="130">
    <w:p w14:paraId="6A2B2EF2" w14:textId="7EEFF83B"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R"/>
        </w:rPr>
        <w:t>Cfr.</w:t>
      </w:r>
      <w:r w:rsidRPr="00550CAE">
        <w:rPr>
          <w:szCs w:val="16"/>
          <w:lang w:val="es-CR"/>
        </w:rPr>
        <w:t xml:space="preserve"> </w:t>
      </w:r>
      <w:r w:rsidRPr="00550CAE">
        <w:rPr>
          <w:bCs/>
          <w:i/>
          <w:szCs w:val="16"/>
        </w:rPr>
        <w:t xml:space="preserve">Caso Reverón Trujillo Vs. Venezuela. Excepción Preliminar, Fondo, Reparaciones y Costas. </w:t>
      </w:r>
      <w:r w:rsidRPr="00550CAE">
        <w:rPr>
          <w:bCs/>
          <w:szCs w:val="16"/>
        </w:rPr>
        <w:t>Sentencia de 30 de junio de 2009. Serie C No. 197</w:t>
      </w:r>
      <w:r w:rsidRPr="00550CAE">
        <w:rPr>
          <w:szCs w:val="16"/>
        </w:rPr>
        <w:t xml:space="preserve">, párr. 138, y </w:t>
      </w:r>
      <w:r w:rsidRPr="00550CAE">
        <w:rPr>
          <w:i/>
          <w:szCs w:val="16"/>
        </w:rPr>
        <w:t>Caso López Lone y otros Vs. Honduras. Excepción Preliminar, Fondo, Reparaciones y Costas.</w:t>
      </w:r>
      <w:r w:rsidRPr="00550CAE">
        <w:rPr>
          <w:szCs w:val="16"/>
        </w:rPr>
        <w:t xml:space="preserve"> Sentencia de 5 de octubre de 2015. Serie C No. 302, párr. 235</w:t>
      </w:r>
      <w:r w:rsidRPr="00550CAE">
        <w:rPr>
          <w:rFonts w:cs="Arial"/>
          <w:szCs w:val="16"/>
        </w:rPr>
        <w:t>.</w:t>
      </w:r>
    </w:p>
  </w:footnote>
  <w:footnote w:id="131">
    <w:p w14:paraId="15B4F21A" w14:textId="77777777" w:rsidR="007D60D2" w:rsidRPr="00550CAE" w:rsidRDefault="007D60D2" w:rsidP="00550CAE">
      <w:pPr>
        <w:pStyle w:val="FootnoteText"/>
        <w:tabs>
          <w:tab w:val="left" w:pos="540"/>
          <w:tab w:val="left" w:pos="567"/>
        </w:tabs>
        <w:rPr>
          <w:szCs w:val="16"/>
          <w:lang w:val="es-CR"/>
        </w:rPr>
      </w:pPr>
      <w:r w:rsidRPr="00550CAE">
        <w:rPr>
          <w:rStyle w:val="FootnoteReference"/>
          <w:szCs w:val="16"/>
        </w:rPr>
        <w:footnoteRef/>
      </w:r>
      <w:r w:rsidRPr="00550CAE">
        <w:rPr>
          <w:szCs w:val="16"/>
          <w:lang w:val="es-CR"/>
        </w:rPr>
        <w:t xml:space="preserve"> </w:t>
      </w:r>
      <w:r w:rsidRPr="00550CAE">
        <w:rPr>
          <w:szCs w:val="16"/>
          <w:lang w:val="es-CR"/>
        </w:rPr>
        <w:tab/>
      </w:r>
      <w:r w:rsidRPr="00550CAE">
        <w:rPr>
          <w:i/>
          <w:szCs w:val="16"/>
          <w:lang w:val="es-CR"/>
        </w:rPr>
        <w:t>Cfr.</w:t>
      </w:r>
      <w:r w:rsidRPr="00550CAE">
        <w:rPr>
          <w:szCs w:val="16"/>
          <w:lang w:val="es-CR"/>
        </w:rPr>
        <w:t xml:space="preserve"> </w:t>
      </w:r>
      <w:r w:rsidRPr="00550CAE">
        <w:rPr>
          <w:i/>
          <w:szCs w:val="16"/>
          <w:lang w:val="es-CR"/>
        </w:rPr>
        <w:t xml:space="preserve">Caso </w:t>
      </w:r>
      <w:r w:rsidRPr="00550CAE">
        <w:rPr>
          <w:i/>
          <w:szCs w:val="16"/>
        </w:rPr>
        <w:t xml:space="preserve">Apitz Barbera y otros (“Corte Primera de lo Contencioso Administrativo”) Vs. Venezuela. Excepción Preliminar, Fondo, Reparaciones y Costas. </w:t>
      </w:r>
      <w:r w:rsidRPr="00550CAE">
        <w:rPr>
          <w:szCs w:val="16"/>
        </w:rPr>
        <w:t>Sentencia de 5 de agosto de 2008. Serie C No. 182,</w:t>
      </w:r>
      <w:r w:rsidRPr="00550CAE">
        <w:rPr>
          <w:i/>
          <w:szCs w:val="16"/>
        </w:rPr>
        <w:t xml:space="preserve"> </w:t>
      </w:r>
      <w:r w:rsidRPr="00550CAE">
        <w:rPr>
          <w:szCs w:val="16"/>
        </w:rPr>
        <w:t xml:space="preserve">párr. </w:t>
      </w:r>
      <w:r w:rsidRPr="00550CAE">
        <w:rPr>
          <w:szCs w:val="16"/>
          <w:lang w:val="es-CR"/>
        </w:rPr>
        <w:t xml:space="preserve">43, </w:t>
      </w:r>
      <w:r w:rsidRPr="00550CAE">
        <w:rPr>
          <w:szCs w:val="16"/>
        </w:rPr>
        <w:t>y</w:t>
      </w:r>
      <w:r w:rsidRPr="00550CAE">
        <w:rPr>
          <w:rFonts w:cs="Calibri"/>
          <w:b/>
          <w:bCs/>
          <w:szCs w:val="16"/>
        </w:rPr>
        <w:t xml:space="preserve"> </w:t>
      </w:r>
      <w:r w:rsidRPr="00550CAE">
        <w:rPr>
          <w:i/>
          <w:szCs w:val="16"/>
        </w:rPr>
        <w:t>Caso López Lone y otros Vs. Honduras. Excepción Preliminar, Fondo, Reparaciones y Costas.</w:t>
      </w:r>
      <w:r w:rsidRPr="00550CAE">
        <w:rPr>
          <w:szCs w:val="16"/>
        </w:rPr>
        <w:t xml:space="preserve"> Sentencia de 5 de octubre de 2015. Serie C No. 302, párr. 235</w:t>
      </w:r>
      <w:r w:rsidRPr="00550CAE">
        <w:rPr>
          <w:rFonts w:cs="Arial"/>
          <w:szCs w:val="16"/>
        </w:rPr>
        <w:t>.</w:t>
      </w:r>
    </w:p>
  </w:footnote>
  <w:footnote w:id="132">
    <w:p w14:paraId="59B89068" w14:textId="77777777" w:rsidR="007D60D2" w:rsidRPr="00550CAE" w:rsidRDefault="007D60D2" w:rsidP="00550CAE">
      <w:pPr>
        <w:pStyle w:val="FootnoteText"/>
        <w:tabs>
          <w:tab w:val="left" w:pos="540"/>
          <w:tab w:val="left" w:pos="567"/>
        </w:tabs>
        <w:rPr>
          <w:szCs w:val="16"/>
          <w:lang w:val="es-ES"/>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Caso Apitz Barbera y otros (“Corte Primera de lo Contencioso Administrativo”) Vs. Venezuela. Excepción Preliminar, Fondo, Reparaciones y Costas. </w:t>
      </w:r>
      <w:r w:rsidRPr="00550CAE">
        <w:rPr>
          <w:szCs w:val="16"/>
        </w:rPr>
        <w:t>Sentencia de 5 de agosto de 2008. Serie C No. 182,</w:t>
      </w:r>
      <w:r w:rsidRPr="00550CAE">
        <w:rPr>
          <w:i/>
          <w:szCs w:val="16"/>
        </w:rPr>
        <w:t xml:space="preserve"> </w:t>
      </w:r>
      <w:r w:rsidRPr="00550CAE">
        <w:rPr>
          <w:szCs w:val="16"/>
        </w:rPr>
        <w:t>párr. 206</w:t>
      </w:r>
      <w:r w:rsidRPr="00550CAE">
        <w:rPr>
          <w:szCs w:val="16"/>
          <w:lang w:val="es-CR"/>
        </w:rPr>
        <w:t xml:space="preserve">, </w:t>
      </w:r>
      <w:r w:rsidRPr="00550CAE">
        <w:rPr>
          <w:szCs w:val="16"/>
        </w:rPr>
        <w:t>y</w:t>
      </w:r>
      <w:r w:rsidRPr="00550CAE">
        <w:rPr>
          <w:rFonts w:cs="Calibri"/>
          <w:b/>
          <w:bCs/>
          <w:szCs w:val="16"/>
        </w:rPr>
        <w:t xml:space="preserve"> </w:t>
      </w:r>
      <w:r w:rsidRPr="00550CAE">
        <w:rPr>
          <w:i/>
          <w:szCs w:val="16"/>
        </w:rPr>
        <w:t>Caso López Lone y otros Vs. Honduras. Excepción Preliminar, Fondo, Reparaciones y Costas.</w:t>
      </w:r>
      <w:r w:rsidRPr="00550CAE">
        <w:rPr>
          <w:szCs w:val="16"/>
        </w:rPr>
        <w:t xml:space="preserve"> Sentencia de 5 de octubre de 2015. Serie C No. 302, párr. 236</w:t>
      </w:r>
      <w:r w:rsidRPr="00550CAE">
        <w:rPr>
          <w:rFonts w:cs="Arial"/>
          <w:szCs w:val="16"/>
        </w:rPr>
        <w:t>.</w:t>
      </w:r>
    </w:p>
  </w:footnote>
  <w:footnote w:id="133">
    <w:p w14:paraId="1888D221" w14:textId="0AE14DAD" w:rsidR="007D60D2" w:rsidRPr="008A0925" w:rsidRDefault="007D60D2" w:rsidP="00550CAE">
      <w:pPr>
        <w:pStyle w:val="FootnoteText"/>
        <w:tabs>
          <w:tab w:val="left" w:pos="540"/>
          <w:tab w:val="left" w:pos="567"/>
        </w:tabs>
        <w:rPr>
          <w:szCs w:val="16"/>
          <w:lang w:val="pt-BR"/>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w:t>
      </w:r>
      <w:r w:rsidRPr="00097081">
        <w:rPr>
          <w:i/>
          <w:szCs w:val="16"/>
        </w:rPr>
        <w:t>Caso Reverón Trujillo Vs. Venezuela. Excepción Preliminar, Fondo, Reparaciones y Costas</w:t>
      </w:r>
      <w:r w:rsidRPr="00097081">
        <w:rPr>
          <w:szCs w:val="16"/>
        </w:rPr>
        <w:t>. Sentencia de 30 de</w:t>
      </w:r>
      <w:r>
        <w:rPr>
          <w:szCs w:val="16"/>
        </w:rPr>
        <w:t xml:space="preserve"> junio de 2009. Serie C No. 197, párr. 72, y </w:t>
      </w:r>
      <w:r w:rsidRPr="00550CAE">
        <w:rPr>
          <w:i/>
          <w:szCs w:val="16"/>
        </w:rPr>
        <w:t>Caso López Lone y otros Vs. Honduras. Excepción Preliminar, Fondo, Reparaciones y Costas.</w:t>
      </w:r>
      <w:r w:rsidRPr="00550CAE">
        <w:rPr>
          <w:szCs w:val="16"/>
        </w:rPr>
        <w:t xml:space="preserve"> Sentencia de 5 de octubre de 2015. </w:t>
      </w:r>
      <w:r w:rsidRPr="00DA55C9">
        <w:rPr>
          <w:szCs w:val="16"/>
          <w:lang w:val="pt-BR"/>
        </w:rPr>
        <w:t>Serie C No. 302, párr. 236</w:t>
      </w:r>
      <w:r w:rsidRPr="00DA55C9">
        <w:rPr>
          <w:rFonts w:cs="Arial"/>
          <w:szCs w:val="16"/>
          <w:lang w:val="pt-BR"/>
        </w:rPr>
        <w:t>.</w:t>
      </w:r>
    </w:p>
  </w:footnote>
  <w:footnote w:id="134">
    <w:p w14:paraId="66E2AD72" w14:textId="23481B8C" w:rsidR="007D60D2" w:rsidRPr="00550CAE" w:rsidRDefault="007D60D2" w:rsidP="00456197">
      <w:pPr>
        <w:tabs>
          <w:tab w:val="left" w:pos="540"/>
          <w:tab w:val="left" w:pos="567"/>
          <w:tab w:val="left" w:pos="720"/>
        </w:tabs>
        <w:autoSpaceDE w:val="0"/>
        <w:autoSpaceDN w:val="0"/>
        <w:adjustRightInd w:val="0"/>
        <w:jc w:val="both"/>
        <w:rPr>
          <w:rFonts w:cs="Verdana"/>
          <w:i/>
          <w:sz w:val="16"/>
          <w:szCs w:val="16"/>
          <w:lang w:val="es-CO"/>
        </w:rPr>
      </w:pPr>
      <w:r w:rsidRPr="00550CAE">
        <w:rPr>
          <w:rStyle w:val="FootnoteReference"/>
          <w:szCs w:val="16"/>
        </w:rPr>
        <w:footnoteRef/>
      </w:r>
      <w:r w:rsidRPr="00550CAE">
        <w:rPr>
          <w:sz w:val="16"/>
          <w:szCs w:val="16"/>
          <w:lang w:val="pt-BR"/>
        </w:rPr>
        <w:t xml:space="preserve"> </w:t>
      </w:r>
      <w:r w:rsidRPr="00550CAE">
        <w:rPr>
          <w:sz w:val="16"/>
          <w:szCs w:val="16"/>
          <w:lang w:val="pt-BR"/>
        </w:rPr>
        <w:tab/>
      </w:r>
      <w:r w:rsidRPr="00550CAE">
        <w:rPr>
          <w:i/>
          <w:sz w:val="16"/>
          <w:szCs w:val="16"/>
          <w:lang w:val="pt-BR"/>
        </w:rPr>
        <w:t xml:space="preserve">Cfr. Caso Gangaram Panday Vs. </w:t>
      </w:r>
      <w:r w:rsidRPr="00A42199">
        <w:rPr>
          <w:i/>
          <w:sz w:val="16"/>
          <w:szCs w:val="16"/>
          <w:lang w:val="pt-BR"/>
        </w:rPr>
        <w:t xml:space="preserve">Surinam. </w:t>
      </w:r>
      <w:r w:rsidRPr="00550CAE">
        <w:rPr>
          <w:i/>
          <w:sz w:val="16"/>
          <w:szCs w:val="16"/>
          <w:lang w:val="es-CO"/>
        </w:rPr>
        <w:t>Excepciones  Preliminares</w:t>
      </w:r>
      <w:r w:rsidRPr="00550CAE">
        <w:rPr>
          <w:sz w:val="16"/>
          <w:szCs w:val="16"/>
          <w:lang w:val="es-CO"/>
        </w:rPr>
        <w:t xml:space="preserve">. Sentencia de 4 de diciembre de 1991. </w:t>
      </w:r>
      <w:r w:rsidRPr="00550CAE">
        <w:rPr>
          <w:sz w:val="16"/>
          <w:szCs w:val="16"/>
          <w:lang w:val="es-CR"/>
        </w:rPr>
        <w:t>Serie C No. 12, párr. 50</w:t>
      </w:r>
      <w:r>
        <w:rPr>
          <w:sz w:val="16"/>
          <w:szCs w:val="16"/>
          <w:lang w:val="es-CR"/>
        </w:rPr>
        <w:t>,</w:t>
      </w:r>
      <w:r w:rsidRPr="00550CAE">
        <w:rPr>
          <w:sz w:val="16"/>
          <w:szCs w:val="16"/>
          <w:lang w:val="es-CR"/>
        </w:rPr>
        <w:t xml:space="preserve"> y </w:t>
      </w:r>
      <w:r w:rsidRPr="00097081">
        <w:rPr>
          <w:i/>
          <w:sz w:val="16"/>
          <w:szCs w:val="16"/>
          <w:lang w:val="es-CR"/>
        </w:rPr>
        <w:t xml:space="preserve">Caso Cuscul Pivaral y otros Vs. Guatemala. Excepción Preliminar, Fondo, Reparaciones y Costas. </w:t>
      </w:r>
      <w:r w:rsidRPr="00097081">
        <w:rPr>
          <w:sz w:val="16"/>
          <w:szCs w:val="16"/>
          <w:lang w:val="es-CR"/>
        </w:rPr>
        <w:t>Sentencia de 23 de agosto de 2018. Serie C No. 359, párr. 79.</w:t>
      </w:r>
    </w:p>
  </w:footnote>
  <w:footnote w:id="135">
    <w:p w14:paraId="2124CE1A" w14:textId="4F4BA00E" w:rsidR="007D60D2" w:rsidRPr="00550CAE" w:rsidRDefault="007D60D2" w:rsidP="00456197">
      <w:pPr>
        <w:tabs>
          <w:tab w:val="left" w:pos="540"/>
          <w:tab w:val="left" w:pos="567"/>
        </w:tabs>
        <w:ind w:right="1"/>
        <w:jc w:val="both"/>
        <w:rPr>
          <w:sz w:val="16"/>
          <w:szCs w:val="16"/>
          <w:lang w:val="es-CR"/>
        </w:rPr>
      </w:pPr>
      <w:r w:rsidRPr="00550CAE">
        <w:rPr>
          <w:rStyle w:val="FootnoteReference"/>
          <w:szCs w:val="16"/>
        </w:rPr>
        <w:footnoteRef/>
      </w:r>
      <w:r w:rsidRPr="00550CAE">
        <w:rPr>
          <w:sz w:val="16"/>
          <w:szCs w:val="16"/>
          <w:lang w:val="es-CR"/>
        </w:rPr>
        <w:t xml:space="preserve"> </w:t>
      </w:r>
      <w:r w:rsidRPr="00550CAE">
        <w:rPr>
          <w:sz w:val="16"/>
          <w:szCs w:val="16"/>
          <w:lang w:val="es-CR"/>
        </w:rPr>
        <w:tab/>
      </w:r>
      <w:r w:rsidRPr="00550CAE">
        <w:rPr>
          <w:i/>
          <w:sz w:val="16"/>
          <w:szCs w:val="16"/>
          <w:lang w:val="es-ES_tradnl"/>
        </w:rPr>
        <w:t xml:space="preserve">Cfr. </w:t>
      </w:r>
      <w:r w:rsidRPr="00550CAE">
        <w:rPr>
          <w:i/>
          <w:sz w:val="16"/>
          <w:szCs w:val="16"/>
          <w:lang w:val="es-CR"/>
        </w:rPr>
        <w:t xml:space="preserve">Caso Castillo Petruzzi y otros Vs. </w:t>
      </w:r>
      <w:r w:rsidRPr="00550CAE">
        <w:rPr>
          <w:rStyle w:val="Strong"/>
          <w:b w:val="0"/>
          <w:i/>
          <w:sz w:val="16"/>
          <w:szCs w:val="16"/>
          <w:lang w:val="es-CR"/>
        </w:rPr>
        <w:t>Perú. Fondo, Reparaciones y Costas</w:t>
      </w:r>
      <w:r w:rsidRPr="00550CAE">
        <w:rPr>
          <w:rStyle w:val="Strong"/>
          <w:b w:val="0"/>
          <w:sz w:val="16"/>
          <w:szCs w:val="16"/>
          <w:lang w:val="es-CR"/>
        </w:rPr>
        <w:t>. Sentencia de 30 de mayo de 1999. Serie C No. 52,</w:t>
      </w:r>
      <w:r w:rsidRPr="00550CAE">
        <w:rPr>
          <w:b/>
          <w:i/>
          <w:sz w:val="16"/>
          <w:szCs w:val="16"/>
          <w:lang w:val="es-CR"/>
        </w:rPr>
        <w:t xml:space="preserve"> </w:t>
      </w:r>
      <w:r w:rsidRPr="00550CAE">
        <w:rPr>
          <w:sz w:val="16"/>
          <w:szCs w:val="16"/>
          <w:lang w:val="es-CR"/>
        </w:rPr>
        <w:t>párr. 207,</w:t>
      </w:r>
      <w:r w:rsidRPr="00550CAE">
        <w:rPr>
          <w:b/>
          <w:sz w:val="16"/>
          <w:szCs w:val="16"/>
          <w:lang w:val="es-CR"/>
        </w:rPr>
        <w:t xml:space="preserve"> </w:t>
      </w:r>
      <w:r w:rsidRPr="00550CAE">
        <w:rPr>
          <w:rStyle w:val="Strong"/>
          <w:b w:val="0"/>
          <w:sz w:val="16"/>
          <w:szCs w:val="16"/>
          <w:lang w:val="es-CR"/>
        </w:rPr>
        <w:t>y</w:t>
      </w:r>
      <w:r w:rsidRPr="00550CAE">
        <w:rPr>
          <w:sz w:val="16"/>
          <w:szCs w:val="16"/>
          <w:lang w:val="es-CR"/>
        </w:rPr>
        <w:t xml:space="preserve"> </w:t>
      </w:r>
      <w:r w:rsidRPr="00097081">
        <w:rPr>
          <w:i/>
          <w:sz w:val="16"/>
          <w:szCs w:val="16"/>
          <w:lang w:val="es-CR"/>
        </w:rPr>
        <w:t xml:space="preserve">Caso Maldonado Ordóñez Vs. Guatemala. Excepción Preliminar, Fondo, Reparaciones y Costas. </w:t>
      </w:r>
      <w:r w:rsidRPr="00097081">
        <w:rPr>
          <w:sz w:val="16"/>
          <w:szCs w:val="16"/>
          <w:lang w:val="es-CR"/>
        </w:rPr>
        <w:t>Sentencia de 3 de mayo de 2016. Serie C No. 311, párr. 111.</w:t>
      </w:r>
    </w:p>
  </w:footnote>
  <w:footnote w:id="136">
    <w:p w14:paraId="1C036D33" w14:textId="77777777" w:rsidR="007D60D2" w:rsidRPr="00550CAE" w:rsidRDefault="007D60D2" w:rsidP="00456197">
      <w:pPr>
        <w:pStyle w:val="FootnoteText"/>
        <w:tabs>
          <w:tab w:val="left" w:pos="540"/>
          <w:tab w:val="left" w:pos="567"/>
        </w:tabs>
        <w:ind w:right="1"/>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w:t>
      </w:r>
      <w:r w:rsidRPr="00550CAE">
        <w:rPr>
          <w:bCs/>
          <w:i/>
          <w:szCs w:val="16"/>
          <w:lang w:val="es-MX"/>
        </w:rPr>
        <w:t xml:space="preserve">Hilaire, Constantine y Benjamin y otros Vs. Trinidad y Tobago. Fondo, Reparaciones y Costas. </w:t>
      </w:r>
      <w:r w:rsidRPr="00550CAE">
        <w:rPr>
          <w:bCs/>
          <w:szCs w:val="16"/>
          <w:lang w:val="es-MX"/>
        </w:rPr>
        <w:t>Sentencia de 21 de junio de 2002. Serie C No. 94,</w:t>
      </w:r>
      <w:r w:rsidRPr="00550CAE">
        <w:rPr>
          <w:i/>
          <w:szCs w:val="16"/>
          <w:lang w:val="es-MX"/>
        </w:rPr>
        <w:t xml:space="preserve"> </w:t>
      </w:r>
      <w:r w:rsidRPr="00550CAE">
        <w:rPr>
          <w:szCs w:val="16"/>
        </w:rPr>
        <w:t xml:space="preserve">párr. 113, y </w:t>
      </w:r>
      <w:r w:rsidRPr="00550CAE">
        <w:rPr>
          <w:i/>
          <w:szCs w:val="16"/>
        </w:rPr>
        <w:t>Caso López Lone y otros Vs. Honduras. Excepción Preliminar, Fondo, Reparaciones y Costas.</w:t>
      </w:r>
      <w:r w:rsidRPr="00550CAE">
        <w:rPr>
          <w:szCs w:val="16"/>
        </w:rPr>
        <w:t xml:space="preserve"> Sentencia de 5 de octubre de 2015. Serie C No. 302, párr. 213</w:t>
      </w:r>
      <w:r w:rsidRPr="00550CAE">
        <w:rPr>
          <w:rFonts w:cs="Arial"/>
          <w:szCs w:val="16"/>
        </w:rPr>
        <w:t>.</w:t>
      </w:r>
    </w:p>
  </w:footnote>
  <w:footnote w:id="137">
    <w:p w14:paraId="4A810861" w14:textId="77777777" w:rsidR="007D60D2" w:rsidRPr="00550CAE" w:rsidRDefault="007D60D2" w:rsidP="00456197">
      <w:pPr>
        <w:pStyle w:val="FootnoteText"/>
        <w:tabs>
          <w:tab w:val="left" w:pos="540"/>
          <w:tab w:val="left" w:pos="567"/>
        </w:tabs>
        <w:ind w:right="1"/>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w:t>
      </w:r>
      <w:r w:rsidRPr="00550CAE">
        <w:rPr>
          <w:bCs/>
          <w:i/>
          <w:szCs w:val="16"/>
          <w:lang w:val="es-MX"/>
        </w:rPr>
        <w:t>Caso Castillo Petruzzi y otros Vs. Perú,</w:t>
      </w:r>
      <w:r w:rsidRPr="00550CAE">
        <w:rPr>
          <w:szCs w:val="16"/>
        </w:rPr>
        <w:t xml:space="preserve"> </w:t>
      </w:r>
      <w:r w:rsidRPr="00550CAE">
        <w:rPr>
          <w:bCs/>
          <w:i/>
          <w:szCs w:val="16"/>
          <w:lang w:val="es-MX"/>
        </w:rPr>
        <w:t xml:space="preserve">Fondo, Reparaciones y Costas. </w:t>
      </w:r>
      <w:r w:rsidRPr="00550CAE">
        <w:rPr>
          <w:bCs/>
          <w:szCs w:val="16"/>
          <w:lang w:val="es-MX"/>
        </w:rPr>
        <w:t>Sentencia de 30 de mayo de 1999. Serie C No. 52,</w:t>
      </w:r>
      <w:r w:rsidRPr="00550CAE">
        <w:rPr>
          <w:bCs/>
          <w:i/>
          <w:szCs w:val="16"/>
          <w:lang w:val="es-MX"/>
        </w:rPr>
        <w:t xml:space="preserve"> </w:t>
      </w:r>
      <w:r w:rsidRPr="00550CAE">
        <w:rPr>
          <w:szCs w:val="16"/>
        </w:rPr>
        <w:t>párr. 207</w:t>
      </w:r>
      <w:r w:rsidRPr="00550CAE">
        <w:rPr>
          <w:bCs/>
          <w:szCs w:val="16"/>
          <w:lang w:val="es-MX"/>
        </w:rPr>
        <w:t>, y</w:t>
      </w:r>
      <w:r w:rsidRPr="00550CAE">
        <w:rPr>
          <w:b/>
          <w:bCs/>
          <w:szCs w:val="16"/>
        </w:rPr>
        <w:t> </w:t>
      </w:r>
      <w:r w:rsidRPr="00550CAE">
        <w:rPr>
          <w:i/>
          <w:szCs w:val="16"/>
        </w:rPr>
        <w:t>Caso López Lone y otros Vs. Honduras. Excepción Preliminar, Fondo, Reparaciones y Costas.</w:t>
      </w:r>
      <w:r w:rsidRPr="00550CAE">
        <w:rPr>
          <w:szCs w:val="16"/>
        </w:rPr>
        <w:t xml:space="preserve"> Sentencia de 5 de octubre de 2015. Serie C No. 302, párr. 213</w:t>
      </w:r>
      <w:r w:rsidRPr="00550CAE">
        <w:rPr>
          <w:rFonts w:cs="Arial"/>
          <w:szCs w:val="16"/>
        </w:rPr>
        <w:t>.</w:t>
      </w:r>
    </w:p>
  </w:footnote>
  <w:footnote w:id="138">
    <w:p w14:paraId="0E9F0E89" w14:textId="77777777" w:rsidR="007D60D2" w:rsidRPr="00550CAE" w:rsidRDefault="007D60D2" w:rsidP="00D60AC1">
      <w:pPr>
        <w:pStyle w:val="FootnoteText"/>
        <w:tabs>
          <w:tab w:val="left" w:pos="540"/>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w:t>
      </w:r>
      <w:r>
        <w:rPr>
          <w:szCs w:val="16"/>
          <w:lang w:val="es-CO"/>
        </w:rPr>
        <w:t>s</w:t>
      </w:r>
      <w:r w:rsidRPr="00550CAE">
        <w:rPr>
          <w:szCs w:val="16"/>
          <w:lang w:val="es-CO"/>
        </w:rPr>
        <w:t xml:space="preserve"> </w:t>
      </w:r>
      <w:r>
        <w:rPr>
          <w:szCs w:val="16"/>
          <w:lang w:val="es-CO"/>
        </w:rPr>
        <w:t xml:space="preserve">365 y </w:t>
      </w:r>
      <w:r w:rsidRPr="00550CAE">
        <w:rPr>
          <w:szCs w:val="16"/>
          <w:lang w:val="es-CO"/>
        </w:rPr>
        <w:t xml:space="preserve">366). </w:t>
      </w:r>
    </w:p>
  </w:footnote>
  <w:footnote w:id="139">
    <w:p w14:paraId="53F2087D" w14:textId="4A6746FA" w:rsidR="007D60D2" w:rsidRPr="00550CAE" w:rsidRDefault="007D60D2" w:rsidP="00550CAE">
      <w:pPr>
        <w:tabs>
          <w:tab w:val="left" w:pos="540"/>
          <w:tab w:val="left" w:pos="567"/>
        </w:tabs>
        <w:jc w:val="both"/>
        <w:rPr>
          <w:sz w:val="16"/>
          <w:szCs w:val="16"/>
          <w:lang w:val="es-CR"/>
        </w:rPr>
      </w:pPr>
      <w:r w:rsidRPr="00550CAE">
        <w:rPr>
          <w:rStyle w:val="FootnoteReference"/>
          <w:rFonts w:eastAsiaTheme="majorEastAsia"/>
          <w:szCs w:val="16"/>
        </w:rPr>
        <w:footnoteRef/>
      </w:r>
      <w:r w:rsidRPr="00550CAE">
        <w:rPr>
          <w:sz w:val="16"/>
          <w:szCs w:val="16"/>
          <w:lang w:val="es-ES"/>
        </w:rPr>
        <w:t xml:space="preserve"> </w:t>
      </w:r>
      <w:r w:rsidRPr="00550CAE">
        <w:rPr>
          <w:sz w:val="16"/>
          <w:szCs w:val="16"/>
          <w:lang w:val="es-ES"/>
        </w:rPr>
        <w:tab/>
      </w:r>
      <w:r w:rsidRPr="00550CAE">
        <w:rPr>
          <w:i/>
          <w:sz w:val="16"/>
          <w:szCs w:val="16"/>
          <w:lang w:val="es-CR"/>
        </w:rPr>
        <w:t>Caso Mejía Idrovo Vs. Ecuador. Excepciones Preliminares, Fondo, Reparaciones y Costas.</w:t>
      </w:r>
      <w:r w:rsidRPr="00550CAE">
        <w:rPr>
          <w:sz w:val="16"/>
          <w:szCs w:val="16"/>
          <w:lang w:val="es-CR"/>
        </w:rPr>
        <w:t xml:space="preserve"> Sentencia de 5 de julio de 2011, Serie C No. 228, párr. 95, y </w:t>
      </w:r>
      <w:r w:rsidRPr="001A2C61">
        <w:rPr>
          <w:i/>
          <w:sz w:val="16"/>
          <w:szCs w:val="16"/>
          <w:lang w:val="es-CR"/>
        </w:rPr>
        <w:t xml:space="preserve">Caso López Lone y otros Vs. Honduras. Excepción Preliminar, Fondo, Reparaciones y Costas. </w:t>
      </w:r>
      <w:r w:rsidRPr="001A2C61">
        <w:rPr>
          <w:sz w:val="16"/>
          <w:szCs w:val="16"/>
          <w:lang w:val="es-CR"/>
        </w:rPr>
        <w:t>Sentencia de 5 de octubre de 2015. Serie C No. 302, párr. 245</w:t>
      </w:r>
      <w:r>
        <w:rPr>
          <w:i/>
          <w:sz w:val="16"/>
          <w:szCs w:val="16"/>
          <w:lang w:val="es-CR"/>
        </w:rPr>
        <w:t>.</w:t>
      </w:r>
    </w:p>
  </w:footnote>
  <w:footnote w:id="140">
    <w:p w14:paraId="3D0B991A" w14:textId="77777777" w:rsidR="007D60D2" w:rsidRPr="00550CAE" w:rsidRDefault="007D60D2" w:rsidP="00550CAE">
      <w:pPr>
        <w:tabs>
          <w:tab w:val="left" w:pos="540"/>
          <w:tab w:val="left" w:pos="567"/>
        </w:tabs>
        <w:jc w:val="both"/>
        <w:rPr>
          <w:sz w:val="16"/>
          <w:szCs w:val="16"/>
          <w:lang w:val="es-ES"/>
        </w:rPr>
      </w:pPr>
      <w:r w:rsidRPr="00550CAE">
        <w:rPr>
          <w:rStyle w:val="FootnoteReference"/>
          <w:rFonts w:eastAsiaTheme="majorEastAsia"/>
          <w:szCs w:val="16"/>
        </w:rPr>
        <w:footnoteRef/>
      </w:r>
      <w:r w:rsidRPr="00550CAE">
        <w:rPr>
          <w:sz w:val="16"/>
          <w:szCs w:val="16"/>
          <w:lang w:val="es-CR"/>
        </w:rPr>
        <w:t xml:space="preserve">  </w:t>
      </w:r>
      <w:r w:rsidRPr="00550CAE">
        <w:rPr>
          <w:sz w:val="16"/>
          <w:szCs w:val="16"/>
          <w:lang w:val="es-CR"/>
        </w:rPr>
        <w:tab/>
      </w:r>
      <w:r w:rsidRPr="00550CAE">
        <w:rPr>
          <w:i/>
          <w:sz w:val="16"/>
          <w:szCs w:val="16"/>
          <w:lang w:val="es-CR"/>
        </w:rPr>
        <w:t>Cfr.</w:t>
      </w:r>
      <w:r w:rsidRPr="00550CAE">
        <w:rPr>
          <w:sz w:val="16"/>
          <w:szCs w:val="16"/>
          <w:lang w:val="es-CR"/>
        </w:rPr>
        <w:t xml:space="preserve"> </w:t>
      </w:r>
      <w:r w:rsidRPr="00550CAE">
        <w:rPr>
          <w:rFonts w:cs="Verdana"/>
          <w:i/>
          <w:sz w:val="16"/>
          <w:szCs w:val="16"/>
          <w:lang w:val="es-CR" w:bidi="en-US"/>
        </w:rPr>
        <w:t>Caso Ivcher Bronstein Vs. Perú. Fondo, Reparaciones y Costas.</w:t>
      </w:r>
      <w:r w:rsidRPr="00550CAE">
        <w:rPr>
          <w:rFonts w:cs="Verdana"/>
          <w:sz w:val="16"/>
          <w:szCs w:val="16"/>
          <w:lang w:val="es-CR" w:bidi="en-US"/>
        </w:rPr>
        <w:t xml:space="preserve"> Sentencia de 6 de febrero de 2001. Serie C No. 7, párr. 137, y </w:t>
      </w:r>
      <w:r w:rsidRPr="00550CAE">
        <w:rPr>
          <w:bCs/>
          <w:i/>
          <w:sz w:val="16"/>
          <w:szCs w:val="16"/>
          <w:lang w:val="es-CR"/>
        </w:rPr>
        <w:t xml:space="preserve">Caso del Tribunal Constitucional (Camba Campos y otros) Vs. Ecuador. Excepciones Preliminares, Fondo, Reparaciones y Costas. </w:t>
      </w:r>
      <w:r w:rsidRPr="00550CAE">
        <w:rPr>
          <w:bCs/>
          <w:sz w:val="16"/>
          <w:szCs w:val="16"/>
          <w:lang w:val="es-CR"/>
        </w:rPr>
        <w:t>Sentencia de 28 de agosto de 2013. Serie C No. 268,</w:t>
      </w:r>
      <w:r w:rsidRPr="00550CAE">
        <w:rPr>
          <w:sz w:val="16"/>
          <w:szCs w:val="16"/>
          <w:lang w:val="es-CR"/>
        </w:rPr>
        <w:t xml:space="preserve"> párr. </w:t>
      </w:r>
      <w:r w:rsidRPr="00550CAE">
        <w:rPr>
          <w:sz w:val="16"/>
          <w:szCs w:val="16"/>
          <w:lang w:val="es-ES"/>
        </w:rPr>
        <w:t>228.</w:t>
      </w:r>
    </w:p>
  </w:footnote>
  <w:footnote w:id="141">
    <w:p w14:paraId="00FD4275" w14:textId="1585A021" w:rsidR="007D60D2" w:rsidRPr="00550CAE" w:rsidRDefault="007D60D2" w:rsidP="00550CAE">
      <w:pPr>
        <w:tabs>
          <w:tab w:val="left" w:pos="540"/>
          <w:tab w:val="left" w:pos="567"/>
        </w:tabs>
        <w:jc w:val="both"/>
        <w:rPr>
          <w:sz w:val="16"/>
          <w:szCs w:val="16"/>
          <w:lang w:val="es-CR"/>
        </w:rPr>
      </w:pPr>
      <w:r w:rsidRPr="00550CAE">
        <w:rPr>
          <w:rStyle w:val="Refdenotaalpie1"/>
          <w:rFonts w:eastAsia="Batang"/>
          <w:sz w:val="16"/>
          <w:szCs w:val="16"/>
        </w:rPr>
        <w:footnoteRef/>
      </w:r>
      <w:r w:rsidRPr="00550CAE">
        <w:rPr>
          <w:sz w:val="16"/>
          <w:szCs w:val="16"/>
          <w:lang w:val="es-CR"/>
        </w:rPr>
        <w:t xml:space="preserve"> </w:t>
      </w:r>
      <w:r w:rsidRPr="00550CAE">
        <w:rPr>
          <w:sz w:val="16"/>
          <w:szCs w:val="16"/>
          <w:lang w:val="es-CR"/>
        </w:rPr>
        <w:tab/>
      </w:r>
      <w:r w:rsidRPr="00550CAE">
        <w:rPr>
          <w:i/>
          <w:sz w:val="16"/>
          <w:szCs w:val="16"/>
          <w:lang w:val="es-CR"/>
        </w:rPr>
        <w:t>Cfr.</w:t>
      </w:r>
      <w:r w:rsidRPr="00550CAE">
        <w:rPr>
          <w:sz w:val="16"/>
          <w:szCs w:val="16"/>
          <w:lang w:val="es-CR"/>
        </w:rPr>
        <w:t xml:space="preserve"> </w:t>
      </w:r>
      <w:r w:rsidRPr="00550CAE">
        <w:rPr>
          <w:i/>
          <w:sz w:val="16"/>
          <w:szCs w:val="16"/>
          <w:lang w:val="es-CR"/>
        </w:rPr>
        <w:t>Caso Las Palmeras Vs. Colombia. Reparaciones y Costas.</w:t>
      </w:r>
      <w:r w:rsidRPr="00550CAE">
        <w:rPr>
          <w:sz w:val="16"/>
          <w:szCs w:val="16"/>
          <w:lang w:val="es-CR"/>
        </w:rPr>
        <w:t xml:space="preserve"> Sentencia de 26 Noviembre de 2002. Serie C No. 96, párr. 58, y </w:t>
      </w:r>
      <w:r w:rsidRPr="001A2C61">
        <w:rPr>
          <w:i/>
          <w:sz w:val="16"/>
          <w:szCs w:val="16"/>
          <w:lang w:val="es-CR"/>
        </w:rPr>
        <w:t xml:space="preserve">Caso López Lone y otros Vs. Honduras. Excepción Preliminar, Fondo, Reparaciones y Costas. </w:t>
      </w:r>
      <w:r w:rsidRPr="001A2C61">
        <w:rPr>
          <w:sz w:val="16"/>
          <w:szCs w:val="16"/>
          <w:lang w:val="es-CR"/>
        </w:rPr>
        <w:t>Sentencia de 5 de octubre de 2015. Serie C No. 302, párr. 24</w:t>
      </w:r>
      <w:r>
        <w:rPr>
          <w:sz w:val="16"/>
          <w:szCs w:val="16"/>
          <w:lang w:val="es-CR"/>
        </w:rPr>
        <w:t>7</w:t>
      </w:r>
      <w:r>
        <w:rPr>
          <w:i/>
          <w:sz w:val="16"/>
          <w:szCs w:val="16"/>
          <w:lang w:val="es-CR"/>
        </w:rPr>
        <w:t>.</w:t>
      </w:r>
    </w:p>
  </w:footnote>
  <w:footnote w:id="142">
    <w:p w14:paraId="0EEB24F9" w14:textId="0B42AEE0" w:rsidR="007D60D2" w:rsidRPr="00550CAE" w:rsidRDefault="007D60D2" w:rsidP="00550CAE">
      <w:pPr>
        <w:pStyle w:val="FootnoteText"/>
        <w:tabs>
          <w:tab w:val="left" w:pos="540"/>
          <w:tab w:val="left" w:pos="567"/>
        </w:tabs>
        <w:rPr>
          <w:i/>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Cfr.</w:t>
      </w:r>
      <w:r w:rsidRPr="00550CAE">
        <w:rPr>
          <w:szCs w:val="16"/>
        </w:rPr>
        <w:t xml:space="preserve"> </w:t>
      </w:r>
      <w:r w:rsidRPr="00550CAE">
        <w:rPr>
          <w:i/>
          <w:szCs w:val="16"/>
        </w:rPr>
        <w:t xml:space="preserve">Caso Baena Ricardo y otros Vs. Panamá. Competencia. </w:t>
      </w:r>
      <w:r w:rsidRPr="00550CAE">
        <w:rPr>
          <w:szCs w:val="16"/>
        </w:rPr>
        <w:t xml:space="preserve">Sentencia de 28 de noviembre de 2003. Serie C No. 104, párr. 73, y </w:t>
      </w:r>
      <w:r w:rsidRPr="001A2C61">
        <w:rPr>
          <w:bCs/>
          <w:i/>
          <w:szCs w:val="16"/>
        </w:rPr>
        <w:t xml:space="preserve">Caso Flor Freire Vs. Ecuador. Excepción Preliminar, Fondo, Reparaciones y Costas. </w:t>
      </w:r>
      <w:r w:rsidRPr="001A2C61">
        <w:rPr>
          <w:bCs/>
          <w:szCs w:val="16"/>
        </w:rPr>
        <w:t>Sentencia de 31 de agosto de 2016. Serie C No. 315, párr. 198.</w:t>
      </w:r>
    </w:p>
  </w:footnote>
  <w:footnote w:id="143">
    <w:p w14:paraId="46885311" w14:textId="04D061DD" w:rsidR="007D60D2" w:rsidRPr="00550CAE" w:rsidRDefault="007D60D2" w:rsidP="008408EB">
      <w:pPr>
        <w:pStyle w:val="FootnoteText"/>
        <w:tabs>
          <w:tab w:val="left" w:pos="567"/>
        </w:tabs>
        <w:rPr>
          <w:szCs w:val="16"/>
          <w:lang w:val="es-CR"/>
        </w:rPr>
      </w:pPr>
      <w:r w:rsidRPr="00550CAE">
        <w:rPr>
          <w:rStyle w:val="FootnoteReference"/>
          <w:szCs w:val="16"/>
        </w:rPr>
        <w:footnoteRef/>
      </w:r>
      <w:r w:rsidRPr="00550CAE">
        <w:rPr>
          <w:szCs w:val="16"/>
        </w:rPr>
        <w:tab/>
      </w:r>
      <w:r w:rsidRPr="00550CAE">
        <w:rPr>
          <w:i/>
          <w:szCs w:val="16"/>
        </w:rPr>
        <w:t>Cfr. Caso Barbani Duarte y otros Vs. Uruguay. Fondo, Reparaciones y costas.</w:t>
      </w:r>
      <w:r w:rsidRPr="00550CAE">
        <w:rPr>
          <w:szCs w:val="16"/>
        </w:rPr>
        <w:t xml:space="preserve"> Sentencia de 13 de octubre de 2011. Serie C No. 234, </w:t>
      </w:r>
      <w:r w:rsidRPr="00550CAE">
        <w:rPr>
          <w:color w:val="000000"/>
          <w:szCs w:val="16"/>
        </w:rPr>
        <w:t xml:space="preserve">párr. 122, y </w:t>
      </w:r>
      <w:r w:rsidRPr="00777092">
        <w:rPr>
          <w:rFonts w:eastAsia="Calibri"/>
          <w:bCs/>
          <w:i/>
          <w:color w:val="000000"/>
          <w:szCs w:val="16"/>
          <w:shd w:val="clear" w:color="auto" w:fill="FFFFFF"/>
          <w:lang w:val="es-CR" w:eastAsia="es-CR"/>
        </w:rPr>
        <w:t xml:space="preserve">Caso Cuscul Pivaral y otros Vs. Guatemala. Excepción Preliminar, Fondo, Reparaciones y Costas. </w:t>
      </w:r>
      <w:r w:rsidRPr="00777092">
        <w:rPr>
          <w:rFonts w:eastAsia="Calibri"/>
          <w:bCs/>
          <w:color w:val="000000"/>
          <w:szCs w:val="16"/>
          <w:shd w:val="clear" w:color="auto" w:fill="FFFFFF"/>
          <w:lang w:val="es-CR" w:eastAsia="es-CR"/>
        </w:rPr>
        <w:t>Sentencia de 23 de agosto de 2018. Serie C No. 359, párr. 170.</w:t>
      </w:r>
    </w:p>
  </w:footnote>
  <w:footnote w:id="144">
    <w:p w14:paraId="786AAD17"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rFonts w:cs="Arial"/>
          <w:i/>
          <w:szCs w:val="16"/>
          <w:lang w:val="es-CL"/>
        </w:rPr>
        <w:t xml:space="preserve">Caso del Tribunal Constitucional Vs. Perú. Fondo, Reparaciones y Costas. </w:t>
      </w:r>
      <w:r w:rsidRPr="00550CAE">
        <w:rPr>
          <w:rFonts w:cs="Arial"/>
          <w:szCs w:val="16"/>
          <w:lang w:val="es-CL"/>
        </w:rPr>
        <w:t>Sentencia de 31 de enero de 2001</w:t>
      </w:r>
      <w:r w:rsidRPr="00550CAE">
        <w:rPr>
          <w:rFonts w:cs="Arial"/>
          <w:bCs/>
          <w:szCs w:val="16"/>
          <w:lang w:val="es-CO"/>
        </w:rPr>
        <w:t xml:space="preserve">, </w:t>
      </w:r>
      <w:r w:rsidRPr="00550CAE">
        <w:rPr>
          <w:rFonts w:cs="Arial"/>
          <w:szCs w:val="16"/>
          <w:lang w:val="es-CL"/>
        </w:rPr>
        <w:t>párr. 94</w:t>
      </w:r>
      <w:r w:rsidRPr="00550CAE">
        <w:rPr>
          <w:rStyle w:val="Strong"/>
          <w:b w:val="0"/>
          <w:color w:val="000000"/>
          <w:szCs w:val="16"/>
          <w:shd w:val="clear" w:color="auto" w:fill="FFFFFF"/>
        </w:rPr>
        <w:t>, y</w:t>
      </w:r>
      <w:r w:rsidRPr="00550CAE">
        <w:rPr>
          <w:rStyle w:val="Strong"/>
          <w:color w:val="000000"/>
          <w:szCs w:val="16"/>
          <w:shd w:val="clear" w:color="auto" w:fill="FFFFFF"/>
        </w:rPr>
        <w:t xml:space="preserve"> </w:t>
      </w:r>
      <w:r w:rsidRPr="00550CAE">
        <w:rPr>
          <w:bCs/>
          <w:i/>
          <w:szCs w:val="16"/>
        </w:rPr>
        <w:t xml:space="preserve">Caso del Tribunal Constitucional (Camba Campos y otros) Vs. Ecuador. Excepciones Preliminares, Fondo, Reparaciones y Costas. </w:t>
      </w:r>
      <w:r w:rsidRPr="00550CAE">
        <w:rPr>
          <w:bCs/>
          <w:szCs w:val="16"/>
        </w:rPr>
        <w:t>Sentencia de 28 de agosto de 2013. Serie C No. 268,</w:t>
      </w:r>
      <w:r w:rsidRPr="00550CAE">
        <w:rPr>
          <w:szCs w:val="16"/>
        </w:rPr>
        <w:t xml:space="preserve"> párr. </w:t>
      </w:r>
      <w:r w:rsidRPr="00550CAE">
        <w:rPr>
          <w:szCs w:val="16"/>
          <w:lang w:val="es-ES"/>
        </w:rPr>
        <w:t>236.</w:t>
      </w:r>
    </w:p>
  </w:footnote>
  <w:footnote w:id="145">
    <w:p w14:paraId="2F7F54ED" w14:textId="77777777" w:rsidR="007D60D2" w:rsidRPr="00A54F66"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rFonts w:cs="Arial"/>
          <w:i/>
          <w:szCs w:val="16"/>
          <w:lang w:val="es-CL"/>
        </w:rPr>
        <w:t xml:space="preserve">Caso del Tribunal Constitucional Vs. Perú. Fondo, Reparaciones y Costas. </w:t>
      </w:r>
      <w:r w:rsidRPr="00550CAE">
        <w:rPr>
          <w:rFonts w:cs="Arial"/>
          <w:szCs w:val="16"/>
          <w:lang w:val="es-CL"/>
        </w:rPr>
        <w:t>Sentencia de 31 de enero de 2001</w:t>
      </w:r>
      <w:r w:rsidRPr="00550CAE">
        <w:rPr>
          <w:rFonts w:cs="Arial"/>
          <w:bCs/>
          <w:szCs w:val="16"/>
          <w:lang w:val="es-CO"/>
        </w:rPr>
        <w:t xml:space="preserve">, </w:t>
      </w:r>
      <w:r w:rsidRPr="00A54F66">
        <w:rPr>
          <w:rFonts w:cs="Arial"/>
          <w:szCs w:val="16"/>
          <w:lang w:val="es-CL"/>
        </w:rPr>
        <w:t>párr. 94</w:t>
      </w:r>
      <w:r w:rsidRPr="00A54F66">
        <w:rPr>
          <w:rStyle w:val="Strong"/>
          <w:color w:val="000000"/>
          <w:szCs w:val="16"/>
          <w:shd w:val="clear" w:color="auto" w:fill="FFFFFF"/>
        </w:rPr>
        <w:t>.</w:t>
      </w:r>
    </w:p>
  </w:footnote>
  <w:footnote w:id="146">
    <w:p w14:paraId="2D77E035" w14:textId="69C2ED4D" w:rsidR="007D60D2" w:rsidRPr="00A54F66" w:rsidRDefault="007D60D2" w:rsidP="00E609BC">
      <w:pPr>
        <w:tabs>
          <w:tab w:val="left" w:pos="540"/>
          <w:tab w:val="left" w:pos="567"/>
        </w:tabs>
        <w:jc w:val="both"/>
        <w:rPr>
          <w:sz w:val="16"/>
          <w:szCs w:val="16"/>
          <w:lang w:val="es-CO"/>
        </w:rPr>
      </w:pPr>
      <w:r w:rsidRPr="00A54F66">
        <w:rPr>
          <w:rStyle w:val="FootnoteReference"/>
          <w:szCs w:val="16"/>
        </w:rPr>
        <w:footnoteRef/>
      </w:r>
      <w:r w:rsidRPr="00A54F66">
        <w:rPr>
          <w:sz w:val="16"/>
          <w:szCs w:val="16"/>
          <w:lang w:val="es-CO"/>
        </w:rPr>
        <w:t xml:space="preserve"> </w:t>
      </w:r>
      <w:r w:rsidRPr="00A54F66">
        <w:rPr>
          <w:sz w:val="16"/>
          <w:szCs w:val="16"/>
          <w:lang w:val="es-CO"/>
        </w:rPr>
        <w:tab/>
      </w:r>
      <w:r w:rsidRPr="00A54F66">
        <w:rPr>
          <w:i/>
          <w:sz w:val="16"/>
          <w:szCs w:val="16"/>
          <w:lang w:val="es-CO"/>
        </w:rPr>
        <w:t xml:space="preserve">Cfr. </w:t>
      </w:r>
      <w:r w:rsidRPr="00A54F66">
        <w:rPr>
          <w:sz w:val="16"/>
          <w:szCs w:val="16"/>
          <w:lang w:val="es-CO"/>
        </w:rPr>
        <w:t>Acción de amparo de 15 de julio de 1998 (expediente de prueba, folio 507).</w:t>
      </w:r>
    </w:p>
  </w:footnote>
  <w:footnote w:id="147">
    <w:p w14:paraId="6AE121E0" w14:textId="5D1A2B8B" w:rsidR="007D60D2" w:rsidRPr="00A54F66" w:rsidRDefault="007D60D2" w:rsidP="00E609BC">
      <w:pPr>
        <w:tabs>
          <w:tab w:val="left" w:pos="540"/>
          <w:tab w:val="left" w:pos="567"/>
        </w:tabs>
        <w:jc w:val="both"/>
        <w:rPr>
          <w:sz w:val="16"/>
          <w:szCs w:val="16"/>
          <w:lang w:val="es-CO"/>
        </w:rPr>
      </w:pPr>
      <w:r w:rsidRPr="00A54F66">
        <w:rPr>
          <w:rStyle w:val="FootnoteReference"/>
          <w:szCs w:val="16"/>
        </w:rPr>
        <w:footnoteRef/>
      </w:r>
      <w:r w:rsidRPr="00A54F66">
        <w:rPr>
          <w:sz w:val="16"/>
          <w:szCs w:val="16"/>
          <w:lang w:val="es-CO"/>
        </w:rPr>
        <w:t xml:space="preserve"> </w:t>
      </w:r>
      <w:r w:rsidRPr="00A54F66">
        <w:rPr>
          <w:sz w:val="16"/>
          <w:szCs w:val="16"/>
          <w:lang w:val="es-CO"/>
        </w:rPr>
        <w:tab/>
      </w:r>
      <w:r w:rsidRPr="00A54F66">
        <w:rPr>
          <w:i/>
          <w:sz w:val="16"/>
          <w:szCs w:val="16"/>
          <w:lang w:val="es-CO"/>
        </w:rPr>
        <w:t xml:space="preserve">Cfr. </w:t>
      </w:r>
      <w:r w:rsidRPr="00A54F66">
        <w:rPr>
          <w:sz w:val="16"/>
          <w:szCs w:val="16"/>
          <w:lang w:val="es-CO"/>
        </w:rPr>
        <w:t>Acción de amparo de 15 de julio de 1998 (expediente de prueba, folio 508).</w:t>
      </w:r>
    </w:p>
  </w:footnote>
  <w:footnote w:id="148">
    <w:p w14:paraId="59DD794C" w14:textId="7AC47C40" w:rsidR="007D60D2" w:rsidRPr="00A54F66" w:rsidRDefault="007D60D2" w:rsidP="00E609BC">
      <w:pPr>
        <w:tabs>
          <w:tab w:val="left" w:pos="540"/>
          <w:tab w:val="left" w:pos="567"/>
        </w:tabs>
        <w:jc w:val="both"/>
        <w:rPr>
          <w:sz w:val="16"/>
          <w:szCs w:val="16"/>
          <w:lang w:val="es-CO"/>
        </w:rPr>
      </w:pPr>
      <w:r w:rsidRPr="00A54F66">
        <w:rPr>
          <w:rStyle w:val="FootnoteReference"/>
          <w:szCs w:val="16"/>
        </w:rPr>
        <w:footnoteRef/>
      </w:r>
      <w:r w:rsidRPr="00A54F66">
        <w:rPr>
          <w:sz w:val="16"/>
          <w:szCs w:val="16"/>
          <w:lang w:val="es-CO"/>
        </w:rPr>
        <w:t xml:space="preserve"> </w:t>
      </w:r>
      <w:r w:rsidRPr="00A54F66">
        <w:rPr>
          <w:sz w:val="16"/>
          <w:szCs w:val="16"/>
          <w:lang w:val="es-CO"/>
        </w:rPr>
        <w:tab/>
      </w:r>
      <w:r w:rsidRPr="00A54F66">
        <w:rPr>
          <w:i/>
          <w:sz w:val="16"/>
          <w:szCs w:val="16"/>
          <w:lang w:val="es-CO"/>
        </w:rPr>
        <w:t xml:space="preserve">Cfr. </w:t>
      </w:r>
      <w:r w:rsidRPr="00A54F66">
        <w:rPr>
          <w:sz w:val="16"/>
          <w:szCs w:val="16"/>
          <w:lang w:val="es-CO"/>
        </w:rPr>
        <w:t>Acción de amparo de 15 de julio de 1998 (expediente de prueba, folios 505 y 506).</w:t>
      </w:r>
    </w:p>
  </w:footnote>
  <w:footnote w:id="149">
    <w:p w14:paraId="20833A3E" w14:textId="77777777" w:rsidR="007D60D2" w:rsidRPr="00A54F66" w:rsidRDefault="007D60D2" w:rsidP="00E609BC">
      <w:pPr>
        <w:pStyle w:val="FootnoteText"/>
        <w:tabs>
          <w:tab w:val="left" w:pos="540"/>
          <w:tab w:val="left" w:pos="567"/>
        </w:tabs>
        <w:rPr>
          <w:szCs w:val="16"/>
        </w:rPr>
      </w:pPr>
      <w:r w:rsidRPr="00A54F66">
        <w:rPr>
          <w:rStyle w:val="FootnoteReference"/>
          <w:szCs w:val="16"/>
        </w:rPr>
        <w:footnoteRef/>
      </w:r>
      <w:r w:rsidRPr="00A54F66">
        <w:rPr>
          <w:szCs w:val="16"/>
        </w:rPr>
        <w:t xml:space="preserve"> </w:t>
      </w:r>
      <w:r w:rsidRPr="00A54F66">
        <w:rPr>
          <w:szCs w:val="16"/>
        </w:rPr>
        <w:tab/>
      </w:r>
      <w:r w:rsidRPr="00A54F66">
        <w:rPr>
          <w:i/>
          <w:szCs w:val="16"/>
        </w:rPr>
        <w:t xml:space="preserve">Cfr. </w:t>
      </w:r>
      <w:r w:rsidRPr="00A54F66">
        <w:rPr>
          <w:szCs w:val="16"/>
        </w:rPr>
        <w:t>Sentencia de la Sala de lo Constitucional de 4 de mayo de 1999 (expediente de prueba, folio 1552).</w:t>
      </w:r>
    </w:p>
  </w:footnote>
  <w:footnote w:id="150">
    <w:p w14:paraId="55D297B2" w14:textId="430D3C38" w:rsidR="007D60D2" w:rsidRPr="00A54F66" w:rsidRDefault="007D60D2" w:rsidP="00550CAE">
      <w:pPr>
        <w:pStyle w:val="FootnoteText"/>
        <w:tabs>
          <w:tab w:val="left" w:pos="540"/>
          <w:tab w:val="left" w:pos="567"/>
        </w:tabs>
        <w:rPr>
          <w:color w:val="FF0000"/>
          <w:szCs w:val="16"/>
          <w:lang w:val="es-CO"/>
        </w:rPr>
      </w:pPr>
      <w:r w:rsidRPr="00A54F66">
        <w:rPr>
          <w:rStyle w:val="FootnoteReference"/>
          <w:szCs w:val="16"/>
        </w:rPr>
        <w:footnoteRef/>
      </w:r>
      <w:r w:rsidRPr="00A54F66">
        <w:rPr>
          <w:szCs w:val="16"/>
          <w:lang w:val="es-CR"/>
        </w:rPr>
        <w:t xml:space="preserve"> </w:t>
      </w:r>
      <w:r w:rsidRPr="00A54F66">
        <w:rPr>
          <w:szCs w:val="16"/>
          <w:lang w:val="es-CR"/>
        </w:rPr>
        <w:tab/>
      </w:r>
      <w:r w:rsidRPr="00A54F66">
        <w:rPr>
          <w:i/>
          <w:szCs w:val="16"/>
          <w:lang w:val="es-CR"/>
        </w:rPr>
        <w:t>Cfr</w:t>
      </w:r>
      <w:r w:rsidRPr="00A54F66">
        <w:rPr>
          <w:szCs w:val="16"/>
          <w:lang w:val="es-CR"/>
        </w:rPr>
        <w:t xml:space="preserve">. </w:t>
      </w:r>
      <w:r w:rsidRPr="00A54F66">
        <w:rPr>
          <w:szCs w:val="16"/>
          <w:lang w:val="es-CO"/>
        </w:rPr>
        <w:t>Acción</w:t>
      </w:r>
      <w:r w:rsidRPr="00A54F66">
        <w:rPr>
          <w:szCs w:val="16"/>
          <w:lang w:val="es-CR"/>
        </w:rPr>
        <w:t xml:space="preserve"> de Amparo de 27 de julio de 1999 (expediente de prueba, folio 555)</w:t>
      </w:r>
      <w:r w:rsidRPr="00A54F66">
        <w:rPr>
          <w:szCs w:val="16"/>
          <w:lang w:val="es-CO"/>
        </w:rPr>
        <w:t>.</w:t>
      </w:r>
    </w:p>
  </w:footnote>
  <w:footnote w:id="151">
    <w:p w14:paraId="1BB11EDC" w14:textId="2348013C" w:rsidR="007D60D2" w:rsidRPr="00550CAE" w:rsidRDefault="007D60D2" w:rsidP="00550CAE">
      <w:pPr>
        <w:pStyle w:val="FootnoteText"/>
        <w:tabs>
          <w:tab w:val="left" w:pos="540"/>
          <w:tab w:val="left" w:pos="567"/>
        </w:tabs>
        <w:rPr>
          <w:color w:val="FF0000"/>
          <w:szCs w:val="16"/>
          <w:lang w:val="es-CO"/>
        </w:rPr>
      </w:pPr>
      <w:r w:rsidRPr="00A54F66">
        <w:rPr>
          <w:rStyle w:val="FootnoteReference"/>
          <w:szCs w:val="16"/>
        </w:rPr>
        <w:footnoteRef/>
      </w:r>
      <w:r w:rsidRPr="00A54F66">
        <w:rPr>
          <w:szCs w:val="16"/>
          <w:lang w:val="es-CR"/>
        </w:rPr>
        <w:t xml:space="preserve"> </w:t>
      </w:r>
      <w:r w:rsidRPr="00A54F66">
        <w:rPr>
          <w:szCs w:val="16"/>
          <w:lang w:val="es-CR"/>
        </w:rPr>
        <w:tab/>
      </w:r>
      <w:r w:rsidRPr="00A54F66">
        <w:rPr>
          <w:i/>
          <w:szCs w:val="16"/>
          <w:lang w:val="es-CR"/>
        </w:rPr>
        <w:t>Cfr</w:t>
      </w:r>
      <w:r w:rsidRPr="00A54F66">
        <w:rPr>
          <w:szCs w:val="16"/>
          <w:lang w:val="es-CR"/>
        </w:rPr>
        <w:t xml:space="preserve">. </w:t>
      </w:r>
      <w:r w:rsidRPr="00A54F66">
        <w:rPr>
          <w:szCs w:val="16"/>
          <w:lang w:val="es-CO"/>
        </w:rPr>
        <w:t xml:space="preserve">Acción </w:t>
      </w:r>
      <w:r w:rsidRPr="00A54F66">
        <w:rPr>
          <w:szCs w:val="16"/>
          <w:lang w:val="es-CR"/>
        </w:rPr>
        <w:t>de Amparo</w:t>
      </w:r>
      <w:r w:rsidRPr="00550CAE">
        <w:rPr>
          <w:szCs w:val="16"/>
          <w:lang w:val="es-CR"/>
        </w:rPr>
        <w:t xml:space="preserve"> de 27 de julio de 1999 (expediente de prueba, folios 554 a 557)</w:t>
      </w:r>
      <w:r w:rsidRPr="00550CAE">
        <w:rPr>
          <w:szCs w:val="16"/>
          <w:lang w:val="es-CO"/>
        </w:rPr>
        <w:t>.</w:t>
      </w:r>
    </w:p>
  </w:footnote>
  <w:footnote w:id="152">
    <w:p w14:paraId="0B126C99" w14:textId="77777777" w:rsidR="007D60D2" w:rsidRPr="00550CAE" w:rsidRDefault="007D60D2" w:rsidP="00550CAE">
      <w:pPr>
        <w:tabs>
          <w:tab w:val="left" w:pos="540"/>
          <w:tab w:val="left" w:pos="567"/>
        </w:tabs>
        <w:jc w:val="both"/>
        <w:rPr>
          <w:sz w:val="16"/>
          <w:szCs w:val="16"/>
          <w:lang w:val="es-CO"/>
        </w:rPr>
      </w:pPr>
      <w:r w:rsidRPr="00550CAE">
        <w:rPr>
          <w:rStyle w:val="FootnoteReference"/>
          <w:szCs w:val="16"/>
        </w:rPr>
        <w:footnoteRef/>
      </w:r>
      <w:r w:rsidRPr="00550CAE">
        <w:rPr>
          <w:sz w:val="16"/>
          <w:szCs w:val="16"/>
          <w:lang w:val="es-CO"/>
        </w:rPr>
        <w:t xml:space="preserve"> </w:t>
      </w:r>
      <w:r w:rsidRPr="00550CAE">
        <w:rPr>
          <w:sz w:val="16"/>
          <w:szCs w:val="16"/>
          <w:lang w:val="es-CO"/>
        </w:rPr>
        <w:tab/>
      </w:r>
      <w:r w:rsidRPr="00550CAE">
        <w:rPr>
          <w:i/>
          <w:sz w:val="16"/>
          <w:szCs w:val="16"/>
          <w:lang w:val="es-CO"/>
        </w:rPr>
        <w:t xml:space="preserve">Cfr. </w:t>
      </w:r>
      <w:r w:rsidRPr="00550CAE">
        <w:rPr>
          <w:sz w:val="16"/>
          <w:szCs w:val="16"/>
          <w:lang w:val="es-CO"/>
        </w:rPr>
        <w:t>Resolución de la Sala de lo Constitucional de 5 de noviembre de 1999 (expediente de prueba, folio 1586).</w:t>
      </w:r>
    </w:p>
  </w:footnote>
  <w:footnote w:id="153">
    <w:p w14:paraId="3B274921"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 xml:space="preserve">Cfr. </w:t>
      </w:r>
      <w:r w:rsidRPr="00550CAE">
        <w:rPr>
          <w:szCs w:val="16"/>
          <w:lang w:val="es-CO"/>
        </w:rPr>
        <w:t>Resolución de la Sala de lo Constitucional de 5 de noviembre de 1999 (expediente de prueba, folio 1585).</w:t>
      </w:r>
    </w:p>
  </w:footnote>
  <w:footnote w:id="154">
    <w:p w14:paraId="6B52F722" w14:textId="13956DFD" w:rsidR="007D60D2" w:rsidRPr="00777092" w:rsidRDefault="007D60D2">
      <w:pPr>
        <w:pStyle w:val="FootnoteText"/>
      </w:pPr>
      <w:r>
        <w:rPr>
          <w:rStyle w:val="FootnoteReference"/>
        </w:rPr>
        <w:footnoteRef/>
      </w:r>
      <w:r>
        <w:t xml:space="preserve"> </w:t>
      </w:r>
      <w:r>
        <w:tab/>
      </w:r>
      <w:r w:rsidRPr="00550CAE">
        <w:rPr>
          <w:i/>
          <w:szCs w:val="16"/>
          <w:lang w:val="es-CO"/>
        </w:rPr>
        <w:t xml:space="preserve">Cfr. </w:t>
      </w:r>
      <w:r w:rsidRPr="00550CAE">
        <w:rPr>
          <w:szCs w:val="16"/>
          <w:lang w:val="es-CO"/>
        </w:rPr>
        <w:t>Resolución de la Sala de lo Constitucional de 5 de noviembre de 1999 (expediente de prueba, folio 1585).</w:t>
      </w:r>
    </w:p>
  </w:footnote>
  <w:footnote w:id="155">
    <w:p w14:paraId="455A3E54" w14:textId="66CCFFFE" w:rsidR="007D60D2" w:rsidRPr="00550CAE" w:rsidRDefault="007D60D2" w:rsidP="00550CAE">
      <w:pPr>
        <w:pStyle w:val="FootnoteText"/>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 xml:space="preserve">Cfr. </w:t>
      </w:r>
      <w:r w:rsidRPr="00550CAE">
        <w:rPr>
          <w:rFonts w:eastAsia="Calibri"/>
          <w:bCs/>
          <w:i/>
          <w:color w:val="000000"/>
          <w:szCs w:val="16"/>
          <w:shd w:val="clear" w:color="auto" w:fill="FFFFFF"/>
          <w:lang w:val="es-CR" w:eastAsia="es-CR"/>
        </w:rPr>
        <w:t xml:space="preserve">Caso Trabajadores Cesados de Petroperú y otros Vs. Perú. Excepciones Preliminares, Fondo, Reparaciones y Costas. </w:t>
      </w:r>
      <w:r w:rsidRPr="00550CAE">
        <w:rPr>
          <w:rFonts w:eastAsia="Calibri"/>
          <w:bCs/>
          <w:color w:val="000000"/>
          <w:szCs w:val="16"/>
          <w:shd w:val="clear" w:color="auto" w:fill="FFFFFF"/>
          <w:lang w:val="es-CR" w:eastAsia="es-CR"/>
        </w:rPr>
        <w:t>Sentencia de 23 de noviembre de 2017. Serie C No. 344, párr. 177</w:t>
      </w:r>
      <w:r w:rsidRPr="00550CAE">
        <w:rPr>
          <w:rFonts w:eastAsia="Calibri"/>
          <w:bCs/>
          <w:i/>
          <w:color w:val="000000"/>
          <w:szCs w:val="16"/>
          <w:shd w:val="clear" w:color="auto" w:fill="FFFFFF"/>
          <w:lang w:val="es-CR" w:eastAsia="es-CR"/>
        </w:rPr>
        <w:t>.</w:t>
      </w:r>
    </w:p>
  </w:footnote>
  <w:footnote w:id="156">
    <w:p w14:paraId="07BEB70E" w14:textId="4DEE10CF" w:rsidR="007D60D2" w:rsidRPr="00550CAE" w:rsidRDefault="007D60D2" w:rsidP="00550CAE">
      <w:pPr>
        <w:pStyle w:val="FootnoteText"/>
        <w:tabs>
          <w:tab w:val="left" w:pos="567"/>
        </w:tabs>
        <w:rPr>
          <w:szCs w:val="16"/>
          <w:lang w:val="es-CR"/>
        </w:rPr>
      </w:pPr>
      <w:r w:rsidRPr="00550CAE">
        <w:rPr>
          <w:rStyle w:val="FootnoteReference"/>
          <w:szCs w:val="16"/>
        </w:rPr>
        <w:footnoteRef/>
      </w:r>
      <w:r w:rsidRPr="00550CAE">
        <w:rPr>
          <w:szCs w:val="16"/>
        </w:rPr>
        <w:t xml:space="preserve"> </w:t>
      </w:r>
      <w:r w:rsidRPr="00550CAE">
        <w:rPr>
          <w:szCs w:val="16"/>
        </w:rPr>
        <w:tab/>
      </w:r>
      <w:r w:rsidRPr="002E7229">
        <w:rPr>
          <w:i/>
          <w:szCs w:val="16"/>
        </w:rPr>
        <w:t xml:space="preserve">Cfr. </w:t>
      </w:r>
      <w:r w:rsidRPr="002E7229">
        <w:rPr>
          <w:rFonts w:eastAsia="Calibri"/>
          <w:bCs/>
          <w:i/>
          <w:color w:val="000000"/>
          <w:szCs w:val="16"/>
          <w:shd w:val="clear" w:color="auto" w:fill="FFFFFF"/>
          <w:lang w:val="es-CR" w:eastAsia="es-CR"/>
        </w:rPr>
        <w:t xml:space="preserve">Caso Lagos del Campo Vs. Perú. Excepciones Preliminares, Fondo, Reparaciones y Costas. </w:t>
      </w:r>
      <w:r w:rsidRPr="002E7229">
        <w:rPr>
          <w:rFonts w:eastAsia="Calibri"/>
          <w:bCs/>
          <w:color w:val="000000"/>
          <w:szCs w:val="16"/>
          <w:shd w:val="clear" w:color="auto" w:fill="FFFFFF"/>
          <w:lang w:val="es-CR" w:eastAsia="es-CR"/>
        </w:rPr>
        <w:t>Sentencia de 31 de agosto de 2017. Serie C No. 340,</w:t>
      </w:r>
      <w:r w:rsidRPr="002E7229">
        <w:rPr>
          <w:szCs w:val="16"/>
          <w:lang w:val="es-CR"/>
        </w:rPr>
        <w:t xml:space="preserve"> párr. 184, y </w:t>
      </w:r>
      <w:r w:rsidRPr="002E7229">
        <w:rPr>
          <w:rFonts w:eastAsia="Calibri"/>
          <w:bCs/>
          <w:i/>
          <w:color w:val="000000"/>
          <w:szCs w:val="16"/>
          <w:shd w:val="clear" w:color="auto" w:fill="FFFFFF"/>
          <w:lang w:val="es-CR" w:eastAsia="es-CR"/>
        </w:rPr>
        <w:t xml:space="preserve">Caso Trabajadores Cesados de Petroperú y otros Vs. Perú. Excepciones Preliminares, Fondo, Reparaciones y Costas. </w:t>
      </w:r>
      <w:r w:rsidRPr="002E7229">
        <w:rPr>
          <w:rFonts w:eastAsia="Calibri"/>
          <w:bCs/>
          <w:color w:val="000000"/>
          <w:szCs w:val="16"/>
          <w:shd w:val="clear" w:color="auto" w:fill="FFFFFF"/>
          <w:lang w:val="es-CR" w:eastAsia="es-CR"/>
        </w:rPr>
        <w:t>Sentencia de 23 de noviembre de 2017. Serie C No. 344, párr. 177</w:t>
      </w:r>
      <w:r w:rsidRPr="002E7229">
        <w:rPr>
          <w:rFonts w:eastAsia="Calibri"/>
          <w:bCs/>
          <w:i/>
          <w:color w:val="000000"/>
          <w:szCs w:val="16"/>
          <w:shd w:val="clear" w:color="auto" w:fill="FFFFFF"/>
          <w:lang w:val="es-CR" w:eastAsia="es-CR"/>
        </w:rPr>
        <w:t>.</w:t>
      </w:r>
    </w:p>
  </w:footnote>
  <w:footnote w:id="157">
    <w:p w14:paraId="1E0F1829" w14:textId="4DF25931" w:rsidR="007D60D2" w:rsidRPr="00C257B5" w:rsidRDefault="007D60D2">
      <w:pPr>
        <w:pStyle w:val="FootnoteText"/>
      </w:pPr>
      <w:r>
        <w:rPr>
          <w:rStyle w:val="FootnoteReference"/>
        </w:rPr>
        <w:footnoteRef/>
      </w:r>
      <w:r>
        <w:t xml:space="preserve"> </w:t>
      </w:r>
      <w:r>
        <w:tab/>
      </w:r>
      <w:r w:rsidRPr="00550CAE">
        <w:rPr>
          <w:i/>
          <w:szCs w:val="16"/>
        </w:rPr>
        <w:t>Cfr.</w:t>
      </w:r>
      <w:r>
        <w:rPr>
          <w:i/>
          <w:szCs w:val="16"/>
        </w:rPr>
        <w:t xml:space="preserve"> </w:t>
      </w:r>
      <w:r w:rsidRPr="002E7229">
        <w:rPr>
          <w:i/>
        </w:rPr>
        <w:t xml:space="preserve">Caso Acevedo Jaramillo y otros Vs. Perú. Excepciones Preliminares, Fondo, Reparaciones y Costas. </w:t>
      </w:r>
      <w:r>
        <w:t>Sentencia de 7 de febrero de 2006. Serie C No. 144, párr. 66</w:t>
      </w:r>
      <w:r w:rsidRPr="002E7229">
        <w:t xml:space="preserve">, </w:t>
      </w:r>
      <w:r>
        <w:t xml:space="preserve">y </w:t>
      </w:r>
      <w:r w:rsidRPr="00777092">
        <w:rPr>
          <w:rFonts w:eastAsia="Calibri"/>
          <w:bCs/>
          <w:i/>
          <w:color w:val="000000"/>
          <w:szCs w:val="16"/>
          <w:shd w:val="clear" w:color="auto" w:fill="FFFFFF"/>
          <w:lang w:val="es-CR" w:eastAsia="es-CR"/>
        </w:rPr>
        <w:t xml:space="preserve">Caso Villamizar Durán y otros Vs. Colombia. Excepción Preliminar, Fondo, Reparaciones y Costas. </w:t>
      </w:r>
      <w:r w:rsidRPr="00777092">
        <w:rPr>
          <w:rFonts w:eastAsia="Calibri"/>
          <w:bCs/>
          <w:color w:val="000000"/>
          <w:szCs w:val="16"/>
          <w:shd w:val="clear" w:color="auto" w:fill="FFFFFF"/>
          <w:lang w:val="es-CR" w:eastAsia="es-CR"/>
        </w:rPr>
        <w:t>Sentencia de 20 de noviembre de 2018. Serie C No. 364, párr. 129.</w:t>
      </w:r>
    </w:p>
  </w:footnote>
  <w:footnote w:id="158">
    <w:p w14:paraId="7EC7A395" w14:textId="77777777" w:rsidR="007D60D2" w:rsidRPr="00550CAE" w:rsidRDefault="007D60D2" w:rsidP="00550CAE">
      <w:pPr>
        <w:pStyle w:val="FootnoteText"/>
        <w:tabs>
          <w:tab w:val="left" w:pos="426"/>
          <w:tab w:val="left" w:pos="540"/>
          <w:tab w:val="left" w:pos="567"/>
        </w:tabs>
        <w:rPr>
          <w:b/>
          <w:szCs w:val="16"/>
          <w:lang w:val="es-ES"/>
        </w:rPr>
      </w:pPr>
      <w:r w:rsidRPr="00550CAE">
        <w:rPr>
          <w:rStyle w:val="FootnoteReference"/>
          <w:rFonts w:eastAsia="Times"/>
          <w:szCs w:val="16"/>
        </w:rPr>
        <w:footnoteRef/>
      </w:r>
      <w:r w:rsidRPr="00550CAE">
        <w:rPr>
          <w:szCs w:val="16"/>
          <w:lang w:val="es-CR"/>
        </w:rPr>
        <w:t xml:space="preserve"> </w:t>
      </w:r>
      <w:r w:rsidRPr="00550CAE">
        <w:rPr>
          <w:szCs w:val="16"/>
          <w:lang w:val="es-CR"/>
        </w:rPr>
        <w:tab/>
      </w:r>
      <w:r w:rsidRPr="00550CAE">
        <w:rPr>
          <w:szCs w:val="16"/>
          <w:lang w:val="es-CR"/>
        </w:rPr>
        <w:tab/>
      </w:r>
      <w:r w:rsidRPr="00550CAE">
        <w:rPr>
          <w:i/>
          <w:szCs w:val="16"/>
          <w:lang w:val="es-CR"/>
        </w:rPr>
        <w:t>Cfr.</w:t>
      </w:r>
      <w:r w:rsidRPr="00550CAE">
        <w:rPr>
          <w:b/>
          <w:szCs w:val="16"/>
          <w:lang w:val="es-CR"/>
        </w:rPr>
        <w:t xml:space="preserve"> </w:t>
      </w:r>
      <w:r w:rsidRPr="00550CAE">
        <w:rPr>
          <w:i/>
          <w:szCs w:val="16"/>
          <w:lang w:val="es-ES"/>
        </w:rPr>
        <w:t>Caso Hilaire, Constantine y Benjamin y otros Vs. Trinidad y Tobago. Fondo, Reparaciones y Costas</w:t>
      </w:r>
      <w:r w:rsidRPr="00550CAE">
        <w:rPr>
          <w:szCs w:val="16"/>
          <w:lang w:val="es-ES"/>
        </w:rPr>
        <w:t>. Sentencia de 21 de junio de 2002. Serie C No. 94, párr. 145</w:t>
      </w:r>
      <w:r w:rsidRPr="00550CAE">
        <w:rPr>
          <w:szCs w:val="16"/>
          <w:lang w:val="es-CR"/>
        </w:rPr>
        <w:t xml:space="preserve">, </w:t>
      </w:r>
      <w:r w:rsidRPr="00550CAE">
        <w:rPr>
          <w:color w:val="000000"/>
          <w:szCs w:val="16"/>
          <w:lang w:val="es-ES"/>
        </w:rPr>
        <w:t xml:space="preserve">y </w:t>
      </w:r>
      <w:r w:rsidRPr="00550CAE">
        <w:rPr>
          <w:i/>
          <w:szCs w:val="16"/>
          <w:lang w:val="es-CR"/>
        </w:rPr>
        <w:t>Caso Carvajal Carvajal y otros Vs. Colombia. Fondo, Reparaciones y Costas.</w:t>
      </w:r>
      <w:r w:rsidRPr="00550CAE">
        <w:rPr>
          <w:szCs w:val="16"/>
          <w:lang w:val="es-CR"/>
        </w:rPr>
        <w:t xml:space="preserve"> Sentencia de 13 de marzo de 2018. Serie C No. 352, párr. 105.</w:t>
      </w:r>
    </w:p>
  </w:footnote>
  <w:footnote w:id="159">
    <w:p w14:paraId="4BDB74DA" w14:textId="77777777" w:rsidR="007D60D2" w:rsidRPr="00550CAE" w:rsidRDefault="007D60D2" w:rsidP="00550CAE">
      <w:pPr>
        <w:pStyle w:val="FootnoteText"/>
        <w:tabs>
          <w:tab w:val="left" w:pos="426"/>
          <w:tab w:val="left" w:pos="540"/>
          <w:tab w:val="left" w:pos="567"/>
        </w:tabs>
        <w:rPr>
          <w:szCs w:val="16"/>
          <w:lang w:val="es-CR"/>
        </w:rPr>
      </w:pPr>
      <w:r w:rsidRPr="00550CAE">
        <w:rPr>
          <w:rStyle w:val="FootnoteReference"/>
          <w:rFonts w:eastAsia="Calibri"/>
          <w:szCs w:val="16"/>
        </w:rPr>
        <w:footnoteRef/>
      </w:r>
      <w:r w:rsidRPr="00550CAE">
        <w:rPr>
          <w:szCs w:val="16"/>
          <w:lang w:val="es-CR"/>
        </w:rPr>
        <w:t xml:space="preserve"> </w:t>
      </w:r>
      <w:r w:rsidRPr="00550CAE">
        <w:rPr>
          <w:szCs w:val="16"/>
          <w:lang w:val="es-CR"/>
        </w:rPr>
        <w:tab/>
      </w:r>
      <w:r w:rsidRPr="00550CAE">
        <w:rPr>
          <w:szCs w:val="16"/>
          <w:lang w:val="es-CR"/>
        </w:rPr>
        <w:tab/>
      </w:r>
      <w:r w:rsidRPr="00550CAE">
        <w:rPr>
          <w:i/>
          <w:szCs w:val="16"/>
          <w:lang w:val="es-CR"/>
        </w:rPr>
        <w:t>Cfr. Caso Suárez Rosero Vs. Ecuador. Fondo</w:t>
      </w:r>
      <w:r w:rsidRPr="00550CAE">
        <w:rPr>
          <w:szCs w:val="16"/>
          <w:lang w:val="es-CR"/>
        </w:rPr>
        <w:t xml:space="preserve">. Sentencia de 12 de noviembre de 1997. Serie C No. 35, párr. 71, </w:t>
      </w:r>
      <w:r w:rsidRPr="00550CAE">
        <w:rPr>
          <w:color w:val="000000"/>
          <w:szCs w:val="16"/>
          <w:lang w:val="es-ES"/>
        </w:rPr>
        <w:t xml:space="preserve">y </w:t>
      </w:r>
      <w:r w:rsidRPr="00550CAE">
        <w:rPr>
          <w:i/>
          <w:szCs w:val="16"/>
          <w:lang w:val="es-MX"/>
        </w:rPr>
        <w:t xml:space="preserve">Caso Munárriz Escobar y otros Vs. Perú. Excepción Preliminar, Fondo, Reparaciones y Costas. </w:t>
      </w:r>
      <w:r w:rsidRPr="00550CAE">
        <w:rPr>
          <w:szCs w:val="16"/>
          <w:lang w:val="es-MX"/>
        </w:rPr>
        <w:t xml:space="preserve">Sentencia de 20 de agosto de 2018. Serie C No. 355, </w:t>
      </w:r>
      <w:r w:rsidRPr="00550CAE">
        <w:rPr>
          <w:szCs w:val="16"/>
          <w:shd w:val="clear" w:color="auto" w:fill="FFFFFF"/>
          <w:lang w:val="es-ES"/>
        </w:rPr>
        <w:t xml:space="preserve">párr. </w:t>
      </w:r>
      <w:r w:rsidRPr="00550CAE">
        <w:rPr>
          <w:szCs w:val="16"/>
          <w:lang w:val="es-MX"/>
        </w:rPr>
        <w:t>107.</w:t>
      </w:r>
    </w:p>
  </w:footnote>
  <w:footnote w:id="160">
    <w:p w14:paraId="3D1EB46D" w14:textId="0E1F4086" w:rsidR="007D60D2" w:rsidRPr="00550CAE" w:rsidRDefault="007D60D2" w:rsidP="00550CAE">
      <w:pPr>
        <w:tabs>
          <w:tab w:val="left" w:pos="540"/>
          <w:tab w:val="left" w:pos="567"/>
        </w:tabs>
        <w:jc w:val="both"/>
        <w:rPr>
          <w:sz w:val="16"/>
          <w:szCs w:val="16"/>
          <w:lang w:val="es-CR"/>
        </w:rPr>
      </w:pPr>
      <w:r w:rsidRPr="00550CAE">
        <w:rPr>
          <w:rStyle w:val="FootnoteReference"/>
          <w:szCs w:val="16"/>
        </w:rPr>
        <w:footnoteRef/>
      </w:r>
      <w:r w:rsidRPr="00550CAE">
        <w:rPr>
          <w:sz w:val="16"/>
          <w:szCs w:val="16"/>
          <w:lang w:val="es-CR"/>
        </w:rPr>
        <w:t xml:space="preserve"> </w:t>
      </w:r>
      <w:r w:rsidRPr="00550CAE">
        <w:rPr>
          <w:sz w:val="16"/>
          <w:szCs w:val="16"/>
          <w:lang w:val="es-CR"/>
        </w:rPr>
        <w:tab/>
      </w:r>
      <w:r w:rsidRPr="00550CAE">
        <w:rPr>
          <w:i/>
          <w:sz w:val="16"/>
          <w:szCs w:val="16"/>
          <w:lang w:val="es-CR"/>
        </w:rPr>
        <w:t xml:space="preserve">Cfr. </w:t>
      </w:r>
      <w:r w:rsidRPr="00550CAE">
        <w:rPr>
          <w:i/>
          <w:sz w:val="16"/>
          <w:szCs w:val="16"/>
          <w:shd w:val="clear" w:color="auto" w:fill="FFFFFF"/>
          <w:lang w:val="es-CR"/>
        </w:rPr>
        <w:t>Caso Furlan y familiares Vs. Argentina. Excepciones Preliminares, Fondo, Reparaciones y Costas.</w:t>
      </w:r>
      <w:r w:rsidRPr="00550CAE">
        <w:rPr>
          <w:sz w:val="16"/>
          <w:szCs w:val="16"/>
          <w:shd w:val="clear" w:color="auto" w:fill="FFFFFF"/>
          <w:lang w:val="es-CR"/>
        </w:rPr>
        <w:t xml:space="preserve"> </w:t>
      </w:r>
      <w:r w:rsidRPr="00550CAE">
        <w:rPr>
          <w:sz w:val="16"/>
          <w:szCs w:val="16"/>
          <w:shd w:val="clear" w:color="auto" w:fill="FFFFFF"/>
          <w:lang w:val="es-ES"/>
        </w:rPr>
        <w:t>Sentencia de 31 de agosto de 2012. Serie C No. 246,  párr. 151.</w:t>
      </w:r>
    </w:p>
  </w:footnote>
  <w:footnote w:id="161">
    <w:p w14:paraId="5DFC7C48"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Sentencia de la Corte suprema de Justicia de El Salvador de 22 de diciembre de 2009 (expediente de prueba, folio 598).</w:t>
      </w:r>
    </w:p>
  </w:footnote>
  <w:footnote w:id="162">
    <w:p w14:paraId="3A38C952" w14:textId="77777777" w:rsidR="007D60D2" w:rsidRPr="00550CAE" w:rsidRDefault="007D60D2" w:rsidP="00550CAE">
      <w:pPr>
        <w:pStyle w:val="FootnoteText"/>
        <w:tabs>
          <w:tab w:val="left" w:pos="540"/>
          <w:tab w:val="left" w:pos="567"/>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w:t>
      </w:r>
      <w:r w:rsidRPr="00550CAE">
        <w:rPr>
          <w:szCs w:val="16"/>
        </w:rPr>
        <w:t>Copia de la certificación del cheque de 7 de febrero de 2014 (expediente de prueba, folio 1618), y</w:t>
      </w:r>
      <w:r w:rsidRPr="00550CAE">
        <w:rPr>
          <w:i/>
          <w:szCs w:val="16"/>
        </w:rPr>
        <w:t xml:space="preserve"> </w:t>
      </w:r>
      <w:r w:rsidRPr="00550CAE">
        <w:rPr>
          <w:szCs w:val="16"/>
        </w:rPr>
        <w:t>acta notarial de finiquito de 6 de febrero de 2014 (expediente de prueba, folios 1615 y 1616).</w:t>
      </w:r>
    </w:p>
  </w:footnote>
  <w:footnote w:id="163">
    <w:p w14:paraId="2F902F99" w14:textId="77777777" w:rsidR="007D60D2" w:rsidRPr="00550CAE" w:rsidRDefault="007D60D2" w:rsidP="00550CAE">
      <w:pPr>
        <w:pStyle w:val="FootnoteText"/>
        <w:tabs>
          <w:tab w:val="left" w:pos="540"/>
          <w:tab w:val="left" w:pos="567"/>
        </w:tabs>
        <w:rPr>
          <w:szCs w:val="16"/>
          <w:lang w:val="es-CO"/>
        </w:rPr>
      </w:pPr>
      <w:r w:rsidRPr="00550CAE">
        <w:rPr>
          <w:rStyle w:val="FootnoteReference"/>
          <w:szCs w:val="16"/>
        </w:rPr>
        <w:footnoteRef/>
      </w:r>
      <w:r w:rsidRPr="00550CAE">
        <w:rPr>
          <w:szCs w:val="16"/>
          <w:lang w:val="es-CO"/>
        </w:rPr>
        <w:t xml:space="preserve"> </w:t>
      </w:r>
      <w:r w:rsidRPr="00550CAE">
        <w:rPr>
          <w:szCs w:val="16"/>
          <w:lang w:val="es-CO"/>
        </w:rPr>
        <w:tab/>
      </w:r>
      <w:r w:rsidRPr="00550CAE">
        <w:rPr>
          <w:i/>
          <w:szCs w:val="16"/>
          <w:lang w:val="es-CO"/>
        </w:rPr>
        <w:t>Cfr</w:t>
      </w:r>
      <w:r w:rsidRPr="00550CAE">
        <w:rPr>
          <w:szCs w:val="16"/>
          <w:lang w:val="es-CO"/>
        </w:rPr>
        <w:t>. Resolución de la Sala de lo Constitucional de 4 de noviembre de 1997 (expediente de prueba, folio 375).</w:t>
      </w:r>
    </w:p>
  </w:footnote>
  <w:footnote w:id="164">
    <w:p w14:paraId="497ECE22"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rPr>
        <w:tab/>
      </w:r>
      <w:r w:rsidRPr="00550CAE">
        <w:rPr>
          <w:i/>
          <w:szCs w:val="16"/>
          <w:lang w:val="es-CO"/>
        </w:rPr>
        <w:t>Cfr</w:t>
      </w:r>
      <w:r w:rsidRPr="00550CAE">
        <w:rPr>
          <w:szCs w:val="16"/>
          <w:lang w:val="es-CO"/>
        </w:rPr>
        <w:t xml:space="preserve">. Sentencia </w:t>
      </w:r>
      <w:r w:rsidRPr="00550CAE">
        <w:rPr>
          <w:szCs w:val="16"/>
        </w:rPr>
        <w:t xml:space="preserve">de </w:t>
      </w:r>
      <w:r w:rsidRPr="00550CAE">
        <w:rPr>
          <w:szCs w:val="16"/>
          <w:lang w:val="es-CO"/>
        </w:rPr>
        <w:t>la Sala de lo Civil de la Corte Suprema de Justicia de 13 de junio de 2001 (expediente de prueba, folios</w:t>
      </w:r>
      <w:r w:rsidRPr="00550CAE">
        <w:rPr>
          <w:szCs w:val="16"/>
          <w:lang w:val="es-CR"/>
        </w:rPr>
        <w:t xml:space="preserve"> 1669).</w:t>
      </w:r>
      <w:r w:rsidRPr="00550CAE">
        <w:rPr>
          <w:szCs w:val="16"/>
        </w:rPr>
        <w:t xml:space="preserve"> </w:t>
      </w:r>
      <w:r w:rsidRPr="00550CAE">
        <w:rPr>
          <w:i/>
          <w:szCs w:val="16"/>
        </w:rPr>
        <w:t xml:space="preserve">Véase en el mismo sentido, </w:t>
      </w:r>
      <w:r w:rsidRPr="00550CAE">
        <w:rPr>
          <w:szCs w:val="16"/>
        </w:rPr>
        <w:t xml:space="preserve">Sentencia de la </w:t>
      </w:r>
      <w:r w:rsidRPr="00550CAE">
        <w:rPr>
          <w:szCs w:val="16"/>
          <w:lang w:val="es-CO"/>
        </w:rPr>
        <w:t>Cámara Primera de lo Civil de la Primera Sección del Centro de 23 de diciembre de 1999 (expediente de prueba, folio 1636).</w:t>
      </w:r>
    </w:p>
  </w:footnote>
  <w:footnote w:id="165">
    <w:p w14:paraId="5B2A00DA" w14:textId="77777777" w:rsidR="007D60D2" w:rsidRPr="00550CAE" w:rsidRDefault="007D60D2" w:rsidP="00550CAE">
      <w:pPr>
        <w:pStyle w:val="FootnoteText"/>
        <w:tabs>
          <w:tab w:val="left" w:pos="426"/>
          <w:tab w:val="left" w:pos="540"/>
        </w:tabs>
        <w:contextualSpacing/>
        <w:rPr>
          <w:szCs w:val="16"/>
        </w:rPr>
      </w:pPr>
      <w:r w:rsidRPr="00550CAE">
        <w:rPr>
          <w:rStyle w:val="FootnoteReference"/>
          <w:szCs w:val="16"/>
        </w:rPr>
        <w:footnoteRef/>
      </w:r>
      <w:r w:rsidRPr="00550CAE">
        <w:rPr>
          <w:szCs w:val="16"/>
        </w:rPr>
        <w:t xml:space="preserve">     </w:t>
      </w:r>
      <w:r w:rsidRPr="00550CAE">
        <w:rPr>
          <w:szCs w:val="16"/>
        </w:rPr>
        <w:tab/>
        <w:t>El artículo 63.1 de la Convención Americana establece que: “[c]uando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w:t>
      </w:r>
    </w:p>
  </w:footnote>
  <w:footnote w:id="166">
    <w:p w14:paraId="756F9D75" w14:textId="478CA56C" w:rsidR="007D60D2" w:rsidRPr="00550CAE" w:rsidRDefault="007D60D2" w:rsidP="00550CAE">
      <w:pPr>
        <w:pStyle w:val="FootnoteText"/>
        <w:tabs>
          <w:tab w:val="left" w:pos="426"/>
          <w:tab w:val="left" w:pos="540"/>
        </w:tabs>
        <w:rPr>
          <w:szCs w:val="16"/>
          <w:lang w:val="es-CR"/>
        </w:rPr>
      </w:pPr>
      <w:r w:rsidRPr="00550CAE">
        <w:rPr>
          <w:rStyle w:val="FootnoteReference"/>
          <w:rFonts w:cstheme="minorBidi"/>
          <w:szCs w:val="16"/>
        </w:rPr>
        <w:footnoteRef/>
      </w:r>
      <w:r w:rsidRPr="00550CAE">
        <w:rPr>
          <w:szCs w:val="16"/>
          <w:lang w:val="es-CR"/>
        </w:rPr>
        <w:t xml:space="preserve"> </w:t>
      </w:r>
      <w:r w:rsidRPr="00550CAE">
        <w:rPr>
          <w:szCs w:val="16"/>
          <w:lang w:val="es-CR"/>
        </w:rPr>
        <w:tab/>
      </w:r>
      <w:r w:rsidRPr="00550CAE">
        <w:rPr>
          <w:i/>
          <w:szCs w:val="16"/>
          <w:lang w:val="es-CR"/>
        </w:rPr>
        <w:t>Cfr. Caso Velásquez Rodríguez Vs. Honduras. Reparaciones y Costas.</w:t>
      </w:r>
      <w:r w:rsidRPr="00550CAE">
        <w:rPr>
          <w:szCs w:val="16"/>
          <w:lang w:val="es-CR"/>
        </w:rPr>
        <w:t xml:space="preserve"> Sentencia de 21 de julio de 1989. Serie C No. 7, párrs. 24 y 25, y </w:t>
      </w:r>
      <w:r w:rsidRPr="00777092">
        <w:rPr>
          <w:i/>
          <w:szCs w:val="16"/>
        </w:rPr>
        <w:t xml:space="preserve">Caso Órdenes Guerra y otros Vs. Chile. Fondo, Reparaciones y Costas. </w:t>
      </w:r>
      <w:r w:rsidRPr="00777092">
        <w:rPr>
          <w:szCs w:val="16"/>
        </w:rPr>
        <w:t>Sentencia de 29 de noviembre de 2018. Serie C No. 372, párr. 103.</w:t>
      </w:r>
    </w:p>
  </w:footnote>
  <w:footnote w:id="167">
    <w:p w14:paraId="55F891C8" w14:textId="33A152F8" w:rsidR="007D60D2" w:rsidRPr="00550CAE" w:rsidRDefault="007D60D2" w:rsidP="00550CAE">
      <w:pPr>
        <w:pStyle w:val="FootnoteText"/>
        <w:tabs>
          <w:tab w:val="left" w:pos="426"/>
          <w:tab w:val="left" w:pos="540"/>
        </w:tabs>
        <w:rPr>
          <w:szCs w:val="16"/>
          <w:lang w:val="es-ES"/>
        </w:rPr>
      </w:pPr>
      <w:r w:rsidRPr="00550CAE">
        <w:rPr>
          <w:rStyle w:val="FootnoteReference"/>
          <w:szCs w:val="16"/>
        </w:rPr>
        <w:footnoteRef/>
      </w:r>
      <w:r w:rsidRPr="00550CAE">
        <w:rPr>
          <w:szCs w:val="16"/>
          <w:lang w:val="es-CR"/>
        </w:rPr>
        <w:t xml:space="preserve"> </w:t>
      </w:r>
      <w:r w:rsidRPr="00550CAE">
        <w:rPr>
          <w:szCs w:val="16"/>
          <w:lang w:val="es-CR"/>
        </w:rPr>
        <w:tab/>
      </w:r>
      <w:r w:rsidRPr="00550CAE">
        <w:rPr>
          <w:i/>
          <w:szCs w:val="16"/>
          <w:lang w:val="es-CR"/>
        </w:rPr>
        <w:t>Cfr. Caso Ticona Estrada y otros Vs. Bolivia, Fondo, Reparaciones y Costas.</w:t>
      </w:r>
      <w:r w:rsidRPr="00550CAE">
        <w:rPr>
          <w:szCs w:val="16"/>
          <w:lang w:val="es-CR"/>
        </w:rPr>
        <w:t xml:space="preserve"> Sentencia de 27 de noviembre de 2008</w:t>
      </w:r>
      <w:r>
        <w:rPr>
          <w:szCs w:val="16"/>
          <w:lang w:val="es-CR"/>
        </w:rPr>
        <w:t>. Serie C No. 191, párr. 110, y</w:t>
      </w:r>
      <w:r w:rsidRPr="00550CAE">
        <w:rPr>
          <w:szCs w:val="16"/>
          <w:lang w:val="es-CR"/>
        </w:rPr>
        <w:t xml:space="preserve"> </w:t>
      </w:r>
      <w:r w:rsidRPr="00777092">
        <w:rPr>
          <w:i/>
          <w:szCs w:val="16"/>
        </w:rPr>
        <w:t xml:space="preserve">Caso Órdenes Guerra y otros Vs. Chile. Fondo, Reparaciones y Costas. </w:t>
      </w:r>
      <w:r w:rsidRPr="00777092">
        <w:rPr>
          <w:szCs w:val="16"/>
        </w:rPr>
        <w:t>Sentencia de 29 de noviembre de 2018. Serie C No. 372, párr. 10</w:t>
      </w:r>
      <w:r>
        <w:rPr>
          <w:szCs w:val="16"/>
        </w:rPr>
        <w:t>4</w:t>
      </w:r>
      <w:r w:rsidRPr="00777092">
        <w:rPr>
          <w:szCs w:val="16"/>
        </w:rPr>
        <w:t>.</w:t>
      </w:r>
    </w:p>
  </w:footnote>
  <w:footnote w:id="168">
    <w:p w14:paraId="3BFD7E4C" w14:textId="6B3BB423" w:rsidR="007D60D2" w:rsidRPr="00550CAE" w:rsidRDefault="007D60D2" w:rsidP="00550CAE">
      <w:pPr>
        <w:pStyle w:val="FootnoteText"/>
        <w:tabs>
          <w:tab w:val="left" w:pos="426"/>
          <w:tab w:val="left" w:pos="540"/>
        </w:tabs>
        <w:rPr>
          <w:szCs w:val="16"/>
          <w:lang w:val="es-CR"/>
        </w:rPr>
      </w:pPr>
      <w:r w:rsidRPr="00550CAE">
        <w:rPr>
          <w:rStyle w:val="FootnoteReference"/>
          <w:rFonts w:cstheme="minorBidi"/>
          <w:szCs w:val="16"/>
        </w:rPr>
        <w:footnoteRef/>
      </w:r>
      <w:r w:rsidRPr="00550CAE">
        <w:rPr>
          <w:szCs w:val="16"/>
          <w:vertAlign w:val="superscript"/>
          <w:lang w:val="es-CR"/>
        </w:rPr>
        <w:t xml:space="preserve"> </w:t>
      </w:r>
      <w:r w:rsidRPr="00550CAE">
        <w:rPr>
          <w:szCs w:val="16"/>
          <w:lang w:val="es-CR"/>
        </w:rPr>
        <w:tab/>
      </w:r>
      <w:r w:rsidRPr="00550CAE">
        <w:rPr>
          <w:i/>
          <w:szCs w:val="16"/>
          <w:lang w:val="es-CR"/>
        </w:rPr>
        <w:t>Cfr. Caso Ticona Estrada y otros Vs. Bolivia. Fondo, Reparaciones y Costas.</w:t>
      </w:r>
      <w:r w:rsidRPr="00550CAE">
        <w:rPr>
          <w:szCs w:val="16"/>
          <w:lang w:val="es-CR"/>
        </w:rPr>
        <w:t xml:space="preserve"> Sentencia de 27 de noviembre de 2008. Serie C No. 191, párr. 110, y </w:t>
      </w:r>
      <w:r w:rsidRPr="00777092">
        <w:rPr>
          <w:i/>
          <w:szCs w:val="16"/>
        </w:rPr>
        <w:t xml:space="preserve">Caso Órdenes Guerra y otros Vs. Chile. Fondo, Reparaciones y Costas. </w:t>
      </w:r>
      <w:r w:rsidRPr="00777092">
        <w:rPr>
          <w:szCs w:val="16"/>
        </w:rPr>
        <w:t>Sentencia de 29 de noviembre de 2018. Serie C No. 372, párr. 10</w:t>
      </w:r>
      <w:r>
        <w:rPr>
          <w:szCs w:val="16"/>
        </w:rPr>
        <w:t>4</w:t>
      </w:r>
      <w:r w:rsidRPr="00777092">
        <w:rPr>
          <w:szCs w:val="16"/>
        </w:rPr>
        <w:t>.</w:t>
      </w:r>
    </w:p>
  </w:footnote>
  <w:footnote w:id="169">
    <w:p w14:paraId="06E2FEE2" w14:textId="21035446" w:rsidR="007D60D2" w:rsidRPr="00550CAE" w:rsidRDefault="007D60D2" w:rsidP="00550CAE">
      <w:pPr>
        <w:pStyle w:val="FootnoteText"/>
        <w:tabs>
          <w:tab w:val="left" w:pos="426"/>
          <w:tab w:val="left" w:pos="540"/>
        </w:tabs>
        <w:rPr>
          <w:szCs w:val="16"/>
          <w:lang w:val="es-CR"/>
        </w:rPr>
      </w:pPr>
      <w:r w:rsidRPr="00550CAE">
        <w:rPr>
          <w:rStyle w:val="FootnoteReference"/>
          <w:rFonts w:cstheme="minorBidi"/>
          <w:szCs w:val="16"/>
        </w:rPr>
        <w:footnoteRef/>
      </w:r>
      <w:r w:rsidRPr="00550CAE">
        <w:rPr>
          <w:szCs w:val="16"/>
          <w:vertAlign w:val="superscript"/>
          <w:lang w:val="es-ES"/>
        </w:rPr>
        <w:t xml:space="preserve"> </w:t>
      </w:r>
      <w:r w:rsidRPr="00550CAE">
        <w:rPr>
          <w:szCs w:val="16"/>
          <w:lang w:val="es-ES"/>
        </w:rPr>
        <w:tab/>
      </w:r>
      <w:r w:rsidRPr="00550CAE">
        <w:rPr>
          <w:i/>
          <w:szCs w:val="16"/>
          <w:lang w:val="es-ES"/>
        </w:rPr>
        <w:t xml:space="preserve">Cfr. Caso Velásquez Rodríguez Vs. </w:t>
      </w:r>
      <w:r w:rsidRPr="00550CAE">
        <w:rPr>
          <w:i/>
          <w:szCs w:val="16"/>
          <w:lang w:val="es-CR"/>
        </w:rPr>
        <w:t>Honduras. Reparaciones y Costas.</w:t>
      </w:r>
      <w:r w:rsidRPr="00550CAE">
        <w:rPr>
          <w:szCs w:val="16"/>
          <w:lang w:val="es-CR"/>
        </w:rPr>
        <w:t xml:space="preserve"> Sentencia de 21 de julio de 1989. Serie C No. 7, párrs. 25 y 26, y </w:t>
      </w:r>
      <w:r w:rsidRPr="00AC0DA2">
        <w:rPr>
          <w:i/>
          <w:szCs w:val="16"/>
        </w:rPr>
        <w:t>Caso Alvarado Espinoza y otros Vs. México. Fondo, Reparaciones y Costas</w:t>
      </w:r>
      <w:r w:rsidRPr="00AC0DA2">
        <w:rPr>
          <w:szCs w:val="16"/>
        </w:rPr>
        <w:t>. Sentencia de 28 de noviembre de 2018. Serie C No. 370, párr. 288.</w:t>
      </w:r>
    </w:p>
  </w:footnote>
  <w:footnote w:id="170">
    <w:p w14:paraId="4D58CC56" w14:textId="389A4C89" w:rsidR="007D60D2" w:rsidRPr="00550CAE" w:rsidRDefault="007D60D2" w:rsidP="00550CAE">
      <w:pPr>
        <w:pStyle w:val="FootnoteText"/>
        <w:tabs>
          <w:tab w:val="left" w:pos="540"/>
        </w:tabs>
        <w:rPr>
          <w:rFonts w:eastAsia="Times New Roman"/>
          <w:szCs w:val="16"/>
          <w:lang w:val="es-CR"/>
        </w:rPr>
      </w:pPr>
      <w:r w:rsidRPr="00550CAE">
        <w:rPr>
          <w:rStyle w:val="FootnoteReference"/>
          <w:szCs w:val="16"/>
          <w:lang w:val="es-ES"/>
        </w:rPr>
        <w:footnoteRef/>
      </w:r>
      <w:r w:rsidRPr="00550CAE">
        <w:rPr>
          <w:szCs w:val="16"/>
          <w:lang w:val="es-ES"/>
        </w:rPr>
        <w:t xml:space="preserve"> </w:t>
      </w:r>
      <w:r w:rsidRPr="00550CAE">
        <w:rPr>
          <w:szCs w:val="16"/>
          <w:lang w:val="es-ES"/>
        </w:rPr>
        <w:tab/>
      </w:r>
      <w:r w:rsidRPr="00550CAE">
        <w:rPr>
          <w:i/>
          <w:iCs/>
          <w:szCs w:val="16"/>
          <w:lang w:val="es-ES"/>
        </w:rPr>
        <w:t>Cfr.</w:t>
      </w:r>
      <w:r w:rsidRPr="00550CAE">
        <w:rPr>
          <w:bCs/>
          <w:i/>
          <w:szCs w:val="16"/>
          <w:lang w:val="es-ES"/>
        </w:rPr>
        <w:t xml:space="preserve"> Caso Cantoral Benavides Vs. Perú. </w:t>
      </w:r>
      <w:r w:rsidRPr="00550CAE">
        <w:rPr>
          <w:i/>
          <w:szCs w:val="16"/>
          <w:lang w:val="es-ES"/>
        </w:rPr>
        <w:t xml:space="preserve">Reparaciones y Costas. </w:t>
      </w:r>
      <w:r w:rsidRPr="00550CAE">
        <w:rPr>
          <w:rStyle w:val="Strong"/>
          <w:b w:val="0"/>
          <w:color w:val="000000"/>
          <w:szCs w:val="16"/>
          <w:shd w:val="clear" w:color="auto" w:fill="FFFFFF"/>
        </w:rPr>
        <w:t>Sentencia de 3 de diciembre de 2001. Serie C No. 88</w:t>
      </w:r>
      <w:r w:rsidRPr="00550CAE">
        <w:rPr>
          <w:szCs w:val="16"/>
          <w:lang w:val="es-ES"/>
        </w:rPr>
        <w:t>, párr. 79,</w:t>
      </w:r>
      <w:r w:rsidRPr="00550CAE">
        <w:rPr>
          <w:b/>
          <w:szCs w:val="16"/>
          <w:lang w:val="es-ES"/>
        </w:rPr>
        <w:t xml:space="preserve"> </w:t>
      </w:r>
      <w:r w:rsidRPr="00550CAE">
        <w:rPr>
          <w:szCs w:val="16"/>
          <w:lang w:val="es-CR"/>
        </w:rPr>
        <w:t xml:space="preserve">y </w:t>
      </w:r>
      <w:r w:rsidRPr="00777092">
        <w:rPr>
          <w:i/>
          <w:szCs w:val="16"/>
        </w:rPr>
        <w:t xml:space="preserve">Caso Órdenes Guerra y otros Vs. Chile. Fondo, Reparaciones y Costas. </w:t>
      </w:r>
      <w:r w:rsidRPr="00777092">
        <w:rPr>
          <w:szCs w:val="16"/>
        </w:rPr>
        <w:t>Sentencia de 29 de noviembre de 2018. Serie C No. 372, párr. 1</w:t>
      </w:r>
      <w:r>
        <w:rPr>
          <w:szCs w:val="16"/>
        </w:rPr>
        <w:t>25</w:t>
      </w:r>
      <w:r w:rsidRPr="00777092">
        <w:rPr>
          <w:szCs w:val="16"/>
        </w:rPr>
        <w:t>.</w:t>
      </w:r>
    </w:p>
  </w:footnote>
  <w:footnote w:id="171">
    <w:p w14:paraId="14E4F08A" w14:textId="6CECC351" w:rsidR="007D60D2" w:rsidRPr="00D705F2" w:rsidRDefault="007D60D2" w:rsidP="008620B3">
      <w:pPr>
        <w:pStyle w:val="FootnoteText"/>
      </w:pPr>
      <w:r>
        <w:rPr>
          <w:rStyle w:val="FootnoteReference"/>
        </w:rPr>
        <w:footnoteRef/>
      </w:r>
      <w:r w:rsidRPr="00292006">
        <w:rPr>
          <w:lang w:val="es-CR"/>
        </w:rPr>
        <w:t xml:space="preserve"> </w:t>
      </w:r>
      <w:r w:rsidRPr="00292006">
        <w:rPr>
          <w:lang w:val="es-CR"/>
        </w:rPr>
        <w:tab/>
      </w:r>
      <w:r w:rsidRPr="00292006">
        <w:rPr>
          <w:i/>
          <w:lang w:val="es-CR"/>
        </w:rPr>
        <w:t xml:space="preserve">Cfr. </w:t>
      </w:r>
      <w:r w:rsidRPr="00292006">
        <w:rPr>
          <w:i/>
          <w:szCs w:val="16"/>
          <w:lang w:val="es-CR"/>
        </w:rPr>
        <w:t xml:space="preserve">Caso Andrade Salmón Vs. </w:t>
      </w:r>
      <w:r w:rsidRPr="00550CAE">
        <w:rPr>
          <w:i/>
          <w:szCs w:val="16"/>
        </w:rPr>
        <w:t>Bolivia. Fondo, Reparaciones y Costas</w:t>
      </w:r>
      <w:r w:rsidRPr="00550CAE">
        <w:rPr>
          <w:szCs w:val="16"/>
        </w:rPr>
        <w:t>. Sentencia de 1 de diciembre de 2016. Serie C No. 330, párr. 93.</w:t>
      </w:r>
    </w:p>
  </w:footnote>
  <w:footnote w:id="172">
    <w:p w14:paraId="62A3EDD6" w14:textId="48DF25C9" w:rsidR="007D60D2" w:rsidRPr="00550CAE" w:rsidRDefault="007D60D2" w:rsidP="00550CAE">
      <w:pPr>
        <w:pStyle w:val="FootnoteText"/>
        <w:tabs>
          <w:tab w:val="left" w:pos="540"/>
        </w:tabs>
        <w:rPr>
          <w:szCs w:val="16"/>
        </w:rPr>
      </w:pPr>
      <w:r w:rsidRPr="00550CAE">
        <w:rPr>
          <w:rStyle w:val="FootnoteReference"/>
          <w:szCs w:val="16"/>
        </w:rPr>
        <w:footnoteRef/>
      </w:r>
      <w:r w:rsidRPr="00550CAE">
        <w:rPr>
          <w:szCs w:val="16"/>
        </w:rPr>
        <w:t xml:space="preserve"> </w:t>
      </w:r>
      <w:r w:rsidRPr="00550CAE">
        <w:rPr>
          <w:szCs w:val="16"/>
        </w:rPr>
        <w:tab/>
      </w:r>
      <w:r w:rsidRPr="00550CAE">
        <w:rPr>
          <w:i/>
          <w:szCs w:val="16"/>
        </w:rPr>
        <w:t xml:space="preserve">Cfr. Caso Almonacid Arellano y otros Vs. Chile. Excepciones Preliminares, Fondo, Reparaciones y Costas. </w:t>
      </w:r>
      <w:r w:rsidRPr="00550CAE">
        <w:rPr>
          <w:szCs w:val="16"/>
        </w:rPr>
        <w:t xml:space="preserve">Sentencia de 26 de septiembre de 2006. Serie C No. 154, párr. 124, y </w:t>
      </w:r>
      <w:r w:rsidRPr="00E53C42">
        <w:rPr>
          <w:i/>
          <w:szCs w:val="16"/>
        </w:rPr>
        <w:t xml:space="preserve">Caso Órdenes Guerra y otros Vs. Chile. Fondo, Reparaciones y Costas. </w:t>
      </w:r>
      <w:r w:rsidRPr="00E53C42">
        <w:rPr>
          <w:szCs w:val="16"/>
        </w:rPr>
        <w:t>Sentencia de 29 de noviembre de 2018. Serie C No. 372, párr. 135.</w:t>
      </w:r>
    </w:p>
  </w:footnote>
  <w:footnote w:id="173">
    <w:p w14:paraId="719A1313" w14:textId="36D43BF8"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lang w:val="es-CR"/>
        </w:rPr>
        <w:t xml:space="preserve"> </w:t>
      </w:r>
      <w:r w:rsidRPr="00550CAE">
        <w:rPr>
          <w:szCs w:val="16"/>
          <w:lang w:val="es-CR"/>
        </w:rPr>
        <w:tab/>
        <w:t xml:space="preserve">La prueba aportada se refiere a los salarios recibidos por el magistrado que remplazó al señor Colindres Schonenberg. No se incluyó información sobre  el salario de abril de 1999. La Corte tomó como referencia el salario de marzo y de mayo de 1999 para incluir en la suma total un estimado a lo correspondiente a abril de 1999. </w:t>
      </w:r>
      <w:r w:rsidRPr="00550CAE">
        <w:rPr>
          <w:i/>
          <w:szCs w:val="16"/>
          <w:lang w:val="es-CR"/>
        </w:rPr>
        <w:t xml:space="preserve">Cfr. </w:t>
      </w:r>
      <w:r w:rsidRPr="00550CAE">
        <w:rPr>
          <w:szCs w:val="16"/>
          <w:lang w:val="es-CR"/>
        </w:rPr>
        <w:t>Comunicación del Tribunal Supremo Electoral de 18 de diciembre de 2017 (expediente de fondo, folio 170).</w:t>
      </w:r>
    </w:p>
  </w:footnote>
  <w:footnote w:id="174">
    <w:p w14:paraId="65990521" w14:textId="3A4E8E89" w:rsidR="007D60D2" w:rsidRPr="00550CAE" w:rsidRDefault="007D60D2" w:rsidP="00550CAE">
      <w:pPr>
        <w:pStyle w:val="FootnoteText"/>
        <w:tabs>
          <w:tab w:val="left" w:pos="540"/>
        </w:tabs>
        <w:rPr>
          <w:b/>
          <w:i/>
          <w:spacing w:val="-4"/>
          <w:szCs w:val="16"/>
        </w:rPr>
      </w:pPr>
      <w:r w:rsidRPr="00550CAE">
        <w:rPr>
          <w:rStyle w:val="FootnoteReference"/>
          <w:spacing w:val="-4"/>
          <w:szCs w:val="16"/>
        </w:rPr>
        <w:footnoteRef/>
      </w:r>
      <w:r w:rsidRPr="00550CAE">
        <w:rPr>
          <w:spacing w:val="-4"/>
          <w:szCs w:val="16"/>
        </w:rPr>
        <w:t xml:space="preserve"> </w:t>
      </w:r>
      <w:r w:rsidRPr="00550CAE">
        <w:rPr>
          <w:spacing w:val="-4"/>
          <w:szCs w:val="16"/>
        </w:rPr>
        <w:tab/>
      </w:r>
      <w:r w:rsidRPr="00550CAE">
        <w:rPr>
          <w:i/>
          <w:spacing w:val="-4"/>
          <w:szCs w:val="16"/>
        </w:rPr>
        <w:t xml:space="preserve">Cfr. </w:t>
      </w:r>
      <w:r w:rsidRPr="0045442E">
        <w:rPr>
          <w:i/>
          <w:spacing w:val="-4"/>
          <w:szCs w:val="16"/>
          <w:lang w:val="es-ES"/>
        </w:rPr>
        <w:t xml:space="preserve">Caso de los “Niños de la Calle” (Villagrán Morales y otros) Vs. Guatemala. Reparaciones y Costas. </w:t>
      </w:r>
      <w:r w:rsidRPr="0045442E">
        <w:rPr>
          <w:spacing w:val="-4"/>
          <w:szCs w:val="16"/>
          <w:lang w:val="es-ES"/>
        </w:rPr>
        <w:t>Sentencia de 26 de mayo de 2001. Serie C No. 77, párr. 84</w:t>
      </w:r>
      <w:r w:rsidRPr="0045442E">
        <w:rPr>
          <w:spacing w:val="-4"/>
          <w:szCs w:val="16"/>
        </w:rPr>
        <w:t xml:space="preserve">, </w:t>
      </w:r>
      <w:r w:rsidRPr="00550CAE">
        <w:rPr>
          <w:spacing w:val="-4"/>
          <w:szCs w:val="16"/>
        </w:rPr>
        <w:t>y</w:t>
      </w:r>
      <w:r w:rsidRPr="00550CAE">
        <w:rPr>
          <w:szCs w:val="16"/>
        </w:rPr>
        <w:t xml:space="preserve"> </w:t>
      </w:r>
      <w:r w:rsidRPr="00550CAE">
        <w:rPr>
          <w:rStyle w:val="Strong"/>
          <w:b w:val="0"/>
          <w:i/>
          <w:color w:val="000000"/>
          <w:szCs w:val="16"/>
          <w:shd w:val="clear" w:color="auto" w:fill="FFFFFF"/>
        </w:rPr>
        <w:t>Caso Terrones Silva y otros Vs. Perú. Excepciones Preliminares, Fondo, Reparaciones y Costas</w:t>
      </w:r>
      <w:r w:rsidRPr="00550CAE">
        <w:rPr>
          <w:rStyle w:val="Strong"/>
          <w:b w:val="0"/>
          <w:color w:val="000000"/>
          <w:szCs w:val="16"/>
          <w:shd w:val="clear" w:color="auto" w:fill="FFFFFF"/>
        </w:rPr>
        <w:t>. Sentencia de 26 de septiembre de 2018. Serie C No. 360, párr. 267.</w:t>
      </w:r>
    </w:p>
  </w:footnote>
  <w:footnote w:id="175">
    <w:p w14:paraId="3A669E67" w14:textId="05102021"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rPr>
        <w:tab/>
        <w:t>Declaración rendida por Eduardo Benjamín Colindres Schonenberg el 27 de septiembre de 2018 en la audiencia pública celebrada en este caso.</w:t>
      </w:r>
    </w:p>
  </w:footnote>
  <w:footnote w:id="176">
    <w:p w14:paraId="0DD79FFA" w14:textId="77777777" w:rsidR="007D60D2" w:rsidRPr="00550CAE" w:rsidRDefault="007D60D2" w:rsidP="00550CAE">
      <w:pPr>
        <w:pStyle w:val="FootnoteText"/>
        <w:tabs>
          <w:tab w:val="left" w:pos="540"/>
        </w:tabs>
        <w:rPr>
          <w:szCs w:val="16"/>
          <w:lang w:val="es-CR"/>
        </w:rPr>
      </w:pPr>
      <w:r w:rsidRPr="00550CAE">
        <w:rPr>
          <w:rStyle w:val="FootnoteReference"/>
          <w:szCs w:val="16"/>
        </w:rPr>
        <w:footnoteRef/>
      </w:r>
      <w:r w:rsidRPr="00550CAE">
        <w:rPr>
          <w:szCs w:val="16"/>
        </w:rPr>
        <w:t xml:space="preserve"> </w:t>
      </w:r>
      <w:r w:rsidRPr="00550CAE">
        <w:rPr>
          <w:szCs w:val="16"/>
          <w:lang w:val="es-CR"/>
        </w:rPr>
        <w:tab/>
      </w:r>
      <w:r w:rsidRPr="00550CAE">
        <w:rPr>
          <w:i/>
          <w:spacing w:val="-4"/>
          <w:szCs w:val="16"/>
        </w:rPr>
        <w:t xml:space="preserve">Cfr. </w:t>
      </w:r>
      <w:r w:rsidRPr="00550CAE">
        <w:rPr>
          <w:rStyle w:val="Strong"/>
          <w:b w:val="0"/>
          <w:i/>
          <w:color w:val="000000"/>
          <w:szCs w:val="16"/>
          <w:shd w:val="clear" w:color="auto" w:fill="FFFFFF"/>
        </w:rPr>
        <w:t>Caso de la Corte Suprema de Justicia (Quintana Coello y otros) Vs. Ecuador. Excepción Preliminar, Fondo, Reparaciones y Costas.</w:t>
      </w:r>
      <w:r w:rsidRPr="00550CAE">
        <w:rPr>
          <w:rStyle w:val="Strong"/>
          <w:b w:val="0"/>
          <w:color w:val="000000"/>
          <w:szCs w:val="16"/>
          <w:shd w:val="clear" w:color="auto" w:fill="FFFFFF"/>
        </w:rPr>
        <w:t xml:space="preserve"> Sentencia de 23 de agosto de 2013. Serie C No. 266, párr.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4884C" w14:textId="77ED7B20" w:rsidR="007D60D2" w:rsidRDefault="007D60D2">
    <w:pPr>
      <w:pStyle w:val="Header"/>
      <w:jc w:val="center"/>
    </w:pPr>
    <w:r>
      <w:t>-</w:t>
    </w:r>
    <w:sdt>
      <w:sdtPr>
        <w:id w:val="-20829706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2A2F">
          <w:rPr>
            <w:noProof/>
          </w:rPr>
          <w:t>2</w:t>
        </w:r>
        <w:r>
          <w:rPr>
            <w:noProof/>
          </w:rPr>
          <w:fldChar w:fldCharType="end"/>
        </w:r>
        <w:r>
          <w:rPr>
            <w:noProof/>
          </w:rPr>
          <w:t>-</w:t>
        </w:r>
      </w:sdtContent>
    </w:sdt>
  </w:p>
  <w:p w14:paraId="69FB7818" w14:textId="77777777" w:rsidR="007D60D2" w:rsidRPr="00D80B6E" w:rsidRDefault="007D60D2" w:rsidP="00934E77">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7242152"/>
    <w:lvl w:ilvl="0">
      <w:start w:val="3"/>
      <w:numFmt w:val="decimal"/>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F6B66"/>
    <w:multiLevelType w:val="hybridMultilevel"/>
    <w:tmpl w:val="4092A666"/>
    <w:lvl w:ilvl="0" w:tplc="36B4F512">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04F138BD"/>
    <w:multiLevelType w:val="hybridMultilevel"/>
    <w:tmpl w:val="00563412"/>
    <w:lvl w:ilvl="0" w:tplc="90720D1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F222CDB"/>
    <w:multiLevelType w:val="hybridMultilevel"/>
    <w:tmpl w:val="708C0788"/>
    <w:lvl w:ilvl="0" w:tplc="57D0171A">
      <w:start w:val="1"/>
      <w:numFmt w:val="upperRoman"/>
      <w:lvlText w:val="%1-"/>
      <w:lvlJc w:val="left"/>
      <w:pPr>
        <w:ind w:left="720" w:hanging="360"/>
      </w:pPr>
      <w:rPr>
        <w:rFonts w:ascii="Arial" w:eastAsiaTheme="minorHAnsi" w:hAnsi="Arial" w:cs="Aria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9D40219"/>
    <w:multiLevelType w:val="multilevel"/>
    <w:tmpl w:val="0DC2101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B2750D0"/>
    <w:multiLevelType w:val="hybridMultilevel"/>
    <w:tmpl w:val="E702B6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A3B4E7B"/>
    <w:multiLevelType w:val="hybridMultilevel"/>
    <w:tmpl w:val="BBB6D252"/>
    <w:lvl w:ilvl="0" w:tplc="140A000B">
      <w:start w:val="1"/>
      <w:numFmt w:val="bullet"/>
      <w:lvlText w:val=""/>
      <w:lvlJc w:val="left"/>
      <w:pPr>
        <w:ind w:left="720" w:hanging="360"/>
      </w:pPr>
      <w:rPr>
        <w:rFonts w:ascii="Wingdings" w:hAnsi="Wingdings" w:hint="default"/>
      </w:rPr>
    </w:lvl>
    <w:lvl w:ilvl="1" w:tplc="DE5AE700">
      <w:start w:val="1"/>
      <w:numFmt w:val="lowerLetter"/>
      <w:lvlText w:val="%2."/>
      <w:lvlJc w:val="left"/>
      <w:pPr>
        <w:ind w:left="1440" w:hanging="360"/>
      </w:pPr>
      <w:rPr>
        <w:b/>
      </w:rPr>
    </w:lvl>
    <w:lvl w:ilvl="2" w:tplc="2AFC85F0">
      <w:start w:val="1"/>
      <w:numFmt w:val="lowerRoman"/>
      <w:lvlText w:val="%3."/>
      <w:lvlJc w:val="right"/>
      <w:pPr>
        <w:ind w:left="2160" w:hanging="180"/>
      </w:pPr>
      <w:rPr>
        <w:lang w:val="es-ES_tradn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837A4"/>
    <w:multiLevelType w:val="hybridMultilevel"/>
    <w:tmpl w:val="F3966BAA"/>
    <w:lvl w:ilvl="0" w:tplc="CF5A5316">
      <w:start w:val="1"/>
      <w:numFmt w:val="decimal"/>
      <w:lvlText w:val="%1."/>
      <w:lvlJc w:val="left"/>
      <w:pPr>
        <w:ind w:left="720" w:hanging="360"/>
      </w:pPr>
      <w:rPr>
        <w:rFonts w:ascii="Verdana" w:hAnsi="Verdana" w:hint="default"/>
        <w:b w:val="0"/>
        <w:i w:val="0"/>
        <w:strike w:val="0"/>
        <w:dstrike w:val="0"/>
        <w:color w:val="auto"/>
        <w:sz w:val="16"/>
        <w:szCs w:val="16"/>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13D5"/>
    <w:multiLevelType w:val="hybridMultilevel"/>
    <w:tmpl w:val="726E439E"/>
    <w:lvl w:ilvl="0" w:tplc="32E607FA">
      <w:start w:val="1"/>
      <w:numFmt w:val="decimal"/>
      <w:lvlText w:val="%1."/>
      <w:lvlJc w:val="left"/>
      <w:pPr>
        <w:ind w:left="720" w:hanging="360"/>
      </w:pPr>
      <w:rPr>
        <w:rFonts w:ascii="Verdana" w:hAnsi="Verdana"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nsid w:val="45121129"/>
    <w:multiLevelType w:val="hybridMultilevel"/>
    <w:tmpl w:val="8774D172"/>
    <w:lvl w:ilvl="0" w:tplc="0A24846C">
      <w:start w:val="1"/>
      <w:numFmt w:val="upperLetter"/>
      <w:lvlText w:val="%1."/>
      <w:lvlJc w:val="left"/>
      <w:pPr>
        <w:ind w:left="1440" w:hanging="72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3F309098">
      <w:start w:val="1"/>
      <w:numFmt w:val="decimal"/>
      <w:lvlText w:val="%4."/>
      <w:lvlJc w:val="left"/>
      <w:pPr>
        <w:ind w:left="3240" w:hanging="360"/>
      </w:pPr>
      <w:rPr>
        <w:rFonts w:ascii="Verdana" w:hAnsi="Verdana" w:hint="default"/>
        <w:b w:val="0"/>
        <w:color w:val="auto"/>
        <w:sz w:val="20"/>
        <w:szCs w:val="20"/>
      </w:r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1">
    <w:nsid w:val="471A7BD0"/>
    <w:multiLevelType w:val="hybridMultilevel"/>
    <w:tmpl w:val="6F906AE0"/>
    <w:lvl w:ilvl="0" w:tplc="7458D914">
      <w:start w:val="1"/>
      <w:numFmt w:val="decimal"/>
      <w:lvlText w:val="%1."/>
      <w:lvlJc w:val="left"/>
      <w:pPr>
        <w:tabs>
          <w:tab w:val="num" w:pos="1440"/>
        </w:tabs>
        <w:ind w:left="1440" w:hanging="360"/>
      </w:pPr>
      <w:rPr>
        <w:rFonts w:ascii="Verdana" w:hAnsi="Verdan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46DB"/>
    <w:multiLevelType w:val="hybridMultilevel"/>
    <w:tmpl w:val="0A9C6F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2961968"/>
    <w:multiLevelType w:val="hybridMultilevel"/>
    <w:tmpl w:val="7042ED02"/>
    <w:lvl w:ilvl="0" w:tplc="59767836">
      <w:start w:val="1"/>
      <w:numFmt w:val="upperLetter"/>
      <w:lvlText w:val="%1."/>
      <w:lvlJc w:val="left"/>
      <w:pPr>
        <w:ind w:left="1080" w:hanging="360"/>
      </w:pPr>
      <w:rPr>
        <w:rFonts w:hint="default"/>
        <w:b/>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69B22386"/>
    <w:multiLevelType w:val="hybridMultilevel"/>
    <w:tmpl w:val="B5527F02"/>
    <w:lvl w:ilvl="0" w:tplc="00FC1A22">
      <w:start w:val="1"/>
      <w:numFmt w:val="upperLetter"/>
      <w:pStyle w:val="Heading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AE113EA"/>
    <w:multiLevelType w:val="hybridMultilevel"/>
    <w:tmpl w:val="97F04FDA"/>
    <w:lvl w:ilvl="0" w:tplc="4D52A69E">
      <w:start w:val="110"/>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dstrike w:val="0"/>
        <w:color w:val="auto"/>
        <w:sz w:val="20"/>
        <w:szCs w:val="20"/>
        <w:u w:val="none"/>
        <w:effect w:val="none"/>
        <w:lang w:val="es-AR"/>
      </w:rPr>
    </w:lvl>
    <w:lvl w:ilvl="1" w:tplc="5C6C0158">
      <w:start w:val="7"/>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9354707"/>
    <w:multiLevelType w:val="hybridMultilevel"/>
    <w:tmpl w:val="9AFC3202"/>
    <w:lvl w:ilvl="0" w:tplc="D19A94C6">
      <w:start w:val="1"/>
      <w:numFmt w:val="decimal"/>
      <w:lvlText w:val="%1."/>
      <w:lvlJc w:val="left"/>
      <w:pPr>
        <w:ind w:left="1534"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
  </w:num>
  <w:num w:numId="2">
    <w:abstractNumId w:val="11"/>
  </w:num>
  <w:num w:numId="3">
    <w:abstractNumId w:val="4"/>
  </w:num>
  <w:num w:numId="4">
    <w:abstractNumId w:val="15"/>
  </w:num>
  <w:num w:numId="5">
    <w:abstractNumId w:val="6"/>
  </w:num>
  <w:num w:numId="6">
    <w:abstractNumId w:val="8"/>
  </w:num>
  <w:num w:numId="7">
    <w:abstractNumId w:val="12"/>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4"/>
    </w:lvlOverride>
  </w:num>
  <w:num w:numId="16">
    <w:abstractNumId w:val="3"/>
  </w:num>
  <w:num w:numId="17">
    <w:abstractNumId w:val="10"/>
  </w:num>
  <w:num w:numId="18">
    <w:abstractNumId w:val="10"/>
  </w:num>
  <w:num w:numId="19">
    <w:abstractNumId w:val="5"/>
  </w:num>
  <w:num w:numId="20">
    <w:abstractNumId w:val="0"/>
  </w:num>
  <w:num w:numId="21">
    <w:abstractNumId w:val="16"/>
  </w:num>
  <w:num w:numId="2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F2"/>
    <w:rsid w:val="00000064"/>
    <w:rsid w:val="00000549"/>
    <w:rsid w:val="0000204A"/>
    <w:rsid w:val="0000229A"/>
    <w:rsid w:val="0001362E"/>
    <w:rsid w:val="00013E05"/>
    <w:rsid w:val="000157ED"/>
    <w:rsid w:val="00015BF8"/>
    <w:rsid w:val="00022DC4"/>
    <w:rsid w:val="000273E6"/>
    <w:rsid w:val="00030576"/>
    <w:rsid w:val="000354E8"/>
    <w:rsid w:val="00046104"/>
    <w:rsid w:val="00051188"/>
    <w:rsid w:val="00057812"/>
    <w:rsid w:val="00060603"/>
    <w:rsid w:val="00060766"/>
    <w:rsid w:val="00063C01"/>
    <w:rsid w:val="00064E51"/>
    <w:rsid w:val="0007158A"/>
    <w:rsid w:val="00083001"/>
    <w:rsid w:val="0008453D"/>
    <w:rsid w:val="00086E38"/>
    <w:rsid w:val="00087892"/>
    <w:rsid w:val="00097081"/>
    <w:rsid w:val="000B4831"/>
    <w:rsid w:val="000B69BE"/>
    <w:rsid w:val="000C4DD1"/>
    <w:rsid w:val="000D0FAB"/>
    <w:rsid w:val="000E2D2F"/>
    <w:rsid w:val="000E763B"/>
    <w:rsid w:val="000E781D"/>
    <w:rsid w:val="000E7F5D"/>
    <w:rsid w:val="001121DE"/>
    <w:rsid w:val="00112ACC"/>
    <w:rsid w:val="00113287"/>
    <w:rsid w:val="00114564"/>
    <w:rsid w:val="00116212"/>
    <w:rsid w:val="00120BB5"/>
    <w:rsid w:val="001223F3"/>
    <w:rsid w:val="00130542"/>
    <w:rsid w:val="0013145F"/>
    <w:rsid w:val="00133F0B"/>
    <w:rsid w:val="00135AD7"/>
    <w:rsid w:val="00140FD9"/>
    <w:rsid w:val="00146A60"/>
    <w:rsid w:val="001547A9"/>
    <w:rsid w:val="00161CEF"/>
    <w:rsid w:val="00161E2F"/>
    <w:rsid w:val="001659E4"/>
    <w:rsid w:val="00173444"/>
    <w:rsid w:val="00175E68"/>
    <w:rsid w:val="00177EF7"/>
    <w:rsid w:val="001830E7"/>
    <w:rsid w:val="00187CC0"/>
    <w:rsid w:val="001909BB"/>
    <w:rsid w:val="00190A19"/>
    <w:rsid w:val="001A2C61"/>
    <w:rsid w:val="001A35BC"/>
    <w:rsid w:val="001A44C3"/>
    <w:rsid w:val="001A58DB"/>
    <w:rsid w:val="001A7CEC"/>
    <w:rsid w:val="001C1ACB"/>
    <w:rsid w:val="001C3520"/>
    <w:rsid w:val="001C70F8"/>
    <w:rsid w:val="001C7D3E"/>
    <w:rsid w:val="001D461E"/>
    <w:rsid w:val="001D7DC3"/>
    <w:rsid w:val="001F34C8"/>
    <w:rsid w:val="001F4FE7"/>
    <w:rsid w:val="001F5BB9"/>
    <w:rsid w:val="001F621D"/>
    <w:rsid w:val="0021520D"/>
    <w:rsid w:val="002154BD"/>
    <w:rsid w:val="00230340"/>
    <w:rsid w:val="00230798"/>
    <w:rsid w:val="00232C73"/>
    <w:rsid w:val="00234EE1"/>
    <w:rsid w:val="002373D4"/>
    <w:rsid w:val="00240F71"/>
    <w:rsid w:val="00241D8F"/>
    <w:rsid w:val="00245312"/>
    <w:rsid w:val="00267B17"/>
    <w:rsid w:val="00272A2F"/>
    <w:rsid w:val="00282736"/>
    <w:rsid w:val="002834AF"/>
    <w:rsid w:val="0028407F"/>
    <w:rsid w:val="002857CC"/>
    <w:rsid w:val="00290554"/>
    <w:rsid w:val="00292006"/>
    <w:rsid w:val="002933AB"/>
    <w:rsid w:val="00293672"/>
    <w:rsid w:val="00293673"/>
    <w:rsid w:val="002943DA"/>
    <w:rsid w:val="002A3AF9"/>
    <w:rsid w:val="002B100A"/>
    <w:rsid w:val="002B27F7"/>
    <w:rsid w:val="002B5C15"/>
    <w:rsid w:val="002B6B6A"/>
    <w:rsid w:val="002C2724"/>
    <w:rsid w:val="002C397B"/>
    <w:rsid w:val="002C7A57"/>
    <w:rsid w:val="002D043F"/>
    <w:rsid w:val="002D08F2"/>
    <w:rsid w:val="002D0DC7"/>
    <w:rsid w:val="002D28B2"/>
    <w:rsid w:val="002D4279"/>
    <w:rsid w:val="002E294E"/>
    <w:rsid w:val="002E7229"/>
    <w:rsid w:val="002E7DFA"/>
    <w:rsid w:val="002F0EAC"/>
    <w:rsid w:val="002F11BA"/>
    <w:rsid w:val="0030008F"/>
    <w:rsid w:val="00306619"/>
    <w:rsid w:val="00307B58"/>
    <w:rsid w:val="003123EA"/>
    <w:rsid w:val="003131E7"/>
    <w:rsid w:val="00316BCD"/>
    <w:rsid w:val="00317657"/>
    <w:rsid w:val="0031768F"/>
    <w:rsid w:val="0031789F"/>
    <w:rsid w:val="003208AC"/>
    <w:rsid w:val="00326286"/>
    <w:rsid w:val="00331E32"/>
    <w:rsid w:val="003357A8"/>
    <w:rsid w:val="0034173C"/>
    <w:rsid w:val="0034273B"/>
    <w:rsid w:val="003454E0"/>
    <w:rsid w:val="00360A1E"/>
    <w:rsid w:val="00364B8A"/>
    <w:rsid w:val="003673F0"/>
    <w:rsid w:val="0037283C"/>
    <w:rsid w:val="00373894"/>
    <w:rsid w:val="0037440D"/>
    <w:rsid w:val="003754B9"/>
    <w:rsid w:val="0037756C"/>
    <w:rsid w:val="00381063"/>
    <w:rsid w:val="00382BBE"/>
    <w:rsid w:val="003835E1"/>
    <w:rsid w:val="003964F7"/>
    <w:rsid w:val="003A5CC2"/>
    <w:rsid w:val="003A6F27"/>
    <w:rsid w:val="003B0646"/>
    <w:rsid w:val="003B2F8E"/>
    <w:rsid w:val="003B48FC"/>
    <w:rsid w:val="003D2B1C"/>
    <w:rsid w:val="003D499C"/>
    <w:rsid w:val="003D5719"/>
    <w:rsid w:val="003D6A44"/>
    <w:rsid w:val="003E33B6"/>
    <w:rsid w:val="003E6722"/>
    <w:rsid w:val="003F2115"/>
    <w:rsid w:val="003F3111"/>
    <w:rsid w:val="004029DC"/>
    <w:rsid w:val="00406FDC"/>
    <w:rsid w:val="00420F8A"/>
    <w:rsid w:val="0042581E"/>
    <w:rsid w:val="00427181"/>
    <w:rsid w:val="00430A65"/>
    <w:rsid w:val="00430D90"/>
    <w:rsid w:val="004350A5"/>
    <w:rsid w:val="0044055C"/>
    <w:rsid w:val="004420B8"/>
    <w:rsid w:val="00444605"/>
    <w:rsid w:val="00444C61"/>
    <w:rsid w:val="004457B6"/>
    <w:rsid w:val="0045072B"/>
    <w:rsid w:val="00452214"/>
    <w:rsid w:val="0045442E"/>
    <w:rsid w:val="00456197"/>
    <w:rsid w:val="0045696E"/>
    <w:rsid w:val="00460B77"/>
    <w:rsid w:val="00461F07"/>
    <w:rsid w:val="00462E5C"/>
    <w:rsid w:val="004711DE"/>
    <w:rsid w:val="0047149B"/>
    <w:rsid w:val="00471787"/>
    <w:rsid w:val="0047330E"/>
    <w:rsid w:val="00474341"/>
    <w:rsid w:val="004745A9"/>
    <w:rsid w:val="00482C2F"/>
    <w:rsid w:val="00484949"/>
    <w:rsid w:val="00485504"/>
    <w:rsid w:val="00494A68"/>
    <w:rsid w:val="00497F62"/>
    <w:rsid w:val="004A3B85"/>
    <w:rsid w:val="004A60D0"/>
    <w:rsid w:val="004A6C8A"/>
    <w:rsid w:val="004B2ED0"/>
    <w:rsid w:val="004B6B3A"/>
    <w:rsid w:val="004B6D86"/>
    <w:rsid w:val="004C15FB"/>
    <w:rsid w:val="004C2F2A"/>
    <w:rsid w:val="004C32D3"/>
    <w:rsid w:val="004C3FCA"/>
    <w:rsid w:val="004C6A7F"/>
    <w:rsid w:val="004D047F"/>
    <w:rsid w:val="004D131F"/>
    <w:rsid w:val="004D21C5"/>
    <w:rsid w:val="004E0836"/>
    <w:rsid w:val="004F03BB"/>
    <w:rsid w:val="004F216F"/>
    <w:rsid w:val="004F4971"/>
    <w:rsid w:val="00500C77"/>
    <w:rsid w:val="0050153D"/>
    <w:rsid w:val="005026DE"/>
    <w:rsid w:val="0050592C"/>
    <w:rsid w:val="00507E89"/>
    <w:rsid w:val="0051398F"/>
    <w:rsid w:val="00515A2A"/>
    <w:rsid w:val="00533384"/>
    <w:rsid w:val="00541F10"/>
    <w:rsid w:val="00546C18"/>
    <w:rsid w:val="00550CAE"/>
    <w:rsid w:val="005637CE"/>
    <w:rsid w:val="00570A25"/>
    <w:rsid w:val="00572ECA"/>
    <w:rsid w:val="00576322"/>
    <w:rsid w:val="00591E66"/>
    <w:rsid w:val="00593FC3"/>
    <w:rsid w:val="005A2A05"/>
    <w:rsid w:val="005B02F8"/>
    <w:rsid w:val="005B1F07"/>
    <w:rsid w:val="005B57E4"/>
    <w:rsid w:val="005B5D73"/>
    <w:rsid w:val="005B7D65"/>
    <w:rsid w:val="005E30EF"/>
    <w:rsid w:val="005E62D5"/>
    <w:rsid w:val="005F2A36"/>
    <w:rsid w:val="005F3DFA"/>
    <w:rsid w:val="005F7F26"/>
    <w:rsid w:val="00601847"/>
    <w:rsid w:val="006227C4"/>
    <w:rsid w:val="00622D35"/>
    <w:rsid w:val="00632274"/>
    <w:rsid w:val="00632ACE"/>
    <w:rsid w:val="006333F2"/>
    <w:rsid w:val="00635290"/>
    <w:rsid w:val="0064216C"/>
    <w:rsid w:val="00642E02"/>
    <w:rsid w:val="006477DB"/>
    <w:rsid w:val="00651C58"/>
    <w:rsid w:val="00652B13"/>
    <w:rsid w:val="00652C45"/>
    <w:rsid w:val="00657B2B"/>
    <w:rsid w:val="00676C65"/>
    <w:rsid w:val="0067706B"/>
    <w:rsid w:val="0068387B"/>
    <w:rsid w:val="00691351"/>
    <w:rsid w:val="006A63C9"/>
    <w:rsid w:val="006B0F00"/>
    <w:rsid w:val="006B122D"/>
    <w:rsid w:val="006C405F"/>
    <w:rsid w:val="006D0723"/>
    <w:rsid w:val="006D4173"/>
    <w:rsid w:val="006D4258"/>
    <w:rsid w:val="006D76E1"/>
    <w:rsid w:val="006E146C"/>
    <w:rsid w:val="006E4A0F"/>
    <w:rsid w:val="006E753A"/>
    <w:rsid w:val="006F26A6"/>
    <w:rsid w:val="006F6F26"/>
    <w:rsid w:val="006F79CA"/>
    <w:rsid w:val="00702844"/>
    <w:rsid w:val="00703151"/>
    <w:rsid w:val="007115DE"/>
    <w:rsid w:val="0071254C"/>
    <w:rsid w:val="00712D6F"/>
    <w:rsid w:val="007142B6"/>
    <w:rsid w:val="00717883"/>
    <w:rsid w:val="00720346"/>
    <w:rsid w:val="007232C0"/>
    <w:rsid w:val="00724409"/>
    <w:rsid w:val="007353CB"/>
    <w:rsid w:val="0074179C"/>
    <w:rsid w:val="00743225"/>
    <w:rsid w:val="00743B11"/>
    <w:rsid w:val="00743EE1"/>
    <w:rsid w:val="00744235"/>
    <w:rsid w:val="00744D0C"/>
    <w:rsid w:val="00745283"/>
    <w:rsid w:val="0074676B"/>
    <w:rsid w:val="00747442"/>
    <w:rsid w:val="0075006D"/>
    <w:rsid w:val="007526C4"/>
    <w:rsid w:val="00752E9F"/>
    <w:rsid w:val="00754008"/>
    <w:rsid w:val="007544D8"/>
    <w:rsid w:val="0076019A"/>
    <w:rsid w:val="007659B7"/>
    <w:rsid w:val="00767976"/>
    <w:rsid w:val="0077152A"/>
    <w:rsid w:val="00772E4B"/>
    <w:rsid w:val="00777092"/>
    <w:rsid w:val="007808C2"/>
    <w:rsid w:val="00784462"/>
    <w:rsid w:val="00785A7F"/>
    <w:rsid w:val="00790C04"/>
    <w:rsid w:val="00791D11"/>
    <w:rsid w:val="007A1AD6"/>
    <w:rsid w:val="007A2D0B"/>
    <w:rsid w:val="007A3781"/>
    <w:rsid w:val="007A6BA0"/>
    <w:rsid w:val="007B22E2"/>
    <w:rsid w:val="007B280D"/>
    <w:rsid w:val="007B3CA7"/>
    <w:rsid w:val="007B711F"/>
    <w:rsid w:val="007B7743"/>
    <w:rsid w:val="007B7A98"/>
    <w:rsid w:val="007B7B15"/>
    <w:rsid w:val="007D0150"/>
    <w:rsid w:val="007D60D2"/>
    <w:rsid w:val="007D6783"/>
    <w:rsid w:val="007E150B"/>
    <w:rsid w:val="007E1CF1"/>
    <w:rsid w:val="007E332D"/>
    <w:rsid w:val="007E5792"/>
    <w:rsid w:val="007E79D5"/>
    <w:rsid w:val="007F1244"/>
    <w:rsid w:val="007F5161"/>
    <w:rsid w:val="007F5D9F"/>
    <w:rsid w:val="007F63B3"/>
    <w:rsid w:val="007F7EC7"/>
    <w:rsid w:val="00801B9C"/>
    <w:rsid w:val="00803C09"/>
    <w:rsid w:val="0080444A"/>
    <w:rsid w:val="00806EEE"/>
    <w:rsid w:val="00807D98"/>
    <w:rsid w:val="00810271"/>
    <w:rsid w:val="0082027F"/>
    <w:rsid w:val="00826887"/>
    <w:rsid w:val="00831A9C"/>
    <w:rsid w:val="00831ADA"/>
    <w:rsid w:val="00832C32"/>
    <w:rsid w:val="0083400B"/>
    <w:rsid w:val="008408EB"/>
    <w:rsid w:val="0084360E"/>
    <w:rsid w:val="00844DC6"/>
    <w:rsid w:val="0085136B"/>
    <w:rsid w:val="00853C58"/>
    <w:rsid w:val="00857681"/>
    <w:rsid w:val="008620B3"/>
    <w:rsid w:val="00865436"/>
    <w:rsid w:val="00865D8D"/>
    <w:rsid w:val="00867205"/>
    <w:rsid w:val="00871D2E"/>
    <w:rsid w:val="00873201"/>
    <w:rsid w:val="00873961"/>
    <w:rsid w:val="008800FB"/>
    <w:rsid w:val="008827E0"/>
    <w:rsid w:val="00882F18"/>
    <w:rsid w:val="00884827"/>
    <w:rsid w:val="008865BD"/>
    <w:rsid w:val="00887A8E"/>
    <w:rsid w:val="008904F6"/>
    <w:rsid w:val="0089226C"/>
    <w:rsid w:val="008A0925"/>
    <w:rsid w:val="008A2413"/>
    <w:rsid w:val="008A481A"/>
    <w:rsid w:val="008A5C22"/>
    <w:rsid w:val="008B0554"/>
    <w:rsid w:val="008B2861"/>
    <w:rsid w:val="008B33B7"/>
    <w:rsid w:val="008B4406"/>
    <w:rsid w:val="008C4B30"/>
    <w:rsid w:val="008C71AD"/>
    <w:rsid w:val="008D0882"/>
    <w:rsid w:val="008D471E"/>
    <w:rsid w:val="008D5F5C"/>
    <w:rsid w:val="00900F6F"/>
    <w:rsid w:val="00902A6D"/>
    <w:rsid w:val="009033F1"/>
    <w:rsid w:val="0090686E"/>
    <w:rsid w:val="0090784C"/>
    <w:rsid w:val="00912C99"/>
    <w:rsid w:val="00912DAE"/>
    <w:rsid w:val="00914B2F"/>
    <w:rsid w:val="00921FF6"/>
    <w:rsid w:val="009243D2"/>
    <w:rsid w:val="0092681C"/>
    <w:rsid w:val="009274DC"/>
    <w:rsid w:val="00930580"/>
    <w:rsid w:val="00931952"/>
    <w:rsid w:val="00934306"/>
    <w:rsid w:val="00934E77"/>
    <w:rsid w:val="009429EC"/>
    <w:rsid w:val="00947B1D"/>
    <w:rsid w:val="00947E5C"/>
    <w:rsid w:val="00951173"/>
    <w:rsid w:val="009525FD"/>
    <w:rsid w:val="00953F67"/>
    <w:rsid w:val="00956BE6"/>
    <w:rsid w:val="00976B86"/>
    <w:rsid w:val="00977E1A"/>
    <w:rsid w:val="009823A8"/>
    <w:rsid w:val="00983B55"/>
    <w:rsid w:val="00983DD4"/>
    <w:rsid w:val="0099017B"/>
    <w:rsid w:val="009A1D62"/>
    <w:rsid w:val="009A1FAD"/>
    <w:rsid w:val="009B5012"/>
    <w:rsid w:val="009B567C"/>
    <w:rsid w:val="009C40FD"/>
    <w:rsid w:val="009D004A"/>
    <w:rsid w:val="009D216C"/>
    <w:rsid w:val="009D3ED8"/>
    <w:rsid w:val="009E2DF0"/>
    <w:rsid w:val="009F0C45"/>
    <w:rsid w:val="009F1A79"/>
    <w:rsid w:val="009F57AD"/>
    <w:rsid w:val="009F65DE"/>
    <w:rsid w:val="00A07643"/>
    <w:rsid w:val="00A10820"/>
    <w:rsid w:val="00A13D6C"/>
    <w:rsid w:val="00A23DF4"/>
    <w:rsid w:val="00A27A98"/>
    <w:rsid w:val="00A343F8"/>
    <w:rsid w:val="00A36D2B"/>
    <w:rsid w:val="00A37D58"/>
    <w:rsid w:val="00A42199"/>
    <w:rsid w:val="00A4349F"/>
    <w:rsid w:val="00A4406D"/>
    <w:rsid w:val="00A510CF"/>
    <w:rsid w:val="00A51186"/>
    <w:rsid w:val="00A51E13"/>
    <w:rsid w:val="00A54F66"/>
    <w:rsid w:val="00A57455"/>
    <w:rsid w:val="00A60D0E"/>
    <w:rsid w:val="00A65FF2"/>
    <w:rsid w:val="00A7184A"/>
    <w:rsid w:val="00A726C8"/>
    <w:rsid w:val="00A7789E"/>
    <w:rsid w:val="00A81C84"/>
    <w:rsid w:val="00A822A9"/>
    <w:rsid w:val="00A82686"/>
    <w:rsid w:val="00A84C43"/>
    <w:rsid w:val="00A85B0C"/>
    <w:rsid w:val="00A93988"/>
    <w:rsid w:val="00A93DC0"/>
    <w:rsid w:val="00A9707E"/>
    <w:rsid w:val="00AA3780"/>
    <w:rsid w:val="00AB1BFB"/>
    <w:rsid w:val="00AB2B36"/>
    <w:rsid w:val="00AB3B30"/>
    <w:rsid w:val="00AB4574"/>
    <w:rsid w:val="00AB64CD"/>
    <w:rsid w:val="00AC0DA2"/>
    <w:rsid w:val="00AC134D"/>
    <w:rsid w:val="00AC36F4"/>
    <w:rsid w:val="00AD06C0"/>
    <w:rsid w:val="00AD1793"/>
    <w:rsid w:val="00AE28B9"/>
    <w:rsid w:val="00AE59A9"/>
    <w:rsid w:val="00AE7A17"/>
    <w:rsid w:val="00AF075C"/>
    <w:rsid w:val="00AF4971"/>
    <w:rsid w:val="00AF5481"/>
    <w:rsid w:val="00AF7645"/>
    <w:rsid w:val="00B0413B"/>
    <w:rsid w:val="00B04E81"/>
    <w:rsid w:val="00B105E9"/>
    <w:rsid w:val="00B31EB1"/>
    <w:rsid w:val="00B42514"/>
    <w:rsid w:val="00B45718"/>
    <w:rsid w:val="00B469CD"/>
    <w:rsid w:val="00B5081F"/>
    <w:rsid w:val="00B54FA6"/>
    <w:rsid w:val="00B55C3A"/>
    <w:rsid w:val="00B56846"/>
    <w:rsid w:val="00B62C96"/>
    <w:rsid w:val="00B65B3F"/>
    <w:rsid w:val="00B65E38"/>
    <w:rsid w:val="00B65EFE"/>
    <w:rsid w:val="00B75A3D"/>
    <w:rsid w:val="00B75D78"/>
    <w:rsid w:val="00B82D18"/>
    <w:rsid w:val="00B84790"/>
    <w:rsid w:val="00B84C5C"/>
    <w:rsid w:val="00B87DB4"/>
    <w:rsid w:val="00B902B9"/>
    <w:rsid w:val="00B910E6"/>
    <w:rsid w:val="00BA1E7C"/>
    <w:rsid w:val="00BA5946"/>
    <w:rsid w:val="00BB43D3"/>
    <w:rsid w:val="00BC2495"/>
    <w:rsid w:val="00BC3FB5"/>
    <w:rsid w:val="00BC6ADC"/>
    <w:rsid w:val="00BD1D95"/>
    <w:rsid w:val="00BD48DA"/>
    <w:rsid w:val="00BD4D80"/>
    <w:rsid w:val="00BD548F"/>
    <w:rsid w:val="00BD71D9"/>
    <w:rsid w:val="00BE64EE"/>
    <w:rsid w:val="00BF50EA"/>
    <w:rsid w:val="00C03A4A"/>
    <w:rsid w:val="00C04C73"/>
    <w:rsid w:val="00C07C70"/>
    <w:rsid w:val="00C12207"/>
    <w:rsid w:val="00C13E01"/>
    <w:rsid w:val="00C204C0"/>
    <w:rsid w:val="00C210BE"/>
    <w:rsid w:val="00C257B5"/>
    <w:rsid w:val="00C26623"/>
    <w:rsid w:val="00C27B6F"/>
    <w:rsid w:val="00C3071C"/>
    <w:rsid w:val="00C31BD2"/>
    <w:rsid w:val="00C35AC8"/>
    <w:rsid w:val="00C37646"/>
    <w:rsid w:val="00C4167E"/>
    <w:rsid w:val="00C423C0"/>
    <w:rsid w:val="00C5262A"/>
    <w:rsid w:val="00C53E81"/>
    <w:rsid w:val="00C65108"/>
    <w:rsid w:val="00C70BB1"/>
    <w:rsid w:val="00C75D17"/>
    <w:rsid w:val="00C7687B"/>
    <w:rsid w:val="00C9508D"/>
    <w:rsid w:val="00C9614E"/>
    <w:rsid w:val="00CA2925"/>
    <w:rsid w:val="00CA293E"/>
    <w:rsid w:val="00CA6DBF"/>
    <w:rsid w:val="00CB07B9"/>
    <w:rsid w:val="00CB53D3"/>
    <w:rsid w:val="00CC48AA"/>
    <w:rsid w:val="00CC5CC4"/>
    <w:rsid w:val="00CD3FA6"/>
    <w:rsid w:val="00CE5CEE"/>
    <w:rsid w:val="00CE5D80"/>
    <w:rsid w:val="00CE6136"/>
    <w:rsid w:val="00CE7814"/>
    <w:rsid w:val="00CF273E"/>
    <w:rsid w:val="00CF5718"/>
    <w:rsid w:val="00CF7407"/>
    <w:rsid w:val="00D01A58"/>
    <w:rsid w:val="00D07973"/>
    <w:rsid w:val="00D07D4D"/>
    <w:rsid w:val="00D07FBA"/>
    <w:rsid w:val="00D1345E"/>
    <w:rsid w:val="00D15D33"/>
    <w:rsid w:val="00D17D44"/>
    <w:rsid w:val="00D23392"/>
    <w:rsid w:val="00D24C9E"/>
    <w:rsid w:val="00D42C8E"/>
    <w:rsid w:val="00D45C77"/>
    <w:rsid w:val="00D46124"/>
    <w:rsid w:val="00D46D83"/>
    <w:rsid w:val="00D513AA"/>
    <w:rsid w:val="00D513DB"/>
    <w:rsid w:val="00D5498B"/>
    <w:rsid w:val="00D56E9A"/>
    <w:rsid w:val="00D604BA"/>
    <w:rsid w:val="00D60AC1"/>
    <w:rsid w:val="00D611A4"/>
    <w:rsid w:val="00D62DB8"/>
    <w:rsid w:val="00D65733"/>
    <w:rsid w:val="00D65B86"/>
    <w:rsid w:val="00D673E2"/>
    <w:rsid w:val="00D705F2"/>
    <w:rsid w:val="00D717E2"/>
    <w:rsid w:val="00D731DA"/>
    <w:rsid w:val="00D80B6E"/>
    <w:rsid w:val="00D81351"/>
    <w:rsid w:val="00D83992"/>
    <w:rsid w:val="00D874A0"/>
    <w:rsid w:val="00D878F2"/>
    <w:rsid w:val="00D9331B"/>
    <w:rsid w:val="00DA55C9"/>
    <w:rsid w:val="00DA7012"/>
    <w:rsid w:val="00DB7669"/>
    <w:rsid w:val="00DC0414"/>
    <w:rsid w:val="00DC143D"/>
    <w:rsid w:val="00DC6DBF"/>
    <w:rsid w:val="00DD4AFF"/>
    <w:rsid w:val="00DD5239"/>
    <w:rsid w:val="00DD69C4"/>
    <w:rsid w:val="00DF7F8F"/>
    <w:rsid w:val="00E04303"/>
    <w:rsid w:val="00E0538A"/>
    <w:rsid w:val="00E06BC0"/>
    <w:rsid w:val="00E13558"/>
    <w:rsid w:val="00E20C55"/>
    <w:rsid w:val="00E225E0"/>
    <w:rsid w:val="00E23412"/>
    <w:rsid w:val="00E25131"/>
    <w:rsid w:val="00E27DA0"/>
    <w:rsid w:val="00E313D7"/>
    <w:rsid w:val="00E32CCF"/>
    <w:rsid w:val="00E344E1"/>
    <w:rsid w:val="00E35CDF"/>
    <w:rsid w:val="00E35E0D"/>
    <w:rsid w:val="00E35FC9"/>
    <w:rsid w:val="00E40A6C"/>
    <w:rsid w:val="00E46676"/>
    <w:rsid w:val="00E502F9"/>
    <w:rsid w:val="00E53C42"/>
    <w:rsid w:val="00E55B2E"/>
    <w:rsid w:val="00E561A9"/>
    <w:rsid w:val="00E57986"/>
    <w:rsid w:val="00E609BC"/>
    <w:rsid w:val="00E60B64"/>
    <w:rsid w:val="00E6211D"/>
    <w:rsid w:val="00E631FC"/>
    <w:rsid w:val="00E74EF4"/>
    <w:rsid w:val="00E752BC"/>
    <w:rsid w:val="00E83CED"/>
    <w:rsid w:val="00E85AD0"/>
    <w:rsid w:val="00E92BC1"/>
    <w:rsid w:val="00E938D8"/>
    <w:rsid w:val="00EA72E2"/>
    <w:rsid w:val="00EB2CFC"/>
    <w:rsid w:val="00EB2EB3"/>
    <w:rsid w:val="00EB30F7"/>
    <w:rsid w:val="00EB3297"/>
    <w:rsid w:val="00EB491A"/>
    <w:rsid w:val="00EB4C55"/>
    <w:rsid w:val="00EB7845"/>
    <w:rsid w:val="00EC3C4E"/>
    <w:rsid w:val="00EC4560"/>
    <w:rsid w:val="00EC6067"/>
    <w:rsid w:val="00EC6626"/>
    <w:rsid w:val="00EE0128"/>
    <w:rsid w:val="00EE4FE9"/>
    <w:rsid w:val="00EE529C"/>
    <w:rsid w:val="00EF2575"/>
    <w:rsid w:val="00F11965"/>
    <w:rsid w:val="00F15815"/>
    <w:rsid w:val="00F15EB0"/>
    <w:rsid w:val="00F21C67"/>
    <w:rsid w:val="00F23223"/>
    <w:rsid w:val="00F2456F"/>
    <w:rsid w:val="00F25F9F"/>
    <w:rsid w:val="00F27DAF"/>
    <w:rsid w:val="00F33D54"/>
    <w:rsid w:val="00F34209"/>
    <w:rsid w:val="00F425AE"/>
    <w:rsid w:val="00F46F62"/>
    <w:rsid w:val="00F47A63"/>
    <w:rsid w:val="00F519EC"/>
    <w:rsid w:val="00F5510C"/>
    <w:rsid w:val="00F56BFE"/>
    <w:rsid w:val="00F600F0"/>
    <w:rsid w:val="00F60275"/>
    <w:rsid w:val="00F6115F"/>
    <w:rsid w:val="00F61D17"/>
    <w:rsid w:val="00F62646"/>
    <w:rsid w:val="00F62AA1"/>
    <w:rsid w:val="00F62D0C"/>
    <w:rsid w:val="00F62F38"/>
    <w:rsid w:val="00F7198C"/>
    <w:rsid w:val="00F72619"/>
    <w:rsid w:val="00F73D58"/>
    <w:rsid w:val="00F80ED9"/>
    <w:rsid w:val="00F8266A"/>
    <w:rsid w:val="00F90344"/>
    <w:rsid w:val="00F936BB"/>
    <w:rsid w:val="00F978F9"/>
    <w:rsid w:val="00F97EF1"/>
    <w:rsid w:val="00FA1800"/>
    <w:rsid w:val="00FA2BA1"/>
    <w:rsid w:val="00FB26D4"/>
    <w:rsid w:val="00FB4CB1"/>
    <w:rsid w:val="00FB6EB4"/>
    <w:rsid w:val="00FC0623"/>
    <w:rsid w:val="00FC1818"/>
    <w:rsid w:val="00FC6500"/>
    <w:rsid w:val="00FD31C5"/>
    <w:rsid w:val="00FD3E4E"/>
    <w:rsid w:val="00FD4389"/>
    <w:rsid w:val="00FD6C3F"/>
    <w:rsid w:val="00FE266D"/>
    <w:rsid w:val="00FE6F85"/>
    <w:rsid w:val="00FF3E3C"/>
    <w:rsid w:val="00FF689A"/>
    <w:rsid w:val="00FF6A63"/>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E5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0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2D4279"/>
    <w:pPr>
      <w:jc w:val="center"/>
      <w:outlineLvl w:val="0"/>
    </w:pPr>
    <w:rPr>
      <w:b/>
      <w:szCs w:val="20"/>
      <w:lang w:val="es-ES"/>
    </w:rPr>
  </w:style>
  <w:style w:type="paragraph" w:styleId="Heading2">
    <w:name w:val="heading 2"/>
    <w:basedOn w:val="Heading3"/>
    <w:next w:val="Normal"/>
    <w:link w:val="Heading2Char"/>
    <w:qFormat/>
    <w:rsid w:val="005B57E4"/>
    <w:pPr>
      <w:keepNext/>
      <w:numPr>
        <w:numId w:val="4"/>
      </w:numPr>
      <w:spacing w:after="0" w:line="240" w:lineRule="auto"/>
      <w:contextualSpacing w:val="0"/>
      <w:outlineLvl w:val="1"/>
    </w:pPr>
    <w:rPr>
      <w:i/>
    </w:rPr>
  </w:style>
  <w:style w:type="paragraph" w:styleId="Heading3">
    <w:name w:val="heading 3"/>
    <w:basedOn w:val="Normal"/>
    <w:next w:val="Normal"/>
    <w:link w:val="Heading3Char"/>
    <w:qFormat/>
    <w:rsid w:val="00546C18"/>
    <w:pPr>
      <w:spacing w:after="200" w:line="276" w:lineRule="auto"/>
      <w:ind w:left="993"/>
      <w:contextualSpacing/>
      <w:jc w:val="both"/>
      <w:outlineLvl w:val="2"/>
    </w:pPr>
    <w:rPr>
      <w:rFonts w:eastAsia="Calibri" w:cstheme="minorBidi"/>
      <w:b/>
      <w:szCs w:val="20"/>
      <w:lang w:val="es-CR" w:eastAsia="es-ES"/>
    </w:rPr>
  </w:style>
  <w:style w:type="paragraph" w:styleId="Heading4">
    <w:name w:val="heading 4"/>
    <w:basedOn w:val="Normal"/>
    <w:next w:val="Normal"/>
    <w:link w:val="Heading4Char"/>
    <w:uiPriority w:val="9"/>
    <w:unhideWhenUsed/>
    <w:qFormat/>
    <w:rsid w:val="00546C18"/>
    <w:pPr>
      <w:keepNext/>
      <w:jc w:val="center"/>
      <w:outlineLvl w:val="3"/>
    </w:pPr>
    <w:rPr>
      <w:szCs w:val="20"/>
      <w:u w:val="single"/>
      <w:lang w:val="es-ES"/>
    </w:rPr>
  </w:style>
  <w:style w:type="paragraph" w:styleId="Heading5">
    <w:name w:val="heading 5"/>
    <w:basedOn w:val="Normal"/>
    <w:next w:val="Normal"/>
    <w:link w:val="Heading5Char"/>
    <w:uiPriority w:val="9"/>
    <w:semiHidden/>
    <w:unhideWhenUsed/>
    <w:qFormat/>
    <w:rsid w:val="00546C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4406"/>
    <w:pPr>
      <w:keepNext/>
      <w:outlineLvl w:val="5"/>
    </w:pPr>
    <w:rPr>
      <w:b/>
      <w:lang w:val="es-CR" w:eastAsia="es-MX"/>
    </w:rPr>
  </w:style>
  <w:style w:type="paragraph" w:styleId="Heading7">
    <w:name w:val="heading 7"/>
    <w:basedOn w:val="Normal"/>
    <w:next w:val="Normal"/>
    <w:link w:val="Heading7Char"/>
    <w:uiPriority w:val="9"/>
    <w:unhideWhenUsed/>
    <w:qFormat/>
    <w:rsid w:val="0083400B"/>
    <w:pPr>
      <w:keepNext/>
      <w:outlineLvl w:val="6"/>
    </w:pPr>
    <w:rPr>
      <w:b/>
      <w:color w:val="00B050"/>
      <w:lang w:val="es-CR"/>
    </w:rPr>
  </w:style>
  <w:style w:type="paragraph" w:styleId="Heading8">
    <w:name w:val="heading 8"/>
    <w:basedOn w:val="Normal"/>
    <w:next w:val="Normal"/>
    <w:link w:val="Heading8Char"/>
    <w:uiPriority w:val="9"/>
    <w:unhideWhenUsed/>
    <w:qFormat/>
    <w:rsid w:val="00900F6F"/>
    <w:pPr>
      <w:keepNext/>
      <w:jc w:val="both"/>
      <w:outlineLvl w:val="7"/>
    </w:pPr>
    <w:rPr>
      <w:b/>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279"/>
    <w:rPr>
      <w:rFonts w:ascii="Verdana" w:eastAsia="MS Mincho" w:hAnsi="Verdana" w:cs="Times New Roman"/>
      <w:b/>
      <w:sz w:val="20"/>
      <w:szCs w:val="20"/>
      <w:lang w:val="es-E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1"/>
    <w:uiPriority w:val="99"/>
    <w:qFormat/>
    <w:rsid w:val="00087892"/>
    <w:rPr>
      <w:rFonts w:ascii="Verdana" w:hAnsi="Verdana" w:cs="Times New Roman"/>
      <w:sz w:val="16"/>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EA72E2"/>
    <w:pPr>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EA72E2"/>
    <w:rPr>
      <w:rFonts w:ascii="Verdana" w:eastAsia="MS Mincho" w:hAnsi="Verdana" w:cs="Times New Roman"/>
      <w:sz w:val="16"/>
      <w:szCs w:val="20"/>
      <w:lang w:val="es-ES_tradnl" w:eastAsia="es-ES"/>
    </w:rPr>
  </w:style>
  <w:style w:type="character" w:customStyle="1" w:styleId="Heading3Char">
    <w:name w:val="Heading 3 Char"/>
    <w:link w:val="Heading3"/>
    <w:rsid w:val="00546C18"/>
    <w:rPr>
      <w:rFonts w:ascii="Verdana" w:eastAsia="Calibri" w:hAnsi="Verdana"/>
      <w:b/>
      <w:sz w:val="20"/>
      <w:szCs w:val="20"/>
      <w:lang w:eastAsia="es-ES"/>
    </w:rPr>
  </w:style>
  <w:style w:type="character" w:customStyle="1" w:styleId="Heading2Char">
    <w:name w:val="Heading 2 Char"/>
    <w:link w:val="Heading2"/>
    <w:rsid w:val="005B57E4"/>
    <w:rPr>
      <w:rFonts w:ascii="Verdana" w:eastAsia="Calibri" w:hAnsi="Verdana"/>
      <w:b/>
      <w:i/>
      <w:sz w:val="20"/>
      <w:szCs w:val="20"/>
      <w:lang w:val="es-ES_tradnl" w:eastAsia="es-ES"/>
    </w:rPr>
  </w:style>
  <w:style w:type="paragraph" w:customStyle="1" w:styleId="PrrafodeSentencia">
    <w:name w:val="*. Párrafo de Sentencia"/>
    <w:basedOn w:val="Normal"/>
    <w:next w:val="Normal"/>
    <w:link w:val="PrrafodeSentenciaChar"/>
    <w:qFormat/>
    <w:rsid w:val="001C3520"/>
    <w:pPr>
      <w:numPr>
        <w:numId w:val="1"/>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1C3520"/>
    <w:rPr>
      <w:rFonts w:ascii="Verdana" w:eastAsia="Batang" w:hAnsi="Verdana"/>
      <w:spacing w:val="-4"/>
      <w:sz w:val="20"/>
      <w:lang w:eastAsia="es-MX"/>
    </w:rPr>
  </w:style>
  <w:style w:type="paragraph" w:styleId="ListParagraph">
    <w:name w:val="List Paragraph"/>
    <w:aliases w:val="Párrafo de lista1,List Paragraph1,Colorful List - Accent 11,List Paragraph2,Lista vistosa - Énfasis 11,Subtle Emphasis1,Footnote1"/>
    <w:basedOn w:val="Normal"/>
    <w:link w:val="ListParagraphChar"/>
    <w:uiPriority w:val="34"/>
    <w:qFormat/>
    <w:rsid w:val="00A65FF2"/>
    <w:pPr>
      <w:ind w:left="720"/>
    </w:pPr>
  </w:style>
  <w:style w:type="paragraph" w:customStyle="1" w:styleId="1">
    <w:name w:val="1"/>
    <w:basedOn w:val="Normal"/>
    <w:link w:val="FootnoteReference"/>
    <w:rsid w:val="00A65FF2"/>
    <w:pPr>
      <w:spacing w:after="160" w:line="240" w:lineRule="exact"/>
    </w:pPr>
    <w:rPr>
      <w:rFonts w:eastAsia="Times New Roman"/>
      <w:sz w:val="16"/>
      <w:szCs w:val="22"/>
      <w:vertAlign w:val="superscript"/>
      <w:lang w:val="es-CR"/>
    </w:rPr>
  </w:style>
  <w:style w:type="character" w:customStyle="1" w:styleId="ListParagraphChar">
    <w:name w:val="List Paragraph Char"/>
    <w:aliases w:val="Párrafo de lista1 Char,List Paragraph1 Char,Colorful List - Accent 11 Char,List Paragraph2 Char,Lista vistosa - Énfasis 11 Char,Subtle Emphasis1 Char,Footnote1 Char1"/>
    <w:link w:val="ListParagraph"/>
    <w:uiPriority w:val="34"/>
    <w:locked/>
    <w:rsid w:val="00A65FF2"/>
    <w:rPr>
      <w:rFonts w:ascii="Times New Roman" w:eastAsia="MS Mincho" w:hAnsi="Times New Roman" w:cs="Times New Roman"/>
      <w:sz w:val="24"/>
      <w:szCs w:val="24"/>
      <w:lang w:val="en-US"/>
    </w:rPr>
  </w:style>
  <w:style w:type="character" w:customStyle="1" w:styleId="Heading4Char">
    <w:name w:val="Heading 4 Char"/>
    <w:basedOn w:val="DefaultParagraphFont"/>
    <w:link w:val="Heading4"/>
    <w:uiPriority w:val="9"/>
    <w:rsid w:val="00546C18"/>
    <w:rPr>
      <w:rFonts w:ascii="Verdana" w:eastAsia="MS Mincho" w:hAnsi="Verdana" w:cs="Times New Roman"/>
      <w:sz w:val="20"/>
      <w:szCs w:val="20"/>
      <w:u w:val="single"/>
      <w:lang w:val="es-ES"/>
    </w:rPr>
  </w:style>
  <w:style w:type="paragraph" w:styleId="Header">
    <w:name w:val="header"/>
    <w:aliases w:val="encabezado"/>
    <w:basedOn w:val="Normal"/>
    <w:link w:val="HeaderChar"/>
    <w:uiPriority w:val="99"/>
    <w:unhideWhenUsed/>
    <w:rsid w:val="006D4173"/>
    <w:pPr>
      <w:tabs>
        <w:tab w:val="center" w:pos="4419"/>
        <w:tab w:val="right" w:pos="8838"/>
      </w:tabs>
    </w:pPr>
  </w:style>
  <w:style w:type="character" w:customStyle="1" w:styleId="HeaderChar">
    <w:name w:val="Header Char"/>
    <w:aliases w:val="encabezado Char"/>
    <w:basedOn w:val="DefaultParagraphFont"/>
    <w:link w:val="Header"/>
    <w:uiPriority w:val="99"/>
    <w:rsid w:val="006D4173"/>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6D4173"/>
    <w:pPr>
      <w:tabs>
        <w:tab w:val="center" w:pos="4419"/>
        <w:tab w:val="right" w:pos="8838"/>
      </w:tabs>
    </w:pPr>
  </w:style>
  <w:style w:type="character" w:customStyle="1" w:styleId="FooterChar">
    <w:name w:val="Footer Char"/>
    <w:basedOn w:val="DefaultParagraphFont"/>
    <w:link w:val="Footer"/>
    <w:uiPriority w:val="99"/>
    <w:rsid w:val="006D4173"/>
    <w:rPr>
      <w:rFonts w:ascii="Times New Roman" w:eastAsia="MS Mincho" w:hAnsi="Times New Roman" w:cs="Times New Roman"/>
      <w:sz w:val="24"/>
      <w:szCs w:val="24"/>
      <w:lang w:val="en-US"/>
    </w:rPr>
  </w:style>
  <w:style w:type="character" w:styleId="CommentReference">
    <w:name w:val="annotation reference"/>
    <w:basedOn w:val="DefaultParagraphFont"/>
    <w:uiPriority w:val="99"/>
    <w:unhideWhenUsed/>
    <w:rsid w:val="004D047F"/>
    <w:rPr>
      <w:sz w:val="16"/>
      <w:szCs w:val="16"/>
    </w:rPr>
  </w:style>
  <w:style w:type="paragraph" w:styleId="CommentText">
    <w:name w:val="annotation text"/>
    <w:basedOn w:val="Normal"/>
    <w:link w:val="CommentTextChar"/>
    <w:uiPriority w:val="99"/>
    <w:unhideWhenUsed/>
    <w:rsid w:val="004D047F"/>
    <w:rPr>
      <w:szCs w:val="20"/>
    </w:rPr>
  </w:style>
  <w:style w:type="character" w:customStyle="1" w:styleId="CommentTextChar">
    <w:name w:val="Comment Text Char"/>
    <w:basedOn w:val="DefaultParagraphFont"/>
    <w:link w:val="CommentText"/>
    <w:uiPriority w:val="99"/>
    <w:rsid w:val="004D047F"/>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4D047F"/>
    <w:rPr>
      <w:b/>
      <w:bCs/>
    </w:rPr>
  </w:style>
  <w:style w:type="character" w:customStyle="1" w:styleId="CommentSubjectChar">
    <w:name w:val="Comment Subject Char"/>
    <w:basedOn w:val="CommentTextChar"/>
    <w:link w:val="CommentSubject"/>
    <w:uiPriority w:val="99"/>
    <w:rsid w:val="004D047F"/>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4D047F"/>
    <w:rPr>
      <w:rFonts w:ascii="Tahoma" w:hAnsi="Tahoma" w:cs="Tahoma"/>
      <w:sz w:val="16"/>
      <w:szCs w:val="16"/>
    </w:rPr>
  </w:style>
  <w:style w:type="character" w:customStyle="1" w:styleId="BalloonTextChar">
    <w:name w:val="Balloon Text Char"/>
    <w:basedOn w:val="DefaultParagraphFont"/>
    <w:link w:val="BalloonText"/>
    <w:uiPriority w:val="99"/>
    <w:semiHidden/>
    <w:rsid w:val="004D047F"/>
    <w:rPr>
      <w:rFonts w:ascii="Tahoma" w:eastAsia="MS Mincho" w:hAnsi="Tahoma" w:cs="Tahoma"/>
      <w:sz w:val="16"/>
      <w:szCs w:val="16"/>
      <w:lang w:val="en-US"/>
    </w:rPr>
  </w:style>
  <w:style w:type="character" w:styleId="Hyperlink">
    <w:name w:val="Hyperlink"/>
    <w:basedOn w:val="DefaultParagraphFont"/>
    <w:uiPriority w:val="99"/>
    <w:unhideWhenUsed/>
    <w:rsid w:val="009D216C"/>
    <w:rPr>
      <w:color w:val="0000FF" w:themeColor="hyperlink"/>
      <w:u w:val="single"/>
    </w:rPr>
  </w:style>
  <w:style w:type="paragraph" w:styleId="BlockText">
    <w:name w:val="Block Text"/>
    <w:basedOn w:val="Normal"/>
    <w:uiPriority w:val="99"/>
    <w:unhideWhenUsed/>
    <w:rsid w:val="00241D8F"/>
    <w:pPr>
      <w:ind w:left="562" w:right="615"/>
      <w:jc w:val="both"/>
    </w:pPr>
    <w:rPr>
      <w:sz w:val="18"/>
      <w:szCs w:val="18"/>
      <w:lang w:val="es-CR"/>
    </w:rPr>
  </w:style>
  <w:style w:type="paragraph" w:styleId="BodyText">
    <w:name w:val="Body Text"/>
    <w:basedOn w:val="Normal"/>
    <w:link w:val="BodyTextChar"/>
    <w:uiPriority w:val="99"/>
    <w:unhideWhenUsed/>
    <w:rsid w:val="00CA6DBF"/>
    <w:rPr>
      <w:szCs w:val="20"/>
      <w:lang w:val="es-ES" w:eastAsia="es-MX"/>
    </w:rPr>
  </w:style>
  <w:style w:type="character" w:customStyle="1" w:styleId="BodyTextChar">
    <w:name w:val="Body Text Char"/>
    <w:basedOn w:val="DefaultParagraphFont"/>
    <w:link w:val="BodyText"/>
    <w:uiPriority w:val="99"/>
    <w:rsid w:val="00CA6DBF"/>
    <w:rPr>
      <w:rFonts w:ascii="Verdana" w:eastAsia="MS Mincho" w:hAnsi="Verdana" w:cs="Times New Roman"/>
      <w:sz w:val="20"/>
      <w:szCs w:val="20"/>
      <w:lang w:val="es-ES" w:eastAsia="es-MX"/>
    </w:rPr>
  </w:style>
  <w:style w:type="paragraph" w:styleId="BodyText2">
    <w:name w:val="Body Text 2"/>
    <w:basedOn w:val="Normal"/>
    <w:link w:val="BodyText2Char"/>
    <w:uiPriority w:val="99"/>
    <w:unhideWhenUsed/>
    <w:rsid w:val="00CB07B9"/>
    <w:pPr>
      <w:spacing w:after="120"/>
      <w:jc w:val="both"/>
    </w:pPr>
    <w:rPr>
      <w:color w:val="FF0000"/>
      <w:sz w:val="16"/>
      <w:szCs w:val="16"/>
      <w:lang w:val="es-CO"/>
    </w:rPr>
  </w:style>
  <w:style w:type="character" w:customStyle="1" w:styleId="BodyText2Char">
    <w:name w:val="Body Text 2 Char"/>
    <w:basedOn w:val="DefaultParagraphFont"/>
    <w:link w:val="BodyText2"/>
    <w:uiPriority w:val="99"/>
    <w:rsid w:val="00CB07B9"/>
    <w:rPr>
      <w:rFonts w:ascii="Verdana" w:eastAsia="MS Mincho" w:hAnsi="Verdana" w:cs="Times New Roman"/>
      <w:color w:val="FF0000"/>
      <w:sz w:val="16"/>
      <w:szCs w:val="16"/>
      <w:lang w:val="es-CO"/>
    </w:rPr>
  </w:style>
  <w:style w:type="paragraph" w:styleId="BodyText3">
    <w:name w:val="Body Text 3"/>
    <w:basedOn w:val="Normal"/>
    <w:link w:val="BodyText3Char"/>
    <w:uiPriority w:val="99"/>
    <w:unhideWhenUsed/>
    <w:rsid w:val="00F80ED9"/>
    <w:pPr>
      <w:jc w:val="both"/>
    </w:pPr>
    <w:rPr>
      <w:color w:val="00B050"/>
      <w:szCs w:val="20"/>
      <w:lang w:val="es-CO" w:eastAsia="es-MX"/>
    </w:rPr>
  </w:style>
  <w:style w:type="character" w:customStyle="1" w:styleId="BodyText3Char">
    <w:name w:val="Body Text 3 Char"/>
    <w:basedOn w:val="DefaultParagraphFont"/>
    <w:link w:val="BodyText3"/>
    <w:uiPriority w:val="99"/>
    <w:rsid w:val="00F80ED9"/>
    <w:rPr>
      <w:rFonts w:ascii="Verdana" w:eastAsia="MS Mincho" w:hAnsi="Verdana" w:cs="Times New Roman"/>
      <w:color w:val="00B050"/>
      <w:sz w:val="20"/>
      <w:szCs w:val="20"/>
      <w:lang w:val="es-CO" w:eastAsia="es-MX"/>
    </w:rPr>
  </w:style>
  <w:style w:type="paragraph" w:customStyle="1" w:styleId="Textoindependiente1">
    <w:name w:val="Texto independiente1"/>
    <w:basedOn w:val="Normal"/>
    <w:rsid w:val="004B6D86"/>
    <w:pPr>
      <w:widowControl w:val="0"/>
      <w:jc w:val="both"/>
    </w:pPr>
    <w:rPr>
      <w:rFonts w:ascii="New York" w:eastAsia="Times New Roman" w:hAnsi="New York"/>
      <w:szCs w:val="20"/>
      <w:lang w:val="es-ES_tradnl"/>
    </w:rPr>
  </w:style>
  <w:style w:type="paragraph" w:styleId="NoSpacing">
    <w:name w:val="No Spacing"/>
    <w:uiPriority w:val="1"/>
    <w:qFormat/>
    <w:rsid w:val="004B6D86"/>
    <w:pPr>
      <w:spacing w:after="0" w:line="240" w:lineRule="auto"/>
    </w:pPr>
    <w:rPr>
      <w:rFonts w:ascii="Times New Roman" w:hAnsi="Times New Roman" w:cs="Times New Roman"/>
      <w:sz w:val="24"/>
      <w:szCs w:val="24"/>
      <w:lang w:val="es-MX"/>
    </w:rPr>
  </w:style>
  <w:style w:type="paragraph" w:customStyle="1" w:styleId="citaindirecta">
    <w:name w:val="cita indirecta"/>
    <w:basedOn w:val="Normal"/>
    <w:uiPriority w:val="99"/>
    <w:rsid w:val="004B6D86"/>
    <w:pPr>
      <w:ind w:left="708"/>
      <w:jc w:val="both"/>
    </w:pPr>
    <w:rPr>
      <w:rFonts w:eastAsia="Times New Roman"/>
      <w:szCs w:val="20"/>
      <w:lang w:val="es-ES_tradnl" w:eastAsia="es-MX"/>
    </w:rPr>
  </w:style>
  <w:style w:type="paragraph" w:styleId="Title">
    <w:name w:val="Title"/>
    <w:basedOn w:val="Heading1"/>
    <w:next w:val="Normal"/>
    <w:link w:val="TitleChar"/>
    <w:qFormat/>
    <w:rsid w:val="004B6D86"/>
    <w:pPr>
      <w:tabs>
        <w:tab w:val="center" w:pos="4320"/>
        <w:tab w:val="right" w:pos="8640"/>
      </w:tabs>
    </w:pPr>
    <w:rPr>
      <w:rFonts w:eastAsia="Times New Roman"/>
      <w:lang w:val="es-CR" w:eastAsia="es-ES"/>
    </w:rPr>
  </w:style>
  <w:style w:type="character" w:customStyle="1" w:styleId="TitleChar">
    <w:name w:val="Title Char"/>
    <w:basedOn w:val="DefaultParagraphFont"/>
    <w:link w:val="Title"/>
    <w:rsid w:val="004B6D86"/>
    <w:rPr>
      <w:rFonts w:ascii="Verdana" w:hAnsi="Verdana" w:cs="Times New Roman"/>
      <w:b/>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B6D86"/>
    <w:pPr>
      <w:jc w:val="both"/>
    </w:pPr>
    <w:rPr>
      <w:rFonts w:eastAsia="Times New Roman"/>
      <w:sz w:val="16"/>
      <w:szCs w:val="22"/>
      <w:vertAlign w:val="superscript"/>
      <w:lang w:val="es-CR"/>
    </w:rPr>
  </w:style>
  <w:style w:type="character" w:customStyle="1" w:styleId="Heading5Char">
    <w:name w:val="Heading 5 Char"/>
    <w:basedOn w:val="DefaultParagraphFont"/>
    <w:link w:val="Heading5"/>
    <w:uiPriority w:val="9"/>
    <w:semiHidden/>
    <w:rsid w:val="00546C18"/>
    <w:rPr>
      <w:rFonts w:asciiTheme="majorHAnsi" w:eastAsiaTheme="majorEastAsia" w:hAnsiTheme="majorHAnsi" w:cstheme="majorBidi"/>
      <w:color w:val="243F60" w:themeColor="accent1" w:themeShade="7F"/>
      <w:sz w:val="24"/>
      <w:szCs w:val="24"/>
      <w:lang w:val="en-US"/>
    </w:rPr>
  </w:style>
  <w:style w:type="character" w:styleId="Strong">
    <w:name w:val="Strong"/>
    <w:aliases w:val="Heading 2.1"/>
    <w:basedOn w:val="DefaultParagraphFont"/>
    <w:uiPriority w:val="22"/>
    <w:qFormat/>
    <w:rsid w:val="00546C18"/>
    <w:rPr>
      <w:b/>
      <w:bCs/>
    </w:rPr>
  </w:style>
  <w:style w:type="character" w:customStyle="1" w:styleId="Refdenotaalpie1">
    <w:name w:val="Ref. de nota al pie1"/>
    <w:rsid w:val="00546C18"/>
    <w:rPr>
      <w:sz w:val="20"/>
      <w:vertAlign w:val="superscript"/>
    </w:rPr>
  </w:style>
  <w:style w:type="character" w:customStyle="1" w:styleId="ListParagraphChar1">
    <w:name w:val="List Paragraph Char1"/>
    <w:aliases w:val="Footnote Char1,Colorful List - Accent 11 Char1,List Paragraph1 Char1,Párrafo de lista1 Char1,List Paragraph2 Char1,Lista vistosa - Énfasis 11 Char1,Subtle Emphasis1 Char1,Footnote1 Char"/>
    <w:basedOn w:val="DefaultParagraphFont"/>
    <w:uiPriority w:val="34"/>
    <w:rsid w:val="004457B6"/>
    <w:rPr>
      <w:rFonts w:ascii="Verdana" w:hAnsi="Verdana"/>
      <w:sz w:val="16"/>
    </w:rPr>
  </w:style>
  <w:style w:type="character" w:customStyle="1" w:styleId="Heading6Char">
    <w:name w:val="Heading 6 Char"/>
    <w:basedOn w:val="DefaultParagraphFont"/>
    <w:link w:val="Heading6"/>
    <w:uiPriority w:val="9"/>
    <w:rsid w:val="008B4406"/>
    <w:rPr>
      <w:rFonts w:ascii="Times New Roman" w:eastAsia="MS Mincho" w:hAnsi="Times New Roman" w:cs="Times New Roman"/>
      <w:b/>
      <w:sz w:val="24"/>
      <w:szCs w:val="24"/>
      <w:lang w:eastAsia="es-MX"/>
    </w:rPr>
  </w:style>
  <w:style w:type="character" w:customStyle="1" w:styleId="Heading7Char">
    <w:name w:val="Heading 7 Char"/>
    <w:basedOn w:val="DefaultParagraphFont"/>
    <w:link w:val="Heading7"/>
    <w:uiPriority w:val="9"/>
    <w:rsid w:val="0083400B"/>
    <w:rPr>
      <w:rFonts w:ascii="Verdana" w:eastAsia="MS Mincho" w:hAnsi="Verdana" w:cs="Times New Roman"/>
      <w:b/>
      <w:color w:val="00B050"/>
      <w:sz w:val="20"/>
      <w:szCs w:val="24"/>
    </w:rPr>
  </w:style>
  <w:style w:type="paragraph" w:customStyle="1" w:styleId="Heading23">
    <w:name w:val="Heading 2.3"/>
    <w:basedOn w:val="Normal"/>
    <w:uiPriority w:val="99"/>
    <w:qFormat/>
    <w:rsid w:val="00632ACE"/>
    <w:pPr>
      <w:jc w:val="both"/>
    </w:pPr>
    <w:rPr>
      <w:rFonts w:eastAsia="Calibri"/>
      <w:sz w:val="16"/>
      <w:szCs w:val="16"/>
      <w:vertAlign w:val="superscript"/>
      <w:lang w:val="x-none" w:eastAsia="x-none"/>
    </w:rPr>
  </w:style>
  <w:style w:type="character" w:styleId="LineNumber">
    <w:name w:val="line number"/>
    <w:basedOn w:val="DefaultParagraphFont"/>
    <w:uiPriority w:val="99"/>
    <w:semiHidden/>
    <w:unhideWhenUsed/>
    <w:rsid w:val="00B31EB1"/>
  </w:style>
  <w:style w:type="paragraph" w:customStyle="1" w:styleId="Numberedparagraphs">
    <w:name w:val="Numbered paragraphs"/>
    <w:basedOn w:val="Normal"/>
    <w:qFormat/>
    <w:rsid w:val="00120BB5"/>
    <w:pPr>
      <w:numPr>
        <w:numId w:val="22"/>
      </w:numPr>
      <w:jc w:val="both"/>
    </w:pPr>
    <w:rPr>
      <w:color w:val="000000"/>
      <w:szCs w:val="20"/>
      <w:lang w:val="es-ES_tradnl"/>
    </w:rPr>
  </w:style>
  <w:style w:type="character" w:customStyle="1" w:styleId="Heading8Char">
    <w:name w:val="Heading 8 Char"/>
    <w:basedOn w:val="DefaultParagraphFont"/>
    <w:link w:val="Heading8"/>
    <w:uiPriority w:val="9"/>
    <w:rsid w:val="00900F6F"/>
    <w:rPr>
      <w:rFonts w:ascii="Verdana" w:eastAsia="MS Mincho" w:hAnsi="Verdana" w:cs="Times New Roman"/>
      <w:b/>
      <w:sz w:val="20"/>
      <w:szCs w:val="20"/>
    </w:rPr>
  </w:style>
  <w:style w:type="paragraph" w:styleId="TOC1">
    <w:name w:val="toc 1"/>
    <w:basedOn w:val="Normal"/>
    <w:next w:val="Normal"/>
    <w:autoRedefine/>
    <w:uiPriority w:val="39"/>
    <w:unhideWhenUsed/>
    <w:rsid w:val="007E1CF1"/>
    <w:pPr>
      <w:tabs>
        <w:tab w:val="right" w:leader="dot" w:pos="9487"/>
      </w:tabs>
      <w:spacing w:before="120" w:after="120"/>
      <w:jc w:val="center"/>
    </w:pPr>
    <w:rPr>
      <w:b/>
      <w:noProof/>
    </w:rPr>
  </w:style>
  <w:style w:type="paragraph" w:styleId="TOC2">
    <w:name w:val="toc 2"/>
    <w:basedOn w:val="Normal"/>
    <w:next w:val="Normal"/>
    <w:autoRedefine/>
    <w:uiPriority w:val="39"/>
    <w:unhideWhenUsed/>
    <w:rsid w:val="007E1CF1"/>
    <w:pPr>
      <w:tabs>
        <w:tab w:val="left" w:pos="0"/>
        <w:tab w:val="left" w:pos="426"/>
        <w:tab w:val="right" w:leader="dot" w:pos="9487"/>
      </w:tabs>
      <w:jc w:val="both"/>
    </w:pPr>
  </w:style>
  <w:style w:type="paragraph" w:styleId="TOC3">
    <w:name w:val="toc 3"/>
    <w:basedOn w:val="Normal"/>
    <w:next w:val="Normal"/>
    <w:autoRedefine/>
    <w:uiPriority w:val="39"/>
    <w:unhideWhenUsed/>
    <w:rsid w:val="007F7EC7"/>
    <w:pPr>
      <w:spacing w:after="100"/>
      <w:ind w:left="400"/>
    </w:pPr>
  </w:style>
  <w:style w:type="paragraph" w:styleId="TOC4">
    <w:name w:val="toc 4"/>
    <w:basedOn w:val="Normal"/>
    <w:next w:val="Normal"/>
    <w:autoRedefine/>
    <w:uiPriority w:val="39"/>
    <w:unhideWhenUsed/>
    <w:rsid w:val="007F7EC7"/>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0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2D4279"/>
    <w:pPr>
      <w:jc w:val="center"/>
      <w:outlineLvl w:val="0"/>
    </w:pPr>
    <w:rPr>
      <w:b/>
      <w:szCs w:val="20"/>
      <w:lang w:val="es-ES"/>
    </w:rPr>
  </w:style>
  <w:style w:type="paragraph" w:styleId="Heading2">
    <w:name w:val="heading 2"/>
    <w:basedOn w:val="Heading3"/>
    <w:next w:val="Normal"/>
    <w:link w:val="Heading2Char"/>
    <w:qFormat/>
    <w:rsid w:val="005B57E4"/>
    <w:pPr>
      <w:keepNext/>
      <w:numPr>
        <w:numId w:val="4"/>
      </w:numPr>
      <w:spacing w:after="0" w:line="240" w:lineRule="auto"/>
      <w:contextualSpacing w:val="0"/>
      <w:outlineLvl w:val="1"/>
    </w:pPr>
    <w:rPr>
      <w:i/>
    </w:rPr>
  </w:style>
  <w:style w:type="paragraph" w:styleId="Heading3">
    <w:name w:val="heading 3"/>
    <w:basedOn w:val="Normal"/>
    <w:next w:val="Normal"/>
    <w:link w:val="Heading3Char"/>
    <w:qFormat/>
    <w:rsid w:val="00546C18"/>
    <w:pPr>
      <w:spacing w:after="200" w:line="276" w:lineRule="auto"/>
      <w:ind w:left="993"/>
      <w:contextualSpacing/>
      <w:jc w:val="both"/>
      <w:outlineLvl w:val="2"/>
    </w:pPr>
    <w:rPr>
      <w:rFonts w:eastAsia="Calibri" w:cstheme="minorBidi"/>
      <w:b/>
      <w:szCs w:val="20"/>
      <w:lang w:val="es-CR" w:eastAsia="es-ES"/>
    </w:rPr>
  </w:style>
  <w:style w:type="paragraph" w:styleId="Heading4">
    <w:name w:val="heading 4"/>
    <w:basedOn w:val="Normal"/>
    <w:next w:val="Normal"/>
    <w:link w:val="Heading4Char"/>
    <w:uiPriority w:val="9"/>
    <w:unhideWhenUsed/>
    <w:qFormat/>
    <w:rsid w:val="00546C18"/>
    <w:pPr>
      <w:keepNext/>
      <w:jc w:val="center"/>
      <w:outlineLvl w:val="3"/>
    </w:pPr>
    <w:rPr>
      <w:szCs w:val="20"/>
      <w:u w:val="single"/>
      <w:lang w:val="es-ES"/>
    </w:rPr>
  </w:style>
  <w:style w:type="paragraph" w:styleId="Heading5">
    <w:name w:val="heading 5"/>
    <w:basedOn w:val="Normal"/>
    <w:next w:val="Normal"/>
    <w:link w:val="Heading5Char"/>
    <w:uiPriority w:val="9"/>
    <w:semiHidden/>
    <w:unhideWhenUsed/>
    <w:qFormat/>
    <w:rsid w:val="00546C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4406"/>
    <w:pPr>
      <w:keepNext/>
      <w:outlineLvl w:val="5"/>
    </w:pPr>
    <w:rPr>
      <w:b/>
      <w:lang w:val="es-CR" w:eastAsia="es-MX"/>
    </w:rPr>
  </w:style>
  <w:style w:type="paragraph" w:styleId="Heading7">
    <w:name w:val="heading 7"/>
    <w:basedOn w:val="Normal"/>
    <w:next w:val="Normal"/>
    <w:link w:val="Heading7Char"/>
    <w:uiPriority w:val="9"/>
    <w:unhideWhenUsed/>
    <w:qFormat/>
    <w:rsid w:val="0083400B"/>
    <w:pPr>
      <w:keepNext/>
      <w:outlineLvl w:val="6"/>
    </w:pPr>
    <w:rPr>
      <w:b/>
      <w:color w:val="00B050"/>
      <w:lang w:val="es-CR"/>
    </w:rPr>
  </w:style>
  <w:style w:type="paragraph" w:styleId="Heading8">
    <w:name w:val="heading 8"/>
    <w:basedOn w:val="Normal"/>
    <w:next w:val="Normal"/>
    <w:link w:val="Heading8Char"/>
    <w:uiPriority w:val="9"/>
    <w:unhideWhenUsed/>
    <w:qFormat/>
    <w:rsid w:val="00900F6F"/>
    <w:pPr>
      <w:keepNext/>
      <w:jc w:val="both"/>
      <w:outlineLvl w:val="7"/>
    </w:pPr>
    <w:rPr>
      <w:b/>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279"/>
    <w:rPr>
      <w:rFonts w:ascii="Verdana" w:eastAsia="MS Mincho" w:hAnsi="Verdana" w:cs="Times New Roman"/>
      <w:b/>
      <w:sz w:val="20"/>
      <w:szCs w:val="20"/>
      <w:lang w:val="es-E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1"/>
    <w:uiPriority w:val="99"/>
    <w:qFormat/>
    <w:rsid w:val="00087892"/>
    <w:rPr>
      <w:rFonts w:ascii="Verdana" w:hAnsi="Verdana" w:cs="Times New Roman"/>
      <w:sz w:val="16"/>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EA72E2"/>
    <w:pPr>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EA72E2"/>
    <w:rPr>
      <w:rFonts w:ascii="Verdana" w:eastAsia="MS Mincho" w:hAnsi="Verdana" w:cs="Times New Roman"/>
      <w:sz w:val="16"/>
      <w:szCs w:val="20"/>
      <w:lang w:val="es-ES_tradnl" w:eastAsia="es-ES"/>
    </w:rPr>
  </w:style>
  <w:style w:type="character" w:customStyle="1" w:styleId="Heading3Char">
    <w:name w:val="Heading 3 Char"/>
    <w:link w:val="Heading3"/>
    <w:rsid w:val="00546C18"/>
    <w:rPr>
      <w:rFonts w:ascii="Verdana" w:eastAsia="Calibri" w:hAnsi="Verdana"/>
      <w:b/>
      <w:sz w:val="20"/>
      <w:szCs w:val="20"/>
      <w:lang w:eastAsia="es-ES"/>
    </w:rPr>
  </w:style>
  <w:style w:type="character" w:customStyle="1" w:styleId="Heading2Char">
    <w:name w:val="Heading 2 Char"/>
    <w:link w:val="Heading2"/>
    <w:rsid w:val="005B57E4"/>
    <w:rPr>
      <w:rFonts w:ascii="Verdana" w:eastAsia="Calibri" w:hAnsi="Verdana"/>
      <w:b/>
      <w:i/>
      <w:sz w:val="20"/>
      <w:szCs w:val="20"/>
      <w:lang w:val="es-ES_tradnl" w:eastAsia="es-ES"/>
    </w:rPr>
  </w:style>
  <w:style w:type="paragraph" w:customStyle="1" w:styleId="PrrafodeSentencia">
    <w:name w:val="*. Párrafo de Sentencia"/>
    <w:basedOn w:val="Normal"/>
    <w:next w:val="Normal"/>
    <w:link w:val="PrrafodeSentenciaChar"/>
    <w:qFormat/>
    <w:rsid w:val="001C3520"/>
    <w:pPr>
      <w:numPr>
        <w:numId w:val="1"/>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1C3520"/>
    <w:rPr>
      <w:rFonts w:ascii="Verdana" w:eastAsia="Batang" w:hAnsi="Verdana"/>
      <w:spacing w:val="-4"/>
      <w:sz w:val="20"/>
      <w:lang w:eastAsia="es-MX"/>
    </w:rPr>
  </w:style>
  <w:style w:type="paragraph" w:styleId="ListParagraph">
    <w:name w:val="List Paragraph"/>
    <w:aliases w:val="Párrafo de lista1,List Paragraph1,Colorful List - Accent 11,List Paragraph2,Lista vistosa - Énfasis 11,Subtle Emphasis1,Footnote1"/>
    <w:basedOn w:val="Normal"/>
    <w:link w:val="ListParagraphChar"/>
    <w:uiPriority w:val="34"/>
    <w:qFormat/>
    <w:rsid w:val="00A65FF2"/>
    <w:pPr>
      <w:ind w:left="720"/>
    </w:pPr>
  </w:style>
  <w:style w:type="paragraph" w:customStyle="1" w:styleId="1">
    <w:name w:val="1"/>
    <w:basedOn w:val="Normal"/>
    <w:link w:val="FootnoteReference"/>
    <w:rsid w:val="00A65FF2"/>
    <w:pPr>
      <w:spacing w:after="160" w:line="240" w:lineRule="exact"/>
    </w:pPr>
    <w:rPr>
      <w:rFonts w:eastAsia="Times New Roman"/>
      <w:sz w:val="16"/>
      <w:szCs w:val="22"/>
      <w:vertAlign w:val="superscript"/>
      <w:lang w:val="es-CR"/>
    </w:rPr>
  </w:style>
  <w:style w:type="character" w:customStyle="1" w:styleId="ListParagraphChar">
    <w:name w:val="List Paragraph Char"/>
    <w:aliases w:val="Párrafo de lista1 Char,List Paragraph1 Char,Colorful List - Accent 11 Char,List Paragraph2 Char,Lista vistosa - Énfasis 11 Char,Subtle Emphasis1 Char,Footnote1 Char1"/>
    <w:link w:val="ListParagraph"/>
    <w:uiPriority w:val="34"/>
    <w:locked/>
    <w:rsid w:val="00A65FF2"/>
    <w:rPr>
      <w:rFonts w:ascii="Times New Roman" w:eastAsia="MS Mincho" w:hAnsi="Times New Roman" w:cs="Times New Roman"/>
      <w:sz w:val="24"/>
      <w:szCs w:val="24"/>
      <w:lang w:val="en-US"/>
    </w:rPr>
  </w:style>
  <w:style w:type="character" w:customStyle="1" w:styleId="Heading4Char">
    <w:name w:val="Heading 4 Char"/>
    <w:basedOn w:val="DefaultParagraphFont"/>
    <w:link w:val="Heading4"/>
    <w:uiPriority w:val="9"/>
    <w:rsid w:val="00546C18"/>
    <w:rPr>
      <w:rFonts w:ascii="Verdana" w:eastAsia="MS Mincho" w:hAnsi="Verdana" w:cs="Times New Roman"/>
      <w:sz w:val="20"/>
      <w:szCs w:val="20"/>
      <w:u w:val="single"/>
      <w:lang w:val="es-ES"/>
    </w:rPr>
  </w:style>
  <w:style w:type="paragraph" w:styleId="Header">
    <w:name w:val="header"/>
    <w:aliases w:val="encabezado"/>
    <w:basedOn w:val="Normal"/>
    <w:link w:val="HeaderChar"/>
    <w:uiPriority w:val="99"/>
    <w:unhideWhenUsed/>
    <w:rsid w:val="006D4173"/>
    <w:pPr>
      <w:tabs>
        <w:tab w:val="center" w:pos="4419"/>
        <w:tab w:val="right" w:pos="8838"/>
      </w:tabs>
    </w:pPr>
  </w:style>
  <w:style w:type="character" w:customStyle="1" w:styleId="HeaderChar">
    <w:name w:val="Header Char"/>
    <w:aliases w:val="encabezado Char"/>
    <w:basedOn w:val="DefaultParagraphFont"/>
    <w:link w:val="Header"/>
    <w:uiPriority w:val="99"/>
    <w:rsid w:val="006D4173"/>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6D4173"/>
    <w:pPr>
      <w:tabs>
        <w:tab w:val="center" w:pos="4419"/>
        <w:tab w:val="right" w:pos="8838"/>
      </w:tabs>
    </w:pPr>
  </w:style>
  <w:style w:type="character" w:customStyle="1" w:styleId="FooterChar">
    <w:name w:val="Footer Char"/>
    <w:basedOn w:val="DefaultParagraphFont"/>
    <w:link w:val="Footer"/>
    <w:uiPriority w:val="99"/>
    <w:rsid w:val="006D4173"/>
    <w:rPr>
      <w:rFonts w:ascii="Times New Roman" w:eastAsia="MS Mincho" w:hAnsi="Times New Roman" w:cs="Times New Roman"/>
      <w:sz w:val="24"/>
      <w:szCs w:val="24"/>
      <w:lang w:val="en-US"/>
    </w:rPr>
  </w:style>
  <w:style w:type="character" w:styleId="CommentReference">
    <w:name w:val="annotation reference"/>
    <w:basedOn w:val="DefaultParagraphFont"/>
    <w:uiPriority w:val="99"/>
    <w:unhideWhenUsed/>
    <w:rsid w:val="004D047F"/>
    <w:rPr>
      <w:sz w:val="16"/>
      <w:szCs w:val="16"/>
    </w:rPr>
  </w:style>
  <w:style w:type="paragraph" w:styleId="CommentText">
    <w:name w:val="annotation text"/>
    <w:basedOn w:val="Normal"/>
    <w:link w:val="CommentTextChar"/>
    <w:uiPriority w:val="99"/>
    <w:unhideWhenUsed/>
    <w:rsid w:val="004D047F"/>
    <w:rPr>
      <w:szCs w:val="20"/>
    </w:rPr>
  </w:style>
  <w:style w:type="character" w:customStyle="1" w:styleId="CommentTextChar">
    <w:name w:val="Comment Text Char"/>
    <w:basedOn w:val="DefaultParagraphFont"/>
    <w:link w:val="CommentText"/>
    <w:uiPriority w:val="99"/>
    <w:rsid w:val="004D047F"/>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4D047F"/>
    <w:rPr>
      <w:b/>
      <w:bCs/>
    </w:rPr>
  </w:style>
  <w:style w:type="character" w:customStyle="1" w:styleId="CommentSubjectChar">
    <w:name w:val="Comment Subject Char"/>
    <w:basedOn w:val="CommentTextChar"/>
    <w:link w:val="CommentSubject"/>
    <w:uiPriority w:val="99"/>
    <w:rsid w:val="004D047F"/>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4D047F"/>
    <w:rPr>
      <w:rFonts w:ascii="Tahoma" w:hAnsi="Tahoma" w:cs="Tahoma"/>
      <w:sz w:val="16"/>
      <w:szCs w:val="16"/>
    </w:rPr>
  </w:style>
  <w:style w:type="character" w:customStyle="1" w:styleId="BalloonTextChar">
    <w:name w:val="Balloon Text Char"/>
    <w:basedOn w:val="DefaultParagraphFont"/>
    <w:link w:val="BalloonText"/>
    <w:uiPriority w:val="99"/>
    <w:semiHidden/>
    <w:rsid w:val="004D047F"/>
    <w:rPr>
      <w:rFonts w:ascii="Tahoma" w:eastAsia="MS Mincho" w:hAnsi="Tahoma" w:cs="Tahoma"/>
      <w:sz w:val="16"/>
      <w:szCs w:val="16"/>
      <w:lang w:val="en-US"/>
    </w:rPr>
  </w:style>
  <w:style w:type="character" w:styleId="Hyperlink">
    <w:name w:val="Hyperlink"/>
    <w:basedOn w:val="DefaultParagraphFont"/>
    <w:uiPriority w:val="99"/>
    <w:unhideWhenUsed/>
    <w:rsid w:val="009D216C"/>
    <w:rPr>
      <w:color w:val="0000FF" w:themeColor="hyperlink"/>
      <w:u w:val="single"/>
    </w:rPr>
  </w:style>
  <w:style w:type="paragraph" w:styleId="BlockText">
    <w:name w:val="Block Text"/>
    <w:basedOn w:val="Normal"/>
    <w:uiPriority w:val="99"/>
    <w:unhideWhenUsed/>
    <w:rsid w:val="00241D8F"/>
    <w:pPr>
      <w:ind w:left="562" w:right="615"/>
      <w:jc w:val="both"/>
    </w:pPr>
    <w:rPr>
      <w:sz w:val="18"/>
      <w:szCs w:val="18"/>
      <w:lang w:val="es-CR"/>
    </w:rPr>
  </w:style>
  <w:style w:type="paragraph" w:styleId="BodyText">
    <w:name w:val="Body Text"/>
    <w:basedOn w:val="Normal"/>
    <w:link w:val="BodyTextChar"/>
    <w:uiPriority w:val="99"/>
    <w:unhideWhenUsed/>
    <w:rsid w:val="00CA6DBF"/>
    <w:rPr>
      <w:szCs w:val="20"/>
      <w:lang w:val="es-ES" w:eastAsia="es-MX"/>
    </w:rPr>
  </w:style>
  <w:style w:type="character" w:customStyle="1" w:styleId="BodyTextChar">
    <w:name w:val="Body Text Char"/>
    <w:basedOn w:val="DefaultParagraphFont"/>
    <w:link w:val="BodyText"/>
    <w:uiPriority w:val="99"/>
    <w:rsid w:val="00CA6DBF"/>
    <w:rPr>
      <w:rFonts w:ascii="Verdana" w:eastAsia="MS Mincho" w:hAnsi="Verdana" w:cs="Times New Roman"/>
      <w:sz w:val="20"/>
      <w:szCs w:val="20"/>
      <w:lang w:val="es-ES" w:eastAsia="es-MX"/>
    </w:rPr>
  </w:style>
  <w:style w:type="paragraph" w:styleId="BodyText2">
    <w:name w:val="Body Text 2"/>
    <w:basedOn w:val="Normal"/>
    <w:link w:val="BodyText2Char"/>
    <w:uiPriority w:val="99"/>
    <w:unhideWhenUsed/>
    <w:rsid w:val="00CB07B9"/>
    <w:pPr>
      <w:spacing w:after="120"/>
      <w:jc w:val="both"/>
    </w:pPr>
    <w:rPr>
      <w:color w:val="FF0000"/>
      <w:sz w:val="16"/>
      <w:szCs w:val="16"/>
      <w:lang w:val="es-CO"/>
    </w:rPr>
  </w:style>
  <w:style w:type="character" w:customStyle="1" w:styleId="BodyText2Char">
    <w:name w:val="Body Text 2 Char"/>
    <w:basedOn w:val="DefaultParagraphFont"/>
    <w:link w:val="BodyText2"/>
    <w:uiPriority w:val="99"/>
    <w:rsid w:val="00CB07B9"/>
    <w:rPr>
      <w:rFonts w:ascii="Verdana" w:eastAsia="MS Mincho" w:hAnsi="Verdana" w:cs="Times New Roman"/>
      <w:color w:val="FF0000"/>
      <w:sz w:val="16"/>
      <w:szCs w:val="16"/>
      <w:lang w:val="es-CO"/>
    </w:rPr>
  </w:style>
  <w:style w:type="paragraph" w:styleId="BodyText3">
    <w:name w:val="Body Text 3"/>
    <w:basedOn w:val="Normal"/>
    <w:link w:val="BodyText3Char"/>
    <w:uiPriority w:val="99"/>
    <w:unhideWhenUsed/>
    <w:rsid w:val="00F80ED9"/>
    <w:pPr>
      <w:jc w:val="both"/>
    </w:pPr>
    <w:rPr>
      <w:color w:val="00B050"/>
      <w:szCs w:val="20"/>
      <w:lang w:val="es-CO" w:eastAsia="es-MX"/>
    </w:rPr>
  </w:style>
  <w:style w:type="character" w:customStyle="1" w:styleId="BodyText3Char">
    <w:name w:val="Body Text 3 Char"/>
    <w:basedOn w:val="DefaultParagraphFont"/>
    <w:link w:val="BodyText3"/>
    <w:uiPriority w:val="99"/>
    <w:rsid w:val="00F80ED9"/>
    <w:rPr>
      <w:rFonts w:ascii="Verdana" w:eastAsia="MS Mincho" w:hAnsi="Verdana" w:cs="Times New Roman"/>
      <w:color w:val="00B050"/>
      <w:sz w:val="20"/>
      <w:szCs w:val="20"/>
      <w:lang w:val="es-CO" w:eastAsia="es-MX"/>
    </w:rPr>
  </w:style>
  <w:style w:type="paragraph" w:customStyle="1" w:styleId="Textoindependiente1">
    <w:name w:val="Texto independiente1"/>
    <w:basedOn w:val="Normal"/>
    <w:rsid w:val="004B6D86"/>
    <w:pPr>
      <w:widowControl w:val="0"/>
      <w:jc w:val="both"/>
    </w:pPr>
    <w:rPr>
      <w:rFonts w:ascii="New York" w:eastAsia="Times New Roman" w:hAnsi="New York"/>
      <w:szCs w:val="20"/>
      <w:lang w:val="es-ES_tradnl"/>
    </w:rPr>
  </w:style>
  <w:style w:type="paragraph" w:styleId="NoSpacing">
    <w:name w:val="No Spacing"/>
    <w:uiPriority w:val="1"/>
    <w:qFormat/>
    <w:rsid w:val="004B6D86"/>
    <w:pPr>
      <w:spacing w:after="0" w:line="240" w:lineRule="auto"/>
    </w:pPr>
    <w:rPr>
      <w:rFonts w:ascii="Times New Roman" w:hAnsi="Times New Roman" w:cs="Times New Roman"/>
      <w:sz w:val="24"/>
      <w:szCs w:val="24"/>
      <w:lang w:val="es-MX"/>
    </w:rPr>
  </w:style>
  <w:style w:type="paragraph" w:customStyle="1" w:styleId="citaindirecta">
    <w:name w:val="cita indirecta"/>
    <w:basedOn w:val="Normal"/>
    <w:uiPriority w:val="99"/>
    <w:rsid w:val="004B6D86"/>
    <w:pPr>
      <w:ind w:left="708"/>
      <w:jc w:val="both"/>
    </w:pPr>
    <w:rPr>
      <w:rFonts w:eastAsia="Times New Roman"/>
      <w:szCs w:val="20"/>
      <w:lang w:val="es-ES_tradnl" w:eastAsia="es-MX"/>
    </w:rPr>
  </w:style>
  <w:style w:type="paragraph" w:styleId="Title">
    <w:name w:val="Title"/>
    <w:basedOn w:val="Heading1"/>
    <w:next w:val="Normal"/>
    <w:link w:val="TitleChar"/>
    <w:qFormat/>
    <w:rsid w:val="004B6D86"/>
    <w:pPr>
      <w:tabs>
        <w:tab w:val="center" w:pos="4320"/>
        <w:tab w:val="right" w:pos="8640"/>
      </w:tabs>
    </w:pPr>
    <w:rPr>
      <w:rFonts w:eastAsia="Times New Roman"/>
      <w:lang w:val="es-CR" w:eastAsia="es-ES"/>
    </w:rPr>
  </w:style>
  <w:style w:type="character" w:customStyle="1" w:styleId="TitleChar">
    <w:name w:val="Title Char"/>
    <w:basedOn w:val="DefaultParagraphFont"/>
    <w:link w:val="Title"/>
    <w:rsid w:val="004B6D86"/>
    <w:rPr>
      <w:rFonts w:ascii="Verdana" w:hAnsi="Verdana" w:cs="Times New Roman"/>
      <w:b/>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B6D86"/>
    <w:pPr>
      <w:jc w:val="both"/>
    </w:pPr>
    <w:rPr>
      <w:rFonts w:eastAsia="Times New Roman"/>
      <w:sz w:val="16"/>
      <w:szCs w:val="22"/>
      <w:vertAlign w:val="superscript"/>
      <w:lang w:val="es-CR"/>
    </w:rPr>
  </w:style>
  <w:style w:type="character" w:customStyle="1" w:styleId="Heading5Char">
    <w:name w:val="Heading 5 Char"/>
    <w:basedOn w:val="DefaultParagraphFont"/>
    <w:link w:val="Heading5"/>
    <w:uiPriority w:val="9"/>
    <w:semiHidden/>
    <w:rsid w:val="00546C18"/>
    <w:rPr>
      <w:rFonts w:asciiTheme="majorHAnsi" w:eastAsiaTheme="majorEastAsia" w:hAnsiTheme="majorHAnsi" w:cstheme="majorBidi"/>
      <w:color w:val="243F60" w:themeColor="accent1" w:themeShade="7F"/>
      <w:sz w:val="24"/>
      <w:szCs w:val="24"/>
      <w:lang w:val="en-US"/>
    </w:rPr>
  </w:style>
  <w:style w:type="character" w:styleId="Strong">
    <w:name w:val="Strong"/>
    <w:aliases w:val="Heading 2.1"/>
    <w:basedOn w:val="DefaultParagraphFont"/>
    <w:uiPriority w:val="22"/>
    <w:qFormat/>
    <w:rsid w:val="00546C18"/>
    <w:rPr>
      <w:b/>
      <w:bCs/>
    </w:rPr>
  </w:style>
  <w:style w:type="character" w:customStyle="1" w:styleId="Refdenotaalpie1">
    <w:name w:val="Ref. de nota al pie1"/>
    <w:rsid w:val="00546C18"/>
    <w:rPr>
      <w:sz w:val="20"/>
      <w:vertAlign w:val="superscript"/>
    </w:rPr>
  </w:style>
  <w:style w:type="character" w:customStyle="1" w:styleId="ListParagraphChar1">
    <w:name w:val="List Paragraph Char1"/>
    <w:aliases w:val="Footnote Char1,Colorful List - Accent 11 Char1,List Paragraph1 Char1,Párrafo de lista1 Char1,List Paragraph2 Char1,Lista vistosa - Énfasis 11 Char1,Subtle Emphasis1 Char1,Footnote1 Char"/>
    <w:basedOn w:val="DefaultParagraphFont"/>
    <w:uiPriority w:val="34"/>
    <w:rsid w:val="004457B6"/>
    <w:rPr>
      <w:rFonts w:ascii="Verdana" w:hAnsi="Verdana"/>
      <w:sz w:val="16"/>
    </w:rPr>
  </w:style>
  <w:style w:type="character" w:customStyle="1" w:styleId="Heading6Char">
    <w:name w:val="Heading 6 Char"/>
    <w:basedOn w:val="DefaultParagraphFont"/>
    <w:link w:val="Heading6"/>
    <w:uiPriority w:val="9"/>
    <w:rsid w:val="008B4406"/>
    <w:rPr>
      <w:rFonts w:ascii="Times New Roman" w:eastAsia="MS Mincho" w:hAnsi="Times New Roman" w:cs="Times New Roman"/>
      <w:b/>
      <w:sz w:val="24"/>
      <w:szCs w:val="24"/>
      <w:lang w:eastAsia="es-MX"/>
    </w:rPr>
  </w:style>
  <w:style w:type="character" w:customStyle="1" w:styleId="Heading7Char">
    <w:name w:val="Heading 7 Char"/>
    <w:basedOn w:val="DefaultParagraphFont"/>
    <w:link w:val="Heading7"/>
    <w:uiPriority w:val="9"/>
    <w:rsid w:val="0083400B"/>
    <w:rPr>
      <w:rFonts w:ascii="Verdana" w:eastAsia="MS Mincho" w:hAnsi="Verdana" w:cs="Times New Roman"/>
      <w:b/>
      <w:color w:val="00B050"/>
      <w:sz w:val="20"/>
      <w:szCs w:val="24"/>
    </w:rPr>
  </w:style>
  <w:style w:type="paragraph" w:customStyle="1" w:styleId="Heading23">
    <w:name w:val="Heading 2.3"/>
    <w:basedOn w:val="Normal"/>
    <w:uiPriority w:val="99"/>
    <w:qFormat/>
    <w:rsid w:val="00632ACE"/>
    <w:pPr>
      <w:jc w:val="both"/>
    </w:pPr>
    <w:rPr>
      <w:rFonts w:eastAsia="Calibri"/>
      <w:sz w:val="16"/>
      <w:szCs w:val="16"/>
      <w:vertAlign w:val="superscript"/>
      <w:lang w:val="x-none" w:eastAsia="x-none"/>
    </w:rPr>
  </w:style>
  <w:style w:type="character" w:styleId="LineNumber">
    <w:name w:val="line number"/>
    <w:basedOn w:val="DefaultParagraphFont"/>
    <w:uiPriority w:val="99"/>
    <w:semiHidden/>
    <w:unhideWhenUsed/>
    <w:rsid w:val="00B31EB1"/>
  </w:style>
  <w:style w:type="paragraph" w:customStyle="1" w:styleId="Numberedparagraphs">
    <w:name w:val="Numbered paragraphs"/>
    <w:basedOn w:val="Normal"/>
    <w:qFormat/>
    <w:rsid w:val="00120BB5"/>
    <w:pPr>
      <w:numPr>
        <w:numId w:val="22"/>
      </w:numPr>
      <w:jc w:val="both"/>
    </w:pPr>
    <w:rPr>
      <w:color w:val="000000"/>
      <w:szCs w:val="20"/>
      <w:lang w:val="es-ES_tradnl"/>
    </w:rPr>
  </w:style>
  <w:style w:type="character" w:customStyle="1" w:styleId="Heading8Char">
    <w:name w:val="Heading 8 Char"/>
    <w:basedOn w:val="DefaultParagraphFont"/>
    <w:link w:val="Heading8"/>
    <w:uiPriority w:val="9"/>
    <w:rsid w:val="00900F6F"/>
    <w:rPr>
      <w:rFonts w:ascii="Verdana" w:eastAsia="MS Mincho" w:hAnsi="Verdana" w:cs="Times New Roman"/>
      <w:b/>
      <w:sz w:val="20"/>
      <w:szCs w:val="20"/>
    </w:rPr>
  </w:style>
  <w:style w:type="paragraph" w:styleId="TOC1">
    <w:name w:val="toc 1"/>
    <w:basedOn w:val="Normal"/>
    <w:next w:val="Normal"/>
    <w:autoRedefine/>
    <w:uiPriority w:val="39"/>
    <w:unhideWhenUsed/>
    <w:rsid w:val="007E1CF1"/>
    <w:pPr>
      <w:tabs>
        <w:tab w:val="right" w:leader="dot" w:pos="9487"/>
      </w:tabs>
      <w:spacing w:before="120" w:after="120"/>
      <w:jc w:val="center"/>
    </w:pPr>
    <w:rPr>
      <w:b/>
      <w:noProof/>
    </w:rPr>
  </w:style>
  <w:style w:type="paragraph" w:styleId="TOC2">
    <w:name w:val="toc 2"/>
    <w:basedOn w:val="Normal"/>
    <w:next w:val="Normal"/>
    <w:autoRedefine/>
    <w:uiPriority w:val="39"/>
    <w:unhideWhenUsed/>
    <w:rsid w:val="007E1CF1"/>
    <w:pPr>
      <w:tabs>
        <w:tab w:val="left" w:pos="0"/>
        <w:tab w:val="left" w:pos="426"/>
        <w:tab w:val="right" w:leader="dot" w:pos="9487"/>
      </w:tabs>
      <w:jc w:val="both"/>
    </w:pPr>
  </w:style>
  <w:style w:type="paragraph" w:styleId="TOC3">
    <w:name w:val="toc 3"/>
    <w:basedOn w:val="Normal"/>
    <w:next w:val="Normal"/>
    <w:autoRedefine/>
    <w:uiPriority w:val="39"/>
    <w:unhideWhenUsed/>
    <w:rsid w:val="007F7EC7"/>
    <w:pPr>
      <w:spacing w:after="100"/>
      <w:ind w:left="400"/>
    </w:pPr>
  </w:style>
  <w:style w:type="paragraph" w:styleId="TOC4">
    <w:name w:val="toc 4"/>
    <w:basedOn w:val="Normal"/>
    <w:next w:val="Normal"/>
    <w:autoRedefine/>
    <w:uiPriority w:val="39"/>
    <w:unhideWhenUsed/>
    <w:rsid w:val="007F7EC7"/>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5818">
      <w:bodyDiv w:val="1"/>
      <w:marLeft w:val="0"/>
      <w:marRight w:val="0"/>
      <w:marTop w:val="0"/>
      <w:marBottom w:val="0"/>
      <w:divBdr>
        <w:top w:val="none" w:sz="0" w:space="0" w:color="auto"/>
        <w:left w:val="none" w:sz="0" w:space="0" w:color="auto"/>
        <w:bottom w:val="none" w:sz="0" w:space="0" w:color="auto"/>
        <w:right w:val="none" w:sz="0" w:space="0" w:color="auto"/>
      </w:divBdr>
    </w:div>
    <w:div w:id="6447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colindres_21_08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D068-1091-467E-8E22-D1CA7314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14983</Words>
  <Characters>85405</Characters>
  <Application>Microsoft Office Word</Application>
  <DocSecurity>4</DocSecurity>
  <Lines>711</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2019-02-20T19:36:00Z</cp:lastPrinted>
  <dcterms:created xsi:type="dcterms:W3CDTF">2019-02-20T23:27:00Z</dcterms:created>
  <dcterms:modified xsi:type="dcterms:W3CDTF">2019-02-20T23:27:00Z</dcterms:modified>
</cp:coreProperties>
</file>